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6842" w:rsidP="008B6842" w:rsidRDefault="008B6842" w14:paraId="24CAC18F" w14:textId="745DE2C3">
      <w:pPr>
        <w:spacing w:line="240" w:lineRule="exact"/>
        <w:rPr>
          <w:u w:val="single"/>
        </w:rPr>
      </w:pPr>
      <w:r w:rsidRPr="008B6842">
        <w:rPr>
          <w:b/>
          <w:bCs/>
        </w:rPr>
        <w:t>Bijlage</w:t>
      </w:r>
      <w:r w:rsidR="0072039B">
        <w:rPr>
          <w:b/>
          <w:bCs/>
        </w:rPr>
        <w:t xml:space="preserve"> 1</w:t>
      </w:r>
      <w:r w:rsidRPr="008B6842">
        <w:rPr>
          <w:b/>
          <w:bCs/>
        </w:rPr>
        <w:t>. Stand van zaken maatregelen</w:t>
      </w:r>
      <w:r w:rsidR="000A575D">
        <w:rPr>
          <w:b/>
          <w:bCs/>
        </w:rPr>
        <w:t xml:space="preserve"> </w:t>
      </w:r>
      <w:r w:rsidR="009C64C4">
        <w:rPr>
          <w:b/>
          <w:bCs/>
        </w:rPr>
        <w:t>en overzicht moties en toezeggingen</w:t>
      </w:r>
      <w:r w:rsidRPr="008B6842">
        <w:rPr>
          <w:b/>
          <w:bCs/>
        </w:rPr>
        <w:br/>
      </w:r>
    </w:p>
    <w:p w:rsidR="008B6842" w:rsidP="008B6842" w:rsidRDefault="008B6842" w14:paraId="3D2A8685" w14:textId="11CA9BE1">
      <w:pPr>
        <w:spacing w:line="240" w:lineRule="exact"/>
        <w:rPr>
          <w:u w:val="single"/>
        </w:rPr>
      </w:pPr>
      <w:r w:rsidRPr="00E903BF">
        <w:rPr>
          <w:u w:val="single"/>
        </w:rPr>
        <w:t>Acute maatregelen</w:t>
      </w:r>
    </w:p>
    <w:p w:rsidRPr="003305C5" w:rsidR="006265C2" w:rsidP="008B6842" w:rsidRDefault="008B6842" w14:paraId="7D45BADE" w14:textId="2CA80789">
      <w:pPr>
        <w:spacing w:line="240" w:lineRule="exact"/>
      </w:pPr>
      <w:r w:rsidRPr="00E903BF">
        <w:rPr>
          <w:i/>
          <w:iCs/>
        </w:rPr>
        <w:t>Zelfmeldersmaatregel</w:t>
      </w:r>
      <w:r>
        <w:rPr>
          <w:i/>
          <w:iCs/>
        </w:rPr>
        <w:br/>
      </w:r>
      <w:r>
        <w:t xml:space="preserve">Vanwege het capaciteitstekort bij </w:t>
      </w:r>
      <w:r w:rsidR="00F84F20">
        <w:t xml:space="preserve">de </w:t>
      </w:r>
      <w:r w:rsidRPr="00F84F20" w:rsidR="00F84F20">
        <w:t>Dienst Justitiële Inrichtingen</w:t>
      </w:r>
      <w:r w:rsidR="00F84F20">
        <w:t xml:space="preserve"> (</w:t>
      </w:r>
      <w:r>
        <w:t>DJI</w:t>
      </w:r>
      <w:r w:rsidR="00F84F20">
        <w:t>)</w:t>
      </w:r>
      <w:r>
        <w:t xml:space="preserve"> </w:t>
      </w:r>
      <w:r w:rsidR="00F84F20">
        <w:t>worden</w:t>
      </w:r>
      <w:r>
        <w:t xml:space="preserve"> sinds 6 december 2023 </w:t>
      </w:r>
      <w:r w:rsidR="00F84F20">
        <w:t xml:space="preserve">zeer beperkt </w:t>
      </w:r>
      <w:r>
        <w:t>mannelijke volwassen zelfmelders opgeroepen</w:t>
      </w:r>
      <w:r w:rsidRPr="003305C5">
        <w:t xml:space="preserve">. </w:t>
      </w:r>
      <w:r w:rsidRPr="003305C5" w:rsidR="00A23A69">
        <w:t>E</w:t>
      </w:r>
      <w:r w:rsidRPr="003305C5">
        <w:t xml:space="preserve">r </w:t>
      </w:r>
      <w:r w:rsidRPr="003305C5" w:rsidR="00A23A69">
        <w:t xml:space="preserve">zijn </w:t>
      </w:r>
      <w:r w:rsidRPr="003305C5">
        <w:t xml:space="preserve">momenteel </w:t>
      </w:r>
      <w:r w:rsidR="006F0596">
        <w:t>ongeveer 3</w:t>
      </w:r>
      <w:r w:rsidR="008B113B">
        <w:t>.</w:t>
      </w:r>
      <w:r w:rsidR="00057662">
        <w:t>30</w:t>
      </w:r>
      <w:r w:rsidR="006F0596">
        <w:t>0</w:t>
      </w:r>
      <w:r w:rsidRPr="003305C5">
        <w:t xml:space="preserve"> mannelijke zelfmelders die nog moeten worden opgeroepen </w:t>
      </w:r>
      <w:r w:rsidR="006F0596">
        <w:t xml:space="preserve">of al opgeroepen zijn en zich nog moeten melden </w:t>
      </w:r>
      <w:r w:rsidRPr="003305C5">
        <w:t xml:space="preserve">(de normale voorraad bedraagt ongeveer 1.100). Dit komt neer op een voorraad van </w:t>
      </w:r>
      <w:r w:rsidR="00057662">
        <w:t>584</w:t>
      </w:r>
      <w:r w:rsidRPr="003305C5">
        <w:t xml:space="preserve"> nog uit te zitten detentiejaren.</w:t>
      </w:r>
      <w:r w:rsidRPr="003305C5" w:rsidR="00E94A42">
        <w:t xml:space="preserve"> Een detentiejaar staat gelijk aan één plaats voor een jaar. </w:t>
      </w:r>
      <w:r w:rsidRPr="00D0322C" w:rsidR="00D0322C">
        <w:t xml:space="preserve">Vanaf 16 december </w:t>
      </w:r>
      <w:r w:rsidR="0072039B">
        <w:t>2024</w:t>
      </w:r>
      <w:r w:rsidRPr="00D0322C" w:rsidR="00D0322C">
        <w:t xml:space="preserve"> tot 1 </w:t>
      </w:r>
      <w:r w:rsidR="00057662">
        <w:t>november</w:t>
      </w:r>
      <w:r w:rsidRPr="00D0322C" w:rsidR="00D0322C">
        <w:t xml:space="preserve"> jl. zijn in totaal ca. </w:t>
      </w:r>
      <w:r w:rsidRPr="006A4EF8" w:rsidR="006A4EF8">
        <w:t>1.672</w:t>
      </w:r>
      <w:r w:rsidR="006A4EF8">
        <w:t xml:space="preserve"> </w:t>
      </w:r>
      <w:r w:rsidRPr="00D0322C" w:rsidR="00D0322C">
        <w:t xml:space="preserve">zelfmelders met een straf tot maximaal 14 dagen opgeroepen. Van de zelfmelders opgeroepen tot 1 </w:t>
      </w:r>
      <w:r w:rsidR="007C452C">
        <w:t>november</w:t>
      </w:r>
      <w:r w:rsidRPr="00D0322C" w:rsidR="00D0322C">
        <w:t xml:space="preserve"> heeft ca. </w:t>
      </w:r>
      <w:r w:rsidRPr="006A4EF8" w:rsidR="006A4EF8">
        <w:t>40%</w:t>
      </w:r>
      <w:r w:rsidRPr="00D0322C" w:rsidR="00D0322C">
        <w:t xml:space="preserve"> zich gemeld</w:t>
      </w:r>
      <w:r w:rsidR="00D0322C">
        <w:t xml:space="preserve">. </w:t>
      </w:r>
      <w:r w:rsidRPr="003305C5" w:rsidR="00DE0760">
        <w:t xml:space="preserve">Dit is vrijwel hetzelfde opkomstpercentage als voor de </w:t>
      </w:r>
      <w:proofErr w:type="spellStart"/>
      <w:r w:rsidRPr="003305C5" w:rsidR="00DE0760">
        <w:t>zelfmeldstop</w:t>
      </w:r>
      <w:proofErr w:type="spellEnd"/>
      <w:r w:rsidRPr="003305C5" w:rsidR="00DE0760">
        <w:t>.</w:t>
      </w:r>
      <w:r w:rsidRPr="003305C5" w:rsidR="006265C2">
        <w:t xml:space="preserve"> </w:t>
      </w:r>
      <w:bookmarkStart w:name="_Hlk201007802" w:id="0"/>
      <w:r w:rsidRPr="003305C5" w:rsidR="008E26AA">
        <w:t xml:space="preserve">DJI zet in op het verhogen van de bezetting van de </w:t>
      </w:r>
      <w:proofErr w:type="spellStart"/>
      <w:r w:rsidRPr="003305C5" w:rsidR="008E26AA">
        <w:t>zelfmeldlocaties</w:t>
      </w:r>
      <w:proofErr w:type="spellEnd"/>
      <w:r w:rsidRPr="003305C5" w:rsidR="00BD7234">
        <w:t xml:space="preserve">, </w:t>
      </w:r>
      <w:r w:rsidRPr="003305C5" w:rsidR="008E26AA">
        <w:t>o</w:t>
      </w:r>
      <w:r w:rsidRPr="003305C5" w:rsidR="00BD7234">
        <w:t xml:space="preserve">nder </w:t>
      </w:r>
      <w:r w:rsidRPr="003305C5" w:rsidR="008E26AA">
        <w:t>a</w:t>
      </w:r>
      <w:r w:rsidRPr="003305C5" w:rsidR="00BD7234">
        <w:t>ndere</w:t>
      </w:r>
      <w:r w:rsidRPr="003305C5" w:rsidR="008E26AA">
        <w:t xml:space="preserve"> door het aantal oproepingen per capaciteitsplaats te verhogen. </w:t>
      </w:r>
      <w:bookmarkEnd w:id="0"/>
      <w:r w:rsidRPr="00F87114" w:rsidR="00F87114">
        <w:t>Momenteel worden er door DJI voor elke twee plekken drie zelfmelders opgeroepen. DJI blijft het opkomstpercentage van zelfmelders en de bezetting monitoren om te bezien o</w:t>
      </w:r>
      <w:r w:rsidR="00C02B6F">
        <w:t>f</w:t>
      </w:r>
      <w:r w:rsidRPr="00F87114" w:rsidR="00F87114">
        <w:t xml:space="preserve"> het oproeppercentage verder moet worden aangepast.</w:t>
      </w:r>
    </w:p>
    <w:p w:rsidRPr="003305C5" w:rsidR="008B6842" w:rsidP="008B6842" w:rsidRDefault="008B6842" w14:paraId="35BED1F4" w14:textId="77777777">
      <w:pPr>
        <w:spacing w:line="240" w:lineRule="exact"/>
        <w:rPr>
          <w:i/>
          <w:iCs/>
        </w:rPr>
      </w:pPr>
    </w:p>
    <w:p w:rsidR="008649E8" w:rsidP="008B6842" w:rsidRDefault="008B6842" w14:paraId="1220CCC2" w14:textId="74F1466E">
      <w:r w:rsidRPr="003305C5">
        <w:rPr>
          <w:i/>
          <w:iCs/>
        </w:rPr>
        <w:t>Arrestantenmaatregel</w:t>
      </w:r>
      <w:r>
        <w:rPr>
          <w:i/>
          <w:iCs/>
        </w:rPr>
        <w:br/>
      </w:r>
      <w:bookmarkStart w:name="_Hlk177989382" w:id="1"/>
      <w:r w:rsidRPr="00D07852">
        <w:t>De arrestantenmaatregel houdt in dat mannelijke arrestanten met minder dan 60 dagen openstaande straf in beginsel niet worden aangehouden in verband met de druk op de celcapaciteit.</w:t>
      </w:r>
      <w:r w:rsidRPr="000C7D26">
        <w:rPr>
          <w:i/>
          <w:iCs/>
        </w:rPr>
        <w:t xml:space="preserve"> </w:t>
      </w:r>
      <w:r w:rsidR="008649E8">
        <w:t xml:space="preserve">Alle zaken worden direct doorgezet van het </w:t>
      </w:r>
      <w:r w:rsidRPr="00F84F20" w:rsidR="00F84F20">
        <w:t>Centraal Justitieel Incassobureau (CJIB)</w:t>
      </w:r>
      <w:r w:rsidR="008649E8">
        <w:t xml:space="preserve"> aan de politie. Als de politie in aanraking komt met iemand die een dergelijke straf heeft openstaan, bijvoorbeeld in het kader van een nieuw strafbaar feit of overlast, heeft de politie de bevoegdheid om een eigen afweging te maken voor het oppakken van deze veroordeelden (bijvoorbeeld in het kader van de veiligheid). </w:t>
      </w:r>
    </w:p>
    <w:p w:rsidR="008649E8" w:rsidP="008B6842" w:rsidRDefault="008649E8" w14:paraId="2E43C894" w14:textId="77777777"/>
    <w:p w:rsidR="00074D1B" w:rsidP="008B6842" w:rsidRDefault="008B6842" w14:paraId="11F0B066" w14:textId="77777777">
      <w:bookmarkStart w:name="_Hlk198627071" w:id="2"/>
      <w:bookmarkStart w:name="_Hlk201007227" w:id="3"/>
      <w:r w:rsidRPr="0009012F">
        <w:t xml:space="preserve">Vóór invoering van de acute arrestantenmaatregel op 15 maart </w:t>
      </w:r>
      <w:r w:rsidR="008E26AA">
        <w:t>2024</w:t>
      </w:r>
      <w:r w:rsidRPr="0009012F">
        <w:t xml:space="preserve"> werden gemiddeld 150 veroordeelden per week aangehouden voor één of meerdere veroordelingen tot maximaal twee maanden. Vanaf de ingangsdatum van de </w:t>
      </w:r>
      <w:r w:rsidRPr="00564467">
        <w:t xml:space="preserve">acute maatregel tot </w:t>
      </w:r>
      <w:r w:rsidRPr="00564467" w:rsidR="007E1867">
        <w:t xml:space="preserve">1 </w:t>
      </w:r>
      <w:r w:rsidR="007C452C">
        <w:t>november</w:t>
      </w:r>
      <w:r w:rsidRPr="00564467" w:rsidR="008E26AA">
        <w:t xml:space="preserve"> jl.</w:t>
      </w:r>
      <w:r w:rsidRPr="00564467">
        <w:t xml:space="preserve"> zijn dit gemiddeld circa </w:t>
      </w:r>
      <w:r w:rsidRPr="006A4EF8" w:rsidR="00D76DE4">
        <w:t>8</w:t>
      </w:r>
      <w:r w:rsidR="006A4EF8">
        <w:t>9</w:t>
      </w:r>
      <w:r w:rsidRPr="00564467" w:rsidR="00DA4EDB">
        <w:t xml:space="preserve"> </w:t>
      </w:r>
      <w:r w:rsidRPr="00564467">
        <w:t>aanhoudingen per week</w:t>
      </w:r>
      <w:r w:rsidRPr="00564467" w:rsidR="00D76DE4">
        <w:t xml:space="preserve"> met een straf van 60 dagen of minder</w:t>
      </w:r>
      <w:r w:rsidR="00782346">
        <w:t xml:space="preserve"> e</w:t>
      </w:r>
      <w:r w:rsidRPr="00564467" w:rsidR="00D76DE4">
        <w:t xml:space="preserve">n </w:t>
      </w:r>
      <w:r w:rsidRPr="00800E1F" w:rsidR="00D76DE4">
        <w:t>25</w:t>
      </w:r>
      <w:r w:rsidRPr="00564467" w:rsidR="00D76DE4">
        <w:t xml:space="preserve"> aanhoudingen per week met een straf van meer dan 60 dagen</w:t>
      </w:r>
      <w:r w:rsidRPr="00564467">
        <w:t>.</w:t>
      </w:r>
      <w:r w:rsidR="00D26249">
        <w:t xml:space="preserve"> </w:t>
      </w:r>
      <w:bookmarkEnd w:id="1"/>
      <w:bookmarkEnd w:id="2"/>
      <w:bookmarkEnd w:id="3"/>
    </w:p>
    <w:p w:rsidR="00074D1B" w:rsidP="008B6842" w:rsidRDefault="00074D1B" w14:paraId="362D5198" w14:textId="77777777"/>
    <w:p w:rsidRPr="00800E1F" w:rsidR="008B6842" w:rsidP="008B6842" w:rsidRDefault="00074D1B" w14:paraId="75FC13B0" w14:textId="794781C0">
      <w:pPr>
        <w:rPr>
          <w:i/>
          <w:iCs/>
        </w:rPr>
      </w:pPr>
      <w:r w:rsidRPr="00074D1B">
        <w:t>De voorraad aan kansrijke arrestanten bedraagt 3</w:t>
      </w:r>
      <w:r>
        <w:t>24</w:t>
      </w:r>
      <w:r w:rsidRPr="00074D1B">
        <w:t xml:space="preserve"> detentiejaren (peildatum </w:t>
      </w:r>
      <w:r>
        <w:t>26</w:t>
      </w:r>
      <w:r w:rsidRPr="00074D1B">
        <w:t xml:space="preserve"> november). De kansrijke voorraad is het deel van de werkvoorraad van de politie die kansrijk is om te worden opgespoord en aangehouden. Dit is berekend op basis van ervaringscijfers uit het verleden. Het gaat dan om veroordeelden voor een: vrijheidsstraf, vervangende hechtenis na omzetting taakstraf en onherroepelijke geldboetevonnis. Dit cijfer bevat geen veroordeelden die onvindbaar zijn dan wel verblijven in het buitenland waarbij er geen rechtsmiddelen zijn om de openstaande vonnissen alsnog tot uitvoer te brengen.</w:t>
      </w:r>
      <w:r w:rsidR="009E6AE5">
        <w:br/>
      </w:r>
    </w:p>
    <w:p w:rsidRPr="0048310B" w:rsidR="00E617DA" w:rsidP="00E617DA" w:rsidRDefault="00150671" w14:paraId="7CD3519C" w14:textId="0EAA1F7F">
      <w:pPr>
        <w:rPr>
          <w:i/>
          <w:iCs/>
        </w:rPr>
      </w:pPr>
      <w:r>
        <w:rPr>
          <w:i/>
          <w:iCs/>
        </w:rPr>
        <w:t>Eerder h</w:t>
      </w:r>
      <w:r w:rsidRPr="00E903BF" w:rsidR="008B6842">
        <w:rPr>
          <w:i/>
          <w:iCs/>
        </w:rPr>
        <w:t>eenzenden</w:t>
      </w:r>
      <w:r w:rsidR="008B6842">
        <w:rPr>
          <w:i/>
          <w:iCs/>
        </w:rPr>
        <w:br/>
      </w:r>
      <w:bookmarkStart w:name="_Hlk207805539" w:id="4"/>
      <w:r w:rsidR="002804F2">
        <w:t>Zoals per brief</w:t>
      </w:r>
      <w:r w:rsidR="002804F2">
        <w:rPr>
          <w:rStyle w:val="Voetnootmarkering"/>
        </w:rPr>
        <w:footnoteReference w:id="1"/>
      </w:r>
      <w:r w:rsidR="002804F2">
        <w:t xml:space="preserve"> van 30 juni jl. aangegeven is h</w:t>
      </w:r>
      <w:r w:rsidRPr="00F745AC" w:rsidR="002804F2">
        <w:t xml:space="preserve">et heenzenden indien noodzakelijk </w:t>
      </w:r>
      <w:r w:rsidR="002804F2">
        <w:t xml:space="preserve">sinds 15 juli jl. </w:t>
      </w:r>
      <w:r w:rsidRPr="00F745AC" w:rsidR="002804F2">
        <w:t>juridisch mogelijk gemaakt in de Regeling tijdelijk verlaten inrichting (</w:t>
      </w:r>
      <w:proofErr w:type="spellStart"/>
      <w:r w:rsidRPr="00F745AC" w:rsidR="002804F2">
        <w:t>Rtvi</w:t>
      </w:r>
      <w:proofErr w:type="spellEnd"/>
      <w:r w:rsidRPr="00F745AC" w:rsidR="002804F2">
        <w:t>).</w:t>
      </w:r>
      <w:r w:rsidR="002804F2">
        <w:t xml:space="preserve"> </w:t>
      </w:r>
      <w:bookmarkEnd w:id="4"/>
      <w:r w:rsidR="002804F2">
        <w:t>Het eerder heenzenden is gestart met een maximum van 7 dagen</w:t>
      </w:r>
      <w:r w:rsidR="00F87114">
        <w:t xml:space="preserve"> en </w:t>
      </w:r>
      <w:r w:rsidR="002804F2">
        <w:t xml:space="preserve">sinds </w:t>
      </w:r>
      <w:r w:rsidR="00BB5805">
        <w:t>de week van 18 augustus</w:t>
      </w:r>
      <w:r w:rsidR="00F87114">
        <w:t xml:space="preserve"> is dat uitgebreid naar een maximum van 14 dagen</w:t>
      </w:r>
      <w:r w:rsidR="00BB5805">
        <w:t>.</w:t>
      </w:r>
      <w:r w:rsidR="00782346">
        <w:t xml:space="preserve"> </w:t>
      </w:r>
      <w:r w:rsidR="00B40497">
        <w:t xml:space="preserve">Sinds de start van de maatregel </w:t>
      </w:r>
      <w:r w:rsidR="00E771BA">
        <w:t xml:space="preserve">medio juli </w:t>
      </w:r>
      <w:r w:rsidR="00B40497">
        <w:t>zijn er in</w:t>
      </w:r>
      <w:r w:rsidR="00701190">
        <w:t xml:space="preserve"> totaal </w:t>
      </w:r>
      <w:r w:rsidR="00E771BA">
        <w:t>768</w:t>
      </w:r>
      <w:r w:rsidR="00701190">
        <w:t xml:space="preserve"> gedetineerden </w:t>
      </w:r>
      <w:r w:rsidR="00B40497">
        <w:t xml:space="preserve">die </w:t>
      </w:r>
      <w:r w:rsidR="00701190">
        <w:t xml:space="preserve">eerder </w:t>
      </w:r>
      <w:r w:rsidR="00B40497">
        <w:t xml:space="preserve">(worden) </w:t>
      </w:r>
      <w:r w:rsidR="00701190">
        <w:t>heengezonden</w:t>
      </w:r>
      <w:r w:rsidR="00022CFA">
        <w:t xml:space="preserve"> (</w:t>
      </w:r>
      <w:r w:rsidRPr="00E93CFA" w:rsidR="00022CFA">
        <w:t xml:space="preserve">peildatum </w:t>
      </w:r>
      <w:r w:rsidR="00E771BA">
        <w:t>7 november 2025</w:t>
      </w:r>
      <w:r w:rsidR="00022CFA">
        <w:t>)</w:t>
      </w:r>
      <w:r w:rsidR="00315783">
        <w:t>.</w:t>
      </w:r>
      <w:r w:rsidRPr="00E617DA" w:rsidR="00E617DA">
        <w:rPr>
          <w:rFonts w:cs="Calibri" w:eastAsiaTheme="minorHAnsi"/>
          <w:b/>
          <w:bCs/>
          <w:color w:val="auto"/>
          <w:sz w:val="20"/>
          <w:szCs w:val="20"/>
          <w:lang w:eastAsia="en-US"/>
          <w14:ligatures w14:val="standardContextual"/>
        </w:rPr>
        <w:t xml:space="preserve"> </w:t>
      </w:r>
      <w:r w:rsidRPr="00F87114" w:rsidR="00F87114">
        <w:t>Gezien deze cijfers levert de maatrege</w:t>
      </w:r>
      <w:r w:rsidR="00F87114">
        <w:t>l</w:t>
      </w:r>
      <w:r w:rsidRPr="00F87114" w:rsidR="00F87114">
        <w:t xml:space="preserve"> met maximaal 14 dagen op jaarbasis naar verwachting circa 95 detentiejaren op.</w:t>
      </w:r>
      <w:r w:rsidR="00516E4E">
        <w:t xml:space="preserve"> </w:t>
      </w:r>
      <w:r w:rsidRPr="0048310B" w:rsidR="0048310B">
        <w:t>DJI maakt elke week</w:t>
      </w:r>
      <w:r w:rsidR="002558E5">
        <w:t xml:space="preserve"> </w:t>
      </w:r>
      <w:r w:rsidRPr="0048310B" w:rsidR="0048310B">
        <w:t xml:space="preserve">een eerste selectie </w:t>
      </w:r>
      <w:r w:rsidR="002558E5">
        <w:t xml:space="preserve">van </w:t>
      </w:r>
      <w:r w:rsidRPr="0048310B" w:rsidR="0048310B">
        <w:t>welke gedetineerden in aanmerking komen voor het eerder heenzenden.</w:t>
      </w:r>
      <w:r w:rsidR="002558E5">
        <w:t xml:space="preserve"> Dit is op basis van de strafduur en aard van delict.</w:t>
      </w:r>
      <w:r w:rsidRPr="0048310B" w:rsidR="0048310B">
        <w:t xml:space="preserve"> Vervolgens wordt gekeken welke overige uitsluitingsgronden van toepassing zijn op deze lijst. Nadat alle criteria en uitsluitingsgronden zijn toegepast, blijft een aantal gedetineerden over dat daadwerkelijk heengezonden wordt.</w:t>
      </w:r>
      <w:r w:rsidR="00516E4E">
        <w:t xml:space="preserve"> </w:t>
      </w:r>
    </w:p>
    <w:p w:rsidR="002804F2" w:rsidP="006D0A51" w:rsidRDefault="002804F2" w14:paraId="17ED4D78" w14:textId="1D272ECA"/>
    <w:p w:rsidR="00800E1F" w:rsidP="006D0A51" w:rsidRDefault="008B6842" w14:paraId="040E848D" w14:textId="104848D9">
      <w:pPr>
        <w:rPr>
          <w:u w:val="single"/>
        </w:rPr>
      </w:pPr>
      <w:r>
        <w:rPr>
          <w:u w:val="single"/>
        </w:rPr>
        <w:t>Aanvullende tijdelijke maatregelen</w:t>
      </w:r>
      <w:r>
        <w:rPr>
          <w:u w:val="single"/>
        </w:rPr>
        <w:br/>
      </w:r>
      <w:r w:rsidRPr="00E903BF">
        <w:rPr>
          <w:i/>
          <w:iCs/>
        </w:rPr>
        <w:t>Meer gedetineerden plaatsen op Beperkt Beveiligde Afdeling (BBA)</w:t>
      </w:r>
      <w:r>
        <w:rPr>
          <w:i/>
          <w:iCs/>
        </w:rPr>
        <w:br/>
      </w:r>
      <w:r w:rsidR="00B93658">
        <w:t xml:space="preserve">In tabel 1 </w:t>
      </w:r>
      <w:r w:rsidR="00076A08">
        <w:t>wordt</w:t>
      </w:r>
      <w:r w:rsidR="00B93658">
        <w:t xml:space="preserve"> het aantal bruikbare plaatsen en het bezettingspercentage op de BBA</w:t>
      </w:r>
      <w:r w:rsidR="00076A08">
        <w:t xml:space="preserve"> </w:t>
      </w:r>
      <w:r w:rsidR="00076A08">
        <w:lastRenderedPageBreak/>
        <w:t>weergegeven</w:t>
      </w:r>
      <w:r w:rsidR="00B93658">
        <w:t xml:space="preserve">. </w:t>
      </w:r>
      <w:r w:rsidRPr="00E771BA" w:rsidR="00EC2091">
        <w:t>Sinds oktober</w:t>
      </w:r>
      <w:r w:rsidRPr="00E771BA" w:rsidR="007F1C20">
        <w:t xml:space="preserve"> 2025 </w:t>
      </w:r>
      <w:r w:rsidRPr="00E771BA" w:rsidR="00EC2091">
        <w:t>zijn er</w:t>
      </w:r>
      <w:r w:rsidRPr="00E771BA" w:rsidR="007F1C20">
        <w:t xml:space="preserve"> 27 beperkt beveiligde plekken PI </w:t>
      </w:r>
      <w:r w:rsidR="00331AE7">
        <w:t xml:space="preserve">in </w:t>
      </w:r>
      <w:r w:rsidRPr="00E771BA" w:rsidR="007F1C20">
        <w:t>Haaglanden die worden ingezet als BBA.</w:t>
      </w:r>
      <w:bookmarkStart w:name="_Hlk183679950" w:id="5"/>
      <w:bookmarkStart w:name="_Hlk183680386" w:id="6"/>
    </w:p>
    <w:p w:rsidR="000D5268" w:rsidP="006D0A51" w:rsidRDefault="00B93658" w14:paraId="3402DEB0" w14:textId="026F54A2">
      <w:pPr>
        <w:rPr>
          <w:u w:val="single"/>
        </w:rPr>
      </w:pPr>
      <w:r>
        <w:rPr>
          <w:u w:val="single"/>
        </w:rPr>
        <w:br/>
      </w:r>
      <w:r w:rsidRPr="00B93658">
        <w:rPr>
          <w:b/>
          <w:bCs/>
          <w:u w:val="single"/>
        </w:rPr>
        <w:t>Tabel 1. Bruikbare plaatsen en bezetting op de BBA</w:t>
      </w:r>
    </w:p>
    <w:tbl>
      <w:tblPr>
        <w:tblStyle w:val="Tabelraster"/>
        <w:tblW w:w="0" w:type="auto"/>
        <w:tblLook w:val="04A0" w:firstRow="1" w:lastRow="0" w:firstColumn="1" w:lastColumn="0" w:noHBand="0" w:noVBand="1"/>
      </w:tblPr>
      <w:tblGrid>
        <w:gridCol w:w="3020"/>
        <w:gridCol w:w="3021"/>
        <w:gridCol w:w="3021"/>
      </w:tblGrid>
      <w:tr w:rsidR="000D5268" w:rsidTr="00B93658" w14:paraId="36090074" w14:textId="77777777">
        <w:tc>
          <w:tcPr>
            <w:tcW w:w="3020" w:type="dxa"/>
            <w:shd w:val="clear" w:color="auto" w:fill="E7E6E6" w:themeFill="background2"/>
          </w:tcPr>
          <w:p w:rsidR="000D5268" w:rsidP="006D0A51" w:rsidRDefault="000D5268" w14:paraId="7C9744BC" w14:textId="77777777">
            <w:pPr>
              <w:rPr>
                <w:u w:val="single"/>
              </w:rPr>
            </w:pPr>
          </w:p>
        </w:tc>
        <w:tc>
          <w:tcPr>
            <w:tcW w:w="3021" w:type="dxa"/>
            <w:shd w:val="clear" w:color="auto" w:fill="E7E6E6" w:themeFill="background2"/>
          </w:tcPr>
          <w:p w:rsidRPr="00A60997" w:rsidR="000D5268" w:rsidP="006D0A51" w:rsidRDefault="000D5268" w14:paraId="5234C85F" w14:textId="7BAC04E3">
            <w:pPr>
              <w:rPr>
                <w:i/>
                <w:iCs/>
              </w:rPr>
            </w:pPr>
            <w:r w:rsidRPr="00A60997">
              <w:rPr>
                <w:i/>
                <w:iCs/>
              </w:rPr>
              <w:t>Bruikbare plaatsen</w:t>
            </w:r>
          </w:p>
        </w:tc>
        <w:tc>
          <w:tcPr>
            <w:tcW w:w="3021" w:type="dxa"/>
            <w:shd w:val="clear" w:color="auto" w:fill="E7E6E6" w:themeFill="background2"/>
          </w:tcPr>
          <w:p w:rsidRPr="00A60997" w:rsidR="000D5268" w:rsidP="006D0A51" w:rsidRDefault="000D5268" w14:paraId="4DF7C9E4" w14:textId="78D12339">
            <w:pPr>
              <w:rPr>
                <w:i/>
                <w:iCs/>
              </w:rPr>
            </w:pPr>
            <w:r w:rsidRPr="00A60997">
              <w:rPr>
                <w:i/>
                <w:iCs/>
              </w:rPr>
              <w:t>Bezettingspercentage</w:t>
            </w:r>
          </w:p>
        </w:tc>
      </w:tr>
      <w:tr w:rsidR="000D5268" w:rsidTr="000D5268" w14:paraId="443185EB" w14:textId="77777777">
        <w:tc>
          <w:tcPr>
            <w:tcW w:w="3020" w:type="dxa"/>
          </w:tcPr>
          <w:p w:rsidRPr="00A60997" w:rsidR="000D5268" w:rsidP="006D0A51" w:rsidRDefault="000D5268" w14:paraId="126326B4" w14:textId="48F8F762">
            <w:r w:rsidRPr="00A60997">
              <w:t>December 2023</w:t>
            </w:r>
          </w:p>
        </w:tc>
        <w:tc>
          <w:tcPr>
            <w:tcW w:w="3021" w:type="dxa"/>
            <w:shd w:val="clear" w:color="auto" w:fill="FFFFFF" w:themeFill="background1"/>
          </w:tcPr>
          <w:p w:rsidRPr="00A60997" w:rsidR="000D5268" w:rsidP="006D0A51" w:rsidRDefault="000D5268" w14:paraId="00D08297" w14:textId="6F50179F">
            <w:r w:rsidRPr="00A60997">
              <w:t>170</w:t>
            </w:r>
          </w:p>
        </w:tc>
        <w:tc>
          <w:tcPr>
            <w:tcW w:w="3021" w:type="dxa"/>
            <w:shd w:val="clear" w:color="auto" w:fill="FFFFFF" w:themeFill="background1"/>
          </w:tcPr>
          <w:p w:rsidRPr="00A60997" w:rsidR="000D5268" w:rsidP="006D0A51" w:rsidRDefault="000D5268" w14:paraId="5A2E7B00" w14:textId="73D4D17D">
            <w:r w:rsidRPr="00A60997">
              <w:t>48%</w:t>
            </w:r>
          </w:p>
        </w:tc>
      </w:tr>
      <w:tr w:rsidR="000D5268" w:rsidTr="000D5268" w14:paraId="5F4EA702" w14:textId="77777777">
        <w:tc>
          <w:tcPr>
            <w:tcW w:w="3020" w:type="dxa"/>
          </w:tcPr>
          <w:p w:rsidRPr="00A60997" w:rsidR="000D5268" w:rsidP="006D0A51" w:rsidRDefault="000D5268" w14:paraId="3AEB6249" w14:textId="25CD36F9">
            <w:r w:rsidRPr="00A60997">
              <w:t>Maart 2024</w:t>
            </w:r>
          </w:p>
        </w:tc>
        <w:tc>
          <w:tcPr>
            <w:tcW w:w="3021" w:type="dxa"/>
            <w:shd w:val="clear" w:color="auto" w:fill="FFFFFF" w:themeFill="background1"/>
          </w:tcPr>
          <w:p w:rsidRPr="00A60997" w:rsidR="000D5268" w:rsidP="006D0A51" w:rsidRDefault="000D5268" w14:paraId="73266328" w14:textId="05409607">
            <w:r w:rsidRPr="00A60997">
              <w:t>180</w:t>
            </w:r>
          </w:p>
        </w:tc>
        <w:tc>
          <w:tcPr>
            <w:tcW w:w="3021" w:type="dxa"/>
            <w:shd w:val="clear" w:color="auto" w:fill="FFFFFF" w:themeFill="background1"/>
          </w:tcPr>
          <w:p w:rsidRPr="00A60997" w:rsidR="000D5268" w:rsidP="006D0A51" w:rsidRDefault="000D5268" w14:paraId="22B6F12A" w14:textId="5FDD5CBB">
            <w:r w:rsidRPr="00A60997">
              <w:t>68%</w:t>
            </w:r>
          </w:p>
        </w:tc>
      </w:tr>
      <w:tr w:rsidR="000D5268" w:rsidTr="000D5268" w14:paraId="6BDF417F" w14:textId="77777777">
        <w:tc>
          <w:tcPr>
            <w:tcW w:w="3020" w:type="dxa"/>
          </w:tcPr>
          <w:p w:rsidRPr="00A60997" w:rsidR="000D5268" w:rsidP="006D0A51" w:rsidRDefault="000D5268" w14:paraId="6769CDE4" w14:textId="2B729E72">
            <w:r w:rsidRPr="00A60997">
              <w:t>Mei 2024</w:t>
            </w:r>
          </w:p>
        </w:tc>
        <w:tc>
          <w:tcPr>
            <w:tcW w:w="3021" w:type="dxa"/>
            <w:shd w:val="clear" w:color="auto" w:fill="FFFFFF" w:themeFill="background1"/>
          </w:tcPr>
          <w:p w:rsidRPr="00A60997" w:rsidR="000D5268" w:rsidP="006D0A51" w:rsidRDefault="000D5268" w14:paraId="610C9FAF" w14:textId="5DC524E4">
            <w:r w:rsidRPr="00A60997">
              <w:t>208</w:t>
            </w:r>
          </w:p>
        </w:tc>
        <w:tc>
          <w:tcPr>
            <w:tcW w:w="3021" w:type="dxa"/>
            <w:shd w:val="clear" w:color="auto" w:fill="FFFFFF" w:themeFill="background1"/>
          </w:tcPr>
          <w:p w:rsidRPr="00A60997" w:rsidR="000D5268" w:rsidP="006D0A51" w:rsidRDefault="000D5268" w14:paraId="3C56E014" w14:textId="7BB0E7CE">
            <w:r w:rsidRPr="00A60997">
              <w:t>75%</w:t>
            </w:r>
          </w:p>
        </w:tc>
      </w:tr>
      <w:tr w:rsidR="000D5268" w:rsidTr="000D5268" w14:paraId="40881020" w14:textId="77777777">
        <w:tc>
          <w:tcPr>
            <w:tcW w:w="3020" w:type="dxa"/>
          </w:tcPr>
          <w:p w:rsidRPr="00A60997" w:rsidR="000D5268" w:rsidP="006D0A51" w:rsidRDefault="000D5268" w14:paraId="3AA251EB" w14:textId="3BE6E54A">
            <w:r w:rsidRPr="00A60997">
              <w:t>Augustus 2024</w:t>
            </w:r>
          </w:p>
        </w:tc>
        <w:tc>
          <w:tcPr>
            <w:tcW w:w="3021" w:type="dxa"/>
            <w:shd w:val="clear" w:color="auto" w:fill="FFFFFF" w:themeFill="background1"/>
          </w:tcPr>
          <w:p w:rsidRPr="00A60997" w:rsidR="000D5268" w:rsidP="006D0A51" w:rsidRDefault="000D5268" w14:paraId="002D6E8E" w14:textId="7883B4F9">
            <w:r w:rsidRPr="00A60997">
              <w:t>250</w:t>
            </w:r>
          </w:p>
        </w:tc>
        <w:tc>
          <w:tcPr>
            <w:tcW w:w="3021" w:type="dxa"/>
            <w:shd w:val="clear" w:color="auto" w:fill="FFFFFF" w:themeFill="background1"/>
          </w:tcPr>
          <w:p w:rsidRPr="00A60997" w:rsidR="000D5268" w:rsidP="006D0A51" w:rsidRDefault="000D5268" w14:paraId="69F6EA51" w14:textId="0904BC79">
            <w:r w:rsidRPr="00A60997">
              <w:t>86%</w:t>
            </w:r>
          </w:p>
        </w:tc>
      </w:tr>
      <w:tr w:rsidR="000D5268" w:rsidTr="000D5268" w14:paraId="49AE9E96" w14:textId="77777777">
        <w:tc>
          <w:tcPr>
            <w:tcW w:w="3020" w:type="dxa"/>
          </w:tcPr>
          <w:p w:rsidRPr="00A60997" w:rsidR="000D5268" w:rsidP="006D0A51" w:rsidRDefault="000D5268" w14:paraId="07D69957" w14:textId="2060E028">
            <w:r w:rsidRPr="00A60997">
              <w:t>November 2024</w:t>
            </w:r>
          </w:p>
        </w:tc>
        <w:tc>
          <w:tcPr>
            <w:tcW w:w="3021" w:type="dxa"/>
            <w:shd w:val="clear" w:color="auto" w:fill="FFFFFF" w:themeFill="background1"/>
          </w:tcPr>
          <w:p w:rsidRPr="00A60997" w:rsidR="000D5268" w:rsidP="006D0A51" w:rsidRDefault="000D5268" w14:paraId="4EC55B86" w14:textId="172B1F5B">
            <w:r w:rsidRPr="00A60997">
              <w:t>282</w:t>
            </w:r>
          </w:p>
        </w:tc>
        <w:tc>
          <w:tcPr>
            <w:tcW w:w="3021" w:type="dxa"/>
            <w:shd w:val="clear" w:color="auto" w:fill="FFFFFF" w:themeFill="background1"/>
          </w:tcPr>
          <w:p w:rsidRPr="00A60997" w:rsidR="000D5268" w:rsidP="006D0A51" w:rsidRDefault="000D5268" w14:paraId="0454F102" w14:textId="46FAED2B">
            <w:r w:rsidRPr="00A60997">
              <w:t>89%</w:t>
            </w:r>
          </w:p>
        </w:tc>
      </w:tr>
      <w:tr w:rsidR="000D5268" w:rsidTr="000D5268" w14:paraId="20A8A1E1" w14:textId="77777777">
        <w:tc>
          <w:tcPr>
            <w:tcW w:w="3020" w:type="dxa"/>
          </w:tcPr>
          <w:p w:rsidRPr="00A60997" w:rsidR="000D5268" w:rsidP="006D0A51" w:rsidRDefault="000D5268" w14:paraId="566ACEC4" w14:textId="56179415">
            <w:r w:rsidRPr="00A60997">
              <w:t>Maart 2025</w:t>
            </w:r>
          </w:p>
        </w:tc>
        <w:tc>
          <w:tcPr>
            <w:tcW w:w="3021" w:type="dxa"/>
            <w:shd w:val="clear" w:color="auto" w:fill="FFFFFF" w:themeFill="background1"/>
          </w:tcPr>
          <w:p w:rsidRPr="00A60997" w:rsidR="000D5268" w:rsidP="006D0A51" w:rsidRDefault="000D5268" w14:paraId="5A8B19C1" w14:textId="6811C5C2">
            <w:r w:rsidRPr="00A60997">
              <w:t>331</w:t>
            </w:r>
          </w:p>
        </w:tc>
        <w:tc>
          <w:tcPr>
            <w:tcW w:w="3021" w:type="dxa"/>
            <w:shd w:val="clear" w:color="auto" w:fill="FFFFFF" w:themeFill="background1"/>
          </w:tcPr>
          <w:p w:rsidRPr="00A60997" w:rsidR="000D5268" w:rsidP="006D0A51" w:rsidRDefault="000D5268" w14:paraId="2567F82D" w14:textId="05375012">
            <w:r w:rsidRPr="00A60997">
              <w:t>87%</w:t>
            </w:r>
          </w:p>
        </w:tc>
      </w:tr>
      <w:tr w:rsidR="00D26249" w:rsidTr="000D5268" w14:paraId="57DBF38B" w14:textId="77777777">
        <w:tc>
          <w:tcPr>
            <w:tcW w:w="3020" w:type="dxa"/>
          </w:tcPr>
          <w:p w:rsidRPr="00A60997" w:rsidR="00D26249" w:rsidP="006D0A51" w:rsidRDefault="00D26249" w14:paraId="061D330B" w14:textId="0A1B5169">
            <w:r>
              <w:t>April 2025</w:t>
            </w:r>
          </w:p>
        </w:tc>
        <w:tc>
          <w:tcPr>
            <w:tcW w:w="3021" w:type="dxa"/>
            <w:shd w:val="clear" w:color="auto" w:fill="FFFFFF" w:themeFill="background1"/>
          </w:tcPr>
          <w:p w:rsidRPr="00A60997" w:rsidR="00D26249" w:rsidP="006D0A51" w:rsidRDefault="00D26249" w14:paraId="293BD250" w14:textId="4E8BB575">
            <w:r>
              <w:t>344</w:t>
            </w:r>
          </w:p>
        </w:tc>
        <w:tc>
          <w:tcPr>
            <w:tcW w:w="3021" w:type="dxa"/>
            <w:shd w:val="clear" w:color="auto" w:fill="FFFFFF" w:themeFill="background1"/>
          </w:tcPr>
          <w:p w:rsidRPr="00A60997" w:rsidR="00D26249" w:rsidP="006D0A51" w:rsidRDefault="00D26249" w14:paraId="77000C12" w14:textId="6BE260AF">
            <w:r>
              <w:t>86%</w:t>
            </w:r>
          </w:p>
        </w:tc>
      </w:tr>
      <w:tr w:rsidR="00396157" w:rsidTr="000D5268" w14:paraId="27AF885C" w14:textId="77777777">
        <w:tc>
          <w:tcPr>
            <w:tcW w:w="3020" w:type="dxa"/>
          </w:tcPr>
          <w:p w:rsidR="00396157" w:rsidP="006D0A51" w:rsidRDefault="00396157" w14:paraId="398E4A4A" w14:textId="48FC01B7">
            <w:r>
              <w:t>Mei 2025</w:t>
            </w:r>
          </w:p>
        </w:tc>
        <w:tc>
          <w:tcPr>
            <w:tcW w:w="3021" w:type="dxa"/>
            <w:shd w:val="clear" w:color="auto" w:fill="FFFFFF" w:themeFill="background1"/>
          </w:tcPr>
          <w:p w:rsidR="00396157" w:rsidP="006D0A51" w:rsidRDefault="00396157" w14:paraId="22C4C9A8" w14:textId="75B99EBF">
            <w:r>
              <w:t>344</w:t>
            </w:r>
          </w:p>
        </w:tc>
        <w:tc>
          <w:tcPr>
            <w:tcW w:w="3021" w:type="dxa"/>
            <w:shd w:val="clear" w:color="auto" w:fill="FFFFFF" w:themeFill="background1"/>
          </w:tcPr>
          <w:p w:rsidR="00396157" w:rsidP="006D0A51" w:rsidRDefault="007A0E34" w14:paraId="72790486" w14:textId="3638F208">
            <w:r>
              <w:t>88%</w:t>
            </w:r>
          </w:p>
        </w:tc>
      </w:tr>
      <w:tr w:rsidR="004054C0" w:rsidTr="000D5268" w14:paraId="0893DEA4" w14:textId="77777777">
        <w:tc>
          <w:tcPr>
            <w:tcW w:w="3020" w:type="dxa"/>
          </w:tcPr>
          <w:p w:rsidR="004054C0" w:rsidP="006D0A51" w:rsidRDefault="004054C0" w14:paraId="2CCA71E3" w14:textId="10AA4F95">
            <w:r>
              <w:t>Juni 2025</w:t>
            </w:r>
          </w:p>
        </w:tc>
        <w:tc>
          <w:tcPr>
            <w:tcW w:w="3021" w:type="dxa"/>
            <w:shd w:val="clear" w:color="auto" w:fill="FFFFFF" w:themeFill="background1"/>
          </w:tcPr>
          <w:p w:rsidR="004054C0" w:rsidP="006D0A51" w:rsidRDefault="00701190" w14:paraId="6D7FE382" w14:textId="7B2CA25A">
            <w:r>
              <w:t>344</w:t>
            </w:r>
          </w:p>
        </w:tc>
        <w:tc>
          <w:tcPr>
            <w:tcW w:w="3021" w:type="dxa"/>
            <w:shd w:val="clear" w:color="auto" w:fill="FFFFFF" w:themeFill="background1"/>
          </w:tcPr>
          <w:p w:rsidR="004054C0" w:rsidP="006D0A51" w:rsidRDefault="00701190" w14:paraId="5E47EE75" w14:textId="0E075C2F">
            <w:r>
              <w:t>85%</w:t>
            </w:r>
          </w:p>
        </w:tc>
      </w:tr>
      <w:tr w:rsidR="00701190" w:rsidTr="000D5268" w14:paraId="3BE488D2" w14:textId="77777777">
        <w:tc>
          <w:tcPr>
            <w:tcW w:w="3020" w:type="dxa"/>
          </w:tcPr>
          <w:p w:rsidR="00701190" w:rsidP="006D0A51" w:rsidRDefault="00701190" w14:paraId="5A1F34D5" w14:textId="759438B5">
            <w:r>
              <w:t>Juli 2025</w:t>
            </w:r>
          </w:p>
        </w:tc>
        <w:tc>
          <w:tcPr>
            <w:tcW w:w="3021" w:type="dxa"/>
            <w:shd w:val="clear" w:color="auto" w:fill="FFFFFF" w:themeFill="background1"/>
          </w:tcPr>
          <w:p w:rsidR="00701190" w:rsidP="006D0A51" w:rsidRDefault="00701190" w14:paraId="7A3AC144" w14:textId="01CF866B">
            <w:r>
              <w:t>346</w:t>
            </w:r>
          </w:p>
        </w:tc>
        <w:tc>
          <w:tcPr>
            <w:tcW w:w="3021" w:type="dxa"/>
            <w:shd w:val="clear" w:color="auto" w:fill="FFFFFF" w:themeFill="background1"/>
          </w:tcPr>
          <w:p w:rsidRPr="004054C0" w:rsidR="00701190" w:rsidP="006D0A51" w:rsidRDefault="00701190" w14:paraId="3B155181" w14:textId="0E941EA0">
            <w:pPr>
              <w:rPr>
                <w:highlight w:val="yellow"/>
              </w:rPr>
            </w:pPr>
            <w:r w:rsidRPr="00701190">
              <w:t>89%</w:t>
            </w:r>
          </w:p>
        </w:tc>
      </w:tr>
      <w:tr w:rsidR="004054C0" w:rsidTr="000D5268" w14:paraId="6E9542DB" w14:textId="77777777">
        <w:tc>
          <w:tcPr>
            <w:tcW w:w="3020" w:type="dxa"/>
          </w:tcPr>
          <w:p w:rsidR="004054C0" w:rsidP="006D0A51" w:rsidRDefault="004054C0" w14:paraId="512D50C6" w14:textId="3C5B1F6F">
            <w:r>
              <w:t>Augustus 2025</w:t>
            </w:r>
          </w:p>
        </w:tc>
        <w:tc>
          <w:tcPr>
            <w:tcW w:w="3021" w:type="dxa"/>
            <w:shd w:val="clear" w:color="auto" w:fill="FFFFFF" w:themeFill="background1"/>
          </w:tcPr>
          <w:p w:rsidR="004054C0" w:rsidP="006D0A51" w:rsidRDefault="00701190" w14:paraId="5280AC2C" w14:textId="5FE1815D">
            <w:r>
              <w:t>345</w:t>
            </w:r>
          </w:p>
        </w:tc>
        <w:tc>
          <w:tcPr>
            <w:tcW w:w="3021" w:type="dxa"/>
            <w:shd w:val="clear" w:color="auto" w:fill="FFFFFF" w:themeFill="background1"/>
          </w:tcPr>
          <w:p w:rsidR="004054C0" w:rsidP="006D0A51" w:rsidRDefault="00701190" w14:paraId="2D59F192" w14:textId="0EE83BFE">
            <w:r>
              <w:t>89%</w:t>
            </w:r>
          </w:p>
        </w:tc>
      </w:tr>
      <w:tr w:rsidR="005879C0" w:rsidTr="000D5268" w14:paraId="415A7E6A" w14:textId="77777777">
        <w:tc>
          <w:tcPr>
            <w:tcW w:w="3020" w:type="dxa"/>
          </w:tcPr>
          <w:p w:rsidR="005879C0" w:rsidP="006D0A51" w:rsidRDefault="005879C0" w14:paraId="2B19CB52" w14:textId="578ED7CD">
            <w:r>
              <w:t>September 2025</w:t>
            </w:r>
          </w:p>
        </w:tc>
        <w:tc>
          <w:tcPr>
            <w:tcW w:w="3021" w:type="dxa"/>
            <w:shd w:val="clear" w:color="auto" w:fill="FFFFFF" w:themeFill="background1"/>
          </w:tcPr>
          <w:p w:rsidRPr="00E771BA" w:rsidR="005879C0" w:rsidP="006D0A51" w:rsidRDefault="00E771BA" w14:paraId="1799D0B9" w14:textId="7F3364EF">
            <w:r w:rsidRPr="00E771BA">
              <w:t>346</w:t>
            </w:r>
          </w:p>
        </w:tc>
        <w:tc>
          <w:tcPr>
            <w:tcW w:w="3021" w:type="dxa"/>
            <w:shd w:val="clear" w:color="auto" w:fill="FFFFFF" w:themeFill="background1"/>
          </w:tcPr>
          <w:p w:rsidRPr="00E771BA" w:rsidR="005879C0" w:rsidP="006D0A51" w:rsidRDefault="00E771BA" w14:paraId="02E90B13" w14:textId="5333E75A">
            <w:r w:rsidRPr="00E771BA">
              <w:t>91%</w:t>
            </w:r>
          </w:p>
        </w:tc>
      </w:tr>
      <w:tr w:rsidR="005879C0" w:rsidTr="000D5268" w14:paraId="79EAEBF1" w14:textId="77777777">
        <w:tc>
          <w:tcPr>
            <w:tcW w:w="3020" w:type="dxa"/>
          </w:tcPr>
          <w:p w:rsidR="005879C0" w:rsidP="006D0A51" w:rsidRDefault="005879C0" w14:paraId="61B3917C" w14:textId="78CC390E">
            <w:r>
              <w:t>Oktober 2025</w:t>
            </w:r>
          </w:p>
        </w:tc>
        <w:tc>
          <w:tcPr>
            <w:tcW w:w="3021" w:type="dxa"/>
            <w:shd w:val="clear" w:color="auto" w:fill="FFFFFF" w:themeFill="background1"/>
          </w:tcPr>
          <w:p w:rsidRPr="00E771BA" w:rsidR="005879C0" w:rsidP="006D0A51" w:rsidRDefault="00E771BA" w14:paraId="40E1313E" w14:textId="0E5F469E">
            <w:r w:rsidRPr="00E771BA">
              <w:t>373</w:t>
            </w:r>
          </w:p>
        </w:tc>
        <w:tc>
          <w:tcPr>
            <w:tcW w:w="3021" w:type="dxa"/>
            <w:shd w:val="clear" w:color="auto" w:fill="FFFFFF" w:themeFill="background1"/>
          </w:tcPr>
          <w:p w:rsidRPr="00E771BA" w:rsidR="005879C0" w:rsidP="006D0A51" w:rsidRDefault="00E771BA" w14:paraId="1A2AE048" w14:textId="431A1B49">
            <w:r w:rsidRPr="00E771BA">
              <w:t>89%</w:t>
            </w:r>
          </w:p>
        </w:tc>
      </w:tr>
    </w:tbl>
    <w:p w:rsidR="00E93CFA" w:rsidP="009B4D87" w:rsidRDefault="00B56110" w14:paraId="39BDA819" w14:textId="001176D6">
      <w:r>
        <w:br/>
      </w:r>
      <w:r w:rsidR="00F37D32">
        <w:rPr>
          <w:i/>
          <w:iCs/>
        </w:rPr>
        <w:t>Pilot t</w:t>
      </w:r>
      <w:r w:rsidR="00FF6E1B">
        <w:rPr>
          <w:i/>
          <w:iCs/>
        </w:rPr>
        <w:t>ablets op cel</w:t>
      </w:r>
      <w:r w:rsidR="00FF6E1B">
        <w:rPr>
          <w:i/>
          <w:iCs/>
        </w:rPr>
        <w:br/>
      </w:r>
      <w:r w:rsidRPr="006957A9" w:rsidR="006957A9">
        <w:t>De pilot</w:t>
      </w:r>
      <w:r w:rsidR="006957A9">
        <w:t xml:space="preserve"> tablets op cel</w:t>
      </w:r>
      <w:r w:rsidRPr="006957A9" w:rsidR="006957A9">
        <w:t xml:space="preserve"> word</w:t>
      </w:r>
      <w:r w:rsidR="006957A9">
        <w:t>t</w:t>
      </w:r>
      <w:r w:rsidRPr="006957A9" w:rsidR="006957A9">
        <w:t xml:space="preserve"> door DJI gemonitord en geëvalueerd. </w:t>
      </w:r>
      <w:r w:rsidRPr="008E26AA" w:rsidR="008E26AA">
        <w:t xml:space="preserve">Inrichtingen hebben de ruimte gekregen de inzet op verschillende manieren te beproeven. Om goed met de werkwijzen te oefenen en te komen tot een gedegen advies, heeft DJI besloten de pilotperiode met </w:t>
      </w:r>
      <w:r w:rsidR="00384C24">
        <w:t>twee</w:t>
      </w:r>
      <w:r w:rsidRPr="008E26AA" w:rsidR="008E26AA">
        <w:t xml:space="preserve"> maanden te verlengen. </w:t>
      </w:r>
      <w:r w:rsidRPr="00E771BA" w:rsidR="00701190">
        <w:t>Eind</w:t>
      </w:r>
      <w:r w:rsidRPr="00E771BA" w:rsidR="006957A9">
        <w:t xml:space="preserve"> 2025 verwacht ik de uitkomsten </w:t>
      </w:r>
      <w:r w:rsidRPr="00E771BA" w:rsidR="00E771BA">
        <w:t>van de evaluatie o</w:t>
      </w:r>
      <w:r w:rsidR="00683AAC">
        <w:t>p te kunnen nemen</w:t>
      </w:r>
      <w:r w:rsidRPr="00E771BA" w:rsidR="00E771BA">
        <w:t xml:space="preserve"> in een advies over het gebruik van de tablets in de toekomst</w:t>
      </w:r>
      <w:r w:rsidR="00683AAC">
        <w:t>.</w:t>
      </w:r>
      <w:r w:rsidR="00E93CFA">
        <w:t xml:space="preserve"> </w:t>
      </w:r>
      <w:r w:rsidR="00683AAC">
        <w:t>I</w:t>
      </w:r>
      <w:r w:rsidR="00E93CFA">
        <w:t xml:space="preserve">n de volgende voortgangsbrief </w:t>
      </w:r>
      <w:r w:rsidR="001D5F0E">
        <w:t>zal naar verwachting de</w:t>
      </w:r>
      <w:r w:rsidR="00E93CFA">
        <w:t xml:space="preserve"> Kamer </w:t>
      </w:r>
      <w:r w:rsidR="00057662">
        <w:t xml:space="preserve">hierover </w:t>
      </w:r>
      <w:r w:rsidR="001D5F0E">
        <w:t xml:space="preserve">worden geïnformeerd. </w:t>
      </w:r>
    </w:p>
    <w:p w:rsidR="00D26249" w:rsidP="009B4D87" w:rsidRDefault="00E93CFA" w14:paraId="193A1410" w14:textId="3F3D7BE7">
      <w:r>
        <w:br/>
      </w:r>
      <w:r w:rsidRPr="006957A9" w:rsidR="006957A9">
        <w:t xml:space="preserve">Uitgebreide testen hebben vooraf plaatsgevonden om te zorgen voor een veilig gebruik. De inhoud is goed gescreend en de tablet is volledig afgeschermd. Gedurende de pilot </w:t>
      </w:r>
      <w:r w:rsidR="006957A9">
        <w:t>blijft DJI</w:t>
      </w:r>
      <w:r w:rsidRPr="006957A9" w:rsidR="006957A9">
        <w:t xml:space="preserve"> toezien op veilig gebruik van de tablets. Een inrichting geeft bijvoorbeeld aan dat op de dag dat de tablets op een afdeling worden inzet, minder personeel nodig is en het vrijgespeelde personeel op een andere afdeling kan worden ingezet of kan het personeel andere taken verrichten, die anders zouden blijven liggen. Ook wordt het verbeterde aanbod op de tablets, met bijvoorbeeld e-</w:t>
      </w:r>
      <w:proofErr w:type="spellStart"/>
      <w:r w:rsidRPr="006957A9" w:rsidR="006957A9">
        <w:t>lear</w:t>
      </w:r>
      <w:r w:rsidR="00F84F20">
        <w:t>n</w:t>
      </w:r>
      <w:r w:rsidRPr="006957A9" w:rsidR="006957A9">
        <w:t>ings</w:t>
      </w:r>
      <w:proofErr w:type="spellEnd"/>
      <w:r w:rsidRPr="006957A9" w:rsidR="006957A9">
        <w:t xml:space="preserve"> en e-boeken, als positief ervaren. Maar zowel personeel als gedetineerden geven ook aan dat een regulier dagprogramma altijd de voorkeur heeft.</w:t>
      </w:r>
      <w:r w:rsidR="004054C0">
        <w:t xml:space="preserve"> </w:t>
      </w:r>
    </w:p>
    <w:bookmarkEnd w:id="5"/>
    <w:bookmarkEnd w:id="6"/>
    <w:p w:rsidRPr="002A4FDF" w:rsidR="009C64C4" w:rsidP="009C64C4" w:rsidRDefault="000A575D" w14:paraId="2B404609" w14:textId="77777777">
      <w:pPr>
        <w:rPr>
          <w:b/>
          <w:bCs/>
          <w:color w:val="auto"/>
        </w:rPr>
      </w:pPr>
      <w:r>
        <w:br/>
      </w:r>
      <w:bookmarkStart w:name="_Hlk214890147" w:id="7"/>
      <w:r w:rsidRPr="002A4FDF" w:rsidR="009C64C4">
        <w:rPr>
          <w:b/>
          <w:bCs/>
          <w:color w:val="auto"/>
        </w:rPr>
        <w:t xml:space="preserve">Overzicht moties </w:t>
      </w:r>
    </w:p>
    <w:p w:rsidRPr="009C64C4" w:rsidR="009C64C4" w:rsidP="009C64C4" w:rsidRDefault="009C64C4" w14:paraId="61D04A28" w14:textId="77777777">
      <w:pPr>
        <w:rPr>
          <w:color w:val="auto"/>
        </w:rPr>
      </w:pPr>
    </w:p>
    <w:tbl>
      <w:tblPr>
        <w:tblStyle w:val="Tabelraster"/>
        <w:tblW w:w="9067" w:type="dxa"/>
        <w:tblLayout w:type="fixed"/>
        <w:tblLook w:val="04A0" w:firstRow="1" w:lastRow="0" w:firstColumn="1" w:lastColumn="0" w:noHBand="0" w:noVBand="1"/>
      </w:tblPr>
      <w:tblGrid>
        <w:gridCol w:w="1129"/>
        <w:gridCol w:w="1276"/>
        <w:gridCol w:w="2977"/>
        <w:gridCol w:w="2551"/>
        <w:gridCol w:w="1134"/>
      </w:tblGrid>
      <w:tr w:rsidRPr="000C324F" w:rsidR="009C64C4" w:rsidTr="002A4FDF" w14:paraId="5DE3BDB7" w14:textId="77777777">
        <w:trPr>
          <w:trHeight w:val="405"/>
        </w:trPr>
        <w:tc>
          <w:tcPr>
            <w:tcW w:w="1129" w:type="dxa"/>
          </w:tcPr>
          <w:p w:rsidRPr="000C324F" w:rsidR="009C64C4" w:rsidP="00DA4122" w:rsidRDefault="009C64C4" w14:paraId="5BCB97AB" w14:textId="77777777">
            <w:pPr>
              <w:rPr>
                <w:i/>
                <w:iCs/>
                <w:color w:val="auto"/>
                <w:sz w:val="16"/>
                <w:szCs w:val="16"/>
              </w:rPr>
            </w:pPr>
            <w:r w:rsidRPr="000C324F">
              <w:rPr>
                <w:i/>
                <w:iCs/>
                <w:color w:val="auto"/>
                <w:sz w:val="16"/>
                <w:szCs w:val="16"/>
              </w:rPr>
              <w:t>Lid/leden</w:t>
            </w:r>
          </w:p>
        </w:tc>
        <w:tc>
          <w:tcPr>
            <w:tcW w:w="1276" w:type="dxa"/>
          </w:tcPr>
          <w:p w:rsidRPr="000C324F" w:rsidR="009C64C4" w:rsidP="00DA4122" w:rsidRDefault="009C64C4" w14:paraId="2C865124" w14:textId="77777777">
            <w:pPr>
              <w:rPr>
                <w:i/>
                <w:iCs/>
                <w:color w:val="auto"/>
                <w:sz w:val="16"/>
                <w:szCs w:val="16"/>
              </w:rPr>
            </w:pPr>
            <w:r w:rsidRPr="000C324F">
              <w:rPr>
                <w:i/>
                <w:iCs/>
                <w:color w:val="auto"/>
                <w:sz w:val="16"/>
                <w:szCs w:val="16"/>
              </w:rPr>
              <w:t>Kamerstuk nr.</w:t>
            </w:r>
          </w:p>
        </w:tc>
        <w:tc>
          <w:tcPr>
            <w:tcW w:w="2977" w:type="dxa"/>
          </w:tcPr>
          <w:p w:rsidRPr="000C324F" w:rsidR="009C64C4" w:rsidP="00DA4122" w:rsidRDefault="009C64C4" w14:paraId="37E399A3" w14:textId="77777777">
            <w:pPr>
              <w:rPr>
                <w:i/>
                <w:iCs/>
                <w:color w:val="auto"/>
                <w:sz w:val="16"/>
                <w:szCs w:val="16"/>
              </w:rPr>
            </w:pPr>
            <w:r w:rsidRPr="000C324F">
              <w:rPr>
                <w:i/>
                <w:iCs/>
                <w:color w:val="auto"/>
                <w:sz w:val="16"/>
                <w:szCs w:val="16"/>
              </w:rPr>
              <w:t>Omschrijving</w:t>
            </w:r>
          </w:p>
        </w:tc>
        <w:tc>
          <w:tcPr>
            <w:tcW w:w="2551" w:type="dxa"/>
          </w:tcPr>
          <w:p w:rsidRPr="000C324F" w:rsidR="009C64C4" w:rsidP="00DA4122" w:rsidRDefault="009C64C4" w14:paraId="3189C79A" w14:textId="77777777">
            <w:pPr>
              <w:rPr>
                <w:i/>
                <w:iCs/>
                <w:color w:val="auto"/>
                <w:sz w:val="16"/>
                <w:szCs w:val="16"/>
              </w:rPr>
            </w:pPr>
            <w:r w:rsidRPr="000C324F">
              <w:rPr>
                <w:i/>
                <w:iCs/>
                <w:color w:val="auto"/>
                <w:sz w:val="16"/>
                <w:szCs w:val="16"/>
              </w:rPr>
              <w:t>Voortgang</w:t>
            </w:r>
          </w:p>
        </w:tc>
        <w:tc>
          <w:tcPr>
            <w:tcW w:w="1134" w:type="dxa"/>
          </w:tcPr>
          <w:p w:rsidRPr="000C324F" w:rsidR="009C64C4" w:rsidP="00DA4122" w:rsidRDefault="009C64C4" w14:paraId="0DBB1A11" w14:textId="77777777">
            <w:pPr>
              <w:rPr>
                <w:i/>
                <w:iCs/>
                <w:color w:val="auto"/>
                <w:sz w:val="16"/>
                <w:szCs w:val="16"/>
              </w:rPr>
            </w:pPr>
            <w:r w:rsidRPr="000C324F">
              <w:rPr>
                <w:i/>
                <w:iCs/>
                <w:color w:val="auto"/>
                <w:sz w:val="16"/>
                <w:szCs w:val="16"/>
              </w:rPr>
              <w:t>Vindplaats afdoening</w:t>
            </w:r>
          </w:p>
        </w:tc>
      </w:tr>
      <w:tr w:rsidRPr="000C324F" w:rsidR="009C64C4" w:rsidTr="002A4FDF" w14:paraId="1F36EA6D" w14:textId="77777777">
        <w:trPr>
          <w:trHeight w:val="1827"/>
        </w:trPr>
        <w:tc>
          <w:tcPr>
            <w:tcW w:w="1129" w:type="dxa"/>
          </w:tcPr>
          <w:p w:rsidRPr="000C324F" w:rsidR="009C64C4" w:rsidP="00DA4122" w:rsidRDefault="009C64C4" w14:paraId="04F1F086" w14:textId="77777777">
            <w:pPr>
              <w:rPr>
                <w:color w:val="auto"/>
                <w:sz w:val="16"/>
                <w:szCs w:val="16"/>
              </w:rPr>
            </w:pPr>
            <w:proofErr w:type="spellStart"/>
            <w:r w:rsidRPr="000C324F">
              <w:rPr>
                <w:color w:val="auto"/>
                <w:sz w:val="16"/>
                <w:szCs w:val="16"/>
              </w:rPr>
              <w:t>Ellian</w:t>
            </w:r>
            <w:proofErr w:type="spellEnd"/>
            <w:r w:rsidRPr="000C324F">
              <w:rPr>
                <w:color w:val="auto"/>
                <w:sz w:val="16"/>
                <w:szCs w:val="16"/>
              </w:rPr>
              <w:t xml:space="preserve"> (VVD)</w:t>
            </w:r>
          </w:p>
        </w:tc>
        <w:tc>
          <w:tcPr>
            <w:tcW w:w="1276" w:type="dxa"/>
          </w:tcPr>
          <w:p w:rsidRPr="000C324F" w:rsidR="009C64C4" w:rsidP="00DA4122" w:rsidRDefault="009C64C4" w14:paraId="50A4EC64" w14:textId="77777777">
            <w:pPr>
              <w:rPr>
                <w:i/>
                <w:iCs/>
                <w:color w:val="auto"/>
                <w:sz w:val="16"/>
                <w:szCs w:val="16"/>
              </w:rPr>
            </w:pPr>
            <w:r w:rsidRPr="000C324F">
              <w:rPr>
                <w:color w:val="auto"/>
                <w:sz w:val="16"/>
                <w:szCs w:val="16"/>
              </w:rPr>
              <w:t xml:space="preserve">Kamerstuk </w:t>
            </w:r>
            <w:r w:rsidRPr="000C324F">
              <w:rPr>
                <w:rFonts w:eastAsia="Times New Roman" w:cs="Arial"/>
                <w:color w:val="auto"/>
                <w:sz w:val="16"/>
                <w:szCs w:val="16"/>
              </w:rPr>
              <w:t>24 587, nr. 1043</w:t>
            </w:r>
          </w:p>
        </w:tc>
        <w:tc>
          <w:tcPr>
            <w:tcW w:w="2977" w:type="dxa"/>
          </w:tcPr>
          <w:p w:rsidRPr="000C324F" w:rsidR="009C64C4" w:rsidP="00DA4122" w:rsidRDefault="009C64C4" w14:paraId="620D9C81" w14:textId="5BAD35B6">
            <w:pPr>
              <w:rPr>
                <w:color w:val="auto"/>
                <w:sz w:val="16"/>
                <w:szCs w:val="16"/>
              </w:rPr>
            </w:pPr>
            <w:r w:rsidRPr="000C324F">
              <w:rPr>
                <w:color w:val="auto"/>
                <w:sz w:val="16"/>
                <w:szCs w:val="16"/>
              </w:rPr>
              <w:t>Verzoekt de regering om direct te verkennen of dergelijke schepen op korte termijn ingezet zouden kunnen worden om capaciteit voor het gevangeniswezen te creëren, en de Kamer over de uitkomsten te informeren voor het zomerreces</w:t>
            </w:r>
            <w:r w:rsidR="00966076">
              <w:rPr>
                <w:color w:val="auto"/>
                <w:sz w:val="16"/>
                <w:szCs w:val="16"/>
              </w:rPr>
              <w:t>.</w:t>
            </w:r>
          </w:p>
        </w:tc>
        <w:tc>
          <w:tcPr>
            <w:tcW w:w="2551" w:type="dxa"/>
          </w:tcPr>
          <w:p w:rsidRPr="000C324F" w:rsidR="009C64C4" w:rsidP="00DA4122" w:rsidRDefault="009C64C4" w14:paraId="3F39FB72" w14:textId="77777777">
            <w:pPr>
              <w:rPr>
                <w:color w:val="auto"/>
                <w:sz w:val="16"/>
                <w:szCs w:val="16"/>
              </w:rPr>
            </w:pPr>
            <w:r w:rsidRPr="000C324F">
              <w:rPr>
                <w:color w:val="auto"/>
                <w:sz w:val="16"/>
                <w:szCs w:val="16"/>
              </w:rPr>
              <w:t>DJI verkent wat de mogelijkheden zijn om detentieboten in te zetten. Uw Kamer wordt via de voortgangsrapportages op de hoogte gehouden.</w:t>
            </w:r>
          </w:p>
        </w:tc>
        <w:tc>
          <w:tcPr>
            <w:tcW w:w="1134" w:type="dxa"/>
          </w:tcPr>
          <w:p w:rsidRPr="000C324F" w:rsidR="009C64C4" w:rsidP="00DA4122" w:rsidRDefault="009C64C4" w14:paraId="2E70248C" w14:textId="77777777">
            <w:pPr>
              <w:rPr>
                <w:color w:val="auto"/>
                <w:sz w:val="16"/>
                <w:szCs w:val="16"/>
              </w:rPr>
            </w:pPr>
            <w:r>
              <w:rPr>
                <w:color w:val="auto"/>
                <w:sz w:val="16"/>
                <w:szCs w:val="16"/>
              </w:rPr>
              <w:t>-</w:t>
            </w:r>
          </w:p>
        </w:tc>
      </w:tr>
      <w:tr w:rsidRPr="000C324F" w:rsidR="009C64C4" w:rsidTr="002A4FDF" w14:paraId="3D5C45C1" w14:textId="77777777">
        <w:trPr>
          <w:trHeight w:val="3046"/>
        </w:trPr>
        <w:tc>
          <w:tcPr>
            <w:tcW w:w="1129" w:type="dxa"/>
          </w:tcPr>
          <w:p w:rsidRPr="000C324F" w:rsidR="009C64C4" w:rsidP="00DA4122" w:rsidRDefault="009C64C4" w14:paraId="18CC09BA" w14:textId="77777777">
            <w:pPr>
              <w:rPr>
                <w:color w:val="auto"/>
                <w:sz w:val="16"/>
                <w:szCs w:val="16"/>
              </w:rPr>
            </w:pPr>
            <w:bookmarkStart w:name="_Hlk212466247" w:id="8"/>
            <w:proofErr w:type="spellStart"/>
            <w:r w:rsidRPr="000C324F">
              <w:rPr>
                <w:rFonts w:eastAsia="Times New Roman" w:cs="Arial"/>
                <w:color w:val="auto"/>
                <w:sz w:val="16"/>
                <w:szCs w:val="16"/>
              </w:rPr>
              <w:lastRenderedPageBreak/>
              <w:t>Bruyning</w:t>
            </w:r>
            <w:proofErr w:type="spellEnd"/>
            <w:r w:rsidRPr="000C324F">
              <w:rPr>
                <w:rFonts w:eastAsia="Times New Roman" w:cs="Arial"/>
                <w:color w:val="auto"/>
                <w:sz w:val="16"/>
                <w:szCs w:val="16"/>
              </w:rPr>
              <w:t xml:space="preserve"> (NSC)</w:t>
            </w:r>
          </w:p>
        </w:tc>
        <w:tc>
          <w:tcPr>
            <w:tcW w:w="1276" w:type="dxa"/>
          </w:tcPr>
          <w:p w:rsidRPr="000C324F" w:rsidR="009C64C4" w:rsidP="00DA4122" w:rsidRDefault="009C64C4" w14:paraId="669DEBE6" w14:textId="77777777">
            <w:pPr>
              <w:rPr>
                <w:color w:val="auto"/>
                <w:sz w:val="16"/>
                <w:szCs w:val="16"/>
              </w:rPr>
            </w:pPr>
            <w:r w:rsidRPr="000C324F">
              <w:rPr>
                <w:color w:val="auto"/>
                <w:sz w:val="16"/>
                <w:szCs w:val="16"/>
              </w:rPr>
              <w:t xml:space="preserve">Kamerstuk </w:t>
            </w:r>
            <w:r w:rsidRPr="000C324F">
              <w:rPr>
                <w:rFonts w:eastAsia="Times New Roman" w:cs="Arial"/>
                <w:color w:val="auto"/>
                <w:sz w:val="16"/>
                <w:szCs w:val="16"/>
              </w:rPr>
              <w:t>24 587, nr. 1036</w:t>
            </w:r>
          </w:p>
        </w:tc>
        <w:tc>
          <w:tcPr>
            <w:tcW w:w="2977" w:type="dxa"/>
          </w:tcPr>
          <w:p w:rsidRPr="000C324F" w:rsidR="009C64C4" w:rsidP="00DA4122" w:rsidRDefault="009C64C4" w14:paraId="536FD3C2" w14:textId="77777777">
            <w:pPr>
              <w:rPr>
                <w:color w:val="auto"/>
                <w:sz w:val="16"/>
                <w:szCs w:val="16"/>
              </w:rPr>
            </w:pPr>
            <w:r w:rsidRPr="000C324F">
              <w:rPr>
                <w:color w:val="auto"/>
                <w:sz w:val="16"/>
                <w:szCs w:val="16"/>
              </w:rPr>
              <w:t>Verzoekt de regering met spoed de volgende maatregelen uit te werken:</w:t>
            </w:r>
          </w:p>
          <w:p w:rsidRPr="000C324F" w:rsidR="009C64C4" w:rsidP="009C64C4" w:rsidRDefault="009C64C4" w14:paraId="041BA753" w14:textId="77777777">
            <w:pPr>
              <w:numPr>
                <w:ilvl w:val="0"/>
                <w:numId w:val="2"/>
              </w:numPr>
              <w:tabs>
                <w:tab w:val="num" w:pos="720"/>
              </w:tabs>
              <w:rPr>
                <w:color w:val="auto"/>
                <w:sz w:val="16"/>
                <w:szCs w:val="16"/>
              </w:rPr>
            </w:pPr>
            <w:r w:rsidRPr="000C324F">
              <w:rPr>
                <w:color w:val="auto"/>
                <w:sz w:val="16"/>
                <w:szCs w:val="16"/>
              </w:rPr>
              <w:t>In overleg treden met het CJIB om het aantal gijzelingen wegens niet-betaalde boetes verder te verminderen;</w:t>
            </w:r>
          </w:p>
          <w:p w:rsidRPr="000C324F" w:rsidR="009C64C4" w:rsidP="009C64C4" w:rsidRDefault="009C64C4" w14:paraId="33EED992" w14:textId="77777777">
            <w:pPr>
              <w:numPr>
                <w:ilvl w:val="0"/>
                <w:numId w:val="2"/>
              </w:numPr>
              <w:tabs>
                <w:tab w:val="num" w:pos="720"/>
              </w:tabs>
              <w:rPr>
                <w:color w:val="auto"/>
                <w:sz w:val="16"/>
                <w:szCs w:val="16"/>
              </w:rPr>
            </w:pPr>
            <w:r w:rsidRPr="000C324F">
              <w:rPr>
                <w:color w:val="auto"/>
                <w:sz w:val="16"/>
                <w:szCs w:val="16"/>
              </w:rPr>
              <w:t>In gesprek gaan om de verhouding van «twee uur taakstraf is een dag detentie» aan te passen naar bijvoorbeeld «vier of zes uur taakstraf is een dag detentie»;</w:t>
            </w:r>
          </w:p>
          <w:p w:rsidRPr="000C324F" w:rsidR="009C64C4" w:rsidP="009C64C4" w:rsidRDefault="009C64C4" w14:paraId="6D1D7547" w14:textId="77777777">
            <w:pPr>
              <w:numPr>
                <w:ilvl w:val="0"/>
                <w:numId w:val="2"/>
              </w:numPr>
              <w:tabs>
                <w:tab w:val="num" w:pos="720"/>
              </w:tabs>
              <w:rPr>
                <w:color w:val="auto"/>
                <w:sz w:val="16"/>
                <w:szCs w:val="16"/>
              </w:rPr>
            </w:pPr>
            <w:r w:rsidRPr="000C324F">
              <w:rPr>
                <w:color w:val="auto"/>
                <w:sz w:val="16"/>
                <w:szCs w:val="16"/>
              </w:rPr>
              <w:t>Meer mogelijkheden creëren om een deel van de straf om te zetten in enkelbandgebruik met strenge plaats- en tijdsvoorwaarden;</w:t>
            </w:r>
          </w:p>
          <w:p w:rsidRPr="000C324F" w:rsidR="009C64C4" w:rsidP="009C64C4" w:rsidRDefault="009C64C4" w14:paraId="1E290A53" w14:textId="77777777">
            <w:pPr>
              <w:numPr>
                <w:ilvl w:val="0"/>
                <w:numId w:val="2"/>
              </w:numPr>
              <w:tabs>
                <w:tab w:val="num" w:pos="720"/>
              </w:tabs>
              <w:rPr>
                <w:color w:val="auto"/>
                <w:sz w:val="16"/>
                <w:szCs w:val="16"/>
              </w:rPr>
            </w:pPr>
            <w:r w:rsidRPr="000C324F">
              <w:rPr>
                <w:color w:val="auto"/>
                <w:sz w:val="16"/>
                <w:szCs w:val="16"/>
              </w:rPr>
              <w:t>Meer mogelijkheden realiseren voor detentie buiten werkuren;</w:t>
            </w:r>
          </w:p>
          <w:p w:rsidRPr="000C324F" w:rsidR="009C64C4" w:rsidP="009C64C4" w:rsidRDefault="009C64C4" w14:paraId="277DCA6D" w14:textId="77777777">
            <w:pPr>
              <w:numPr>
                <w:ilvl w:val="0"/>
                <w:numId w:val="2"/>
              </w:numPr>
              <w:tabs>
                <w:tab w:val="num" w:pos="720"/>
              </w:tabs>
              <w:rPr>
                <w:color w:val="auto"/>
                <w:sz w:val="16"/>
                <w:szCs w:val="16"/>
              </w:rPr>
            </w:pPr>
            <w:r w:rsidRPr="000C324F">
              <w:rPr>
                <w:color w:val="auto"/>
                <w:sz w:val="16"/>
                <w:szCs w:val="16"/>
              </w:rPr>
              <w:t>Verkennen of en op welke wijze beperkt beveiligde detentiecapaciteit kan worden uitgebreid;</w:t>
            </w:r>
          </w:p>
          <w:p w:rsidRPr="000C324F" w:rsidR="009C64C4" w:rsidP="009C64C4" w:rsidRDefault="009C64C4" w14:paraId="1FCB7AE3" w14:textId="77777777">
            <w:pPr>
              <w:numPr>
                <w:ilvl w:val="0"/>
                <w:numId w:val="2"/>
              </w:numPr>
              <w:tabs>
                <w:tab w:val="num" w:pos="720"/>
              </w:tabs>
              <w:rPr>
                <w:color w:val="auto"/>
                <w:sz w:val="16"/>
                <w:szCs w:val="16"/>
              </w:rPr>
            </w:pPr>
            <w:r w:rsidRPr="000C324F">
              <w:rPr>
                <w:color w:val="auto"/>
                <w:sz w:val="16"/>
                <w:szCs w:val="16"/>
              </w:rPr>
              <w:t xml:space="preserve">Verkennen onder welke voorwaarden een groter deel van de </w:t>
            </w:r>
            <w:proofErr w:type="spellStart"/>
            <w:r w:rsidRPr="000C324F">
              <w:rPr>
                <w:color w:val="auto"/>
                <w:sz w:val="16"/>
                <w:szCs w:val="16"/>
              </w:rPr>
              <w:t>isd</w:t>
            </w:r>
            <w:proofErr w:type="spellEnd"/>
            <w:r w:rsidRPr="000C324F">
              <w:rPr>
                <w:color w:val="auto"/>
                <w:sz w:val="16"/>
                <w:szCs w:val="16"/>
              </w:rPr>
              <w:t>-maatregel extramuraal, en daarmee in een zorginstelling, ten uitvoer kan worden gelegd</w:t>
            </w:r>
            <w:r w:rsidRPr="000C324F">
              <w:rPr>
                <w:rFonts w:eastAsia="Times New Roman" w:cs="Arial"/>
                <w:color w:val="auto"/>
                <w:sz w:val="16"/>
                <w:szCs w:val="16"/>
              </w:rPr>
              <w:t>.</w:t>
            </w:r>
          </w:p>
        </w:tc>
        <w:tc>
          <w:tcPr>
            <w:tcW w:w="2551" w:type="dxa"/>
          </w:tcPr>
          <w:p w:rsidRPr="000C324F" w:rsidR="009C64C4" w:rsidP="00DA4122" w:rsidRDefault="009C64C4" w14:paraId="5C360E49" w14:textId="4A2D1202">
            <w:pPr>
              <w:rPr>
                <w:color w:val="auto"/>
                <w:sz w:val="16"/>
                <w:szCs w:val="16"/>
              </w:rPr>
            </w:pPr>
            <w:r w:rsidRPr="000C324F">
              <w:rPr>
                <w:color w:val="auto"/>
                <w:sz w:val="16"/>
                <w:szCs w:val="16"/>
              </w:rPr>
              <w:t>1, 2 en 3: afgedaan.</w:t>
            </w:r>
            <w:r w:rsidRPr="000C324F">
              <w:rPr>
                <w:color w:val="auto"/>
                <w:sz w:val="16"/>
                <w:szCs w:val="16"/>
              </w:rPr>
              <w:br/>
            </w:r>
            <w:r w:rsidRPr="000C324F">
              <w:rPr>
                <w:color w:val="auto"/>
                <w:sz w:val="16"/>
                <w:szCs w:val="16"/>
              </w:rPr>
              <w:br/>
            </w:r>
            <w:r w:rsidRPr="00E21E6F">
              <w:rPr>
                <w:color w:val="auto"/>
                <w:sz w:val="16"/>
                <w:szCs w:val="16"/>
              </w:rPr>
              <w:t>4, 5 en 6:</w:t>
            </w:r>
            <w:r w:rsidR="00824A6A">
              <w:rPr>
                <w:color w:val="auto"/>
                <w:sz w:val="16"/>
                <w:szCs w:val="16"/>
              </w:rPr>
              <w:t xml:space="preserve"> middels deze brief afgedaan. </w:t>
            </w:r>
            <w:r w:rsidRPr="00E21E6F">
              <w:rPr>
                <w:color w:val="auto"/>
                <w:sz w:val="16"/>
                <w:szCs w:val="16"/>
              </w:rPr>
              <w:t xml:space="preserve"> </w:t>
            </w:r>
          </w:p>
        </w:tc>
        <w:tc>
          <w:tcPr>
            <w:tcW w:w="1134" w:type="dxa"/>
          </w:tcPr>
          <w:p w:rsidRPr="000C324F" w:rsidR="009C64C4" w:rsidP="00DA4122" w:rsidRDefault="009C64C4" w14:paraId="20CEECB9" w14:textId="6946CB30">
            <w:pPr>
              <w:rPr>
                <w:color w:val="auto"/>
                <w:sz w:val="16"/>
                <w:szCs w:val="16"/>
              </w:rPr>
            </w:pPr>
            <w:r w:rsidRPr="000C324F">
              <w:rPr>
                <w:color w:val="auto"/>
                <w:sz w:val="16"/>
                <w:szCs w:val="16"/>
              </w:rPr>
              <w:t xml:space="preserve"> </w:t>
            </w:r>
            <w:r w:rsidRPr="00023E8C" w:rsidR="00023E8C">
              <w:rPr>
                <w:color w:val="auto"/>
                <w:sz w:val="16"/>
                <w:szCs w:val="16"/>
              </w:rPr>
              <w:t>1, 2 en 3: vierde voortgangsrapportage capaciteit (blz. 10 en 11)</w:t>
            </w:r>
            <w:r>
              <w:rPr>
                <w:color w:val="auto"/>
                <w:sz w:val="16"/>
                <w:szCs w:val="16"/>
              </w:rPr>
              <w:t>-</w:t>
            </w:r>
          </w:p>
        </w:tc>
      </w:tr>
      <w:bookmarkEnd w:id="8"/>
      <w:tr w:rsidRPr="000C324F" w:rsidR="009C64C4" w:rsidTr="002A4FDF" w14:paraId="2D3F6D44" w14:textId="77777777">
        <w:trPr>
          <w:trHeight w:val="812"/>
        </w:trPr>
        <w:tc>
          <w:tcPr>
            <w:tcW w:w="1129" w:type="dxa"/>
          </w:tcPr>
          <w:p w:rsidRPr="000C324F" w:rsidR="009C64C4" w:rsidP="00DA4122" w:rsidRDefault="009C64C4" w14:paraId="17ECE112" w14:textId="77777777">
            <w:pPr>
              <w:rPr>
                <w:color w:val="auto"/>
                <w:sz w:val="16"/>
                <w:szCs w:val="16"/>
              </w:rPr>
            </w:pPr>
            <w:r w:rsidRPr="000C324F">
              <w:rPr>
                <w:color w:val="auto"/>
                <w:sz w:val="16"/>
                <w:szCs w:val="16"/>
              </w:rPr>
              <w:t>Eerdmans (JA21)</w:t>
            </w:r>
          </w:p>
        </w:tc>
        <w:tc>
          <w:tcPr>
            <w:tcW w:w="1276" w:type="dxa"/>
          </w:tcPr>
          <w:p w:rsidRPr="000C324F" w:rsidR="009C64C4" w:rsidP="00DA4122" w:rsidRDefault="009C64C4" w14:paraId="75832EDA" w14:textId="77777777">
            <w:pPr>
              <w:rPr>
                <w:color w:val="auto"/>
                <w:sz w:val="16"/>
                <w:szCs w:val="16"/>
              </w:rPr>
            </w:pPr>
            <w:r w:rsidRPr="000C324F">
              <w:rPr>
                <w:color w:val="auto"/>
                <w:sz w:val="16"/>
                <w:szCs w:val="16"/>
              </w:rPr>
              <w:t>Kamerstuk</w:t>
            </w:r>
            <w:r w:rsidRPr="000C324F">
              <w:rPr>
                <w:rFonts w:eastAsia="Times New Roman" w:cs="Arial"/>
                <w:color w:val="auto"/>
                <w:sz w:val="16"/>
                <w:szCs w:val="16"/>
              </w:rPr>
              <w:t xml:space="preserve"> 24 587, nr. 24</w:t>
            </w:r>
          </w:p>
        </w:tc>
        <w:tc>
          <w:tcPr>
            <w:tcW w:w="2977" w:type="dxa"/>
          </w:tcPr>
          <w:p w:rsidRPr="000C324F" w:rsidR="009C64C4" w:rsidP="00DA4122" w:rsidRDefault="009C64C4" w14:paraId="44A94DB1" w14:textId="77777777">
            <w:pPr>
              <w:rPr>
                <w:color w:val="auto"/>
                <w:sz w:val="16"/>
                <w:szCs w:val="16"/>
              </w:rPr>
            </w:pPr>
            <w:r w:rsidRPr="000C324F">
              <w:rPr>
                <w:color w:val="auto"/>
                <w:sz w:val="16"/>
                <w:szCs w:val="16"/>
              </w:rPr>
              <w:t>Verzoekt het kabinet werk te maken van een wervingsplan voor DJI-personeel met als doel om het werken bij DJI zo aantrekkelijk mogelijk te maken.</w:t>
            </w:r>
          </w:p>
        </w:tc>
        <w:tc>
          <w:tcPr>
            <w:tcW w:w="2551" w:type="dxa"/>
          </w:tcPr>
          <w:p w:rsidRPr="000C324F" w:rsidR="009C64C4" w:rsidP="00DA4122" w:rsidRDefault="009C64C4" w14:paraId="2E1659BE" w14:textId="08F5C9B9">
            <w:pPr>
              <w:rPr>
                <w:color w:val="auto"/>
                <w:sz w:val="16"/>
                <w:szCs w:val="16"/>
              </w:rPr>
            </w:pPr>
            <w:r w:rsidRPr="000C324F">
              <w:rPr>
                <w:color w:val="auto"/>
                <w:sz w:val="16"/>
                <w:szCs w:val="16"/>
              </w:rPr>
              <w:t xml:space="preserve">Over de voortgang wordt uw Kamer </w:t>
            </w:r>
            <w:r w:rsidR="0072039B">
              <w:rPr>
                <w:color w:val="auto"/>
                <w:sz w:val="16"/>
                <w:szCs w:val="16"/>
              </w:rPr>
              <w:t>bij</w:t>
            </w:r>
            <w:r w:rsidRPr="000C324F">
              <w:rPr>
                <w:color w:val="auto"/>
                <w:sz w:val="16"/>
                <w:szCs w:val="16"/>
              </w:rPr>
              <w:t xml:space="preserve"> de </w:t>
            </w:r>
            <w:r w:rsidR="0072039B">
              <w:rPr>
                <w:color w:val="auto"/>
                <w:sz w:val="16"/>
                <w:szCs w:val="16"/>
              </w:rPr>
              <w:t>volgende voortgangsbrief</w:t>
            </w:r>
            <w:r w:rsidRPr="000C324F">
              <w:rPr>
                <w:color w:val="auto"/>
                <w:sz w:val="16"/>
                <w:szCs w:val="16"/>
              </w:rPr>
              <w:t xml:space="preserve"> </w:t>
            </w:r>
            <w:r w:rsidR="0072039B">
              <w:rPr>
                <w:color w:val="auto"/>
                <w:sz w:val="16"/>
                <w:szCs w:val="16"/>
              </w:rPr>
              <w:t xml:space="preserve">in 2026 </w:t>
            </w:r>
            <w:r w:rsidRPr="000C324F">
              <w:rPr>
                <w:color w:val="auto"/>
                <w:sz w:val="16"/>
                <w:szCs w:val="16"/>
              </w:rPr>
              <w:t>geïnformeerd.</w:t>
            </w:r>
          </w:p>
        </w:tc>
        <w:tc>
          <w:tcPr>
            <w:tcW w:w="1134" w:type="dxa"/>
          </w:tcPr>
          <w:p w:rsidRPr="000C324F" w:rsidR="009C64C4" w:rsidP="00DA4122" w:rsidRDefault="009C64C4" w14:paraId="2A7D8AB8" w14:textId="77777777">
            <w:pPr>
              <w:rPr>
                <w:color w:val="auto"/>
                <w:sz w:val="16"/>
                <w:szCs w:val="16"/>
              </w:rPr>
            </w:pPr>
            <w:r>
              <w:rPr>
                <w:color w:val="auto"/>
                <w:sz w:val="16"/>
                <w:szCs w:val="16"/>
              </w:rPr>
              <w:t>-</w:t>
            </w:r>
          </w:p>
        </w:tc>
      </w:tr>
      <w:tr w:rsidRPr="000C324F" w:rsidR="009C64C4" w:rsidTr="002A4FDF" w14:paraId="650C7264" w14:textId="77777777">
        <w:trPr>
          <w:trHeight w:val="1624"/>
        </w:trPr>
        <w:tc>
          <w:tcPr>
            <w:tcW w:w="1129" w:type="dxa"/>
          </w:tcPr>
          <w:p w:rsidRPr="000C324F" w:rsidR="009C64C4" w:rsidP="00DA4122" w:rsidRDefault="009C64C4" w14:paraId="754F9AEC" w14:textId="77777777">
            <w:pPr>
              <w:rPr>
                <w:color w:val="auto"/>
                <w:sz w:val="16"/>
                <w:szCs w:val="16"/>
              </w:rPr>
            </w:pPr>
            <w:bookmarkStart w:name="_Hlk213058871" w:id="9"/>
            <w:r w:rsidRPr="000C324F">
              <w:rPr>
                <w:color w:val="auto"/>
                <w:sz w:val="16"/>
                <w:szCs w:val="16"/>
              </w:rPr>
              <w:t>Eerdmans (JA21)</w:t>
            </w:r>
          </w:p>
        </w:tc>
        <w:tc>
          <w:tcPr>
            <w:tcW w:w="1276" w:type="dxa"/>
          </w:tcPr>
          <w:p w:rsidRPr="000C324F" w:rsidR="009C64C4" w:rsidP="00DA4122" w:rsidRDefault="009C64C4" w14:paraId="09F74C0B" w14:textId="77777777">
            <w:pPr>
              <w:pStyle w:val="Voetnoottekst"/>
              <w:rPr>
                <w:color w:val="auto"/>
                <w:sz w:val="16"/>
                <w:szCs w:val="16"/>
              </w:rPr>
            </w:pPr>
            <w:r w:rsidRPr="000C324F">
              <w:rPr>
                <w:rFonts w:eastAsia="Times New Roman"/>
                <w:color w:val="auto"/>
                <w:sz w:val="16"/>
                <w:szCs w:val="16"/>
              </w:rPr>
              <w:t>Kamerstukken II, 2025/25, 36725 VI, nr.23</w:t>
            </w:r>
          </w:p>
        </w:tc>
        <w:tc>
          <w:tcPr>
            <w:tcW w:w="2977" w:type="dxa"/>
          </w:tcPr>
          <w:p w:rsidRPr="000C324F" w:rsidR="009C64C4" w:rsidP="00DA4122" w:rsidRDefault="009C64C4" w14:paraId="6F2D02A8" w14:textId="1EF268C0">
            <w:pPr>
              <w:rPr>
                <w:color w:val="auto"/>
                <w:sz w:val="16"/>
                <w:szCs w:val="16"/>
              </w:rPr>
            </w:pPr>
            <w:r w:rsidRPr="000C324F">
              <w:rPr>
                <w:color w:val="auto"/>
                <w:sz w:val="16"/>
                <w:szCs w:val="16"/>
              </w:rPr>
              <w:t>Verzoek de regering om zo snel mogelijk met herkomstlanden van gedetineerden in contact te treden zodat een deel van de gedetineerden zonder verblijfsrecht in Nederland hun gevangenisstraf uit kunnen zitten in het herkomstland</w:t>
            </w:r>
            <w:r w:rsidR="00966076">
              <w:rPr>
                <w:color w:val="auto"/>
                <w:sz w:val="16"/>
                <w:szCs w:val="16"/>
              </w:rPr>
              <w:t>.</w:t>
            </w:r>
          </w:p>
        </w:tc>
        <w:tc>
          <w:tcPr>
            <w:tcW w:w="2551" w:type="dxa"/>
          </w:tcPr>
          <w:p w:rsidRPr="000C324F" w:rsidR="009C64C4" w:rsidP="00DA4122" w:rsidRDefault="00824A6A" w14:paraId="2CCBDDDE" w14:textId="7B629AB8">
            <w:pPr>
              <w:rPr>
                <w:color w:val="auto"/>
                <w:sz w:val="16"/>
                <w:szCs w:val="16"/>
              </w:rPr>
            </w:pPr>
            <w:r>
              <w:rPr>
                <w:color w:val="auto"/>
                <w:sz w:val="16"/>
                <w:szCs w:val="16"/>
              </w:rPr>
              <w:t>Middels deze brief a</w:t>
            </w:r>
            <w:r w:rsidR="009C64C4">
              <w:rPr>
                <w:color w:val="auto"/>
                <w:sz w:val="16"/>
                <w:szCs w:val="16"/>
              </w:rPr>
              <w:t>fgedaan.</w:t>
            </w:r>
          </w:p>
        </w:tc>
        <w:tc>
          <w:tcPr>
            <w:tcW w:w="1134" w:type="dxa"/>
          </w:tcPr>
          <w:p w:rsidRPr="000C324F" w:rsidR="009C64C4" w:rsidP="00DA4122" w:rsidRDefault="009C64C4" w14:paraId="240B6AC9" w14:textId="77777777">
            <w:pPr>
              <w:rPr>
                <w:color w:val="auto"/>
                <w:sz w:val="16"/>
                <w:szCs w:val="16"/>
              </w:rPr>
            </w:pPr>
            <w:r>
              <w:rPr>
                <w:color w:val="auto"/>
                <w:sz w:val="16"/>
                <w:szCs w:val="16"/>
              </w:rPr>
              <w:t>Zesde voortgangsrapportage, onder ‘Moties en toezeggingen’</w:t>
            </w:r>
          </w:p>
        </w:tc>
      </w:tr>
      <w:bookmarkEnd w:id="9"/>
    </w:tbl>
    <w:p w:rsidRPr="000C324F" w:rsidR="009C64C4" w:rsidP="009C64C4" w:rsidRDefault="009C64C4" w14:paraId="298D4A36" w14:textId="77777777">
      <w:pPr>
        <w:rPr>
          <w:color w:val="auto"/>
          <w:sz w:val="16"/>
          <w:szCs w:val="16"/>
        </w:rPr>
      </w:pPr>
    </w:p>
    <w:p w:rsidRPr="002A4FDF" w:rsidR="009C64C4" w:rsidP="009C64C4" w:rsidRDefault="009C64C4" w14:paraId="2C64B1F7" w14:textId="77777777">
      <w:pPr>
        <w:rPr>
          <w:b/>
          <w:bCs/>
          <w:color w:val="auto"/>
        </w:rPr>
      </w:pPr>
      <w:r w:rsidRPr="002A4FDF">
        <w:rPr>
          <w:b/>
          <w:bCs/>
          <w:color w:val="auto"/>
        </w:rPr>
        <w:t>Overzicht toezeggingen</w:t>
      </w:r>
    </w:p>
    <w:p w:rsidRPr="000C324F" w:rsidR="009C64C4" w:rsidP="009C64C4" w:rsidRDefault="009C64C4" w14:paraId="24D09FE7" w14:textId="77777777">
      <w:pPr>
        <w:rPr>
          <w:b/>
          <w:bCs/>
          <w:color w:val="auto"/>
          <w:sz w:val="16"/>
          <w:szCs w:val="16"/>
        </w:rPr>
      </w:pPr>
    </w:p>
    <w:tbl>
      <w:tblPr>
        <w:tblStyle w:val="Tabelraster"/>
        <w:tblW w:w="9162" w:type="dxa"/>
        <w:tblLook w:val="04A0" w:firstRow="1" w:lastRow="0" w:firstColumn="1" w:lastColumn="0" w:noHBand="0" w:noVBand="1"/>
      </w:tblPr>
      <w:tblGrid>
        <w:gridCol w:w="1108"/>
        <w:gridCol w:w="1545"/>
        <w:gridCol w:w="2892"/>
        <w:gridCol w:w="1559"/>
        <w:gridCol w:w="2058"/>
      </w:tblGrid>
      <w:tr w:rsidRPr="000C324F" w:rsidR="009C64C4" w:rsidTr="009C64C4" w14:paraId="6EA2403F" w14:textId="77777777">
        <w:tc>
          <w:tcPr>
            <w:tcW w:w="988" w:type="dxa"/>
          </w:tcPr>
          <w:p w:rsidRPr="000C324F" w:rsidR="009C64C4" w:rsidP="00DA4122" w:rsidRDefault="009C64C4" w14:paraId="2E0C1AFC" w14:textId="77777777">
            <w:pPr>
              <w:rPr>
                <w:i/>
                <w:iCs/>
                <w:color w:val="auto"/>
                <w:sz w:val="16"/>
                <w:szCs w:val="16"/>
              </w:rPr>
            </w:pPr>
            <w:r w:rsidRPr="000C324F">
              <w:rPr>
                <w:i/>
                <w:iCs/>
                <w:color w:val="auto"/>
                <w:sz w:val="16"/>
                <w:szCs w:val="16"/>
              </w:rPr>
              <w:t>Nr.</w:t>
            </w:r>
          </w:p>
        </w:tc>
        <w:tc>
          <w:tcPr>
            <w:tcW w:w="1560" w:type="dxa"/>
          </w:tcPr>
          <w:p w:rsidRPr="000C324F" w:rsidR="009C64C4" w:rsidP="00DA4122" w:rsidRDefault="009C64C4" w14:paraId="21740F9D" w14:textId="77777777">
            <w:pPr>
              <w:rPr>
                <w:i/>
                <w:iCs/>
                <w:color w:val="auto"/>
                <w:sz w:val="16"/>
                <w:szCs w:val="16"/>
              </w:rPr>
            </w:pPr>
            <w:r w:rsidRPr="000C324F">
              <w:rPr>
                <w:i/>
                <w:iCs/>
                <w:color w:val="auto"/>
                <w:sz w:val="16"/>
                <w:szCs w:val="16"/>
              </w:rPr>
              <w:t>Vindplaats</w:t>
            </w:r>
          </w:p>
        </w:tc>
        <w:tc>
          <w:tcPr>
            <w:tcW w:w="2976" w:type="dxa"/>
          </w:tcPr>
          <w:p w:rsidRPr="000C324F" w:rsidR="009C64C4" w:rsidP="00DA4122" w:rsidRDefault="009C64C4" w14:paraId="7C87BA3F" w14:textId="77777777">
            <w:pPr>
              <w:rPr>
                <w:i/>
                <w:iCs/>
                <w:color w:val="auto"/>
                <w:sz w:val="16"/>
                <w:szCs w:val="16"/>
              </w:rPr>
            </w:pPr>
            <w:r w:rsidRPr="000C324F">
              <w:rPr>
                <w:i/>
                <w:iCs/>
                <w:color w:val="auto"/>
                <w:sz w:val="16"/>
                <w:szCs w:val="16"/>
              </w:rPr>
              <w:t>Omschrijving</w:t>
            </w:r>
          </w:p>
        </w:tc>
        <w:tc>
          <w:tcPr>
            <w:tcW w:w="1580" w:type="dxa"/>
          </w:tcPr>
          <w:p w:rsidRPr="000C324F" w:rsidR="009C64C4" w:rsidP="00DA4122" w:rsidRDefault="009C64C4" w14:paraId="7E00F646" w14:textId="77777777">
            <w:pPr>
              <w:rPr>
                <w:i/>
                <w:iCs/>
                <w:color w:val="auto"/>
                <w:sz w:val="16"/>
                <w:szCs w:val="16"/>
              </w:rPr>
            </w:pPr>
            <w:r w:rsidRPr="000C324F">
              <w:rPr>
                <w:i/>
                <w:iCs/>
                <w:color w:val="auto"/>
                <w:sz w:val="16"/>
                <w:szCs w:val="16"/>
              </w:rPr>
              <w:t xml:space="preserve">Voortgang </w:t>
            </w:r>
          </w:p>
        </w:tc>
        <w:tc>
          <w:tcPr>
            <w:tcW w:w="2058" w:type="dxa"/>
          </w:tcPr>
          <w:p w:rsidRPr="000C324F" w:rsidR="009C64C4" w:rsidP="00DA4122" w:rsidRDefault="009C64C4" w14:paraId="05F4D125" w14:textId="77777777">
            <w:pPr>
              <w:rPr>
                <w:i/>
                <w:iCs/>
                <w:color w:val="auto"/>
                <w:sz w:val="16"/>
                <w:szCs w:val="16"/>
              </w:rPr>
            </w:pPr>
            <w:r w:rsidRPr="000C324F">
              <w:rPr>
                <w:i/>
                <w:iCs/>
                <w:color w:val="auto"/>
                <w:sz w:val="16"/>
                <w:szCs w:val="16"/>
              </w:rPr>
              <w:t>Vindplaats afdoening</w:t>
            </w:r>
          </w:p>
        </w:tc>
      </w:tr>
      <w:tr w:rsidRPr="000C324F" w:rsidR="009C64C4" w:rsidTr="009C64C4" w14:paraId="5A2D5773" w14:textId="77777777">
        <w:tc>
          <w:tcPr>
            <w:tcW w:w="988" w:type="dxa"/>
          </w:tcPr>
          <w:p w:rsidRPr="000C324F" w:rsidR="009C64C4" w:rsidP="00DA4122" w:rsidRDefault="009C64C4" w14:paraId="029A9040" w14:textId="77777777">
            <w:pPr>
              <w:rPr>
                <w:color w:val="auto"/>
                <w:sz w:val="16"/>
                <w:szCs w:val="16"/>
              </w:rPr>
            </w:pPr>
            <w:r w:rsidRPr="000C324F">
              <w:rPr>
                <w:rFonts w:eastAsia="Times New Roman" w:cs="Arial"/>
                <w:color w:val="auto"/>
                <w:sz w:val="16"/>
                <w:szCs w:val="16"/>
              </w:rPr>
              <w:t>TZ202404</w:t>
            </w:r>
          </w:p>
        </w:tc>
        <w:tc>
          <w:tcPr>
            <w:tcW w:w="1560" w:type="dxa"/>
          </w:tcPr>
          <w:p w:rsidRPr="000C324F" w:rsidR="009C64C4" w:rsidP="00DA4122" w:rsidRDefault="009C64C4" w14:paraId="7E9CA344" w14:textId="77777777">
            <w:pPr>
              <w:rPr>
                <w:color w:val="auto"/>
                <w:sz w:val="16"/>
                <w:szCs w:val="16"/>
              </w:rPr>
            </w:pPr>
            <w:r w:rsidRPr="000C324F">
              <w:rPr>
                <w:rFonts w:eastAsia="Times New Roman" w:cs="Arial"/>
                <w:color w:val="auto"/>
                <w:sz w:val="16"/>
                <w:szCs w:val="16"/>
              </w:rPr>
              <w:t>Plenair debat over het tekort aan plekken in de gevangenissen (11/4/2024)</w:t>
            </w:r>
          </w:p>
        </w:tc>
        <w:tc>
          <w:tcPr>
            <w:tcW w:w="2976" w:type="dxa"/>
          </w:tcPr>
          <w:p w:rsidRPr="000C324F" w:rsidR="009C64C4" w:rsidP="00DA4122" w:rsidRDefault="009C64C4" w14:paraId="5A305480" w14:textId="77777777">
            <w:pPr>
              <w:rPr>
                <w:i/>
                <w:iCs/>
                <w:color w:val="auto"/>
                <w:sz w:val="16"/>
                <w:szCs w:val="16"/>
              </w:rPr>
            </w:pPr>
            <w:r w:rsidRPr="000C324F">
              <w:rPr>
                <w:rFonts w:eastAsia="Times New Roman" w:cs="Arial"/>
                <w:color w:val="auto"/>
                <w:sz w:val="16"/>
                <w:szCs w:val="16"/>
              </w:rPr>
              <w:t>De minister voor Rechtsbescherming zegt de Kamer toe om in de voortgangsbrief voor de zomer met een toekomstverkenning te komen en dieper in te gaan op innovatie en digitalisering.</w:t>
            </w:r>
          </w:p>
        </w:tc>
        <w:tc>
          <w:tcPr>
            <w:tcW w:w="1580" w:type="dxa"/>
          </w:tcPr>
          <w:p w:rsidRPr="000C324F" w:rsidR="009C64C4" w:rsidP="00DA4122" w:rsidRDefault="009C64C4" w14:paraId="0B269988" w14:textId="77777777">
            <w:pPr>
              <w:rPr>
                <w:color w:val="auto"/>
                <w:sz w:val="16"/>
                <w:szCs w:val="16"/>
              </w:rPr>
            </w:pPr>
            <w:r w:rsidRPr="000C324F">
              <w:rPr>
                <w:color w:val="auto"/>
                <w:sz w:val="16"/>
                <w:szCs w:val="16"/>
              </w:rPr>
              <w:t>In uitvoering.</w:t>
            </w:r>
          </w:p>
        </w:tc>
        <w:tc>
          <w:tcPr>
            <w:tcW w:w="2058" w:type="dxa"/>
          </w:tcPr>
          <w:p w:rsidRPr="000C324F" w:rsidR="009C64C4" w:rsidP="00DA4122" w:rsidRDefault="009C64C4" w14:paraId="62DCA084" w14:textId="77777777">
            <w:pPr>
              <w:rPr>
                <w:color w:val="auto"/>
                <w:sz w:val="16"/>
                <w:szCs w:val="16"/>
              </w:rPr>
            </w:pPr>
            <w:r>
              <w:rPr>
                <w:color w:val="auto"/>
                <w:sz w:val="16"/>
                <w:szCs w:val="16"/>
              </w:rPr>
              <w:t>-</w:t>
            </w:r>
          </w:p>
        </w:tc>
      </w:tr>
      <w:tr w:rsidRPr="000C324F" w:rsidR="009C64C4" w:rsidTr="009C64C4" w14:paraId="76246244" w14:textId="77777777">
        <w:tc>
          <w:tcPr>
            <w:tcW w:w="988" w:type="dxa"/>
          </w:tcPr>
          <w:p w:rsidRPr="000C324F" w:rsidR="009C64C4" w:rsidP="00DA4122" w:rsidRDefault="009C64C4" w14:paraId="2FBE14FD" w14:textId="77777777">
            <w:pPr>
              <w:rPr>
                <w:rFonts w:eastAsia="Times New Roman"/>
                <w:color w:val="auto"/>
                <w:sz w:val="16"/>
                <w:szCs w:val="16"/>
              </w:rPr>
            </w:pPr>
            <w:r w:rsidRPr="000C324F">
              <w:rPr>
                <w:rFonts w:eastAsia="Times New Roman"/>
                <w:color w:val="auto"/>
                <w:sz w:val="16"/>
                <w:szCs w:val="16"/>
              </w:rPr>
              <w:lastRenderedPageBreak/>
              <w:t>TZ202509-146</w:t>
            </w:r>
          </w:p>
          <w:p w:rsidRPr="000C324F" w:rsidR="009C64C4" w:rsidP="00DA4122" w:rsidRDefault="009C64C4" w14:paraId="2A37F3AC" w14:textId="77777777">
            <w:pPr>
              <w:rPr>
                <w:rFonts w:eastAsia="Times New Roman"/>
                <w:color w:val="auto"/>
                <w:sz w:val="16"/>
                <w:szCs w:val="16"/>
              </w:rPr>
            </w:pPr>
          </w:p>
        </w:tc>
        <w:tc>
          <w:tcPr>
            <w:tcW w:w="1560" w:type="dxa"/>
          </w:tcPr>
          <w:p w:rsidRPr="000C324F" w:rsidR="009C64C4" w:rsidP="00DA4122" w:rsidRDefault="009C64C4" w14:paraId="3F8BC515" w14:textId="77777777">
            <w:pPr>
              <w:rPr>
                <w:rFonts w:eastAsia="Times New Roman"/>
                <w:color w:val="auto"/>
                <w:sz w:val="16"/>
                <w:szCs w:val="16"/>
              </w:rPr>
            </w:pPr>
          </w:p>
        </w:tc>
        <w:tc>
          <w:tcPr>
            <w:tcW w:w="2976" w:type="dxa"/>
          </w:tcPr>
          <w:p w:rsidRPr="000C324F" w:rsidR="009C64C4" w:rsidP="00DA4122" w:rsidRDefault="009C64C4" w14:paraId="701487EC" w14:textId="671CFECC">
            <w:pPr>
              <w:rPr>
                <w:color w:val="auto"/>
                <w:sz w:val="16"/>
                <w:szCs w:val="16"/>
              </w:rPr>
            </w:pPr>
            <w:r w:rsidRPr="000C324F">
              <w:rPr>
                <w:color w:val="auto"/>
                <w:sz w:val="16"/>
                <w:szCs w:val="16"/>
              </w:rPr>
              <w:t>De staatssecretaris stuurt de volgende voortgangsbrief over het gevangeniswezen tijdig aan de Kamer.</w:t>
            </w:r>
            <w:r w:rsidR="0072039B">
              <w:rPr>
                <w:color w:val="auto"/>
                <w:sz w:val="16"/>
                <w:szCs w:val="16"/>
              </w:rPr>
              <w:t xml:space="preserve"> (voortgangsrapportage capaciteit DJI)</w:t>
            </w:r>
          </w:p>
        </w:tc>
        <w:tc>
          <w:tcPr>
            <w:tcW w:w="1580" w:type="dxa"/>
          </w:tcPr>
          <w:p w:rsidRPr="000C324F" w:rsidR="009C64C4" w:rsidP="00DA4122" w:rsidRDefault="0072039B" w14:paraId="5EAF6C02" w14:textId="2395EA0E">
            <w:pPr>
              <w:rPr>
                <w:rFonts w:eastAsia="Times New Roman"/>
                <w:color w:val="auto"/>
                <w:sz w:val="16"/>
                <w:szCs w:val="16"/>
              </w:rPr>
            </w:pPr>
            <w:r>
              <w:rPr>
                <w:color w:val="auto"/>
                <w:sz w:val="16"/>
                <w:szCs w:val="16"/>
              </w:rPr>
              <w:t>Middels deze brief afgedaan.</w:t>
            </w:r>
          </w:p>
        </w:tc>
        <w:tc>
          <w:tcPr>
            <w:tcW w:w="2058" w:type="dxa"/>
          </w:tcPr>
          <w:p w:rsidRPr="000C324F" w:rsidR="009C64C4" w:rsidP="00DA4122" w:rsidRDefault="009C64C4" w14:paraId="0ACF6B90" w14:textId="77777777">
            <w:pPr>
              <w:tabs>
                <w:tab w:val="center" w:pos="3770"/>
              </w:tabs>
              <w:rPr>
                <w:color w:val="auto"/>
                <w:sz w:val="16"/>
                <w:szCs w:val="16"/>
              </w:rPr>
            </w:pPr>
            <w:r>
              <w:rPr>
                <w:color w:val="auto"/>
                <w:sz w:val="16"/>
                <w:szCs w:val="16"/>
              </w:rPr>
              <w:t>-</w:t>
            </w:r>
          </w:p>
        </w:tc>
      </w:tr>
      <w:tr w:rsidRPr="000C324F" w:rsidR="009C64C4" w:rsidTr="009C64C4" w14:paraId="668ACD2D" w14:textId="77777777">
        <w:tc>
          <w:tcPr>
            <w:tcW w:w="988" w:type="dxa"/>
          </w:tcPr>
          <w:p w:rsidRPr="000C324F" w:rsidR="009C64C4" w:rsidP="00DA4122" w:rsidRDefault="009C64C4" w14:paraId="7E9EA099" w14:textId="77777777">
            <w:pPr>
              <w:rPr>
                <w:rFonts w:eastAsia="Times New Roman"/>
                <w:color w:val="auto"/>
                <w:sz w:val="16"/>
                <w:szCs w:val="16"/>
              </w:rPr>
            </w:pPr>
            <w:r w:rsidRPr="000C324F">
              <w:rPr>
                <w:rFonts w:eastAsia="Times New Roman"/>
                <w:color w:val="auto"/>
                <w:sz w:val="16"/>
                <w:szCs w:val="16"/>
              </w:rPr>
              <w:t>TZ202509-147</w:t>
            </w:r>
          </w:p>
        </w:tc>
        <w:tc>
          <w:tcPr>
            <w:tcW w:w="1560" w:type="dxa"/>
          </w:tcPr>
          <w:p w:rsidRPr="000C324F" w:rsidR="009C64C4" w:rsidP="00DA4122" w:rsidRDefault="009C64C4" w14:paraId="268408C4" w14:textId="77777777">
            <w:pPr>
              <w:rPr>
                <w:rFonts w:eastAsia="Times New Roman"/>
                <w:color w:val="auto"/>
                <w:sz w:val="16"/>
                <w:szCs w:val="16"/>
              </w:rPr>
            </w:pPr>
          </w:p>
        </w:tc>
        <w:tc>
          <w:tcPr>
            <w:tcW w:w="2976" w:type="dxa"/>
          </w:tcPr>
          <w:p w:rsidRPr="000C324F" w:rsidR="009C64C4" w:rsidP="00DA4122" w:rsidRDefault="009C64C4" w14:paraId="3251125B" w14:textId="77777777">
            <w:pPr>
              <w:rPr>
                <w:color w:val="auto"/>
                <w:sz w:val="16"/>
                <w:szCs w:val="16"/>
              </w:rPr>
            </w:pPr>
            <w:r w:rsidRPr="000C324F">
              <w:rPr>
                <w:color w:val="auto"/>
                <w:sz w:val="16"/>
                <w:szCs w:val="16"/>
              </w:rPr>
              <w:t xml:space="preserve">De staatssecretaris stuurt voor het einde van het jaar een gedetailleerde 'menukaart' met beleidskeuzes t.a.v. het capaciteitstekort naar de Kamer. Hierin wordt in ieder geval meegenomen: de impact, de kosten, de tijdspanne waarbinnen de opties te realiseren zijn, de impact op en veiligheid van het personeel en de appreciatie van het kabinet van de opties. Ook de suggestie over </w:t>
            </w:r>
            <w:proofErr w:type="spellStart"/>
            <w:r w:rsidRPr="000C324F">
              <w:rPr>
                <w:color w:val="auto"/>
                <w:sz w:val="16"/>
                <w:szCs w:val="16"/>
              </w:rPr>
              <w:t>meerpersoonscellen</w:t>
            </w:r>
            <w:proofErr w:type="spellEnd"/>
            <w:r w:rsidRPr="000C324F">
              <w:rPr>
                <w:color w:val="auto"/>
                <w:sz w:val="16"/>
                <w:szCs w:val="16"/>
              </w:rPr>
              <w:t xml:space="preserve"> wordt meegenomen.</w:t>
            </w:r>
          </w:p>
          <w:p w:rsidRPr="000C324F" w:rsidR="009C64C4" w:rsidP="00DA4122" w:rsidRDefault="009C64C4" w14:paraId="6B3A0E03" w14:textId="77777777">
            <w:pPr>
              <w:rPr>
                <w:color w:val="auto"/>
                <w:sz w:val="16"/>
                <w:szCs w:val="16"/>
              </w:rPr>
            </w:pPr>
          </w:p>
        </w:tc>
        <w:tc>
          <w:tcPr>
            <w:tcW w:w="1580" w:type="dxa"/>
          </w:tcPr>
          <w:p w:rsidRPr="000C324F" w:rsidR="009C64C4" w:rsidP="00DA4122" w:rsidRDefault="009C64C4" w14:paraId="2D388AF1" w14:textId="77777777">
            <w:pPr>
              <w:rPr>
                <w:rFonts w:eastAsia="Times New Roman"/>
                <w:color w:val="auto"/>
                <w:sz w:val="16"/>
                <w:szCs w:val="16"/>
              </w:rPr>
            </w:pPr>
            <w:r>
              <w:rPr>
                <w:rFonts w:eastAsia="Times New Roman"/>
                <w:color w:val="auto"/>
                <w:sz w:val="16"/>
                <w:szCs w:val="16"/>
              </w:rPr>
              <w:t>In uitvoering. Voor het kerstreces wordt uw Kamer geïnformeerd.</w:t>
            </w:r>
          </w:p>
        </w:tc>
        <w:tc>
          <w:tcPr>
            <w:tcW w:w="2058" w:type="dxa"/>
          </w:tcPr>
          <w:p w:rsidRPr="000C324F" w:rsidR="009C64C4" w:rsidP="00DA4122" w:rsidRDefault="009C64C4" w14:paraId="6D371125" w14:textId="77777777">
            <w:pPr>
              <w:tabs>
                <w:tab w:val="center" w:pos="3770"/>
              </w:tabs>
              <w:rPr>
                <w:color w:val="auto"/>
                <w:sz w:val="16"/>
                <w:szCs w:val="16"/>
              </w:rPr>
            </w:pPr>
            <w:r>
              <w:rPr>
                <w:color w:val="auto"/>
                <w:sz w:val="16"/>
                <w:szCs w:val="16"/>
              </w:rPr>
              <w:t>-</w:t>
            </w:r>
          </w:p>
        </w:tc>
      </w:tr>
      <w:tr w:rsidRPr="000C324F" w:rsidR="009C64C4" w:rsidTr="009C64C4" w14:paraId="3600E0CB" w14:textId="77777777">
        <w:tc>
          <w:tcPr>
            <w:tcW w:w="988" w:type="dxa"/>
          </w:tcPr>
          <w:p w:rsidRPr="000C324F" w:rsidR="009C64C4" w:rsidP="00DA4122" w:rsidRDefault="009C64C4" w14:paraId="4730D06B" w14:textId="77777777">
            <w:pPr>
              <w:rPr>
                <w:rFonts w:eastAsia="Times New Roman"/>
                <w:color w:val="auto"/>
                <w:sz w:val="16"/>
                <w:szCs w:val="16"/>
              </w:rPr>
            </w:pPr>
            <w:r w:rsidRPr="000C324F">
              <w:rPr>
                <w:rFonts w:eastAsia="Times New Roman"/>
                <w:color w:val="auto"/>
                <w:sz w:val="16"/>
                <w:szCs w:val="16"/>
              </w:rPr>
              <w:t>TZ202509-148</w:t>
            </w:r>
          </w:p>
        </w:tc>
        <w:tc>
          <w:tcPr>
            <w:tcW w:w="1560" w:type="dxa"/>
          </w:tcPr>
          <w:p w:rsidRPr="000C324F" w:rsidR="009C64C4" w:rsidP="00DA4122" w:rsidRDefault="009C64C4" w14:paraId="36B86453" w14:textId="77777777">
            <w:pPr>
              <w:rPr>
                <w:rFonts w:eastAsia="Times New Roman"/>
                <w:color w:val="auto"/>
                <w:sz w:val="16"/>
                <w:szCs w:val="16"/>
              </w:rPr>
            </w:pPr>
          </w:p>
        </w:tc>
        <w:tc>
          <w:tcPr>
            <w:tcW w:w="2976" w:type="dxa"/>
          </w:tcPr>
          <w:p w:rsidRPr="000C324F" w:rsidR="009C64C4" w:rsidP="00DA4122" w:rsidRDefault="009C64C4" w14:paraId="5AED9A9E" w14:textId="77777777">
            <w:pPr>
              <w:rPr>
                <w:color w:val="auto"/>
                <w:sz w:val="16"/>
                <w:szCs w:val="16"/>
              </w:rPr>
            </w:pPr>
            <w:r w:rsidRPr="000C324F">
              <w:rPr>
                <w:color w:val="auto"/>
                <w:sz w:val="16"/>
                <w:szCs w:val="16"/>
              </w:rPr>
              <w:t>De staatssecretaris stuurt ruim voor het volgende gevangenisdebat de beantwoording van de vraag van het lid Eerdmans over militaire oefenterreinen in relatie tot stikstof naar de Kamer.</w:t>
            </w:r>
          </w:p>
        </w:tc>
        <w:tc>
          <w:tcPr>
            <w:tcW w:w="1580" w:type="dxa"/>
          </w:tcPr>
          <w:p w:rsidRPr="000C324F" w:rsidR="009C64C4" w:rsidP="00DA4122" w:rsidRDefault="00966076" w14:paraId="685190C3" w14:textId="462163BF">
            <w:pPr>
              <w:rPr>
                <w:rFonts w:eastAsia="Times New Roman"/>
                <w:color w:val="auto"/>
                <w:sz w:val="16"/>
                <w:szCs w:val="16"/>
              </w:rPr>
            </w:pPr>
            <w:r>
              <w:rPr>
                <w:rFonts w:eastAsia="Times New Roman"/>
                <w:color w:val="auto"/>
                <w:sz w:val="16"/>
                <w:szCs w:val="16"/>
              </w:rPr>
              <w:t>Middels deze brief afgedaan</w:t>
            </w:r>
            <w:r w:rsidR="00C31669">
              <w:rPr>
                <w:rFonts w:eastAsia="Times New Roman"/>
                <w:color w:val="auto"/>
                <w:sz w:val="16"/>
                <w:szCs w:val="16"/>
              </w:rPr>
              <w:t>.</w:t>
            </w:r>
            <w:r w:rsidR="009C64C4">
              <w:rPr>
                <w:rFonts w:eastAsia="Times New Roman"/>
                <w:color w:val="auto"/>
                <w:sz w:val="16"/>
                <w:szCs w:val="16"/>
              </w:rPr>
              <w:t xml:space="preserve"> </w:t>
            </w:r>
          </w:p>
        </w:tc>
        <w:tc>
          <w:tcPr>
            <w:tcW w:w="2058" w:type="dxa"/>
          </w:tcPr>
          <w:p w:rsidRPr="000C324F" w:rsidR="009C64C4" w:rsidP="00DA4122" w:rsidRDefault="009C64C4" w14:paraId="1C2B823A" w14:textId="4FEA6B4C">
            <w:pPr>
              <w:tabs>
                <w:tab w:val="center" w:pos="3770"/>
              </w:tabs>
              <w:rPr>
                <w:color w:val="auto"/>
                <w:sz w:val="16"/>
                <w:szCs w:val="16"/>
              </w:rPr>
            </w:pPr>
            <w:r>
              <w:rPr>
                <w:color w:val="auto"/>
                <w:sz w:val="16"/>
                <w:szCs w:val="16"/>
              </w:rPr>
              <w:t>Zesde voortgangsrapportage, onder ‘Moties en toezeggingen’</w:t>
            </w:r>
          </w:p>
        </w:tc>
      </w:tr>
      <w:tr w:rsidRPr="000C324F" w:rsidR="009C64C4" w:rsidTr="009C64C4" w14:paraId="18500D7B" w14:textId="77777777">
        <w:tc>
          <w:tcPr>
            <w:tcW w:w="988" w:type="dxa"/>
          </w:tcPr>
          <w:p w:rsidRPr="000C324F" w:rsidR="009C64C4" w:rsidP="00DA4122" w:rsidRDefault="009C64C4" w14:paraId="5B5DA175" w14:textId="77777777">
            <w:pPr>
              <w:rPr>
                <w:rFonts w:eastAsia="Times New Roman"/>
                <w:color w:val="auto"/>
                <w:sz w:val="16"/>
                <w:szCs w:val="16"/>
              </w:rPr>
            </w:pPr>
            <w:r w:rsidRPr="000C324F">
              <w:rPr>
                <w:rFonts w:eastAsia="Times New Roman"/>
                <w:color w:val="auto"/>
                <w:sz w:val="16"/>
                <w:szCs w:val="16"/>
              </w:rPr>
              <w:t>TZ202509-149</w:t>
            </w:r>
          </w:p>
          <w:p w:rsidRPr="000C324F" w:rsidR="009C64C4" w:rsidP="00DA4122" w:rsidRDefault="009C64C4" w14:paraId="3207FE5D" w14:textId="77777777">
            <w:pPr>
              <w:rPr>
                <w:rFonts w:eastAsia="Times New Roman"/>
                <w:color w:val="auto"/>
                <w:sz w:val="16"/>
                <w:szCs w:val="16"/>
              </w:rPr>
            </w:pPr>
          </w:p>
        </w:tc>
        <w:tc>
          <w:tcPr>
            <w:tcW w:w="1560" w:type="dxa"/>
          </w:tcPr>
          <w:p w:rsidRPr="000C324F" w:rsidR="009C64C4" w:rsidP="00DA4122" w:rsidRDefault="009C64C4" w14:paraId="77B60F19" w14:textId="77777777">
            <w:pPr>
              <w:rPr>
                <w:rFonts w:eastAsia="Times New Roman"/>
                <w:color w:val="auto"/>
                <w:sz w:val="16"/>
                <w:szCs w:val="16"/>
              </w:rPr>
            </w:pPr>
          </w:p>
        </w:tc>
        <w:tc>
          <w:tcPr>
            <w:tcW w:w="2976" w:type="dxa"/>
          </w:tcPr>
          <w:p w:rsidRPr="000C324F" w:rsidR="009C64C4" w:rsidP="00DA4122" w:rsidRDefault="009C64C4" w14:paraId="1E6E1FB4" w14:textId="77777777">
            <w:pPr>
              <w:rPr>
                <w:color w:val="auto"/>
                <w:sz w:val="16"/>
                <w:szCs w:val="16"/>
              </w:rPr>
            </w:pPr>
            <w:r w:rsidRPr="000C324F">
              <w:rPr>
                <w:color w:val="auto"/>
                <w:sz w:val="16"/>
                <w:szCs w:val="16"/>
              </w:rPr>
              <w:t>De staatssecretaris zal, in het geval de maatregel van eerder heenzenden zal oplopen naar meer dan veertien dagen, de Kamer hierover per ommegaande informeren.</w:t>
            </w:r>
          </w:p>
        </w:tc>
        <w:tc>
          <w:tcPr>
            <w:tcW w:w="1580" w:type="dxa"/>
          </w:tcPr>
          <w:p w:rsidRPr="000C324F" w:rsidR="009C64C4" w:rsidP="00DA4122" w:rsidRDefault="009C64C4" w14:paraId="01C30C58" w14:textId="77777777">
            <w:pPr>
              <w:rPr>
                <w:rFonts w:eastAsia="Times New Roman"/>
                <w:color w:val="auto"/>
                <w:sz w:val="16"/>
                <w:szCs w:val="16"/>
              </w:rPr>
            </w:pPr>
            <w:r>
              <w:rPr>
                <w:rFonts w:eastAsia="Times New Roman"/>
                <w:color w:val="auto"/>
                <w:sz w:val="16"/>
                <w:szCs w:val="16"/>
              </w:rPr>
              <w:t>In uitvoering.</w:t>
            </w:r>
          </w:p>
        </w:tc>
        <w:tc>
          <w:tcPr>
            <w:tcW w:w="2058" w:type="dxa"/>
          </w:tcPr>
          <w:p w:rsidRPr="000C324F" w:rsidR="009C64C4" w:rsidP="00DA4122" w:rsidRDefault="009C64C4" w14:paraId="32BD382D" w14:textId="77777777">
            <w:pPr>
              <w:tabs>
                <w:tab w:val="center" w:pos="3770"/>
              </w:tabs>
              <w:rPr>
                <w:color w:val="auto"/>
                <w:sz w:val="16"/>
                <w:szCs w:val="16"/>
              </w:rPr>
            </w:pPr>
            <w:r>
              <w:rPr>
                <w:color w:val="auto"/>
                <w:sz w:val="16"/>
                <w:szCs w:val="16"/>
              </w:rPr>
              <w:t>-</w:t>
            </w:r>
            <w:r w:rsidRPr="000C324F">
              <w:rPr>
                <w:color w:val="auto"/>
                <w:sz w:val="16"/>
                <w:szCs w:val="16"/>
              </w:rPr>
              <w:t xml:space="preserve"> </w:t>
            </w:r>
          </w:p>
        </w:tc>
      </w:tr>
    </w:tbl>
    <w:p w:rsidRPr="000C324F" w:rsidR="009C64C4" w:rsidP="009C64C4" w:rsidRDefault="009C64C4" w14:paraId="2BA27EFE" w14:textId="77777777">
      <w:pPr>
        <w:rPr>
          <w:color w:val="auto"/>
        </w:rPr>
      </w:pPr>
    </w:p>
    <w:p w:rsidRPr="00AF4F95" w:rsidR="00B026B0" w:rsidP="00FF2176" w:rsidRDefault="00B026B0" w14:paraId="490F80AF" w14:textId="13EE9D75"/>
    <w:bookmarkEnd w:id="7"/>
    <w:p w:rsidR="006B6F1D" w:rsidP="006B6F1D" w:rsidRDefault="00434A46" w14:paraId="251BE284" w14:textId="5DC6B5FB">
      <w:r>
        <w:rPr>
          <w:b/>
          <w:bCs/>
        </w:rPr>
        <w:br/>
      </w:r>
    </w:p>
    <w:p w:rsidRPr="006B6F1D" w:rsidR="00A42F93" w:rsidP="006B6F1D" w:rsidRDefault="00A42F93" w14:paraId="7A08EEAA" w14:textId="24BD944A">
      <w:pPr>
        <w:rPr>
          <w:b/>
          <w:bCs/>
        </w:rPr>
      </w:pPr>
    </w:p>
    <w:p w:rsidRPr="006B6F1D" w:rsidR="006B6F1D" w:rsidP="006B6F1D" w:rsidRDefault="006B6F1D" w14:paraId="39CDAA42" w14:textId="641BE0F5">
      <w:pPr>
        <w:rPr>
          <w:b/>
          <w:bCs/>
        </w:rPr>
      </w:pPr>
    </w:p>
    <w:p w:rsidR="00202BFC" w:rsidP="00780EB3" w:rsidRDefault="00202BFC" w14:paraId="6757162F" w14:textId="01245CA8">
      <w:pPr>
        <w:spacing w:line="240" w:lineRule="auto"/>
        <w:rPr>
          <w:b/>
          <w:bCs/>
        </w:rPr>
      </w:pPr>
    </w:p>
    <w:p w:rsidR="00202BFC" w:rsidP="00780EB3" w:rsidRDefault="00202BFC" w14:paraId="40D3FAAB" w14:textId="3657C9BC">
      <w:pPr>
        <w:spacing w:line="240" w:lineRule="auto"/>
        <w:rPr>
          <w:b/>
          <w:bCs/>
        </w:rPr>
      </w:pPr>
    </w:p>
    <w:p w:rsidR="00202BFC" w:rsidP="00780EB3" w:rsidRDefault="00202BFC" w14:paraId="189EDF80" w14:textId="2732612D">
      <w:pPr>
        <w:spacing w:line="240" w:lineRule="auto"/>
        <w:rPr>
          <w:b/>
          <w:bCs/>
        </w:rPr>
      </w:pPr>
    </w:p>
    <w:p w:rsidR="00202BFC" w:rsidP="00780EB3" w:rsidRDefault="00202BFC" w14:paraId="345E9C08" w14:textId="4B183E72">
      <w:pPr>
        <w:spacing w:line="240" w:lineRule="auto"/>
        <w:rPr>
          <w:b/>
          <w:bCs/>
        </w:rPr>
      </w:pPr>
    </w:p>
    <w:p w:rsidR="00202BFC" w:rsidP="00780EB3" w:rsidRDefault="00202BFC" w14:paraId="60A5A760" w14:textId="0ACF20CE">
      <w:pPr>
        <w:spacing w:line="240" w:lineRule="auto"/>
        <w:rPr>
          <w:b/>
          <w:bCs/>
        </w:rPr>
      </w:pPr>
    </w:p>
    <w:p w:rsidR="00202BFC" w:rsidP="00780EB3" w:rsidRDefault="00202BFC" w14:paraId="49B721F7" w14:textId="639C694A">
      <w:pPr>
        <w:spacing w:line="240" w:lineRule="auto"/>
        <w:rPr>
          <w:b/>
          <w:bCs/>
        </w:rPr>
      </w:pPr>
    </w:p>
    <w:p w:rsidR="00202BFC" w:rsidP="00780EB3" w:rsidRDefault="00202BFC" w14:paraId="18BAA79E" w14:textId="11390A3B">
      <w:pPr>
        <w:spacing w:line="240" w:lineRule="auto"/>
        <w:rPr>
          <w:b/>
          <w:bCs/>
        </w:rPr>
      </w:pPr>
    </w:p>
    <w:p w:rsidRPr="007E3FE2" w:rsidR="000846C4" w:rsidP="00780EB3" w:rsidRDefault="000846C4" w14:paraId="3DD6A7B3" w14:textId="4190D7EB"/>
    <w:sectPr w:rsidRPr="007E3FE2" w:rsidR="000846C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426A0" w14:textId="77777777" w:rsidR="00001378" w:rsidRDefault="00001378" w:rsidP="008B6842">
      <w:pPr>
        <w:spacing w:line="240" w:lineRule="auto"/>
      </w:pPr>
      <w:r>
        <w:separator/>
      </w:r>
    </w:p>
  </w:endnote>
  <w:endnote w:type="continuationSeparator" w:id="0">
    <w:p w14:paraId="2F7BC799" w14:textId="77777777" w:rsidR="00001378" w:rsidRDefault="00001378" w:rsidP="008B68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ohit Hind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6A931" w14:textId="77777777" w:rsidR="00001378" w:rsidRDefault="00001378" w:rsidP="008B6842">
      <w:pPr>
        <w:spacing w:line="240" w:lineRule="auto"/>
      </w:pPr>
      <w:r>
        <w:separator/>
      </w:r>
    </w:p>
  </w:footnote>
  <w:footnote w:type="continuationSeparator" w:id="0">
    <w:p w14:paraId="474B3A37" w14:textId="77777777" w:rsidR="00001378" w:rsidRDefault="00001378" w:rsidP="008B6842">
      <w:pPr>
        <w:spacing w:line="240" w:lineRule="auto"/>
      </w:pPr>
      <w:r>
        <w:continuationSeparator/>
      </w:r>
    </w:p>
  </w:footnote>
  <w:footnote w:id="1">
    <w:p w14:paraId="64135759" w14:textId="77777777" w:rsidR="002804F2" w:rsidRPr="00FB4A01" w:rsidRDefault="002804F2" w:rsidP="002804F2">
      <w:pPr>
        <w:pStyle w:val="Voetnoottekst"/>
        <w:rPr>
          <w:sz w:val="16"/>
          <w:szCs w:val="16"/>
        </w:rPr>
      </w:pPr>
      <w:r w:rsidRPr="00FB4A01">
        <w:rPr>
          <w:rStyle w:val="Voetnootmarkering"/>
          <w:sz w:val="16"/>
          <w:szCs w:val="16"/>
        </w:rPr>
        <w:footnoteRef/>
      </w:r>
      <w:r>
        <w:rPr>
          <w:sz w:val="16"/>
          <w:szCs w:val="16"/>
        </w:rPr>
        <w:t xml:space="preserve"> </w:t>
      </w:r>
      <w:r w:rsidRPr="00FB4A01">
        <w:rPr>
          <w:i/>
          <w:iCs/>
          <w:sz w:val="16"/>
          <w:szCs w:val="16"/>
        </w:rPr>
        <w:t>Kamerstukken II</w:t>
      </w:r>
      <w:r w:rsidRPr="00FB4A01">
        <w:rPr>
          <w:sz w:val="16"/>
          <w:szCs w:val="16"/>
        </w:rPr>
        <w:t>, vergaderjaar 2024-2025, 24587, nr. 1056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F22A52"/>
    <w:multiLevelType w:val="hybridMultilevel"/>
    <w:tmpl w:val="E91C8188"/>
    <w:lvl w:ilvl="0" w:tplc="B9545088">
      <w:numFmt w:val="bullet"/>
      <w:lvlText w:val="-"/>
      <w:lvlJc w:val="left"/>
      <w:pPr>
        <w:ind w:left="720" w:hanging="360"/>
      </w:pPr>
      <w:rPr>
        <w:rFonts w:ascii="Verdana" w:eastAsia="DejaVu Sans" w:hAnsi="Verdana" w:cs="Verdana" w:hint="default"/>
        <w:sz w:val="18"/>
        <w:szCs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05454B6"/>
    <w:multiLevelType w:val="multilevel"/>
    <w:tmpl w:val="16B6BBC8"/>
    <w:lvl w:ilvl="0">
      <w:start w:val="1"/>
      <w:numFmt w:val="bullet"/>
      <w:lvlText w:val=""/>
      <w:lvlJc w:val="left"/>
      <w:pPr>
        <w:tabs>
          <w:tab w:val="num" w:pos="360"/>
        </w:tabs>
        <w:ind w:left="360" w:hanging="360"/>
      </w:pPr>
      <w:rPr>
        <w:rFonts w:ascii="Symbol" w:hAnsi="Symbol" w:hint="default"/>
        <w:sz w:val="16"/>
        <w:szCs w:val="16"/>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076319539">
    <w:abstractNumId w:val="0"/>
  </w:num>
  <w:num w:numId="2" w16cid:durableId="991713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A15"/>
    <w:rsid w:val="000002A4"/>
    <w:rsid w:val="00001378"/>
    <w:rsid w:val="000144CC"/>
    <w:rsid w:val="000154B1"/>
    <w:rsid w:val="00022CFA"/>
    <w:rsid w:val="00023E8C"/>
    <w:rsid w:val="00035430"/>
    <w:rsid w:val="00041E5A"/>
    <w:rsid w:val="00043F0D"/>
    <w:rsid w:val="00047F8F"/>
    <w:rsid w:val="0005676B"/>
    <w:rsid w:val="00057662"/>
    <w:rsid w:val="00063A61"/>
    <w:rsid w:val="00074D1B"/>
    <w:rsid w:val="00076584"/>
    <w:rsid w:val="00076A08"/>
    <w:rsid w:val="000846C4"/>
    <w:rsid w:val="00085072"/>
    <w:rsid w:val="00085862"/>
    <w:rsid w:val="0009061B"/>
    <w:rsid w:val="00091B6A"/>
    <w:rsid w:val="000A575D"/>
    <w:rsid w:val="000B3351"/>
    <w:rsid w:val="000B7E97"/>
    <w:rsid w:val="000C57A1"/>
    <w:rsid w:val="000C725F"/>
    <w:rsid w:val="000D115E"/>
    <w:rsid w:val="000D5268"/>
    <w:rsid w:val="000D5E00"/>
    <w:rsid w:val="000E135A"/>
    <w:rsid w:val="000F6EAE"/>
    <w:rsid w:val="0010240A"/>
    <w:rsid w:val="00112BDB"/>
    <w:rsid w:val="001211B1"/>
    <w:rsid w:val="001211D9"/>
    <w:rsid w:val="001429B7"/>
    <w:rsid w:val="00147526"/>
    <w:rsid w:val="00150671"/>
    <w:rsid w:val="0015401D"/>
    <w:rsid w:val="00156A8A"/>
    <w:rsid w:val="00186B3F"/>
    <w:rsid w:val="001905B4"/>
    <w:rsid w:val="00193FAB"/>
    <w:rsid w:val="00194557"/>
    <w:rsid w:val="001A0E8C"/>
    <w:rsid w:val="001A3175"/>
    <w:rsid w:val="001A4095"/>
    <w:rsid w:val="001C2EA4"/>
    <w:rsid w:val="001D5F0E"/>
    <w:rsid w:val="001D6753"/>
    <w:rsid w:val="001F047B"/>
    <w:rsid w:val="00202BFC"/>
    <w:rsid w:val="00204CDA"/>
    <w:rsid w:val="0020545A"/>
    <w:rsid w:val="002130E5"/>
    <w:rsid w:val="00217FA6"/>
    <w:rsid w:val="0023178D"/>
    <w:rsid w:val="00234BA7"/>
    <w:rsid w:val="002354F9"/>
    <w:rsid w:val="002558E5"/>
    <w:rsid w:val="00262E82"/>
    <w:rsid w:val="00264B2C"/>
    <w:rsid w:val="00277F24"/>
    <w:rsid w:val="002804F2"/>
    <w:rsid w:val="00282764"/>
    <w:rsid w:val="002948AE"/>
    <w:rsid w:val="0029507A"/>
    <w:rsid w:val="002A0602"/>
    <w:rsid w:val="002A4FDF"/>
    <w:rsid w:val="002A61CD"/>
    <w:rsid w:val="002D55B7"/>
    <w:rsid w:val="002E6861"/>
    <w:rsid w:val="002F10BC"/>
    <w:rsid w:val="003038C6"/>
    <w:rsid w:val="00315783"/>
    <w:rsid w:val="00323710"/>
    <w:rsid w:val="003238F7"/>
    <w:rsid w:val="00325876"/>
    <w:rsid w:val="003305C5"/>
    <w:rsid w:val="00331AE7"/>
    <w:rsid w:val="003417D5"/>
    <w:rsid w:val="003505E9"/>
    <w:rsid w:val="00351A9E"/>
    <w:rsid w:val="00356512"/>
    <w:rsid w:val="00356906"/>
    <w:rsid w:val="003635B2"/>
    <w:rsid w:val="003666F4"/>
    <w:rsid w:val="00374506"/>
    <w:rsid w:val="00374549"/>
    <w:rsid w:val="00384C24"/>
    <w:rsid w:val="00386BED"/>
    <w:rsid w:val="00386F6D"/>
    <w:rsid w:val="00391A8F"/>
    <w:rsid w:val="00396157"/>
    <w:rsid w:val="003A50F3"/>
    <w:rsid w:val="003C250D"/>
    <w:rsid w:val="003C785E"/>
    <w:rsid w:val="003D0634"/>
    <w:rsid w:val="003F239B"/>
    <w:rsid w:val="00401124"/>
    <w:rsid w:val="00404E4E"/>
    <w:rsid w:val="004054C0"/>
    <w:rsid w:val="00423D40"/>
    <w:rsid w:val="00425F1E"/>
    <w:rsid w:val="00434A46"/>
    <w:rsid w:val="00436C9B"/>
    <w:rsid w:val="00437D71"/>
    <w:rsid w:val="0044272A"/>
    <w:rsid w:val="004444EC"/>
    <w:rsid w:val="004445DB"/>
    <w:rsid w:val="00453FF0"/>
    <w:rsid w:val="0045649F"/>
    <w:rsid w:val="00470A1A"/>
    <w:rsid w:val="004738B6"/>
    <w:rsid w:val="00476447"/>
    <w:rsid w:val="0048310B"/>
    <w:rsid w:val="00485E4C"/>
    <w:rsid w:val="004A1709"/>
    <w:rsid w:val="004A5A15"/>
    <w:rsid w:val="004B7DE9"/>
    <w:rsid w:val="004C3EB5"/>
    <w:rsid w:val="004C5A67"/>
    <w:rsid w:val="004D73F2"/>
    <w:rsid w:val="004E6C1C"/>
    <w:rsid w:val="005003D5"/>
    <w:rsid w:val="005008EB"/>
    <w:rsid w:val="00513D5D"/>
    <w:rsid w:val="00516E4E"/>
    <w:rsid w:val="0052035B"/>
    <w:rsid w:val="00520463"/>
    <w:rsid w:val="0052784B"/>
    <w:rsid w:val="00544530"/>
    <w:rsid w:val="00544651"/>
    <w:rsid w:val="00556238"/>
    <w:rsid w:val="00564467"/>
    <w:rsid w:val="00570816"/>
    <w:rsid w:val="005729A6"/>
    <w:rsid w:val="00576D8C"/>
    <w:rsid w:val="005879C0"/>
    <w:rsid w:val="0059522D"/>
    <w:rsid w:val="00595C21"/>
    <w:rsid w:val="005964E5"/>
    <w:rsid w:val="005A10C7"/>
    <w:rsid w:val="005A1288"/>
    <w:rsid w:val="005B3E3D"/>
    <w:rsid w:val="005B6977"/>
    <w:rsid w:val="005B6F28"/>
    <w:rsid w:val="005D5FED"/>
    <w:rsid w:val="005E26EF"/>
    <w:rsid w:val="005E7C56"/>
    <w:rsid w:val="005F095C"/>
    <w:rsid w:val="005F6449"/>
    <w:rsid w:val="006027BC"/>
    <w:rsid w:val="0060549E"/>
    <w:rsid w:val="006058EB"/>
    <w:rsid w:val="00607AC5"/>
    <w:rsid w:val="0061050B"/>
    <w:rsid w:val="00617C24"/>
    <w:rsid w:val="00617C37"/>
    <w:rsid w:val="00620DDF"/>
    <w:rsid w:val="00621391"/>
    <w:rsid w:val="00626018"/>
    <w:rsid w:val="006265C2"/>
    <w:rsid w:val="00630CB8"/>
    <w:rsid w:val="006376BE"/>
    <w:rsid w:val="00652719"/>
    <w:rsid w:val="00656354"/>
    <w:rsid w:val="00656557"/>
    <w:rsid w:val="00664736"/>
    <w:rsid w:val="006658F6"/>
    <w:rsid w:val="00677580"/>
    <w:rsid w:val="00677AEE"/>
    <w:rsid w:val="00683AAC"/>
    <w:rsid w:val="00684BE3"/>
    <w:rsid w:val="006957A9"/>
    <w:rsid w:val="00696CA2"/>
    <w:rsid w:val="006977BB"/>
    <w:rsid w:val="006A4EF8"/>
    <w:rsid w:val="006A5E2A"/>
    <w:rsid w:val="006B16B7"/>
    <w:rsid w:val="006B6F1D"/>
    <w:rsid w:val="006C290F"/>
    <w:rsid w:val="006D0A51"/>
    <w:rsid w:val="006D6444"/>
    <w:rsid w:val="006E2330"/>
    <w:rsid w:val="006E348B"/>
    <w:rsid w:val="006E50DD"/>
    <w:rsid w:val="006E5108"/>
    <w:rsid w:val="006E6182"/>
    <w:rsid w:val="006F0596"/>
    <w:rsid w:val="006F655C"/>
    <w:rsid w:val="006F7845"/>
    <w:rsid w:val="00701190"/>
    <w:rsid w:val="0070133F"/>
    <w:rsid w:val="007069B2"/>
    <w:rsid w:val="00714875"/>
    <w:rsid w:val="007156EC"/>
    <w:rsid w:val="0072039B"/>
    <w:rsid w:val="00722482"/>
    <w:rsid w:val="00726CB8"/>
    <w:rsid w:val="00731F31"/>
    <w:rsid w:val="007458FD"/>
    <w:rsid w:val="00763D63"/>
    <w:rsid w:val="007651DC"/>
    <w:rsid w:val="00772B9F"/>
    <w:rsid w:val="00780EB3"/>
    <w:rsid w:val="00782346"/>
    <w:rsid w:val="00793867"/>
    <w:rsid w:val="00797686"/>
    <w:rsid w:val="007A0E34"/>
    <w:rsid w:val="007B4B3D"/>
    <w:rsid w:val="007B5DED"/>
    <w:rsid w:val="007C30F3"/>
    <w:rsid w:val="007C452C"/>
    <w:rsid w:val="007C465A"/>
    <w:rsid w:val="007C471F"/>
    <w:rsid w:val="007D189E"/>
    <w:rsid w:val="007E1867"/>
    <w:rsid w:val="007E29EF"/>
    <w:rsid w:val="007E2E5B"/>
    <w:rsid w:val="007E3FE2"/>
    <w:rsid w:val="007F1C20"/>
    <w:rsid w:val="008000A5"/>
    <w:rsid w:val="00800E1F"/>
    <w:rsid w:val="00801787"/>
    <w:rsid w:val="00802277"/>
    <w:rsid w:val="008138E5"/>
    <w:rsid w:val="00815139"/>
    <w:rsid w:val="008238D0"/>
    <w:rsid w:val="00824A6A"/>
    <w:rsid w:val="00826D6A"/>
    <w:rsid w:val="0083204E"/>
    <w:rsid w:val="0083206A"/>
    <w:rsid w:val="00832B77"/>
    <w:rsid w:val="00842A64"/>
    <w:rsid w:val="00853717"/>
    <w:rsid w:val="008649E8"/>
    <w:rsid w:val="00867DE5"/>
    <w:rsid w:val="0087618C"/>
    <w:rsid w:val="00880148"/>
    <w:rsid w:val="00887F68"/>
    <w:rsid w:val="00897E4A"/>
    <w:rsid w:val="008A51CE"/>
    <w:rsid w:val="008A58ED"/>
    <w:rsid w:val="008B10D5"/>
    <w:rsid w:val="008B113B"/>
    <w:rsid w:val="008B57AA"/>
    <w:rsid w:val="008B6842"/>
    <w:rsid w:val="008C0250"/>
    <w:rsid w:val="008E2361"/>
    <w:rsid w:val="008E26AA"/>
    <w:rsid w:val="008E4356"/>
    <w:rsid w:val="008F014F"/>
    <w:rsid w:val="00900294"/>
    <w:rsid w:val="00913070"/>
    <w:rsid w:val="00916095"/>
    <w:rsid w:val="00920709"/>
    <w:rsid w:val="00926E55"/>
    <w:rsid w:val="0093452B"/>
    <w:rsid w:val="00946E65"/>
    <w:rsid w:val="00955F5A"/>
    <w:rsid w:val="00966076"/>
    <w:rsid w:val="00983B01"/>
    <w:rsid w:val="0098499D"/>
    <w:rsid w:val="009913C2"/>
    <w:rsid w:val="00997653"/>
    <w:rsid w:val="009A6D6F"/>
    <w:rsid w:val="009B4B46"/>
    <w:rsid w:val="009B4D87"/>
    <w:rsid w:val="009C1588"/>
    <w:rsid w:val="009C4319"/>
    <w:rsid w:val="009C64C4"/>
    <w:rsid w:val="009D19D0"/>
    <w:rsid w:val="009D1FA7"/>
    <w:rsid w:val="009D31F1"/>
    <w:rsid w:val="009D7E3F"/>
    <w:rsid w:val="009E010A"/>
    <w:rsid w:val="009E6AE5"/>
    <w:rsid w:val="009E706B"/>
    <w:rsid w:val="00A0507B"/>
    <w:rsid w:val="00A05108"/>
    <w:rsid w:val="00A06C79"/>
    <w:rsid w:val="00A153BB"/>
    <w:rsid w:val="00A23A69"/>
    <w:rsid w:val="00A31133"/>
    <w:rsid w:val="00A35210"/>
    <w:rsid w:val="00A35ED6"/>
    <w:rsid w:val="00A42F93"/>
    <w:rsid w:val="00A4302A"/>
    <w:rsid w:val="00A44B45"/>
    <w:rsid w:val="00A45A8D"/>
    <w:rsid w:val="00A45B25"/>
    <w:rsid w:val="00A46C99"/>
    <w:rsid w:val="00A60997"/>
    <w:rsid w:val="00A65CB7"/>
    <w:rsid w:val="00A90A04"/>
    <w:rsid w:val="00A92142"/>
    <w:rsid w:val="00AA565D"/>
    <w:rsid w:val="00AB647B"/>
    <w:rsid w:val="00AB7E77"/>
    <w:rsid w:val="00AC5733"/>
    <w:rsid w:val="00AD4F6C"/>
    <w:rsid w:val="00AE301B"/>
    <w:rsid w:val="00AE4124"/>
    <w:rsid w:val="00AE7982"/>
    <w:rsid w:val="00AF0E17"/>
    <w:rsid w:val="00AF4F95"/>
    <w:rsid w:val="00B0171C"/>
    <w:rsid w:val="00B01CBE"/>
    <w:rsid w:val="00B026B0"/>
    <w:rsid w:val="00B034F2"/>
    <w:rsid w:val="00B03630"/>
    <w:rsid w:val="00B07188"/>
    <w:rsid w:val="00B078B1"/>
    <w:rsid w:val="00B14410"/>
    <w:rsid w:val="00B20AC6"/>
    <w:rsid w:val="00B221E7"/>
    <w:rsid w:val="00B25148"/>
    <w:rsid w:val="00B40497"/>
    <w:rsid w:val="00B47953"/>
    <w:rsid w:val="00B5082F"/>
    <w:rsid w:val="00B51680"/>
    <w:rsid w:val="00B56110"/>
    <w:rsid w:val="00B657FC"/>
    <w:rsid w:val="00B75219"/>
    <w:rsid w:val="00B83F7F"/>
    <w:rsid w:val="00B8642E"/>
    <w:rsid w:val="00B93313"/>
    <w:rsid w:val="00B93658"/>
    <w:rsid w:val="00B94724"/>
    <w:rsid w:val="00B959FD"/>
    <w:rsid w:val="00B9704E"/>
    <w:rsid w:val="00BA2218"/>
    <w:rsid w:val="00BA2251"/>
    <w:rsid w:val="00BB13A9"/>
    <w:rsid w:val="00BB5805"/>
    <w:rsid w:val="00BB6128"/>
    <w:rsid w:val="00BB6F17"/>
    <w:rsid w:val="00BC02EC"/>
    <w:rsid w:val="00BC37C0"/>
    <w:rsid w:val="00BD6F67"/>
    <w:rsid w:val="00BD7234"/>
    <w:rsid w:val="00BE4287"/>
    <w:rsid w:val="00BE5E4A"/>
    <w:rsid w:val="00BE7701"/>
    <w:rsid w:val="00BF1EC0"/>
    <w:rsid w:val="00C02B6F"/>
    <w:rsid w:val="00C05354"/>
    <w:rsid w:val="00C13331"/>
    <w:rsid w:val="00C13E55"/>
    <w:rsid w:val="00C22A20"/>
    <w:rsid w:val="00C22D53"/>
    <w:rsid w:val="00C25A04"/>
    <w:rsid w:val="00C2777F"/>
    <w:rsid w:val="00C31669"/>
    <w:rsid w:val="00C470B0"/>
    <w:rsid w:val="00C53B05"/>
    <w:rsid w:val="00C6079E"/>
    <w:rsid w:val="00C61374"/>
    <w:rsid w:val="00C66316"/>
    <w:rsid w:val="00C72039"/>
    <w:rsid w:val="00C7267D"/>
    <w:rsid w:val="00C825F1"/>
    <w:rsid w:val="00C837EE"/>
    <w:rsid w:val="00C837F7"/>
    <w:rsid w:val="00C83913"/>
    <w:rsid w:val="00C851CC"/>
    <w:rsid w:val="00C85763"/>
    <w:rsid w:val="00C95D3D"/>
    <w:rsid w:val="00C96CA0"/>
    <w:rsid w:val="00CA4B91"/>
    <w:rsid w:val="00CA57FF"/>
    <w:rsid w:val="00CA6A3A"/>
    <w:rsid w:val="00CC468E"/>
    <w:rsid w:val="00CD7624"/>
    <w:rsid w:val="00CE1FF1"/>
    <w:rsid w:val="00CF16D5"/>
    <w:rsid w:val="00CF6936"/>
    <w:rsid w:val="00D00E8D"/>
    <w:rsid w:val="00D0322C"/>
    <w:rsid w:val="00D16B65"/>
    <w:rsid w:val="00D26249"/>
    <w:rsid w:val="00D3644B"/>
    <w:rsid w:val="00D37D05"/>
    <w:rsid w:val="00D420DE"/>
    <w:rsid w:val="00D50431"/>
    <w:rsid w:val="00D537EC"/>
    <w:rsid w:val="00D61EA2"/>
    <w:rsid w:val="00D636F5"/>
    <w:rsid w:val="00D63872"/>
    <w:rsid w:val="00D657D8"/>
    <w:rsid w:val="00D76DE4"/>
    <w:rsid w:val="00DA1AA3"/>
    <w:rsid w:val="00DA4EDB"/>
    <w:rsid w:val="00DC58A4"/>
    <w:rsid w:val="00DC6385"/>
    <w:rsid w:val="00DE0760"/>
    <w:rsid w:val="00DF29CE"/>
    <w:rsid w:val="00DF6244"/>
    <w:rsid w:val="00E16036"/>
    <w:rsid w:val="00E23026"/>
    <w:rsid w:val="00E26422"/>
    <w:rsid w:val="00E32403"/>
    <w:rsid w:val="00E32A65"/>
    <w:rsid w:val="00E42BB0"/>
    <w:rsid w:val="00E53FA8"/>
    <w:rsid w:val="00E617DA"/>
    <w:rsid w:val="00E66E42"/>
    <w:rsid w:val="00E71EEB"/>
    <w:rsid w:val="00E76C62"/>
    <w:rsid w:val="00E771BA"/>
    <w:rsid w:val="00E80110"/>
    <w:rsid w:val="00E8186E"/>
    <w:rsid w:val="00E840E6"/>
    <w:rsid w:val="00E93CFA"/>
    <w:rsid w:val="00E94A42"/>
    <w:rsid w:val="00E96919"/>
    <w:rsid w:val="00EA0B1F"/>
    <w:rsid w:val="00EA1FAB"/>
    <w:rsid w:val="00EB0557"/>
    <w:rsid w:val="00EC1D25"/>
    <w:rsid w:val="00EC2091"/>
    <w:rsid w:val="00ED7396"/>
    <w:rsid w:val="00EE05F3"/>
    <w:rsid w:val="00EE7956"/>
    <w:rsid w:val="00EF54F6"/>
    <w:rsid w:val="00EF55CE"/>
    <w:rsid w:val="00EF5D67"/>
    <w:rsid w:val="00F15338"/>
    <w:rsid w:val="00F27D94"/>
    <w:rsid w:val="00F30EA0"/>
    <w:rsid w:val="00F37D32"/>
    <w:rsid w:val="00F401A5"/>
    <w:rsid w:val="00F41429"/>
    <w:rsid w:val="00F54AC4"/>
    <w:rsid w:val="00F62E25"/>
    <w:rsid w:val="00F668E1"/>
    <w:rsid w:val="00F70C97"/>
    <w:rsid w:val="00F741D5"/>
    <w:rsid w:val="00F80363"/>
    <w:rsid w:val="00F80468"/>
    <w:rsid w:val="00F84F20"/>
    <w:rsid w:val="00F87114"/>
    <w:rsid w:val="00F9091B"/>
    <w:rsid w:val="00F9345E"/>
    <w:rsid w:val="00FA0C66"/>
    <w:rsid w:val="00FA354B"/>
    <w:rsid w:val="00FA5E1D"/>
    <w:rsid w:val="00FB0F1B"/>
    <w:rsid w:val="00FB1688"/>
    <w:rsid w:val="00FB320C"/>
    <w:rsid w:val="00FB7529"/>
    <w:rsid w:val="00FC65E5"/>
    <w:rsid w:val="00FD7320"/>
    <w:rsid w:val="00FE3C4E"/>
    <w:rsid w:val="00FF2176"/>
    <w:rsid w:val="00FF61C9"/>
    <w:rsid w:val="00FF6E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8BB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B6842"/>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B6842"/>
    <w:pPr>
      <w:spacing w:after="0" w:line="240" w:lineRule="auto"/>
    </w:pPr>
    <w:rPr>
      <w:rFonts w:ascii="Verdana" w:hAnsi="Verdana"/>
      <w:sz w:val="18"/>
    </w:rPr>
  </w:style>
  <w:style w:type="paragraph" w:styleId="Voetnoottekst">
    <w:name w:val="footnote text"/>
    <w:basedOn w:val="Standaard"/>
    <w:link w:val="VoetnoottekstChar"/>
    <w:uiPriority w:val="99"/>
    <w:unhideWhenUsed/>
    <w:rsid w:val="008B6842"/>
    <w:pPr>
      <w:spacing w:line="240" w:lineRule="auto"/>
    </w:pPr>
    <w:rPr>
      <w:sz w:val="20"/>
      <w:szCs w:val="20"/>
    </w:rPr>
  </w:style>
  <w:style w:type="character" w:customStyle="1" w:styleId="VoetnoottekstChar">
    <w:name w:val="Voetnoottekst Char"/>
    <w:basedOn w:val="Standaardalinea-lettertype"/>
    <w:link w:val="Voetnoottekst"/>
    <w:uiPriority w:val="99"/>
    <w:rsid w:val="008B684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B6842"/>
    <w:rPr>
      <w:vertAlign w:val="superscript"/>
    </w:rPr>
  </w:style>
  <w:style w:type="character" w:styleId="Verwijzingopmerking">
    <w:name w:val="annotation reference"/>
    <w:basedOn w:val="Standaardalinea-lettertype"/>
    <w:uiPriority w:val="99"/>
    <w:semiHidden/>
    <w:unhideWhenUsed/>
    <w:rsid w:val="008B6842"/>
    <w:rPr>
      <w:sz w:val="16"/>
      <w:szCs w:val="16"/>
    </w:rPr>
  </w:style>
  <w:style w:type="paragraph" w:styleId="Tekstopmerking">
    <w:name w:val="annotation text"/>
    <w:basedOn w:val="Standaard"/>
    <w:link w:val="TekstopmerkingChar"/>
    <w:uiPriority w:val="99"/>
    <w:unhideWhenUsed/>
    <w:rsid w:val="008B6842"/>
    <w:pPr>
      <w:spacing w:line="240" w:lineRule="auto"/>
    </w:pPr>
    <w:rPr>
      <w:sz w:val="20"/>
      <w:szCs w:val="20"/>
    </w:rPr>
  </w:style>
  <w:style w:type="character" w:customStyle="1" w:styleId="TekstopmerkingChar">
    <w:name w:val="Tekst opmerking Char"/>
    <w:basedOn w:val="Standaardalinea-lettertype"/>
    <w:link w:val="Tekstopmerking"/>
    <w:uiPriority w:val="99"/>
    <w:rsid w:val="008B6842"/>
    <w:rPr>
      <w:rFonts w:ascii="Verdana" w:eastAsia="DejaVu Sans" w:hAnsi="Verdana" w:cs="Lohit Hindi"/>
      <w:color w:val="000000"/>
      <w:kern w:val="0"/>
      <w:sz w:val="20"/>
      <w:szCs w:val="20"/>
      <w:lang w:eastAsia="nl-NL"/>
      <w14:ligatures w14:val="none"/>
    </w:rPr>
  </w:style>
  <w:style w:type="paragraph" w:customStyle="1" w:styleId="Default">
    <w:name w:val="Default"/>
    <w:rsid w:val="008B6842"/>
    <w:pPr>
      <w:autoSpaceDE w:val="0"/>
      <w:autoSpaceDN w:val="0"/>
      <w:adjustRightInd w:val="0"/>
      <w:spacing w:after="0" w:line="240" w:lineRule="auto"/>
    </w:pPr>
    <w:rPr>
      <w:rFonts w:ascii="Verdana" w:eastAsia="DejaVu Sans" w:hAnsi="Verdana" w:cs="Verdana"/>
      <w:color w:val="000000"/>
      <w:kern w:val="0"/>
      <w:sz w:val="24"/>
      <w:szCs w:val="24"/>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A35210"/>
    <w:rPr>
      <w:b/>
      <w:bCs/>
    </w:rPr>
  </w:style>
  <w:style w:type="character" w:customStyle="1" w:styleId="OnderwerpvanopmerkingChar">
    <w:name w:val="Onderwerp van opmerking Char"/>
    <w:basedOn w:val="TekstopmerkingChar"/>
    <w:link w:val="Onderwerpvanopmerking"/>
    <w:uiPriority w:val="99"/>
    <w:semiHidden/>
    <w:rsid w:val="00A35210"/>
    <w:rPr>
      <w:rFonts w:ascii="Verdana" w:eastAsia="DejaVu Sans" w:hAnsi="Verdana" w:cs="Lohit Hindi"/>
      <w:b/>
      <w:bCs/>
      <w:color w:val="000000"/>
      <w:kern w:val="0"/>
      <w:sz w:val="20"/>
      <w:szCs w:val="20"/>
      <w:lang w:eastAsia="nl-NL"/>
      <w14:ligatures w14:val="none"/>
    </w:rPr>
  </w:style>
  <w:style w:type="paragraph" w:styleId="Revisie">
    <w:name w:val="Revision"/>
    <w:hidden/>
    <w:uiPriority w:val="99"/>
    <w:semiHidden/>
    <w:rsid w:val="00DA4EDB"/>
    <w:pPr>
      <w:spacing w:after="0" w:line="240" w:lineRule="auto"/>
    </w:pPr>
    <w:rPr>
      <w:rFonts w:ascii="Verdana" w:eastAsia="DejaVu Sans" w:hAnsi="Verdana" w:cs="Lohit Hindi"/>
      <w:color w:val="000000"/>
      <w:kern w:val="0"/>
      <w:sz w:val="18"/>
      <w:szCs w:val="18"/>
      <w:lang w:eastAsia="nl-NL"/>
      <w14:ligatures w14:val="none"/>
    </w:rPr>
  </w:style>
  <w:style w:type="paragraph" w:customStyle="1" w:styleId="m-listitem">
    <w:name w:val="m-list__item"/>
    <w:basedOn w:val="Standaard"/>
    <w:rsid w:val="00FF6E1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m-listlabel">
    <w:name w:val="m-list__label"/>
    <w:basedOn w:val="Standaardalinea-lettertype"/>
    <w:rsid w:val="00FF6E1B"/>
  </w:style>
  <w:style w:type="table" w:styleId="Tabelraster">
    <w:name w:val="Table Grid"/>
    <w:basedOn w:val="Standaardtabel"/>
    <w:uiPriority w:val="39"/>
    <w:rsid w:val="000D5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387">
      <w:bodyDiv w:val="1"/>
      <w:marLeft w:val="0"/>
      <w:marRight w:val="0"/>
      <w:marTop w:val="0"/>
      <w:marBottom w:val="0"/>
      <w:divBdr>
        <w:top w:val="none" w:sz="0" w:space="0" w:color="auto"/>
        <w:left w:val="none" w:sz="0" w:space="0" w:color="auto"/>
        <w:bottom w:val="none" w:sz="0" w:space="0" w:color="auto"/>
        <w:right w:val="none" w:sz="0" w:space="0" w:color="auto"/>
      </w:divBdr>
    </w:div>
    <w:div w:id="181431338">
      <w:bodyDiv w:val="1"/>
      <w:marLeft w:val="0"/>
      <w:marRight w:val="0"/>
      <w:marTop w:val="0"/>
      <w:marBottom w:val="0"/>
      <w:divBdr>
        <w:top w:val="none" w:sz="0" w:space="0" w:color="auto"/>
        <w:left w:val="none" w:sz="0" w:space="0" w:color="auto"/>
        <w:bottom w:val="none" w:sz="0" w:space="0" w:color="auto"/>
        <w:right w:val="none" w:sz="0" w:space="0" w:color="auto"/>
      </w:divBdr>
    </w:div>
    <w:div w:id="210044126">
      <w:bodyDiv w:val="1"/>
      <w:marLeft w:val="0"/>
      <w:marRight w:val="0"/>
      <w:marTop w:val="0"/>
      <w:marBottom w:val="0"/>
      <w:divBdr>
        <w:top w:val="none" w:sz="0" w:space="0" w:color="auto"/>
        <w:left w:val="none" w:sz="0" w:space="0" w:color="auto"/>
        <w:bottom w:val="none" w:sz="0" w:space="0" w:color="auto"/>
        <w:right w:val="none" w:sz="0" w:space="0" w:color="auto"/>
      </w:divBdr>
    </w:div>
    <w:div w:id="416635613">
      <w:bodyDiv w:val="1"/>
      <w:marLeft w:val="0"/>
      <w:marRight w:val="0"/>
      <w:marTop w:val="0"/>
      <w:marBottom w:val="0"/>
      <w:divBdr>
        <w:top w:val="none" w:sz="0" w:space="0" w:color="auto"/>
        <w:left w:val="none" w:sz="0" w:space="0" w:color="auto"/>
        <w:bottom w:val="none" w:sz="0" w:space="0" w:color="auto"/>
        <w:right w:val="none" w:sz="0" w:space="0" w:color="auto"/>
      </w:divBdr>
    </w:div>
    <w:div w:id="438841510">
      <w:bodyDiv w:val="1"/>
      <w:marLeft w:val="0"/>
      <w:marRight w:val="0"/>
      <w:marTop w:val="0"/>
      <w:marBottom w:val="0"/>
      <w:divBdr>
        <w:top w:val="none" w:sz="0" w:space="0" w:color="auto"/>
        <w:left w:val="none" w:sz="0" w:space="0" w:color="auto"/>
        <w:bottom w:val="none" w:sz="0" w:space="0" w:color="auto"/>
        <w:right w:val="none" w:sz="0" w:space="0" w:color="auto"/>
      </w:divBdr>
    </w:div>
    <w:div w:id="808478737">
      <w:bodyDiv w:val="1"/>
      <w:marLeft w:val="0"/>
      <w:marRight w:val="0"/>
      <w:marTop w:val="0"/>
      <w:marBottom w:val="0"/>
      <w:divBdr>
        <w:top w:val="none" w:sz="0" w:space="0" w:color="auto"/>
        <w:left w:val="none" w:sz="0" w:space="0" w:color="auto"/>
        <w:bottom w:val="none" w:sz="0" w:space="0" w:color="auto"/>
        <w:right w:val="none" w:sz="0" w:space="0" w:color="auto"/>
      </w:divBdr>
    </w:div>
    <w:div w:id="911818027">
      <w:bodyDiv w:val="1"/>
      <w:marLeft w:val="0"/>
      <w:marRight w:val="0"/>
      <w:marTop w:val="0"/>
      <w:marBottom w:val="0"/>
      <w:divBdr>
        <w:top w:val="none" w:sz="0" w:space="0" w:color="auto"/>
        <w:left w:val="none" w:sz="0" w:space="0" w:color="auto"/>
        <w:bottom w:val="none" w:sz="0" w:space="0" w:color="auto"/>
        <w:right w:val="none" w:sz="0" w:space="0" w:color="auto"/>
      </w:divBdr>
    </w:div>
    <w:div w:id="1066730233">
      <w:bodyDiv w:val="1"/>
      <w:marLeft w:val="0"/>
      <w:marRight w:val="0"/>
      <w:marTop w:val="0"/>
      <w:marBottom w:val="0"/>
      <w:divBdr>
        <w:top w:val="none" w:sz="0" w:space="0" w:color="auto"/>
        <w:left w:val="none" w:sz="0" w:space="0" w:color="auto"/>
        <w:bottom w:val="none" w:sz="0" w:space="0" w:color="auto"/>
        <w:right w:val="none" w:sz="0" w:space="0" w:color="auto"/>
      </w:divBdr>
    </w:div>
    <w:div w:id="1070925240">
      <w:bodyDiv w:val="1"/>
      <w:marLeft w:val="0"/>
      <w:marRight w:val="0"/>
      <w:marTop w:val="0"/>
      <w:marBottom w:val="0"/>
      <w:divBdr>
        <w:top w:val="none" w:sz="0" w:space="0" w:color="auto"/>
        <w:left w:val="none" w:sz="0" w:space="0" w:color="auto"/>
        <w:bottom w:val="none" w:sz="0" w:space="0" w:color="auto"/>
        <w:right w:val="none" w:sz="0" w:space="0" w:color="auto"/>
      </w:divBdr>
    </w:div>
    <w:div w:id="1152528463">
      <w:bodyDiv w:val="1"/>
      <w:marLeft w:val="0"/>
      <w:marRight w:val="0"/>
      <w:marTop w:val="0"/>
      <w:marBottom w:val="0"/>
      <w:divBdr>
        <w:top w:val="none" w:sz="0" w:space="0" w:color="auto"/>
        <w:left w:val="none" w:sz="0" w:space="0" w:color="auto"/>
        <w:bottom w:val="none" w:sz="0" w:space="0" w:color="auto"/>
        <w:right w:val="none" w:sz="0" w:space="0" w:color="auto"/>
      </w:divBdr>
    </w:div>
    <w:div w:id="1231231521">
      <w:bodyDiv w:val="1"/>
      <w:marLeft w:val="0"/>
      <w:marRight w:val="0"/>
      <w:marTop w:val="0"/>
      <w:marBottom w:val="0"/>
      <w:divBdr>
        <w:top w:val="none" w:sz="0" w:space="0" w:color="auto"/>
        <w:left w:val="none" w:sz="0" w:space="0" w:color="auto"/>
        <w:bottom w:val="none" w:sz="0" w:space="0" w:color="auto"/>
        <w:right w:val="none" w:sz="0" w:space="0" w:color="auto"/>
      </w:divBdr>
    </w:div>
    <w:div w:id="1585065828">
      <w:bodyDiv w:val="1"/>
      <w:marLeft w:val="0"/>
      <w:marRight w:val="0"/>
      <w:marTop w:val="0"/>
      <w:marBottom w:val="0"/>
      <w:divBdr>
        <w:top w:val="none" w:sz="0" w:space="0" w:color="auto"/>
        <w:left w:val="none" w:sz="0" w:space="0" w:color="auto"/>
        <w:bottom w:val="none" w:sz="0" w:space="0" w:color="auto"/>
        <w:right w:val="none" w:sz="0" w:space="0" w:color="auto"/>
      </w:divBdr>
    </w:div>
    <w:div w:id="1619339199">
      <w:bodyDiv w:val="1"/>
      <w:marLeft w:val="0"/>
      <w:marRight w:val="0"/>
      <w:marTop w:val="0"/>
      <w:marBottom w:val="0"/>
      <w:divBdr>
        <w:top w:val="none" w:sz="0" w:space="0" w:color="auto"/>
        <w:left w:val="none" w:sz="0" w:space="0" w:color="auto"/>
        <w:bottom w:val="none" w:sz="0" w:space="0" w:color="auto"/>
        <w:right w:val="none" w:sz="0" w:space="0" w:color="auto"/>
      </w:divBdr>
    </w:div>
    <w:div w:id="1713577233">
      <w:bodyDiv w:val="1"/>
      <w:marLeft w:val="0"/>
      <w:marRight w:val="0"/>
      <w:marTop w:val="0"/>
      <w:marBottom w:val="0"/>
      <w:divBdr>
        <w:top w:val="none" w:sz="0" w:space="0" w:color="auto"/>
        <w:left w:val="none" w:sz="0" w:space="0" w:color="auto"/>
        <w:bottom w:val="none" w:sz="0" w:space="0" w:color="auto"/>
        <w:right w:val="none" w:sz="0" w:space="0" w:color="auto"/>
      </w:divBdr>
    </w:div>
    <w:div w:id="207901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1448</ap:Words>
  <ap:Characters>7964</ap:Characters>
  <ap:DocSecurity>0</ap:DocSecurity>
  <ap:Lines>66</ap:Lines>
  <ap:Paragraphs>18</ap:Paragraphs>
  <ap:ScaleCrop>false</ap:ScaleCrop>
  <ap:LinksUpToDate>false</ap:LinksUpToDate>
  <ap:CharactersWithSpaces>9394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2025-12-02T13:54:00.0000000Z</dcterms:created>
  <dcterms:modified xsi:type="dcterms:W3CDTF">2025-12-02T13:54:00.0000000Z</dcterms:modified>
  <version/>
  <category/>
</coreProperties>
</file>