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72D4" w:rsidR="006D72D4" w:rsidRDefault="00135FCD" w14:paraId="1A3AFB4E" w14:textId="617F4679">
      <w:pPr>
        <w:rPr>
          <w:rFonts w:ascii="Calibri" w:hAnsi="Calibri" w:cs="Calibri"/>
        </w:rPr>
      </w:pPr>
      <w:r w:rsidRPr="006D72D4">
        <w:rPr>
          <w:rFonts w:ascii="Calibri" w:hAnsi="Calibri" w:cs="Calibri"/>
        </w:rPr>
        <w:t>32</w:t>
      </w:r>
      <w:r w:rsidRPr="006D72D4" w:rsidR="006D72D4">
        <w:rPr>
          <w:rFonts w:ascii="Calibri" w:hAnsi="Calibri" w:cs="Calibri"/>
        </w:rPr>
        <w:t xml:space="preserve"> </w:t>
      </w:r>
      <w:r w:rsidRPr="006D72D4">
        <w:rPr>
          <w:rFonts w:ascii="Calibri" w:hAnsi="Calibri" w:cs="Calibri"/>
        </w:rPr>
        <w:t>637</w:t>
      </w:r>
      <w:r w:rsidRPr="006D72D4" w:rsidR="006D72D4">
        <w:rPr>
          <w:rFonts w:ascii="Calibri" w:hAnsi="Calibri" w:cs="Calibri"/>
        </w:rPr>
        <w:tab/>
      </w:r>
      <w:r w:rsidRPr="006D72D4" w:rsidR="006D72D4">
        <w:rPr>
          <w:rFonts w:ascii="Calibri" w:hAnsi="Calibri" w:cs="Calibri"/>
        </w:rPr>
        <w:tab/>
        <w:t>Bedrijfslevenbeleid</w:t>
      </w:r>
    </w:p>
    <w:p w:rsidRPr="006D72D4" w:rsidR="00135FCD" w:rsidP="00135FCD" w:rsidRDefault="006D72D4" w14:paraId="67D0ADE5" w14:textId="265D32B5">
      <w:pPr>
        <w:rPr>
          <w:rFonts w:ascii="Calibri" w:hAnsi="Calibri" w:cs="Calibri"/>
        </w:rPr>
      </w:pPr>
      <w:r w:rsidRPr="006D72D4">
        <w:rPr>
          <w:rFonts w:ascii="Calibri" w:hAnsi="Calibri" w:cs="Calibri"/>
        </w:rPr>
        <w:t xml:space="preserve">Nr. </w:t>
      </w:r>
      <w:r w:rsidRPr="006D72D4" w:rsidR="00135FCD">
        <w:rPr>
          <w:rFonts w:ascii="Calibri" w:hAnsi="Calibri" w:cs="Calibri"/>
        </w:rPr>
        <w:t>720</w:t>
      </w:r>
      <w:r w:rsidRPr="006D72D4">
        <w:rPr>
          <w:rFonts w:ascii="Calibri" w:hAnsi="Calibri" w:cs="Calibri"/>
        </w:rPr>
        <w:tab/>
      </w:r>
      <w:r w:rsidRPr="006D72D4">
        <w:rPr>
          <w:rFonts w:ascii="Calibri" w:hAnsi="Calibri" w:cs="Calibri"/>
        </w:rPr>
        <w:tab/>
        <w:t>Brief van de minister van Economische Zaken</w:t>
      </w:r>
    </w:p>
    <w:p w:rsidRPr="006D72D4" w:rsidR="006D72D4" w:rsidP="00135FCD" w:rsidRDefault="006D72D4" w14:paraId="1F11F9CB" w14:textId="6A46DB09">
      <w:pPr>
        <w:rPr>
          <w:rFonts w:ascii="Calibri" w:hAnsi="Calibri" w:cs="Calibri"/>
        </w:rPr>
      </w:pPr>
      <w:r w:rsidRPr="006D72D4">
        <w:rPr>
          <w:rFonts w:ascii="Calibri" w:hAnsi="Calibri" w:cs="Calibri"/>
        </w:rPr>
        <w:t>Aan de Voorzitter van de Tweede Kamer der Staten-Generaal</w:t>
      </w:r>
    </w:p>
    <w:p w:rsidRPr="006D72D4" w:rsidR="00135FCD" w:rsidP="00135FCD" w:rsidRDefault="006D72D4" w14:paraId="215A1620" w14:textId="39DCAB90">
      <w:pPr>
        <w:rPr>
          <w:rFonts w:ascii="Calibri" w:hAnsi="Calibri" w:cs="Calibri"/>
        </w:rPr>
      </w:pPr>
      <w:r w:rsidRPr="006D72D4">
        <w:rPr>
          <w:rFonts w:ascii="Calibri" w:hAnsi="Calibri" w:cs="Calibri"/>
        </w:rPr>
        <w:t>Den Haag, 2 december 2025</w:t>
      </w:r>
    </w:p>
    <w:p w:rsidRPr="006D72D4" w:rsidR="00135FCD" w:rsidP="00135FCD" w:rsidRDefault="00135FCD" w14:paraId="24F1839C" w14:textId="77777777">
      <w:pPr>
        <w:rPr>
          <w:rFonts w:ascii="Calibri" w:hAnsi="Calibri" w:cs="Calibri"/>
        </w:rPr>
      </w:pPr>
    </w:p>
    <w:p w:rsidRPr="006D72D4" w:rsidR="00135FCD" w:rsidP="00135FCD" w:rsidRDefault="00135FCD" w14:paraId="2DBDA024" w14:textId="180F7B15">
      <w:pPr>
        <w:rPr>
          <w:rFonts w:ascii="Calibri" w:hAnsi="Calibri" w:cs="Calibri"/>
        </w:rPr>
      </w:pPr>
      <w:r w:rsidRPr="006D72D4">
        <w:rPr>
          <w:rFonts w:ascii="Calibri" w:hAnsi="Calibri" w:cs="Calibri"/>
        </w:rPr>
        <w:t>Tijdens de Regeling van Werkzaamheden op 19 november 2025 heeft het lid Dassen (Volt) een informatieverzoek gedaan om een tijdslijn te ontvangen, waarin is opgenomen welke informatie beschikbaar was op het moment dat bepaalde keuzes werden gemaakt, wie daarbij betrokken was en hoe is afgestemd met buitenlandse partners (kenmerk: 2025Z20137).</w:t>
      </w:r>
    </w:p>
    <w:p w:rsidRPr="006D72D4" w:rsidR="00135FCD" w:rsidP="00135FCD" w:rsidRDefault="00135FCD" w14:paraId="5EB55600" w14:textId="77777777">
      <w:pPr>
        <w:rPr>
          <w:rFonts w:ascii="Calibri" w:hAnsi="Calibri" w:cs="Calibri"/>
        </w:rPr>
      </w:pPr>
    </w:p>
    <w:p w:rsidRPr="006D72D4" w:rsidR="00135FCD" w:rsidP="00135FCD" w:rsidRDefault="00135FCD" w14:paraId="6DB11E6E" w14:textId="77777777">
      <w:pPr>
        <w:rPr>
          <w:rFonts w:ascii="Calibri" w:hAnsi="Calibri" w:cs="Calibri"/>
        </w:rPr>
      </w:pPr>
      <w:r w:rsidRPr="006D72D4">
        <w:rPr>
          <w:rFonts w:ascii="Calibri" w:hAnsi="Calibri" w:cs="Calibri"/>
        </w:rPr>
        <w:t xml:space="preserve">Tijdens de regeling van werkzaamheden op 25 november 2025 heeft het lid Van der Lee (GroenLinks-PvdA) daarnaast het verzoek gedaan het debat over het beleid en de keuzes van de minister van Economische Zaken omtrent Nexperia in te plannen voordat ik afreis naar China. Er staat al een lange tijd een VNO-NCW-bedrijvenmissie gepland naar China, waarbij ik voornemens was om mee te gaan. Voorafgaand aan zo’n bezoek wordt altijd nog gekeken of het daadwerkelijk nuttig en noodzakelijk is om als minister mee te gaan en of ik ter plekke ook mijn collega-ministers kan ontmoeten. Door de ingeplande </w:t>
      </w:r>
      <w:r w:rsidRPr="006D72D4">
        <w:rPr>
          <w:rFonts w:ascii="Calibri" w:hAnsi="Calibri" w:cs="Calibri"/>
          <w:i/>
          <w:iCs/>
        </w:rPr>
        <w:t>Central Economic Work Conference</w:t>
      </w:r>
      <w:r w:rsidRPr="006D72D4">
        <w:rPr>
          <w:rFonts w:ascii="Calibri" w:hAnsi="Calibri" w:cs="Calibri"/>
        </w:rPr>
        <w:t xml:space="preserve"> waar de betrokken Chinese ministers bij aanwezig moeten zijn, is in goed overleg besloten te kijken naar een nieuwe datum en zal ik dus niet in december naar China afreizen. Indien de situatie rond Nexperia in de tussentijd aanleiding geeft om alsnog op korte termijn af te reizen naar China, dan zal ik dat doen. Daarover heb ik ook afspraken gemaakt met de Chinese minister van Handel.</w:t>
      </w:r>
    </w:p>
    <w:p w:rsidRPr="006D72D4" w:rsidR="00135FCD" w:rsidP="006D72D4" w:rsidRDefault="00135FCD" w14:paraId="3EE95966" w14:textId="77777777">
      <w:pPr>
        <w:pStyle w:val="Geenafstand"/>
        <w:rPr>
          <w:rFonts w:ascii="Calibri" w:hAnsi="Calibri" w:cs="Calibri"/>
        </w:rPr>
      </w:pPr>
    </w:p>
    <w:p w:rsidRPr="006D72D4" w:rsidR="006D72D4" w:rsidP="006D72D4" w:rsidRDefault="006D72D4" w14:paraId="1B1E2C07" w14:textId="7D682166">
      <w:pPr>
        <w:pStyle w:val="Geenafstand"/>
        <w:rPr>
          <w:rFonts w:ascii="Calibri" w:hAnsi="Calibri" w:cs="Calibri"/>
          <w:bCs/>
        </w:rPr>
      </w:pPr>
      <w:r w:rsidRPr="006D72D4">
        <w:rPr>
          <w:rFonts w:ascii="Calibri" w:hAnsi="Calibri" w:cs="Calibri"/>
          <w:bCs/>
        </w:rPr>
        <w:t>De m</w:t>
      </w:r>
      <w:r w:rsidRPr="006D72D4">
        <w:rPr>
          <w:rFonts w:ascii="Calibri" w:hAnsi="Calibri" w:cs="Calibri"/>
          <w:bCs/>
        </w:rPr>
        <w:t>inister van Economische Zaken</w:t>
      </w:r>
      <w:r w:rsidRPr="006D72D4">
        <w:rPr>
          <w:rFonts w:ascii="Calibri" w:hAnsi="Calibri" w:cs="Calibri"/>
          <w:bCs/>
        </w:rPr>
        <w:t>,</w:t>
      </w:r>
    </w:p>
    <w:p w:rsidRPr="006D72D4" w:rsidR="00135FCD" w:rsidP="006D72D4" w:rsidRDefault="00135FCD" w14:paraId="5893C892" w14:textId="6B773694">
      <w:pPr>
        <w:pStyle w:val="Geenafstand"/>
        <w:rPr>
          <w:rFonts w:ascii="Calibri" w:hAnsi="Calibri" w:cs="Calibri"/>
          <w:bCs/>
        </w:rPr>
      </w:pPr>
      <w:r w:rsidRPr="006D72D4">
        <w:rPr>
          <w:rFonts w:ascii="Calibri" w:hAnsi="Calibri" w:cs="Calibri"/>
          <w:bCs/>
        </w:rPr>
        <w:t>V</w:t>
      </w:r>
      <w:r w:rsidRPr="006D72D4" w:rsidR="006D72D4">
        <w:rPr>
          <w:rFonts w:ascii="Calibri" w:hAnsi="Calibri" w:cs="Calibri"/>
          <w:bCs/>
        </w:rPr>
        <w:t xml:space="preserve">.P.G. </w:t>
      </w:r>
      <w:r w:rsidRPr="006D72D4">
        <w:rPr>
          <w:rFonts w:ascii="Calibri" w:hAnsi="Calibri" w:cs="Calibri"/>
          <w:bCs/>
        </w:rPr>
        <w:t>Karremans</w:t>
      </w:r>
    </w:p>
    <w:p w:rsidRPr="006D72D4" w:rsidR="00135FCD" w:rsidP="00135FCD" w:rsidRDefault="00135FCD" w14:paraId="7F5FA927" w14:textId="77777777">
      <w:pPr>
        <w:rPr>
          <w:rFonts w:ascii="Calibri" w:hAnsi="Calibri" w:cs="Calibri"/>
        </w:rPr>
      </w:pPr>
    </w:p>
    <w:p w:rsidRPr="006D72D4" w:rsidR="006D72D4" w:rsidRDefault="006D72D4" w14:paraId="1B1F605E" w14:textId="77777777">
      <w:pPr>
        <w:rPr>
          <w:rFonts w:ascii="Calibri" w:hAnsi="Calibri" w:cs="Calibri"/>
        </w:rPr>
      </w:pPr>
      <w:r w:rsidRPr="006D72D4">
        <w:rPr>
          <w:rFonts w:ascii="Calibri" w:hAnsi="Calibri" w:cs="Calibri"/>
        </w:rPr>
        <w:br w:type="page"/>
      </w:r>
    </w:p>
    <w:p w:rsidRPr="006D72D4" w:rsidR="00135FCD" w:rsidP="00135FCD" w:rsidRDefault="00135FCD" w14:paraId="72F4A54A" w14:textId="6BA45A0C">
      <w:pPr>
        <w:rPr>
          <w:rFonts w:ascii="Calibri" w:hAnsi="Calibri" w:eastAsia="Verdana" w:cs="Calibri"/>
          <w:b/>
          <w:bCs/>
        </w:rPr>
      </w:pPr>
      <w:r w:rsidRPr="006D72D4">
        <w:rPr>
          <w:rFonts w:ascii="Calibri" w:hAnsi="Calibri" w:eastAsia="Verdana" w:cs="Calibri"/>
          <w:b/>
          <w:bCs/>
        </w:rPr>
        <w:lastRenderedPageBreak/>
        <w:t>Openbare tijdslijn</w:t>
      </w:r>
    </w:p>
    <w:p w:rsidRPr="006D72D4" w:rsidR="00135FCD" w:rsidP="00135FCD" w:rsidRDefault="00135FCD" w14:paraId="2E7607C9" w14:textId="77777777">
      <w:pPr>
        <w:rPr>
          <w:rFonts w:ascii="Calibri" w:hAnsi="Calibri" w:eastAsia="Verdana" w:cs="Calibri"/>
          <w:b/>
          <w:bCs/>
        </w:rPr>
      </w:pPr>
    </w:p>
    <w:p w:rsidRPr="006D72D4" w:rsidR="00135FCD" w:rsidP="00135FCD" w:rsidRDefault="00135FCD" w14:paraId="01158643" w14:textId="77777777">
      <w:pPr>
        <w:rPr>
          <w:rFonts w:ascii="Calibri" w:hAnsi="Calibri" w:eastAsia="Verdana" w:cs="Calibri"/>
        </w:rPr>
      </w:pPr>
      <w:r w:rsidRPr="006D72D4">
        <w:rPr>
          <w:rFonts w:ascii="Calibri" w:hAnsi="Calibri" w:eastAsia="Verdana" w:cs="Calibri"/>
          <w:b/>
          <w:bCs/>
        </w:rPr>
        <w:t xml:space="preserve">Periode tot aan afvaardigen bevel </w:t>
      </w:r>
    </w:p>
    <w:p w:rsidRPr="006D72D4" w:rsidR="00135FCD" w:rsidP="00135FCD" w:rsidRDefault="00135FCD" w14:paraId="31CC5C75" w14:textId="77777777">
      <w:pPr>
        <w:rPr>
          <w:rFonts w:ascii="Calibri" w:hAnsi="Calibri" w:eastAsia="Verdana" w:cs="Calibri"/>
        </w:rPr>
      </w:pPr>
      <w:r w:rsidRPr="006D72D4">
        <w:rPr>
          <w:rFonts w:ascii="Calibri" w:hAnsi="Calibri" w:eastAsia="Verdana" w:cs="Calibri"/>
        </w:rPr>
        <w:t>In 2017 werd Nexperia, destijds een onderdeel van het Nederlandse chip bedrijf NXP dat zijn oorsprong vindt binnen Philips, verkocht aan Chinese investeerders. In december 2019 verwierf het Chinese bedrijf Wingtech een meerderheidsbelang in Nexperia. In de daaropvolgende jaren vonden, vanwege uitdagingen rond dit bedrijf, gesprekken plaats met verschillende partners, waaronder de Verenigde Staten, Verenigd Koninkrijk, Duitsland, China en de Europese Commissie. Enkele voorbeelden van deze uitdagingen zijn de gedwongen verkoop van de Newport Wafer Fab</w:t>
      </w:r>
      <w:r w:rsidRPr="006D72D4">
        <w:rPr>
          <w:rFonts w:ascii="Calibri" w:hAnsi="Calibri" w:cs="Calibri"/>
        </w:rPr>
        <w:t xml:space="preserve"> in het Verenigd Koninkrijk en </w:t>
      </w:r>
      <w:r w:rsidRPr="006D72D4">
        <w:rPr>
          <w:rFonts w:ascii="Calibri" w:hAnsi="Calibri" w:eastAsia="Verdana" w:cs="Calibri"/>
        </w:rPr>
        <w:t xml:space="preserve">het Duitse besluit om Nexperia uit te sluiten van subsidietrajecten zoals in het kader van een Important Project of Common European Interest (IPCEI). Eind 2023 zocht Nexperia Nederland contact met het ministerie van Economische Zaken om de gepercipieerde veiligheidszorgen te mitigeren. Sindsdien zijn er gesprekken tussen het ministerie en het bedrijf (waaronder een gesprek tussen de minister en de geschorste CEO van de Nexperia Groep, dhr. Zhang Xuezheng) hoe tegemoet te komen aan deze zorgen. Vanaf juli 2025 is ook met de Chinese autoriteiten gesproken, omdat verschillende oplossingsrichtingen instemming vereisten van de Chinese overheid. </w:t>
      </w:r>
    </w:p>
    <w:p w:rsidRPr="006D72D4" w:rsidR="00135FCD" w:rsidP="00135FCD" w:rsidRDefault="00135FCD" w14:paraId="0803BD1D" w14:textId="77777777">
      <w:pPr>
        <w:rPr>
          <w:rFonts w:ascii="Calibri" w:hAnsi="Calibri" w:eastAsia="Verdana" w:cs="Calibri"/>
        </w:rPr>
      </w:pPr>
    </w:p>
    <w:p w:rsidRPr="006D72D4" w:rsidR="00135FCD" w:rsidP="00135FCD" w:rsidRDefault="00135FCD" w14:paraId="127AC0E4" w14:textId="77777777">
      <w:pPr>
        <w:rPr>
          <w:rFonts w:ascii="Calibri" w:hAnsi="Calibri" w:eastAsia="Verdana" w:cs="Calibri"/>
          <w:b/>
          <w:bCs/>
        </w:rPr>
      </w:pPr>
      <w:r w:rsidRPr="006D72D4">
        <w:rPr>
          <w:rFonts w:ascii="Calibri" w:hAnsi="Calibri" w:eastAsia="Verdana" w:cs="Calibri"/>
          <w:b/>
          <w:bCs/>
        </w:rPr>
        <w:t>Concrete aanwijzingen</w:t>
      </w:r>
    </w:p>
    <w:p w:rsidRPr="006D72D4" w:rsidR="00135FCD" w:rsidP="00135FCD" w:rsidRDefault="00135FCD" w14:paraId="0A46A144" w14:textId="77777777">
      <w:pPr>
        <w:rPr>
          <w:rFonts w:ascii="Calibri" w:hAnsi="Calibri" w:eastAsia="Verdana" w:cs="Calibri"/>
        </w:rPr>
      </w:pPr>
      <w:r w:rsidRPr="006D72D4">
        <w:rPr>
          <w:rFonts w:ascii="Calibri" w:hAnsi="Calibri" w:eastAsia="Verdana" w:cs="Calibri"/>
        </w:rPr>
        <w:t>Op 18 september jl. ontving het ministerie eerste berichten over wijzigingen in zowel de operationele bedrijfsvoering als de strategie van de onderneming die, met steun van de aandeelhouder, hebben geleid tot een oneigenlijke verplaatsing van geld, technologie en kennis (waaronder intellectuele eigendomsrechten) naar een buitenlandse entiteit. Die entiteit staat onder de zeggenschap en is grotendeels in het bezit van de CEO maar maakt geen onderdeel uit van de Nexperia groep. Ook waren er vergevorderde plannen om de Europese productie- en onderzoekslocaties te sluiten of sterk in belang te doen afnemen, wanneer de overdracht van kennis en middelen ver genoeg gevorderd zou zijn. In de dagen daarna volgden aanvullende zorgelijke en concrete aanwijzingen. Dit stond haaks op de lopende gesprekken over oplossingsrichtingen om gepercipieerde veiligheidszorgen ten aanzien van Nexperia te mitigeren, en vormden daarmee een direct risico voor Europese productiecapaciteit en de beschikbaarheid van cruciale chips. </w:t>
      </w:r>
    </w:p>
    <w:p w:rsidRPr="006D72D4" w:rsidR="00135FCD" w:rsidP="00135FCD" w:rsidRDefault="00135FCD" w14:paraId="52A572E6" w14:textId="77777777">
      <w:pPr>
        <w:ind w:left="720"/>
        <w:rPr>
          <w:rFonts w:ascii="Calibri" w:hAnsi="Calibri" w:eastAsia="Verdana" w:cs="Calibri"/>
        </w:rPr>
      </w:pPr>
    </w:p>
    <w:p w:rsidRPr="006D72D4" w:rsidR="00135FCD" w:rsidP="00135FCD" w:rsidRDefault="00135FCD" w14:paraId="3035C4CC" w14:textId="77777777">
      <w:pPr>
        <w:rPr>
          <w:rFonts w:ascii="Calibri" w:hAnsi="Calibri" w:eastAsia="Verdana" w:cs="Calibri"/>
          <w:b/>
          <w:bCs/>
        </w:rPr>
      </w:pPr>
      <w:r w:rsidRPr="006D72D4">
        <w:rPr>
          <w:rFonts w:ascii="Calibri" w:hAnsi="Calibri" w:eastAsia="Verdana" w:cs="Calibri"/>
          <w:b/>
          <w:bCs/>
        </w:rPr>
        <w:t xml:space="preserve">Periode vanaf bevel tot aan Chinese exportmaatregel </w:t>
      </w:r>
    </w:p>
    <w:p w:rsidRPr="006D72D4" w:rsidR="00135FCD" w:rsidP="00135FCD" w:rsidRDefault="00135FCD" w14:paraId="19CBA32C" w14:textId="77777777">
      <w:pPr>
        <w:rPr>
          <w:rFonts w:ascii="Calibri" w:hAnsi="Calibri" w:cs="Calibri"/>
        </w:rPr>
      </w:pPr>
      <w:r w:rsidRPr="006D72D4">
        <w:rPr>
          <w:rFonts w:ascii="Calibri" w:hAnsi="Calibri" w:eastAsia="Verdana" w:cs="Calibri"/>
        </w:rPr>
        <w:t xml:space="preserve">Na het principebesluit op 25 september 2025 en contact met leden uit het kabinet (minister-president, vicepremiers, minister van Buitenlandse Zaken, minister van Defensie, en staatssecretaris van Buitenlandse Handel en Ontwikkelingshulp) heeft de minister van Economische Zaken op dinsdag 30 september 2025 het bevel </w:t>
      </w:r>
      <w:r w:rsidRPr="006D72D4">
        <w:rPr>
          <w:rFonts w:ascii="Calibri" w:hAnsi="Calibri" w:eastAsia="Verdana" w:cs="Calibri"/>
        </w:rPr>
        <w:lastRenderedPageBreak/>
        <w:t xml:space="preserve">krachtens de Wet beschikbaarheid goederen uitgevaardigd. Op diezelfde dag zijn het Verenigd Koninkrijk en Duitsland geïnformeerd. Ook de Verenigde Staten en China zijn vrijwel direct volgend op het bevel op 30 september geïnformeerd: de VS in verband met de </w:t>
      </w:r>
      <w:r w:rsidRPr="006D72D4">
        <w:rPr>
          <w:rFonts w:ascii="Calibri" w:hAnsi="Calibri" w:eastAsia="Verdana" w:cs="Calibri"/>
          <w:i/>
          <w:iCs/>
        </w:rPr>
        <w:t>Affiliates Rule</w:t>
      </w:r>
      <w:r w:rsidRPr="006D72D4">
        <w:rPr>
          <w:rFonts w:ascii="Calibri" w:hAnsi="Calibri" w:eastAsia="Verdana" w:cs="Calibri"/>
        </w:rPr>
        <w:t>, die impact zou hebben op het bedrijf, en China vanwege het “</w:t>
      </w:r>
      <w:r w:rsidRPr="006D72D4">
        <w:rPr>
          <w:rFonts w:ascii="Calibri" w:hAnsi="Calibri" w:eastAsia="Verdana" w:cs="Calibri"/>
          <w:i/>
          <w:iCs/>
        </w:rPr>
        <w:t>no surprises”</w:t>
      </w:r>
      <w:r w:rsidRPr="006D72D4">
        <w:rPr>
          <w:rFonts w:ascii="Calibri" w:hAnsi="Calibri" w:cs="Calibri"/>
          <w:i/>
          <w:iCs/>
        </w:rPr>
        <w:t xml:space="preserve"> </w:t>
      </w:r>
      <w:r w:rsidRPr="006D72D4">
        <w:rPr>
          <w:rFonts w:ascii="Calibri" w:hAnsi="Calibri" w:cs="Calibri"/>
        </w:rPr>
        <w:t xml:space="preserve">beleid dat gevoerd wordt. </w:t>
      </w:r>
    </w:p>
    <w:p w:rsidRPr="006D72D4" w:rsidR="00135FCD" w:rsidP="00135FCD" w:rsidRDefault="00135FCD" w14:paraId="343F9964" w14:textId="77777777">
      <w:pPr>
        <w:rPr>
          <w:rFonts w:ascii="Calibri" w:hAnsi="Calibri" w:cs="Calibri"/>
        </w:rPr>
      </w:pPr>
    </w:p>
    <w:p w:rsidRPr="006D72D4" w:rsidR="00135FCD" w:rsidP="00135FCD" w:rsidRDefault="00135FCD" w14:paraId="3337AC11" w14:textId="77777777">
      <w:pPr>
        <w:rPr>
          <w:rFonts w:ascii="Calibri" w:hAnsi="Calibri" w:eastAsia="Verdana" w:cs="Calibri"/>
        </w:rPr>
      </w:pPr>
      <w:r w:rsidRPr="006D72D4">
        <w:rPr>
          <w:rFonts w:ascii="Calibri" w:hAnsi="Calibri" w:eastAsia="Verdana" w:cs="Calibri"/>
        </w:rPr>
        <w:t xml:space="preserve">Op 1 oktober 2025 hebben enkele bestuurders van Nexperia een enquêteverzoek aanhangig gemaakt bij de Ondernemingskamer. De Ondernemingskamer ging over tot voorlopige schorsing van de CEO op 2 oktober, en ontnam de aandeelhouder tijdelijk beslissingsbevoegdheden. </w:t>
      </w:r>
    </w:p>
    <w:p w:rsidRPr="006D72D4" w:rsidR="00135FCD" w:rsidP="00135FCD" w:rsidRDefault="00135FCD" w14:paraId="79D0D5F3" w14:textId="77777777">
      <w:pPr>
        <w:rPr>
          <w:rFonts w:ascii="Calibri" w:hAnsi="Calibri" w:eastAsia="Verdana" w:cs="Calibri"/>
        </w:rPr>
      </w:pPr>
    </w:p>
    <w:p w:rsidRPr="006D72D4" w:rsidR="00135FCD" w:rsidP="00135FCD" w:rsidRDefault="00135FCD" w14:paraId="5BACB9F2" w14:textId="77777777">
      <w:pPr>
        <w:rPr>
          <w:rFonts w:ascii="Calibri" w:hAnsi="Calibri" w:eastAsia="Verdana" w:cs="Calibri"/>
        </w:rPr>
      </w:pPr>
      <w:r w:rsidRPr="006D72D4">
        <w:rPr>
          <w:rFonts w:ascii="Calibri" w:hAnsi="Calibri" w:eastAsia="Verdana" w:cs="Calibri"/>
        </w:rPr>
        <w:t xml:space="preserve">Op zaterdag 4 oktober 2025 vond overleg plaats tussen Nederland en China, waarin China aankondigde dat diezelfde dag een exportcontrolemaatregel van kracht zou worden, die specifiek gericht was op Nexperia. </w:t>
      </w:r>
    </w:p>
    <w:p w:rsidRPr="006D72D4" w:rsidR="00135FCD" w:rsidP="00135FCD" w:rsidRDefault="00135FCD" w14:paraId="0C665DB2" w14:textId="77777777">
      <w:pPr>
        <w:rPr>
          <w:rFonts w:ascii="Calibri" w:hAnsi="Calibri" w:eastAsia="Verdana" w:cs="Calibri"/>
        </w:rPr>
      </w:pPr>
    </w:p>
    <w:p w:rsidRPr="006D72D4" w:rsidR="00135FCD" w:rsidP="00135FCD" w:rsidRDefault="00135FCD" w14:paraId="4E2534E7" w14:textId="77777777">
      <w:pPr>
        <w:rPr>
          <w:rFonts w:ascii="Calibri" w:hAnsi="Calibri" w:eastAsia="Verdana" w:cs="Calibri"/>
          <w:b/>
          <w:bCs/>
        </w:rPr>
      </w:pPr>
      <w:r w:rsidRPr="006D72D4">
        <w:rPr>
          <w:rFonts w:ascii="Calibri" w:hAnsi="Calibri" w:eastAsia="Verdana" w:cs="Calibri"/>
          <w:b/>
          <w:bCs/>
        </w:rPr>
        <w:t>Periode vanaf instellen van de Chinese exportmaatregel</w:t>
      </w:r>
    </w:p>
    <w:p w:rsidRPr="006D72D4" w:rsidR="00135FCD" w:rsidP="00135FCD" w:rsidRDefault="00135FCD" w14:paraId="046B6773" w14:textId="77777777">
      <w:pPr>
        <w:rPr>
          <w:rFonts w:ascii="Calibri" w:hAnsi="Calibri" w:eastAsia="Verdana" w:cs="Calibri"/>
        </w:rPr>
      </w:pPr>
      <w:r w:rsidRPr="006D72D4">
        <w:rPr>
          <w:rFonts w:ascii="Calibri" w:hAnsi="Calibri" w:eastAsia="Verdana" w:cs="Calibri"/>
        </w:rPr>
        <w:t xml:space="preserve">Na de zitting op 6 en 7 oktober besloot de Ondernemingskamer tot aanvullende vervolgmaatregelen, te weten: definitieve schorsing van de CEO, het aanstellen van een niet-uitvoerend beheerder met doorslaggevende stem en plaatsing van alle aandelen, minus één aandeel, onder beheer van een door de Ondernemingskamer aangewezen beheerder. Vanaf dat moment was er intensief contact tussen het ministerie van Economische Zaken, verschillende EU lidstaten, internationale partners en de Europese Commissie. Europese partners hebben herhaaldelijk hun begrip en steun uitgesproken voor de stap die Nederland heeft gezet ten behoeve van leveringszekerheid van deze chips, ondanks de zorgen die er op korte termijn zijn naar aanleiding van de effecten van de verstoringen van de leveringen vanuit de bedrijfsonderdelen in China. Op 21 oktober 2025 sprak de minister van Economische Zaken hierover met de Chinese minister van Handel, Wang Wentao. Op 1 november werd via een factsheet van het Witte Huis bekend dat de VS en China onder meer spraken over het herstel van de chipleveringen van Nexperia. Op 18 en 19 november jl. was een hoog ambtelijk Nederlandse delegatie in Beijing voor verdere gesprekken. Tot op heden vinden er doorlopend gesprekken plaats met China, de Europese Commissie, Europese lidstaten, internationale partners en op frequente basis met het bedrijf. Ook brengt de minister van Economische Zaken de ministerraad en meer in het bijzonder de direct betrokken bewindspersonen op regelmatige basis op de hoogte van de laatste ontwikkelingen. </w:t>
      </w:r>
    </w:p>
    <w:p w:rsidRPr="006D72D4" w:rsidR="00FE0FA3" w:rsidRDefault="00FE0FA3" w14:paraId="1D9423A8" w14:textId="77777777">
      <w:pPr>
        <w:rPr>
          <w:rFonts w:ascii="Calibri" w:hAnsi="Calibri" w:cs="Calibri"/>
        </w:rPr>
      </w:pPr>
    </w:p>
    <w:sectPr w:rsidRPr="006D72D4" w:rsidR="00FE0FA3" w:rsidSect="00C955E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BB4D" w14:textId="77777777" w:rsidR="00135FCD" w:rsidRDefault="00135FCD" w:rsidP="00135FCD">
      <w:pPr>
        <w:spacing w:after="0" w:line="240" w:lineRule="auto"/>
      </w:pPr>
      <w:r>
        <w:separator/>
      </w:r>
    </w:p>
  </w:endnote>
  <w:endnote w:type="continuationSeparator" w:id="0">
    <w:p w14:paraId="0552D1A6" w14:textId="77777777" w:rsidR="00135FCD" w:rsidRDefault="00135FCD" w:rsidP="0013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1129" w14:textId="77777777" w:rsidR="00135FCD" w:rsidRPr="00135FCD" w:rsidRDefault="00135FCD" w:rsidP="00135F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B2B3" w14:textId="77777777" w:rsidR="00135FCD" w:rsidRPr="00135FCD" w:rsidRDefault="00135FCD" w:rsidP="00135F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99C4" w14:textId="77777777" w:rsidR="00135FCD" w:rsidRPr="00135FCD" w:rsidRDefault="00135FCD" w:rsidP="00135F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38FA" w14:textId="77777777" w:rsidR="00135FCD" w:rsidRDefault="00135FCD" w:rsidP="00135FCD">
      <w:pPr>
        <w:spacing w:after="0" w:line="240" w:lineRule="auto"/>
      </w:pPr>
      <w:r>
        <w:separator/>
      </w:r>
    </w:p>
  </w:footnote>
  <w:footnote w:type="continuationSeparator" w:id="0">
    <w:p w14:paraId="46DC02B9" w14:textId="77777777" w:rsidR="00135FCD" w:rsidRDefault="00135FCD" w:rsidP="0013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675A" w14:textId="77777777" w:rsidR="00135FCD" w:rsidRPr="00135FCD" w:rsidRDefault="00135FCD" w:rsidP="00135F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342B" w14:textId="77777777" w:rsidR="00135FCD" w:rsidRPr="00135FCD" w:rsidRDefault="00135FCD" w:rsidP="00135F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436" w14:textId="77777777" w:rsidR="00135FCD" w:rsidRPr="00135FCD" w:rsidRDefault="00135FCD" w:rsidP="00135F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CD"/>
    <w:rsid w:val="00135FCD"/>
    <w:rsid w:val="002C3CEE"/>
    <w:rsid w:val="002E3E61"/>
    <w:rsid w:val="002F2239"/>
    <w:rsid w:val="006D72D4"/>
    <w:rsid w:val="008A7685"/>
    <w:rsid w:val="009722E4"/>
    <w:rsid w:val="00A4777C"/>
    <w:rsid w:val="00C955E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FC38"/>
  <w15:chartTrackingRefBased/>
  <w15:docId w15:val="{E98D91F0-40EC-4009-8858-A3FD4819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5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5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5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5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5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5F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F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F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F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5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5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5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5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5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FCD"/>
    <w:rPr>
      <w:rFonts w:eastAsiaTheme="majorEastAsia" w:cstheme="majorBidi"/>
      <w:color w:val="272727" w:themeColor="text1" w:themeTint="D8"/>
    </w:rPr>
  </w:style>
  <w:style w:type="paragraph" w:styleId="Titel">
    <w:name w:val="Title"/>
    <w:basedOn w:val="Standaard"/>
    <w:next w:val="Standaard"/>
    <w:link w:val="TitelChar"/>
    <w:uiPriority w:val="10"/>
    <w:qFormat/>
    <w:rsid w:val="00135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5F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5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FCD"/>
    <w:rPr>
      <w:i/>
      <w:iCs/>
      <w:color w:val="404040" w:themeColor="text1" w:themeTint="BF"/>
    </w:rPr>
  </w:style>
  <w:style w:type="paragraph" w:styleId="Lijstalinea">
    <w:name w:val="List Paragraph"/>
    <w:basedOn w:val="Standaard"/>
    <w:uiPriority w:val="34"/>
    <w:qFormat/>
    <w:rsid w:val="00135FCD"/>
    <w:pPr>
      <w:ind w:left="720"/>
      <w:contextualSpacing/>
    </w:pPr>
  </w:style>
  <w:style w:type="character" w:styleId="Intensievebenadrukking">
    <w:name w:val="Intense Emphasis"/>
    <w:basedOn w:val="Standaardalinea-lettertype"/>
    <w:uiPriority w:val="21"/>
    <w:qFormat/>
    <w:rsid w:val="00135FCD"/>
    <w:rPr>
      <w:i/>
      <w:iCs/>
      <w:color w:val="0F4761" w:themeColor="accent1" w:themeShade="BF"/>
    </w:rPr>
  </w:style>
  <w:style w:type="paragraph" w:styleId="Duidelijkcitaat">
    <w:name w:val="Intense Quote"/>
    <w:basedOn w:val="Standaard"/>
    <w:next w:val="Standaard"/>
    <w:link w:val="DuidelijkcitaatChar"/>
    <w:uiPriority w:val="30"/>
    <w:qFormat/>
    <w:rsid w:val="00135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5FCD"/>
    <w:rPr>
      <w:i/>
      <w:iCs/>
      <w:color w:val="0F4761" w:themeColor="accent1" w:themeShade="BF"/>
    </w:rPr>
  </w:style>
  <w:style w:type="character" w:styleId="Intensieveverwijzing">
    <w:name w:val="Intense Reference"/>
    <w:basedOn w:val="Standaardalinea-lettertype"/>
    <w:uiPriority w:val="32"/>
    <w:qFormat/>
    <w:rsid w:val="00135FCD"/>
    <w:rPr>
      <w:b/>
      <w:bCs/>
      <w:smallCaps/>
      <w:color w:val="0F4761" w:themeColor="accent1" w:themeShade="BF"/>
      <w:spacing w:val="5"/>
    </w:rPr>
  </w:style>
  <w:style w:type="paragraph" w:styleId="Koptekst">
    <w:name w:val="header"/>
    <w:basedOn w:val="Standaard"/>
    <w:link w:val="KoptekstChar1"/>
    <w:rsid w:val="00135F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35FCD"/>
  </w:style>
  <w:style w:type="paragraph" w:styleId="Voettekst">
    <w:name w:val="footer"/>
    <w:basedOn w:val="Standaard"/>
    <w:link w:val="VoettekstChar1"/>
    <w:rsid w:val="00135F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35FCD"/>
  </w:style>
  <w:style w:type="paragraph" w:customStyle="1" w:styleId="Huisstijl-Adres">
    <w:name w:val="Huisstijl-Adres"/>
    <w:basedOn w:val="Standaard"/>
    <w:link w:val="Huisstijl-AdresChar"/>
    <w:rsid w:val="00135F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35FCD"/>
    <w:rPr>
      <w:rFonts w:ascii="Verdana" w:hAnsi="Verdana"/>
      <w:noProof/>
      <w:sz w:val="13"/>
      <w:szCs w:val="24"/>
      <w:lang w:eastAsia="nl-NL"/>
    </w:rPr>
  </w:style>
  <w:style w:type="paragraph" w:customStyle="1" w:styleId="Huisstijl-Gegeven">
    <w:name w:val="Huisstijl-Gegeven"/>
    <w:basedOn w:val="Standaard"/>
    <w:link w:val="Huisstijl-GegevenCharChar"/>
    <w:rsid w:val="00135F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35F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35F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35F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35FCD"/>
    <w:pPr>
      <w:spacing w:after="0"/>
    </w:pPr>
    <w:rPr>
      <w:b/>
    </w:rPr>
  </w:style>
  <w:style w:type="paragraph" w:customStyle="1" w:styleId="Huisstijl-Paginanummering">
    <w:name w:val="Huisstijl-Paginanummering"/>
    <w:basedOn w:val="Standaard"/>
    <w:rsid w:val="00135F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35F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35F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35FC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35FC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35FC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D7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1037</ap:Words>
  <ap:Characters>5708</ap:Characters>
  <ap:DocSecurity>0</ap:DocSecurity>
  <ap:Lines>47</ap:Lines>
  <ap:Paragraphs>13</ap:Paragraphs>
  <ap:ScaleCrop>false</ap:ScaleCrop>
  <ap:LinksUpToDate>false</ap:LinksUpToDate>
  <ap:CharactersWithSpaces>6732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2025-12-09T11:11:00.0000000Z</dcterms:created>
  <dcterms:modified xsi:type="dcterms:W3CDTF">2025-12-09T11:11:00.0000000Z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