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4C4D" w:rsidRDefault="003A4C4D" w14:paraId="06F1F113" w14:textId="37B2FC88">
      <w:r w:rsidRPr="003A4C4D">
        <w:rPr>
          <w:rFonts w:ascii="Times New Roman" w:hAnsi="Times New Roman" w:cs="Times New Roman"/>
          <w:b/>
          <w:bCs/>
        </w:rPr>
        <w:t>33576</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sidRPr="003A4C4D">
        <w:rPr>
          <w:rFonts w:ascii="Times New Roman" w:hAnsi="Times New Roman" w:cs="Times New Roman"/>
          <w:b/>
          <w:bCs/>
        </w:rPr>
        <w:t>Natuurbeleid</w:t>
      </w:r>
    </w:p>
    <w:p w:rsidR="003A4C4D" w:rsidP="0013505E" w:rsidRDefault="003A4C4D" w14:paraId="151AA405" w14:textId="0ABA0AEC">
      <w:pPr>
        <w:spacing w:line="259" w:lineRule="auto"/>
        <w:rPr>
          <w:rFonts w:ascii="Times New Roman" w:hAnsi="Times New Roman" w:cs="Times New Roman"/>
          <w:b/>
          <w:bCs/>
        </w:rPr>
      </w:pPr>
    </w:p>
    <w:p w:rsidRPr="003A4C4D" w:rsidR="008D70D2" w:rsidP="003A4C4D" w:rsidRDefault="003A4C4D" w14:paraId="017F73ED" w14:textId="10E84BEE">
      <w:pPr>
        <w:spacing w:line="259" w:lineRule="auto"/>
        <w:ind w:left="1410" w:hanging="1410"/>
        <w:rPr>
          <w:rFonts w:ascii="Times New Roman" w:hAnsi="Times New Roman" w:cs="Times New Roman"/>
          <w:b/>
          <w:bCs/>
        </w:rPr>
      </w:pPr>
      <w:r>
        <w:rPr>
          <w:rFonts w:ascii="Times New Roman" w:hAnsi="Times New Roman" w:cs="Times New Roman"/>
          <w:b/>
          <w:bCs/>
        </w:rPr>
        <w:t xml:space="preserve">Nr. </w:t>
      </w:r>
      <w:r w:rsidR="00087A7C">
        <w:rPr>
          <w:rFonts w:ascii="Times New Roman" w:hAnsi="Times New Roman" w:cs="Times New Roman"/>
          <w:b/>
          <w:bCs/>
        </w:rPr>
        <w:t>470</w:t>
      </w:r>
      <w:r>
        <w:rPr>
          <w:rFonts w:ascii="Times New Roman" w:hAnsi="Times New Roman" w:cs="Times New Roman"/>
          <w:b/>
          <w:bCs/>
        </w:rPr>
        <w:tab/>
      </w:r>
      <w:r>
        <w:rPr>
          <w:rFonts w:ascii="Times New Roman" w:hAnsi="Times New Roman" w:cs="Times New Roman"/>
          <w:b/>
          <w:bCs/>
        </w:rPr>
        <w:tab/>
        <w:t>V</w:t>
      </w:r>
      <w:r w:rsidRPr="0013505E" w:rsidR="0013505E">
        <w:rPr>
          <w:rFonts w:ascii="Times New Roman" w:hAnsi="Times New Roman" w:cs="Times New Roman"/>
          <w:b/>
          <w:bCs/>
        </w:rPr>
        <w:t>erslag van de rapporteur</w:t>
      </w:r>
      <w:r>
        <w:rPr>
          <w:rFonts w:ascii="Times New Roman" w:hAnsi="Times New Roman" w:cs="Times New Roman"/>
          <w:b/>
          <w:bCs/>
        </w:rPr>
        <w:br/>
      </w:r>
      <w:r w:rsidRPr="0013505E" w:rsidR="008D70D2">
        <w:rPr>
          <w:rFonts w:ascii="Times New Roman" w:hAnsi="Times New Roman" w:cs="Times New Roman"/>
        </w:rPr>
        <w:t xml:space="preserve">Vastgesteld </w:t>
      </w:r>
      <w:r>
        <w:rPr>
          <w:rFonts w:ascii="Times New Roman" w:hAnsi="Times New Roman" w:cs="Times New Roman"/>
        </w:rPr>
        <w:t>3 december 2025</w:t>
      </w:r>
    </w:p>
    <w:p w:rsidRPr="0013505E" w:rsidR="008D70D2" w:rsidP="0013505E" w:rsidRDefault="008D70D2" w14:paraId="0D91EB79" w14:textId="77777777">
      <w:pPr>
        <w:spacing w:line="259" w:lineRule="auto"/>
        <w:rPr>
          <w:rFonts w:ascii="Times New Roman" w:hAnsi="Times New Roman" w:cs="Times New Roman"/>
        </w:rPr>
      </w:pPr>
    </w:p>
    <w:p w:rsidRPr="0013505E" w:rsidR="008D70D2" w:rsidP="0013505E" w:rsidRDefault="008D70D2" w14:paraId="118EFBE1" w14:textId="77777777">
      <w:pPr>
        <w:spacing w:line="259" w:lineRule="auto"/>
        <w:rPr>
          <w:rFonts w:ascii="Times New Roman" w:hAnsi="Times New Roman" w:cs="Times New Roman"/>
          <w:b/>
          <w:bCs/>
        </w:rPr>
      </w:pPr>
      <w:r w:rsidRPr="0013505E">
        <w:rPr>
          <w:rFonts w:ascii="Times New Roman" w:hAnsi="Times New Roman" w:cs="Times New Roman"/>
          <w:b/>
          <w:bCs/>
        </w:rPr>
        <w:t>Introductie</w:t>
      </w:r>
    </w:p>
    <w:p w:rsidRPr="0013505E" w:rsidR="008D70D2" w:rsidP="0013505E" w:rsidRDefault="008D70D2" w14:paraId="24FA9071" w14:textId="77777777">
      <w:pPr>
        <w:spacing w:line="259" w:lineRule="auto"/>
        <w:rPr>
          <w:rFonts w:ascii="Times New Roman" w:hAnsi="Times New Roman" w:cs="Times New Roman"/>
        </w:rPr>
      </w:pPr>
      <w:r w:rsidRPr="0013505E">
        <w:rPr>
          <w:rFonts w:ascii="Times New Roman" w:hAnsi="Times New Roman" w:cs="Times New Roman"/>
        </w:rPr>
        <w:t xml:space="preserve">Tijdens de strategische procedurevergadering van 20 november 2024 heeft u besloten mij namens de vaste commissie van Landbouw, Visserij, Voedselzekerheid en Natuur (LVVN) aan te stellen als EU-rapporteur op de inbreukprocedure Vogelrichtlijn. Aanleiding voor het rapporteurschap is het </w:t>
      </w:r>
      <w:hyperlink w:history="1" r:id="rId9">
        <w:r w:rsidRPr="0013505E">
          <w:rPr>
            <w:rStyle w:val="Hyperlink"/>
            <w:rFonts w:ascii="Times New Roman" w:hAnsi="Times New Roman" w:cs="Times New Roman"/>
          </w:rPr>
          <w:t>besluit</w:t>
        </w:r>
      </w:hyperlink>
      <w:r w:rsidRPr="0013505E">
        <w:rPr>
          <w:rFonts w:ascii="Times New Roman" w:hAnsi="Times New Roman" w:cs="Times New Roman"/>
        </w:rPr>
        <w:t xml:space="preserve"> van de Europese Commissie (EC) van 25 juli 2024 om een inbreukprocedure tegen Nederland te starten wegens het niet in voldoende mate implementeren van de maatregelen die vereist zijn ter bescherming van de grutto (en andere landbouwvogelsoorten) op grond van de Vogelrichtlijn (</w:t>
      </w:r>
      <w:hyperlink w:history="1" r:id="rId10">
        <w:r w:rsidRPr="0013505E">
          <w:rPr>
            <w:rStyle w:val="Hyperlink"/>
            <w:rFonts w:ascii="Times New Roman" w:hAnsi="Times New Roman" w:cs="Times New Roman"/>
          </w:rPr>
          <w:t>Richtlijn 2009/147/EG</w:t>
        </w:r>
      </w:hyperlink>
      <w:r w:rsidRPr="0013505E">
        <w:rPr>
          <w:rFonts w:ascii="Times New Roman" w:hAnsi="Times New Roman" w:cs="Times New Roman"/>
        </w:rPr>
        <w:t>).</w:t>
      </w:r>
    </w:p>
    <w:p w:rsidRPr="0013505E" w:rsidR="008D70D2" w:rsidP="0013505E" w:rsidRDefault="008D70D2" w14:paraId="7DD31CBA" w14:textId="77777777">
      <w:pPr>
        <w:spacing w:line="259" w:lineRule="auto"/>
        <w:rPr>
          <w:rFonts w:ascii="Times New Roman" w:hAnsi="Times New Roman" w:cs="Times New Roman"/>
        </w:rPr>
      </w:pPr>
      <w:r w:rsidRPr="0013505E">
        <w:rPr>
          <w:rFonts w:ascii="Times New Roman" w:hAnsi="Times New Roman" w:cs="Times New Roman"/>
        </w:rPr>
        <w:t>In dit tussentijdse verslag worden de belangrijkste bevindingen samengevat en de ondernomen activiteiten toegelicht. Ook doe ik een voorstel voor het vervolg van het rapporteurschap.</w:t>
      </w:r>
    </w:p>
    <w:p w:rsidRPr="0013505E" w:rsidR="008D70D2" w:rsidP="0013505E" w:rsidRDefault="008D70D2" w14:paraId="27020152" w14:textId="77777777">
      <w:pPr>
        <w:spacing w:line="259" w:lineRule="auto"/>
        <w:rPr>
          <w:rFonts w:ascii="Times New Roman" w:hAnsi="Times New Roman" w:cs="Times New Roman"/>
          <w:b/>
          <w:bCs/>
        </w:rPr>
      </w:pPr>
      <w:r w:rsidRPr="0013505E">
        <w:rPr>
          <w:rFonts w:ascii="Times New Roman" w:hAnsi="Times New Roman" w:cs="Times New Roman"/>
          <w:b/>
          <w:bCs/>
        </w:rPr>
        <w:t>Aanbevelingen van de rapporteur</w:t>
      </w:r>
    </w:p>
    <w:p w:rsidRPr="0013505E" w:rsidR="008D70D2" w:rsidP="0013505E" w:rsidRDefault="008D70D2" w14:paraId="087DB587" w14:textId="320330FD">
      <w:pPr>
        <w:spacing w:line="259" w:lineRule="auto"/>
        <w:rPr>
          <w:rFonts w:ascii="Times New Roman" w:hAnsi="Times New Roman" w:cs="Times New Roman"/>
        </w:rPr>
      </w:pPr>
      <w:r w:rsidRPr="0013505E">
        <w:rPr>
          <w:rFonts w:ascii="Times New Roman" w:hAnsi="Times New Roman" w:cs="Times New Roman"/>
        </w:rPr>
        <w:t xml:space="preserve">De commissie LVVN kan zo spoedig mogelijk (een) rapporteur(s) aanstellen na de installatie van de nieuwe Kamer om continuïteit op dit dossier te waarborgen.  </w:t>
      </w:r>
    </w:p>
    <w:p w:rsidRPr="0013505E" w:rsidR="008D70D2" w:rsidP="0013505E" w:rsidRDefault="008D70D2" w14:paraId="59A9A720" w14:textId="77777777">
      <w:pPr>
        <w:spacing w:line="259" w:lineRule="auto"/>
        <w:rPr>
          <w:rFonts w:ascii="Times New Roman" w:hAnsi="Times New Roman" w:cs="Times New Roman"/>
          <w:b/>
          <w:bCs/>
        </w:rPr>
      </w:pPr>
      <w:r w:rsidRPr="0013505E">
        <w:rPr>
          <w:rFonts w:ascii="Times New Roman" w:hAnsi="Times New Roman" w:cs="Times New Roman"/>
          <w:b/>
          <w:bCs/>
        </w:rPr>
        <w:t>Doel van het EU-rapporteurschap</w:t>
      </w:r>
    </w:p>
    <w:p w:rsidRPr="0013505E" w:rsidR="008D70D2" w:rsidP="0013505E" w:rsidRDefault="008D70D2" w14:paraId="5C7D6179" w14:textId="77777777">
      <w:pPr>
        <w:spacing w:line="259" w:lineRule="auto"/>
        <w:rPr>
          <w:rFonts w:ascii="Times New Roman" w:hAnsi="Times New Roman" w:cs="Times New Roman"/>
        </w:rPr>
      </w:pPr>
      <w:r w:rsidRPr="0013505E">
        <w:rPr>
          <w:rFonts w:ascii="Times New Roman" w:hAnsi="Times New Roman" w:cs="Times New Roman"/>
        </w:rPr>
        <w:t xml:space="preserve">Het rapporteurschap zal zich richten op de lopende inbreukprocedure wegens het niet in voldoende mate implementeren van de maatregelen die vereist zijn ter bescherming van de grutto en andere landbouwvogelsoorten op grond van de Vogelrichtlijn. Daarbij zal het doel van het rapporteurschap zijn: </w:t>
      </w:r>
    </w:p>
    <w:p w:rsidRPr="0013505E" w:rsidR="008D70D2" w:rsidP="0013505E" w:rsidRDefault="008D70D2" w14:paraId="5111398B" w14:textId="2A66E80A">
      <w:pPr>
        <w:pStyle w:val="Lijstalinea"/>
        <w:numPr>
          <w:ilvl w:val="0"/>
          <w:numId w:val="2"/>
        </w:numPr>
        <w:spacing w:line="259" w:lineRule="auto"/>
        <w:rPr>
          <w:rFonts w:ascii="Times New Roman" w:hAnsi="Times New Roman" w:cs="Times New Roman"/>
        </w:rPr>
      </w:pPr>
      <w:r w:rsidRPr="0013505E">
        <w:rPr>
          <w:rFonts w:ascii="Times New Roman" w:hAnsi="Times New Roman" w:cs="Times New Roman"/>
        </w:rPr>
        <w:t xml:space="preserve">Om de inbreukprocedure, wat een vertrouwelijke en soms moeilijk te doorgronden procedure is, zo nauwgezet mogelijk te volgen; en </w:t>
      </w:r>
    </w:p>
    <w:p w:rsidRPr="0013505E" w:rsidR="008D70D2" w:rsidP="0013505E" w:rsidRDefault="008D70D2" w14:paraId="1CD97A7E" w14:textId="2D15BF6B">
      <w:pPr>
        <w:pStyle w:val="Lijstalinea"/>
        <w:numPr>
          <w:ilvl w:val="0"/>
          <w:numId w:val="2"/>
        </w:numPr>
        <w:spacing w:line="259" w:lineRule="auto"/>
        <w:rPr>
          <w:rFonts w:ascii="Times New Roman" w:hAnsi="Times New Roman" w:cs="Times New Roman"/>
        </w:rPr>
      </w:pPr>
      <w:r w:rsidRPr="0013505E">
        <w:rPr>
          <w:rFonts w:ascii="Times New Roman" w:hAnsi="Times New Roman" w:cs="Times New Roman"/>
        </w:rPr>
        <w:t>De informatiepositie van de Kamer daarbij te versterken.</w:t>
      </w:r>
    </w:p>
    <w:p w:rsidRPr="0013505E" w:rsidR="008D70D2" w:rsidP="0013505E" w:rsidRDefault="008D70D2" w14:paraId="5E3CE3F3" w14:textId="77777777">
      <w:pPr>
        <w:spacing w:line="259" w:lineRule="auto"/>
        <w:rPr>
          <w:rFonts w:ascii="Times New Roman" w:hAnsi="Times New Roman" w:cs="Times New Roman"/>
          <w:b/>
          <w:bCs/>
        </w:rPr>
      </w:pPr>
      <w:r w:rsidRPr="0013505E">
        <w:rPr>
          <w:rFonts w:ascii="Times New Roman" w:hAnsi="Times New Roman" w:cs="Times New Roman"/>
          <w:b/>
          <w:bCs/>
        </w:rPr>
        <w:t>Ondernomen activiteiten</w:t>
      </w:r>
    </w:p>
    <w:p w:rsidRPr="0013505E" w:rsidR="008D70D2" w:rsidP="0013505E" w:rsidRDefault="008D70D2" w14:paraId="50938B56" w14:textId="77777777">
      <w:pPr>
        <w:spacing w:line="259" w:lineRule="auto"/>
        <w:rPr>
          <w:rFonts w:ascii="Times New Roman" w:hAnsi="Times New Roman" w:cs="Times New Roman"/>
        </w:rPr>
      </w:pPr>
      <w:r w:rsidRPr="0013505E">
        <w:rPr>
          <w:rFonts w:ascii="Times New Roman" w:hAnsi="Times New Roman" w:cs="Times New Roman"/>
        </w:rPr>
        <w:t xml:space="preserve">Conform de mandaatnotitie hebben de EU-adviseur en ik een </w:t>
      </w:r>
      <w:hyperlink w:history="1" r:id="rId11">
        <w:r w:rsidRPr="0013505E">
          <w:rPr>
            <w:rStyle w:val="Hyperlink"/>
            <w:rFonts w:ascii="Times New Roman" w:hAnsi="Times New Roman" w:cs="Times New Roman"/>
          </w:rPr>
          <w:t>notitie</w:t>
        </w:r>
      </w:hyperlink>
      <w:r w:rsidRPr="0013505E">
        <w:rPr>
          <w:rFonts w:ascii="Times New Roman" w:hAnsi="Times New Roman" w:cs="Times New Roman"/>
        </w:rPr>
        <w:t xml:space="preserve"> opgesteld over de inbreukprocedure Vogelrichtlijn. Deze notitie gaat in op het algemene proces van inbreukprocedures, waarna vervolgens specifieker in kaart gebracht wordt hoe het proces tot dusver verliep tot en met maart 2024.</w:t>
      </w:r>
    </w:p>
    <w:p w:rsidRPr="0013505E" w:rsidR="008D70D2" w:rsidP="0013505E" w:rsidRDefault="008D70D2" w14:paraId="47553B7B" w14:textId="77777777">
      <w:pPr>
        <w:spacing w:line="259" w:lineRule="auto"/>
        <w:rPr>
          <w:rFonts w:ascii="Times New Roman" w:hAnsi="Times New Roman" w:cs="Times New Roman"/>
        </w:rPr>
      </w:pPr>
      <w:r w:rsidRPr="0013505E">
        <w:rPr>
          <w:rFonts w:ascii="Times New Roman" w:hAnsi="Times New Roman" w:cs="Times New Roman"/>
        </w:rPr>
        <w:t xml:space="preserve">Ook zijn er </w:t>
      </w:r>
      <w:hyperlink w:history="1" r:id="rId12">
        <w:r w:rsidRPr="0013505E">
          <w:rPr>
            <w:rStyle w:val="Hyperlink"/>
            <w:rFonts w:ascii="Times New Roman" w:hAnsi="Times New Roman" w:cs="Times New Roman"/>
          </w:rPr>
          <w:t>informatieafspraken</w:t>
        </w:r>
      </w:hyperlink>
      <w:r w:rsidRPr="0013505E">
        <w:rPr>
          <w:rFonts w:ascii="Times New Roman" w:hAnsi="Times New Roman" w:cs="Times New Roman"/>
        </w:rPr>
        <w:t xml:space="preserve"> gemaakt met de staatssecretaris van LVVN. Omdat de inhoud van een inbreukprocedure vertrouwelijk is en stukken uit een dergelijke procedure niet openbaar gedeeld mogen worden, heeft de staatssecretaris toegezegd de Kamer tijdig te informeren over de formele stappen in het proces en over de voorgenomen beleidsmaatregelen die hieruit voortvloeien.</w:t>
      </w:r>
    </w:p>
    <w:p w:rsidRPr="0013505E" w:rsidR="008D70D2" w:rsidP="0013505E" w:rsidRDefault="008D70D2" w14:paraId="7572D5B6" w14:textId="77777777">
      <w:pPr>
        <w:spacing w:line="259" w:lineRule="auto"/>
        <w:rPr>
          <w:rFonts w:ascii="Times New Roman" w:hAnsi="Times New Roman" w:cs="Times New Roman"/>
          <w:b/>
          <w:bCs/>
        </w:rPr>
      </w:pPr>
      <w:r w:rsidRPr="0013505E">
        <w:rPr>
          <w:rFonts w:ascii="Times New Roman" w:hAnsi="Times New Roman" w:cs="Times New Roman"/>
          <w:b/>
          <w:bCs/>
        </w:rPr>
        <w:t>Bevindingen van de rapporteur</w:t>
      </w:r>
    </w:p>
    <w:p w:rsidRPr="0013505E" w:rsidR="008D70D2" w:rsidP="0013505E" w:rsidRDefault="008D70D2" w14:paraId="7E39F535" w14:textId="77777777">
      <w:pPr>
        <w:spacing w:line="259" w:lineRule="auto"/>
        <w:rPr>
          <w:rFonts w:ascii="Times New Roman" w:hAnsi="Times New Roman" w:cs="Times New Roman"/>
        </w:rPr>
      </w:pPr>
      <w:r w:rsidRPr="0013505E">
        <w:rPr>
          <w:rFonts w:ascii="Times New Roman" w:hAnsi="Times New Roman" w:cs="Times New Roman"/>
        </w:rPr>
        <w:lastRenderedPageBreak/>
        <w:t>Op 17 juli 2025 heeft de staatssecretaris een Kamerbrief verstuurd over het met redenen omkleed advies (MROA) aangaande de grutto (</w:t>
      </w:r>
      <w:hyperlink w:history="1" r:id="rId13">
        <w:r w:rsidRPr="0013505E">
          <w:rPr>
            <w:rStyle w:val="Hyperlink"/>
            <w:rFonts w:ascii="Times New Roman" w:hAnsi="Times New Roman" w:cs="Times New Roman"/>
          </w:rPr>
          <w:t>Kamerstuk 33576, nr. 463</w:t>
        </w:r>
      </w:hyperlink>
      <w:r w:rsidRPr="0013505E">
        <w:rPr>
          <w:rFonts w:ascii="Times New Roman" w:hAnsi="Times New Roman" w:cs="Times New Roman"/>
        </w:rPr>
        <w:t xml:space="preserve">). Deze inbreukprocedure richt zich op de bescherming van de grutto. In een MROA zet de EC uiteen waarom het van mening is dat de lidstaat niet handelt in overeenstemming met de Europese wetgeving en wordt het expliciete verzoek gedaan om aan de Europese wetgeving te voldoen. Na ontvangst van MROA moet de lidstaat binnen de door de EC vastgestelde termijn, doorgaans twee maanden, reageren. Hierbij moet de lidstaat aangeven welke maatregelen het voornemens is om te nemen zodat het gaat handelen conform de Europese wetgeving. De EC kan een rechtszaak starten bij het Europees Hof van Justitie, indien de EC de reactie van de lidstaat nog steeds onvoldoende acht. Het persbericht van de EC licht kort toe waarom zij heeft besloten een MROA te sturen: “Op 24 juli 2024 heeft de Commissie besloten een inbreukprocedure in te leiden door Nederland een aanmaningsbrief te sturen wegens niet-nakoming van zijn verplichtingen om de grutto te beschermen. De Nederlandse autoriteiten hebben weliswaar geantwoord met een </w:t>
      </w:r>
      <w:hyperlink w:history="1" r:id="rId14">
        <w:r w:rsidRPr="0013505E">
          <w:rPr>
            <w:rStyle w:val="Hyperlink"/>
            <w:rFonts w:ascii="Times New Roman" w:hAnsi="Times New Roman" w:cs="Times New Roman"/>
          </w:rPr>
          <w:t>lijst maatregelen</w:t>
        </w:r>
      </w:hyperlink>
      <w:r w:rsidRPr="0013505E">
        <w:rPr>
          <w:rFonts w:ascii="Times New Roman" w:hAnsi="Times New Roman" w:cs="Times New Roman"/>
        </w:rPr>
        <w:t>, maar tot dusver zijn deze niet breed genoeg geïmplementeerd om de aanhoudende afname van de soort te keren door landbouwpraktijken aan te passen om broedsucces te garanderen. Bovendien is de aanwijzing van nieuwe sites waar de vogel in aanzienlijke aantallen broedt, nog niet uitgevoerd.”</w:t>
      </w:r>
    </w:p>
    <w:p w:rsidRPr="0013505E" w:rsidR="008D70D2" w:rsidP="0013505E" w:rsidRDefault="008D70D2" w14:paraId="585896D9" w14:textId="23935D11">
      <w:pPr>
        <w:spacing w:line="259" w:lineRule="auto"/>
        <w:rPr>
          <w:rFonts w:ascii="Times New Roman" w:hAnsi="Times New Roman" w:cs="Times New Roman"/>
        </w:rPr>
      </w:pPr>
      <w:r w:rsidRPr="0013505E">
        <w:rPr>
          <w:rFonts w:ascii="Times New Roman" w:hAnsi="Times New Roman" w:cs="Times New Roman"/>
        </w:rPr>
        <w:t xml:space="preserve">Als reactie op de eerdergenoemde Kamerbrief heeft de commissie LVVN de staatssecretaris </w:t>
      </w:r>
      <w:hyperlink w:history="1" r:id="rId15">
        <w:r w:rsidRPr="0013505E">
          <w:rPr>
            <w:rStyle w:val="Hyperlink"/>
            <w:rFonts w:ascii="Times New Roman" w:hAnsi="Times New Roman" w:cs="Times New Roman"/>
          </w:rPr>
          <w:t>verzocht</w:t>
        </w:r>
      </w:hyperlink>
      <w:r w:rsidRPr="0013505E">
        <w:rPr>
          <w:rFonts w:ascii="Times New Roman" w:hAnsi="Times New Roman" w:cs="Times New Roman"/>
        </w:rPr>
        <w:t xml:space="preserve"> om inzage te geven in de Nederlandse reactie op het met redenen omkleed advies inzake de Vogelrichtlijn aangaande de grutto. Rond het einde van 2025 vindt er een besloten technische briefing plaats met de commissie LVVN over de Nederlandse reactie op dat advies.</w:t>
      </w:r>
    </w:p>
    <w:p w:rsidRPr="0013505E" w:rsidR="008D70D2" w:rsidP="0013505E" w:rsidRDefault="008D70D2" w14:paraId="599FECC8" w14:textId="77777777">
      <w:pPr>
        <w:spacing w:line="259" w:lineRule="auto"/>
        <w:rPr>
          <w:rFonts w:ascii="Times New Roman" w:hAnsi="Times New Roman" w:cs="Times New Roman"/>
          <w:b/>
          <w:bCs/>
        </w:rPr>
      </w:pPr>
      <w:r w:rsidRPr="0013505E">
        <w:rPr>
          <w:rFonts w:ascii="Times New Roman" w:hAnsi="Times New Roman" w:cs="Times New Roman"/>
          <w:b/>
          <w:bCs/>
        </w:rPr>
        <w:t xml:space="preserve">Vervolg van het EU-rapporteurschap </w:t>
      </w:r>
    </w:p>
    <w:p w:rsidR="00F5000F" w:rsidP="0013505E" w:rsidRDefault="008D70D2" w14:paraId="6AD4B8F3" w14:textId="674B8859">
      <w:pPr>
        <w:spacing w:line="259" w:lineRule="auto"/>
        <w:rPr>
          <w:rFonts w:ascii="Times New Roman" w:hAnsi="Times New Roman" w:cs="Times New Roman"/>
        </w:rPr>
      </w:pPr>
      <w:r w:rsidRPr="0013505E">
        <w:rPr>
          <w:rFonts w:ascii="Times New Roman" w:hAnsi="Times New Roman" w:cs="Times New Roman"/>
        </w:rPr>
        <w:t>Na het Verkiezingsreces 2025 is het aan de nieuwe Kamer om te bepalen of en wanneer de activiteiten uit de mandaatnotitie (het werkbezoek aan Brussel) worden voortgezet, en of er een (nieuwe) rapporteur(s) voor dit dossier worden aangesteld.</w:t>
      </w:r>
    </w:p>
    <w:p w:rsidR="008C6805" w:rsidP="0013505E" w:rsidRDefault="008C6805" w14:paraId="70D91B27" w14:textId="77777777">
      <w:pPr>
        <w:spacing w:line="259" w:lineRule="auto"/>
        <w:rPr>
          <w:rFonts w:ascii="Times New Roman" w:hAnsi="Times New Roman" w:cs="Times New Roman"/>
        </w:rPr>
      </w:pPr>
    </w:p>
    <w:p w:rsidRPr="0013505E" w:rsidR="008C6805" w:rsidP="0013505E" w:rsidRDefault="008C6805" w14:paraId="4141291C" w14:textId="55CC5C02">
      <w:pPr>
        <w:spacing w:line="259" w:lineRule="auto"/>
        <w:rPr>
          <w:rFonts w:ascii="Times New Roman" w:hAnsi="Times New Roman" w:cs="Times New Roman"/>
        </w:rPr>
      </w:pPr>
      <w:r>
        <w:rPr>
          <w:rFonts w:ascii="Times New Roman" w:hAnsi="Times New Roman" w:cs="Times New Roman"/>
        </w:rPr>
        <w:t>Bromet</w:t>
      </w:r>
    </w:p>
    <w:sectPr w:rsidRPr="0013505E" w:rsidR="008C680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77426"/>
    <w:multiLevelType w:val="hybridMultilevel"/>
    <w:tmpl w:val="6E5E9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DD7696"/>
    <w:multiLevelType w:val="hybridMultilevel"/>
    <w:tmpl w:val="3552DB8A"/>
    <w:lvl w:ilvl="0" w:tplc="95567B5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1567625">
    <w:abstractNumId w:val="0"/>
  </w:num>
  <w:num w:numId="2" w16cid:durableId="621691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D2"/>
    <w:rsid w:val="00087A7C"/>
    <w:rsid w:val="0013505E"/>
    <w:rsid w:val="003A4C4D"/>
    <w:rsid w:val="00465E4F"/>
    <w:rsid w:val="004E2587"/>
    <w:rsid w:val="00574693"/>
    <w:rsid w:val="00677E84"/>
    <w:rsid w:val="008C6805"/>
    <w:rsid w:val="008D70D2"/>
    <w:rsid w:val="009228E8"/>
    <w:rsid w:val="00B07DED"/>
    <w:rsid w:val="00CB32F9"/>
    <w:rsid w:val="00E34EC6"/>
    <w:rsid w:val="00F5000F"/>
    <w:rsid w:val="00F768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D639"/>
  <w15:chartTrackingRefBased/>
  <w15:docId w15:val="{5A910D3E-DC45-485D-94E1-C74BD39E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7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7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70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70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70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70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70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70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70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70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70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70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70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70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70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70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70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70D2"/>
    <w:rPr>
      <w:rFonts w:eastAsiaTheme="majorEastAsia" w:cstheme="majorBidi"/>
      <w:color w:val="272727" w:themeColor="text1" w:themeTint="D8"/>
    </w:rPr>
  </w:style>
  <w:style w:type="paragraph" w:styleId="Titel">
    <w:name w:val="Title"/>
    <w:basedOn w:val="Standaard"/>
    <w:next w:val="Standaard"/>
    <w:link w:val="TitelChar"/>
    <w:uiPriority w:val="10"/>
    <w:qFormat/>
    <w:rsid w:val="008D7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70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70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70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70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70D2"/>
    <w:rPr>
      <w:i/>
      <w:iCs/>
      <w:color w:val="404040" w:themeColor="text1" w:themeTint="BF"/>
    </w:rPr>
  </w:style>
  <w:style w:type="paragraph" w:styleId="Lijstalinea">
    <w:name w:val="List Paragraph"/>
    <w:basedOn w:val="Standaard"/>
    <w:uiPriority w:val="34"/>
    <w:qFormat/>
    <w:rsid w:val="008D70D2"/>
    <w:pPr>
      <w:ind w:left="720"/>
      <w:contextualSpacing/>
    </w:pPr>
  </w:style>
  <w:style w:type="character" w:styleId="Intensievebenadrukking">
    <w:name w:val="Intense Emphasis"/>
    <w:basedOn w:val="Standaardalinea-lettertype"/>
    <w:uiPriority w:val="21"/>
    <w:qFormat/>
    <w:rsid w:val="008D70D2"/>
    <w:rPr>
      <w:i/>
      <w:iCs/>
      <w:color w:val="0F4761" w:themeColor="accent1" w:themeShade="BF"/>
    </w:rPr>
  </w:style>
  <w:style w:type="paragraph" w:styleId="Duidelijkcitaat">
    <w:name w:val="Intense Quote"/>
    <w:basedOn w:val="Standaard"/>
    <w:next w:val="Standaard"/>
    <w:link w:val="DuidelijkcitaatChar"/>
    <w:uiPriority w:val="30"/>
    <w:qFormat/>
    <w:rsid w:val="008D7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70D2"/>
    <w:rPr>
      <w:i/>
      <w:iCs/>
      <w:color w:val="0F4761" w:themeColor="accent1" w:themeShade="BF"/>
    </w:rPr>
  </w:style>
  <w:style w:type="character" w:styleId="Intensieveverwijzing">
    <w:name w:val="Intense Reference"/>
    <w:basedOn w:val="Standaardalinea-lettertype"/>
    <w:uiPriority w:val="32"/>
    <w:qFormat/>
    <w:rsid w:val="008D70D2"/>
    <w:rPr>
      <w:b/>
      <w:bCs/>
      <w:smallCaps/>
      <w:color w:val="0F4761" w:themeColor="accent1" w:themeShade="BF"/>
      <w:spacing w:val="5"/>
    </w:rPr>
  </w:style>
  <w:style w:type="character" w:styleId="Hyperlink">
    <w:name w:val="Hyperlink"/>
    <w:basedOn w:val="Standaardalinea-lettertype"/>
    <w:uiPriority w:val="99"/>
    <w:unhideWhenUsed/>
    <w:rsid w:val="008D70D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weedekamer.nl/kamerstukken/brieven_regering/detail?id=2025Z14783&amp;did=2025D34020" TargetMode="External" Id="rId13" /><Relationship Type="http://schemas.openxmlformats.org/officeDocument/2006/relationships/settings" Target="settings.xml" Id="rId7" /><Relationship Type="http://schemas.openxmlformats.org/officeDocument/2006/relationships/hyperlink" Target="https://www.tweedekamer.nl/kamerstukken/brieven_regering/detail?id=2025Z05568&amp;did=2025D12824"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yperlink" Target="https://parlisweb.tweedekamer.nl/parlis/document.aspx?Id=2d9af475-97a8-45c4-89d9-8f5d76851a89" TargetMode="External" Id="rId11" /><Relationship Type="http://schemas.openxmlformats.org/officeDocument/2006/relationships/numbering" Target="numbering.xml" Id="rId5" /><Relationship Type="http://schemas.openxmlformats.org/officeDocument/2006/relationships/hyperlink" Target="https://parlisweb.tweedekamer.nl/parlis/document.aspx?Id=8fb389e6-72a3-4b9f-bc18-c2ac1405eb0b" TargetMode="External" Id="rId15" /><Relationship Type="http://schemas.openxmlformats.org/officeDocument/2006/relationships/hyperlink" Target="https://eur-lex.europa.eu/legal-content/NL/TXT/?uri=celex%3A32009L0147" TargetMode="External" Id="rId10" /><Relationship Type="http://schemas.openxmlformats.org/officeDocument/2006/relationships/hyperlink" Target="https://ec.europa.eu/commission/presscorner/detail/en/inf_24_3228" TargetMode="External" Id="rId9" /><Relationship Type="http://schemas.openxmlformats.org/officeDocument/2006/relationships/hyperlink" Target="https://parlisweb.tweedekamer.nl/parlis/document.aspx?Id=2d9af475-97a8-45c4-89d9-8f5d76851a89" TargetMode="Externa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791</ap:Words>
  <ap:Characters>4356</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2025-12-03T09:49:00.0000000Z</dcterms:created>
  <dcterms:modified xsi:type="dcterms:W3CDTF">2025-12-03T09:52:00.0000000Z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0x010100C4E075D92ED4A643950DF9846180BB15</vt:lpwstr>
  </property>
  <property fmtid="{D5CDD505-2E9C-101B-9397-08002B2CF9AE}" pid="3" name="_dlc_DocIdItemGuid">
    <vt:lpwstr>b583b0d7-4424-48bc-a2cc-17daac563c61</vt:lpwstr>
  </property>
</Properties>
</file>