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360" w:rsidRDefault="009F46C3" w14:paraId="3BD2785F" w14:textId="77777777">
      <w:pPr>
        <w:pStyle w:val="StandaardAanhef"/>
      </w:pPr>
      <w:r>
        <w:t>Geachte voorzitter,</w:t>
      </w:r>
    </w:p>
    <w:p w:rsidRPr="00A1744B" w:rsidR="00A1744B" w:rsidP="00A1744B" w:rsidRDefault="00A1744B" w14:paraId="1460BA7E" w14:textId="77777777">
      <w:r w:rsidRPr="00A1744B">
        <w:t xml:space="preserve">Naar aanleiding van het verzoek van de vaste commissie voor Financiën van 19 november jl. met kenmerk 36678/2025D47345 bericht ik u, mede namens de </w:t>
      </w:r>
      <w:r w:rsidR="005E7082">
        <w:t>s</w:t>
      </w:r>
      <w:r w:rsidRPr="00A1744B">
        <w:t>taatssecretaris van Justitie en Veiligheid, over het verwachte tijdpad ten aanzien van het Omnibus I-pakket en de betekenis daarvan voor het wetsvoorstel ter implementatie van de richtlijn duurzaamheidsrapportering (Kamerstukken 36678) (hierna: implementatiewetsvoorstel).</w:t>
      </w:r>
    </w:p>
    <w:p w:rsidR="00A1744B" w:rsidP="00A1744B" w:rsidRDefault="00A1744B" w14:paraId="5DDF2F6A" w14:textId="77777777"/>
    <w:p w:rsidRPr="00A1744B" w:rsidR="00A1744B" w:rsidP="00A1744B" w:rsidRDefault="00A1744B" w14:paraId="562AE5D3" w14:textId="77777777">
      <w:pPr>
        <w:rPr>
          <w:b/>
          <w:bCs/>
        </w:rPr>
      </w:pPr>
      <w:r>
        <w:rPr>
          <w:b/>
          <w:bCs/>
        </w:rPr>
        <w:t>Achtergrond</w:t>
      </w:r>
    </w:p>
    <w:p w:rsidRPr="00095BE9" w:rsidR="00095BE9" w:rsidP="00095BE9" w:rsidRDefault="00A1744B" w14:paraId="46BFB435" w14:textId="77777777">
      <w:r w:rsidRPr="00A1744B">
        <w:t xml:space="preserve">Het implementatiewetsvoorstel implementeert richtlijn (EU) 2022/2464 over duurzaamheidsrapportering door ondernemingen (hierna: CSRD) en ziet vooral op de voorschriften voor het </w:t>
      </w:r>
      <w:proofErr w:type="spellStart"/>
      <w:r w:rsidRPr="00A1744B">
        <w:t>assurance</w:t>
      </w:r>
      <w:proofErr w:type="spellEnd"/>
      <w:r w:rsidRPr="00A1744B">
        <w:t xml:space="preserve">-onderzoek van de </w:t>
      </w:r>
      <w:r>
        <w:t>d</w:t>
      </w:r>
      <w:r w:rsidRPr="00A1744B">
        <w:t xml:space="preserve">uurzaamheidsrapportering dat een externe accountant verricht. Daarnaast wordt de CSRD geïmplementeerd in het voorstel voor het Implementatiebesluit richtlijn duurzaamheidsrapportering (hierna: ontwerpimplementatiebesluit). Het ontwerpimplementatiebesluit verplicht ondernemingen om over duurzaamheidskwesties te rapporteren. Het ontwerpimplementatiebesluit is in het kader van een voorhangprocedure door de </w:t>
      </w:r>
      <w:r w:rsidR="000413B2">
        <w:t>s</w:t>
      </w:r>
      <w:r w:rsidRPr="00A1744B">
        <w:t xml:space="preserve">taatssecretaris van Justitie en Veiligheid aan het </w:t>
      </w:r>
      <w:r w:rsidR="000413B2">
        <w:t>p</w:t>
      </w:r>
      <w:r w:rsidRPr="00A1744B">
        <w:t>arlement gezonden.</w:t>
      </w:r>
      <w:r w:rsidRPr="00A1744B">
        <w:rPr>
          <w:vertAlign w:val="superscript"/>
        </w:rPr>
        <w:footnoteReference w:id="1"/>
      </w:r>
      <w:r w:rsidRPr="00A1744B">
        <w:t xml:space="preserve"> De invoering van de rapportageverplichting geschiedt gefaseerd, waarbij de eerste groep ondernemingen vanaf boekjaar 2024 moet rapporteren.</w:t>
      </w:r>
      <w:r w:rsidRPr="00A1744B">
        <w:rPr>
          <w:vertAlign w:val="superscript"/>
        </w:rPr>
        <w:footnoteReference w:id="2"/>
      </w:r>
      <w:r w:rsidR="00DC15D9">
        <w:rPr>
          <w:vertAlign w:val="superscript"/>
        </w:rPr>
        <w:t xml:space="preserve"> </w:t>
      </w:r>
      <w:r w:rsidRPr="00A1744B" w:rsidR="00DC15D9">
        <w:t xml:space="preserve">De CSRD moest op 6 juli 2024 zijn geïmplementeerd in nationale wetgeving. </w:t>
      </w:r>
      <w:r w:rsidR="00DC15D9">
        <w:t xml:space="preserve">De Europese Commissie heeft op 26 september 2024 een inbreukprocedure gestart tegen Nederland wegens </w:t>
      </w:r>
      <w:r w:rsidR="0081211B">
        <w:t>niet-tijdige</w:t>
      </w:r>
      <w:r w:rsidR="00DC15D9">
        <w:t xml:space="preserve"> implementatie</w:t>
      </w:r>
      <w:r w:rsidR="00095BE9">
        <w:t>. Hierover is u</w:t>
      </w:r>
      <w:r w:rsidRPr="00095BE9" w:rsidR="00095BE9">
        <w:t xml:space="preserve">w Kamer eerder geïnformeerd </w:t>
      </w:r>
      <w:r w:rsidR="00095BE9">
        <w:t xml:space="preserve">in (onder meer) </w:t>
      </w:r>
      <w:r w:rsidRPr="00095BE9" w:rsidR="00095BE9">
        <w:t>de nota naar aanleiding van het verslag bij het implementatiewetsvoorstel.</w:t>
      </w:r>
      <w:r w:rsidR="00095BE9">
        <w:rPr>
          <w:rStyle w:val="Voetnootmarkering"/>
        </w:rPr>
        <w:footnoteReference w:id="3"/>
      </w:r>
      <w:r w:rsidR="00F05A03">
        <w:t xml:space="preserve"> Met inachtneming van onderstaande voorstellen, streeft het kabinet ernaar om de implementatie zo spoedig mogelijk af te ronden.</w:t>
      </w:r>
    </w:p>
    <w:p w:rsidRPr="00095BE9" w:rsidR="00095BE9" w:rsidP="00095BE9" w:rsidRDefault="00095BE9" w14:paraId="437125F4" w14:textId="77777777"/>
    <w:p w:rsidR="00C475D3" w:rsidRDefault="00C475D3" w14:paraId="66C9CD2B" w14:textId="77777777">
      <w:pPr>
        <w:spacing w:line="240" w:lineRule="auto"/>
        <w:rPr>
          <w:b/>
          <w:bCs/>
        </w:rPr>
      </w:pPr>
      <w:r>
        <w:rPr>
          <w:b/>
          <w:bCs/>
        </w:rPr>
        <w:br w:type="page"/>
      </w:r>
    </w:p>
    <w:p w:rsidRPr="00A1744B" w:rsidR="00A1744B" w:rsidP="00A1744B" w:rsidRDefault="00A1744B" w14:paraId="66D0C80E" w14:textId="77777777">
      <w:r w:rsidRPr="00A1744B">
        <w:rPr>
          <w:b/>
          <w:bCs/>
        </w:rPr>
        <w:lastRenderedPageBreak/>
        <w:t>Omnibus I-pakket</w:t>
      </w:r>
      <w:r w:rsidRPr="00A1744B">
        <w:br/>
        <w:t>Tijdens het implementatietraject heeft de Europese Commissie het Omnibus I-pakket gepresenteerd om de CSRD te vereenvoudigen.</w:t>
      </w:r>
      <w:r w:rsidRPr="00A1744B">
        <w:rPr>
          <w:vertAlign w:val="superscript"/>
        </w:rPr>
        <w:footnoteReference w:id="4"/>
      </w:r>
      <w:r w:rsidRPr="00A1744B">
        <w:t xml:space="preserve"> Het betreft twee richtlijnen:</w:t>
      </w:r>
    </w:p>
    <w:p w:rsidRPr="00A1744B" w:rsidR="00A1744B" w:rsidP="00A1744B" w:rsidRDefault="00A1744B" w14:paraId="7297AE54" w14:textId="77777777">
      <w:pPr>
        <w:pStyle w:val="Lijstalinea"/>
        <w:numPr>
          <w:ilvl w:val="0"/>
          <w:numId w:val="8"/>
        </w:numPr>
      </w:pPr>
      <w:r w:rsidRPr="00A1744B">
        <w:t>Een procedurele richtlijn (</w:t>
      </w:r>
      <w:r w:rsidR="000413B2">
        <w:t>een zogenoemde ‘s</w:t>
      </w:r>
      <w:r w:rsidRPr="00A1744B">
        <w:t>top-de-klok-richtlijn</w:t>
      </w:r>
      <w:r w:rsidR="000413B2">
        <w:t>’</w:t>
      </w:r>
      <w:r>
        <w:t>)</w:t>
      </w:r>
      <w:r w:rsidRPr="00A1744B">
        <w:rPr>
          <w:vertAlign w:val="superscript"/>
        </w:rPr>
        <w:footnoteReference w:id="5"/>
      </w:r>
      <w:r w:rsidRPr="00A1744B">
        <w:t xml:space="preserve"> die de verplichtingen onder de CSRD met twee jaar uitstelt voor ondernemingen die vanaf boekjaar 2025 en 2026 moesten rapporteren;</w:t>
      </w:r>
    </w:p>
    <w:p w:rsidRPr="00A1744B" w:rsidR="00A1744B" w:rsidP="00A1744B" w:rsidRDefault="00A1744B" w14:paraId="4007C646" w14:textId="77777777">
      <w:pPr>
        <w:pStyle w:val="Lijstalinea"/>
        <w:numPr>
          <w:ilvl w:val="0"/>
          <w:numId w:val="8"/>
        </w:numPr>
      </w:pPr>
      <w:r w:rsidRPr="00A1744B">
        <w:t>Een inhoudelijke richtlijn (hierna: wijzigingsrichtlijn), die hoofdzakelijk ziet op een beperking van het aantal ondernemingen dat moet rapporteren.</w:t>
      </w:r>
    </w:p>
    <w:p w:rsidRPr="00A1744B" w:rsidR="00A1744B" w:rsidP="00A1744B" w:rsidRDefault="00A1744B" w14:paraId="054E4BB7" w14:textId="77777777">
      <w:r w:rsidRPr="00A1744B">
        <w:t>Daarnaast werkt de Commissie aan een uitvoeringsverordening waarin zij de standaarden (ESRS) vereenvoudigt, op basis waarvan gerapporteerd moet worden.</w:t>
      </w:r>
      <w:r w:rsidRPr="00A1744B">
        <w:rPr>
          <w:vertAlign w:val="superscript"/>
        </w:rPr>
        <w:footnoteReference w:id="6"/>
      </w:r>
    </w:p>
    <w:p w:rsidRPr="00A1744B" w:rsidR="00A1744B" w:rsidP="00A1744B" w:rsidRDefault="00A1744B" w14:paraId="27BB6E9E" w14:textId="77777777"/>
    <w:p w:rsidRPr="00A1744B" w:rsidR="00A1744B" w:rsidP="00A1744B" w:rsidRDefault="00A1744B" w14:paraId="5C8F73A5" w14:textId="77777777">
      <w:r w:rsidRPr="00A1744B">
        <w:t xml:space="preserve">Het uitstel dat is geregeld in de </w:t>
      </w:r>
      <w:r w:rsidR="000413B2">
        <w:t>s</w:t>
      </w:r>
      <w:r w:rsidRPr="00A1744B">
        <w:t xml:space="preserve">top-de-klok-richtlijn voorkomt dat ondernemingen moeten gaan rapporteren, terwijl ze dat mogelijk na invoering van de wijzigingsrichtlijn niet meer hoeven te doen. De </w:t>
      </w:r>
      <w:r w:rsidR="000413B2">
        <w:t>s</w:t>
      </w:r>
      <w:r w:rsidRPr="00A1744B">
        <w:t>top-de-klok-richtlijn is reeds in het implementatiewetsvoorstel verwerkt met een nota van wijziging die op 11 juni 2025 aan uw Kamer is gezonden.</w:t>
      </w:r>
      <w:r w:rsidRPr="00A1744B">
        <w:rPr>
          <w:vertAlign w:val="superscript"/>
        </w:rPr>
        <w:footnoteReference w:id="7"/>
      </w:r>
      <w:r w:rsidRPr="00A1744B">
        <w:t xml:space="preserve"> De </w:t>
      </w:r>
      <w:r w:rsidR="000413B2">
        <w:t>s</w:t>
      </w:r>
      <w:r w:rsidRPr="00A1744B">
        <w:t>top-de-klok-richtlijn is ook verwerkt in het ontwerpimplementatiebesluit.</w:t>
      </w:r>
      <w:r w:rsidRPr="00A1744B">
        <w:rPr>
          <w:vertAlign w:val="superscript"/>
        </w:rPr>
        <w:footnoteReference w:id="8"/>
      </w:r>
      <w:r w:rsidRPr="00A1744B">
        <w:t xml:space="preserve"> Deze richtlijn moet uiterlijk 31 december 2025 worden geïmplementeerd.</w:t>
      </w:r>
    </w:p>
    <w:p w:rsidRPr="00A1744B" w:rsidR="00A1744B" w:rsidP="00A1744B" w:rsidRDefault="00A1744B" w14:paraId="06546F64" w14:textId="77777777"/>
    <w:p w:rsidRPr="00A1744B" w:rsidR="00A1744B" w:rsidP="00A1744B" w:rsidRDefault="00A1744B" w14:paraId="7041F8C3" w14:textId="77777777">
      <w:r w:rsidRPr="00A1744B">
        <w:t xml:space="preserve">Inmiddels zijn de onderhandelingen over de wijzigingsrichtlijn in de </w:t>
      </w:r>
      <w:proofErr w:type="spellStart"/>
      <w:r w:rsidRPr="00A1744B">
        <w:t>triloogfase</w:t>
      </w:r>
      <w:proofErr w:type="spellEnd"/>
      <w:r w:rsidRPr="00A1744B">
        <w:t>.</w:t>
      </w:r>
      <w:r w:rsidRPr="00A1744B">
        <w:rPr>
          <w:vertAlign w:val="superscript"/>
        </w:rPr>
        <w:footnoteReference w:id="9"/>
      </w:r>
      <w:r w:rsidRPr="00A1744B">
        <w:t xml:space="preserve"> Het belangrijkste punt van de onderhandelingen op het terrein van de CSRD is het toepassingsbereik van de duurzaamheidsrapportageverplichting vanaf boekja</w:t>
      </w:r>
      <w:r w:rsidR="005E7082">
        <w:t>ar</w:t>
      </w:r>
      <w:r w:rsidRPr="00A1744B">
        <w:t xml:space="preserve"> 2027. De verschillende posities zijn hieronder weergegeven. </w:t>
      </w:r>
    </w:p>
    <w:p w:rsidRPr="00A1744B" w:rsidR="00A1744B" w:rsidP="00A1744B" w:rsidRDefault="00A1744B" w14:paraId="2DF13BD7" w14:textId="77777777"/>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16"/>
        <w:gridCol w:w="4668"/>
      </w:tblGrid>
      <w:tr w:rsidRPr="00A1744B" w:rsidR="00A1744B" w:rsidTr="00A1744B" w14:paraId="6DE8BF6E" w14:textId="77777777">
        <w:tc>
          <w:tcPr>
            <w:tcW w:w="2830" w:type="dxa"/>
          </w:tcPr>
          <w:p w:rsidRPr="00A1744B" w:rsidR="00A1744B" w:rsidP="00A1744B" w:rsidRDefault="00A1744B" w14:paraId="1A916945" w14:textId="77777777">
            <w:pPr>
              <w:rPr>
                <w:b/>
                <w:bCs/>
              </w:rPr>
            </w:pPr>
            <w:r w:rsidRPr="00A1744B">
              <w:rPr>
                <w:b/>
                <w:bCs/>
              </w:rPr>
              <w:t>Voorstel Europese Commissie</w:t>
            </w:r>
            <w:r>
              <w:rPr>
                <w:b/>
                <w:bCs/>
              </w:rPr>
              <w:t>:</w:t>
            </w:r>
          </w:p>
        </w:tc>
        <w:tc>
          <w:tcPr>
            <w:tcW w:w="4701" w:type="dxa"/>
          </w:tcPr>
          <w:p w:rsidRPr="00A1744B" w:rsidR="00A1744B" w:rsidP="00A1744B" w:rsidRDefault="00A1744B" w14:paraId="57803E74" w14:textId="77777777">
            <w:r w:rsidRPr="00A1744B">
              <w:t>Ondernemingen met meer dan 1.000 werknemers die hetzij een netto-omzet van meer dan EUR 50 miljoen, hetzij een balanstotaal van meer dan EUR 25 miljoen hebben</w:t>
            </w:r>
          </w:p>
        </w:tc>
      </w:tr>
      <w:tr w:rsidRPr="00A1744B" w:rsidR="00A1744B" w:rsidTr="00A1744B" w14:paraId="0903769D" w14:textId="77777777">
        <w:tc>
          <w:tcPr>
            <w:tcW w:w="2830" w:type="dxa"/>
          </w:tcPr>
          <w:p w:rsidRPr="00A1744B" w:rsidR="00A1744B" w:rsidP="00A1744B" w:rsidRDefault="00A1744B" w14:paraId="1504D041" w14:textId="77777777">
            <w:pPr>
              <w:rPr>
                <w:b/>
                <w:bCs/>
              </w:rPr>
            </w:pPr>
            <w:r w:rsidRPr="00A1744B">
              <w:rPr>
                <w:b/>
                <w:bCs/>
              </w:rPr>
              <w:t>Raadsakkoord</w:t>
            </w:r>
            <w:r>
              <w:rPr>
                <w:b/>
                <w:bCs/>
              </w:rPr>
              <w:t>:</w:t>
            </w:r>
          </w:p>
        </w:tc>
        <w:tc>
          <w:tcPr>
            <w:tcW w:w="4701" w:type="dxa"/>
          </w:tcPr>
          <w:p w:rsidRPr="00A1744B" w:rsidR="00A1744B" w:rsidP="00A1744B" w:rsidRDefault="00A1744B" w14:paraId="74B619AA" w14:textId="77777777">
            <w:r w:rsidRPr="00A1744B">
              <w:t>Ondernemingen met meer dan 1.000 werknemers en een netto-omzet van meer dan EUR 450 miljoen</w:t>
            </w:r>
          </w:p>
        </w:tc>
      </w:tr>
      <w:tr w:rsidRPr="00A1744B" w:rsidR="00A1744B" w:rsidTr="00A1744B" w14:paraId="545C3849" w14:textId="77777777">
        <w:tc>
          <w:tcPr>
            <w:tcW w:w="2830" w:type="dxa"/>
          </w:tcPr>
          <w:p w:rsidRPr="00A1744B" w:rsidR="00A1744B" w:rsidP="00A1744B" w:rsidRDefault="00A1744B" w14:paraId="64EA0F38" w14:textId="77777777">
            <w:pPr>
              <w:rPr>
                <w:b/>
                <w:bCs/>
              </w:rPr>
            </w:pPr>
            <w:r w:rsidRPr="00A1744B">
              <w:rPr>
                <w:b/>
                <w:bCs/>
              </w:rPr>
              <w:t>Positie Europees Parlement</w:t>
            </w:r>
            <w:r>
              <w:rPr>
                <w:b/>
                <w:bCs/>
              </w:rPr>
              <w:t>:</w:t>
            </w:r>
          </w:p>
        </w:tc>
        <w:tc>
          <w:tcPr>
            <w:tcW w:w="4701" w:type="dxa"/>
          </w:tcPr>
          <w:p w:rsidRPr="00A1744B" w:rsidR="00A1744B" w:rsidP="00A1744B" w:rsidRDefault="00A1744B" w14:paraId="0256BB4D" w14:textId="77777777">
            <w:r w:rsidRPr="00A1744B">
              <w:t>Ondernemingen met meer dan 1.750 werknemers en een netto-omzet van meer dan EUR 450 miljoen</w:t>
            </w:r>
          </w:p>
        </w:tc>
      </w:tr>
    </w:tbl>
    <w:p w:rsidR="00A1744B" w:rsidP="00A1744B" w:rsidRDefault="00A1744B" w14:paraId="70E83504" w14:textId="77777777"/>
    <w:p w:rsidRPr="00A1744B" w:rsidR="00A1744B" w:rsidP="00A1744B" w:rsidRDefault="0AFB0572" w14:paraId="1746CBE6" w14:textId="77777777">
      <w:r>
        <w:t>Omdat de posities van de Raad en het Europees Parlement niet onoverbrugbaar ver uit elkaar liggen, verwacht ik dat het bereiken van een triloogakkoord op korte termijn mogelijk is. Het Deense voorzitterschap van de Raad streeft ernaar om nog voor het einde van dit jaar een akkoord te bereiken. De lidstaten hebben op basis van de huidige teksten één jaar om de richtlijn te implementeren.</w:t>
      </w:r>
    </w:p>
    <w:p w:rsidR="000413B2" w:rsidP="00A1744B" w:rsidRDefault="000413B2" w14:paraId="1208EA55" w14:textId="77777777">
      <w:pPr>
        <w:rPr>
          <w:b/>
          <w:bCs/>
        </w:rPr>
      </w:pPr>
    </w:p>
    <w:p w:rsidR="00A1744B" w:rsidP="00A1744B" w:rsidRDefault="00A1744B" w14:paraId="7B12860F" w14:textId="77777777">
      <w:r w:rsidRPr="00A1744B">
        <w:rPr>
          <w:b/>
          <w:bCs/>
        </w:rPr>
        <w:t>Verwerking wijzigingsrichtlijn in het wetsvoorstel</w:t>
      </w:r>
      <w:r w:rsidRPr="00A1744B">
        <w:br/>
        <w:t>Gezien de voortgang van de onderhandelingen over de wijzigingsrichtlijn en de korte implementatietermijn, heeft het de voorkeur van het kabinet om de implementatie van dit voorstel mee te nemen in het huidige implementatietraject voor de CSRD.</w:t>
      </w:r>
      <w:r w:rsidRPr="00A1744B">
        <w:rPr>
          <w:vertAlign w:val="superscript"/>
        </w:rPr>
        <w:footnoteReference w:id="10"/>
      </w:r>
      <w:r w:rsidRPr="00A1744B">
        <w:t xml:space="preserve"> Dit biedt de mogelijkheid om het nieuwe toepassingsbereik vanaf boekjaren 2027 </w:t>
      </w:r>
      <w:r w:rsidRPr="00DC15D9" w:rsidR="00DC15D9">
        <w:t>in een keer goed te implementeren, overigens met inachtneming van de verplichting om voor de eerste groep ondernemingen (organisaties van openbaar belang met meer dan 500 werknemers) de CSRD te implementeren vanaf boekjaar 2024</w:t>
      </w:r>
      <w:r w:rsidRPr="00A1744B">
        <w:t>. Er zou anders eerst een wetsvoorstel in werking treden dat op dat moment alweer voor een deel achterhaald is door de wijzigingsrichtlijn. Vervolgens zou een nieuw wetsvoorstel nodig zijn om het toepassingsbereik en andere wijzigingen in lijn te brengen met de wijzigingsrichtlijn. Dit zou binnen de korte implementatietermijn wellicht niet haalbaar zijn.</w:t>
      </w:r>
    </w:p>
    <w:p w:rsidRPr="00A1744B" w:rsidR="00A1744B" w:rsidP="00A1744B" w:rsidRDefault="00A1744B" w14:paraId="10ADDCB9" w14:textId="77777777"/>
    <w:p w:rsidRPr="00A1744B" w:rsidR="00A1744B" w:rsidP="00A1744B" w:rsidRDefault="00A1744B" w14:paraId="78F94EA4" w14:textId="77777777">
      <w:r w:rsidRPr="00A1744B">
        <w:t xml:space="preserve">Het implementatiewetsvoorstel zal worden </w:t>
      </w:r>
      <w:r>
        <w:t>gewijzigd</w:t>
      </w:r>
      <w:r w:rsidRPr="00A1744B">
        <w:t xml:space="preserve"> door de reikwijdte in lijn te brengen met het </w:t>
      </w:r>
      <w:proofErr w:type="spellStart"/>
      <w:r w:rsidRPr="00A1744B">
        <w:t>triloogakkoord</w:t>
      </w:r>
      <w:proofErr w:type="spellEnd"/>
      <w:r w:rsidRPr="00A1744B">
        <w:t xml:space="preserve">. In dit kader merk ik nog op dat in het Raadsakkoord een lidstaatoptie is opgenomen om ondernemingen die vanaf boekjaar 2024 moeten rapporteren maar niet meer vanaf boekjaar 2027, voor de boekjaren 2025 en 2026 vrij te stellen van de rapportageverplichting. Het kabinet blijft zich inspannen voor het behoud van deze optie in het </w:t>
      </w:r>
      <w:proofErr w:type="spellStart"/>
      <w:r w:rsidRPr="00A1744B">
        <w:t>triloogakkoord</w:t>
      </w:r>
      <w:proofErr w:type="spellEnd"/>
      <w:r w:rsidRPr="00A1744B">
        <w:t xml:space="preserve">, zodat Nederland daarvan gebruik kan maken. Ook andere wijzigingen uit het </w:t>
      </w:r>
      <w:proofErr w:type="spellStart"/>
      <w:r w:rsidRPr="00A1744B">
        <w:t>triloogakkoord</w:t>
      </w:r>
      <w:proofErr w:type="spellEnd"/>
      <w:r w:rsidRPr="00A1744B">
        <w:t xml:space="preserve"> zullen in het implementatiewetsvoorstel worden </w:t>
      </w:r>
      <w:r>
        <w:t>mee</w:t>
      </w:r>
      <w:r w:rsidRPr="00A1744B">
        <w:t xml:space="preserve">genomen. </w:t>
      </w:r>
    </w:p>
    <w:p w:rsidRPr="00A1744B" w:rsidR="00A1744B" w:rsidP="00A1744B" w:rsidRDefault="00A1744B" w14:paraId="0F4AD494" w14:textId="77777777"/>
    <w:p w:rsidRPr="00A1744B" w:rsidR="00A1744B" w:rsidP="00A1744B" w:rsidRDefault="00A1744B" w14:paraId="44C9F3ED" w14:textId="77777777">
      <w:r w:rsidRPr="00A1744B">
        <w:t xml:space="preserve">Zodra de wijzigingsrichtlijn is gepubliceerd, zal deze in een nota van wijziging worden verwerkt. Afhankelijk van de uiteindelijke tekst van de wijzigingsrichtlijn zal de nota van wijziging voor advies aan de Raad van State worden voorgelegd, </w:t>
      </w:r>
      <w:r>
        <w:t>voordat</w:t>
      </w:r>
      <w:r w:rsidRPr="00A1744B">
        <w:t xml:space="preserve"> deze aan uw Kamer wordt gestuurd. Ik </w:t>
      </w:r>
      <w:r>
        <w:t>geef</w:t>
      </w:r>
      <w:r w:rsidRPr="00A1744B">
        <w:t xml:space="preserve"> uw Kamer </w:t>
      </w:r>
      <w:r>
        <w:t>in overweging</w:t>
      </w:r>
      <w:r w:rsidRPr="00A1744B">
        <w:t xml:space="preserve"> om de behandeling van het wetsvoorstel </w:t>
      </w:r>
      <w:r>
        <w:t>aan te houden,</w:t>
      </w:r>
      <w:r w:rsidRPr="00A1744B">
        <w:t xml:space="preserve"> totdat die nota van wijziging uw Kamer heeft bereikt. Dan kan een inhoudelijke discussie plaatsvinden op basis van de wetgeving </w:t>
      </w:r>
      <w:r>
        <w:t>met inachtneming</w:t>
      </w:r>
      <w:r w:rsidRPr="00A1744B">
        <w:t xml:space="preserve"> van de definitieve tekst van de CSRD.</w:t>
      </w:r>
    </w:p>
    <w:p w:rsidRPr="00A1744B" w:rsidR="00A1744B" w:rsidP="00A1744B" w:rsidRDefault="00A1744B" w14:paraId="129FB3DA" w14:textId="77777777"/>
    <w:p w:rsidR="00C475D3" w:rsidRDefault="00C475D3" w14:paraId="13C36320" w14:textId="77777777">
      <w:pPr>
        <w:spacing w:line="240" w:lineRule="auto"/>
      </w:pPr>
      <w:r>
        <w:br w:type="page"/>
      </w:r>
    </w:p>
    <w:p w:rsidRPr="00A1744B" w:rsidR="00A1744B" w:rsidP="00A1744B" w:rsidRDefault="00A1744B" w14:paraId="49BE8D8E" w14:textId="77777777">
      <w:r w:rsidRPr="00A1744B">
        <w:lastRenderedPageBreak/>
        <w:t xml:space="preserve">De wijzigingsrichtlijn zal verder inhoudelijk wat betreft de rapportageverplichting en het toepassingsbereik ook worden verwerkt in het ontwerpimplementatiebesluit. Dit ontwerpbesluit zal dan opnieuw door de </w:t>
      </w:r>
      <w:r w:rsidR="005E7082">
        <w:t>s</w:t>
      </w:r>
      <w:r w:rsidRPr="00A1744B">
        <w:t>taatssecretaris van Justitie en Veiligheid aan de Tweede en de Eerste Kamer worden gezonden in het kader van de voorhangprocedure, alvorens de Raad van State om advies zal worden gevraagd.</w:t>
      </w:r>
    </w:p>
    <w:p w:rsidR="00C64360" w:rsidP="00A1744B" w:rsidRDefault="009F46C3" w14:paraId="2E494CA4" w14:textId="77777777">
      <w:pPr>
        <w:pStyle w:val="StandaardSlotzin"/>
      </w:pPr>
      <w:r>
        <w:t>Hoogachtend,</w:t>
      </w:r>
    </w:p>
    <w:p w:rsidR="00C64360" w:rsidRDefault="00C64360" w14:paraId="4D0DF11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64360" w14:paraId="2F42A122" w14:textId="77777777">
        <w:tc>
          <w:tcPr>
            <w:tcW w:w="3592" w:type="dxa"/>
          </w:tcPr>
          <w:p w:rsidR="00C475D3" w:rsidRDefault="009F46C3" w14:paraId="2AE5E993" w14:textId="77777777">
            <w:r>
              <w:t>de minister van Financiën,</w:t>
            </w:r>
            <w:r>
              <w:br/>
            </w:r>
            <w:r>
              <w:br/>
            </w:r>
          </w:p>
          <w:p w:rsidR="00C64360" w:rsidRDefault="009F46C3" w14:paraId="513E826B" w14:textId="77777777">
            <w:r>
              <w:br/>
            </w:r>
            <w:r>
              <w:br/>
              <w:t xml:space="preserve"> E. Heinen</w:t>
            </w:r>
          </w:p>
        </w:tc>
        <w:tc>
          <w:tcPr>
            <w:tcW w:w="3892" w:type="dxa"/>
          </w:tcPr>
          <w:p w:rsidR="00C64360" w:rsidRDefault="00C64360" w14:paraId="661E30CA" w14:textId="77777777"/>
        </w:tc>
      </w:tr>
    </w:tbl>
    <w:p w:rsidR="00C64360" w:rsidP="0081211B" w:rsidRDefault="00C64360" w14:paraId="2A2C5079" w14:textId="77777777">
      <w:pPr>
        <w:pStyle w:val="Verdana7"/>
      </w:pPr>
    </w:p>
    <w:sectPr w:rsidR="00C6436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F8C3" w14:textId="77777777" w:rsidR="009F46C3" w:rsidRDefault="009F46C3">
      <w:pPr>
        <w:spacing w:line="240" w:lineRule="auto"/>
      </w:pPr>
      <w:r>
        <w:separator/>
      </w:r>
    </w:p>
  </w:endnote>
  <w:endnote w:type="continuationSeparator" w:id="0">
    <w:p w14:paraId="1C633DA6" w14:textId="77777777" w:rsidR="009F46C3" w:rsidRDefault="009F4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9E87" w14:textId="77777777" w:rsidR="009F46C3" w:rsidRDefault="009F46C3">
      <w:pPr>
        <w:spacing w:line="240" w:lineRule="auto"/>
      </w:pPr>
      <w:r>
        <w:separator/>
      </w:r>
    </w:p>
  </w:footnote>
  <w:footnote w:type="continuationSeparator" w:id="0">
    <w:p w14:paraId="3D0EA798" w14:textId="77777777" w:rsidR="009F46C3" w:rsidRDefault="009F46C3">
      <w:pPr>
        <w:spacing w:line="240" w:lineRule="auto"/>
      </w:pPr>
      <w:r>
        <w:continuationSeparator/>
      </w:r>
    </w:p>
  </w:footnote>
  <w:footnote w:id="1">
    <w:p w14:paraId="6A0A0D5C" w14:textId="77777777" w:rsidR="00A1744B" w:rsidRPr="00AA7259" w:rsidRDefault="00A1744B" w:rsidP="00A1744B">
      <w:pPr>
        <w:pStyle w:val="Voetnoottekst"/>
        <w:rPr>
          <w:sz w:val="16"/>
          <w:szCs w:val="16"/>
        </w:rPr>
      </w:pPr>
      <w:r w:rsidRPr="00AA7259">
        <w:rPr>
          <w:rStyle w:val="Voetnootmarkering"/>
          <w:sz w:val="16"/>
          <w:szCs w:val="16"/>
        </w:rPr>
        <w:footnoteRef/>
      </w:r>
      <w:r w:rsidRPr="00AA7259">
        <w:rPr>
          <w:sz w:val="16"/>
          <w:szCs w:val="16"/>
        </w:rPr>
        <w:t xml:space="preserve"> Kamerstukken I/II 2024/25, 26485, nr. F/455, en zie ook het eerder voorgehangen </w:t>
      </w:r>
      <w:r>
        <w:rPr>
          <w:sz w:val="16"/>
          <w:szCs w:val="16"/>
        </w:rPr>
        <w:t>ontwerp</w:t>
      </w:r>
      <w:r w:rsidRPr="00AA7259">
        <w:rPr>
          <w:sz w:val="16"/>
          <w:szCs w:val="16"/>
        </w:rPr>
        <w:t>implementatiebesluit, Kamerstukken I/II 202</w:t>
      </w:r>
      <w:r>
        <w:rPr>
          <w:sz w:val="16"/>
          <w:szCs w:val="16"/>
        </w:rPr>
        <w:t>4</w:t>
      </w:r>
      <w:r w:rsidRPr="00AA7259">
        <w:rPr>
          <w:sz w:val="16"/>
          <w:szCs w:val="16"/>
        </w:rPr>
        <w:t>/2</w:t>
      </w:r>
      <w:r>
        <w:rPr>
          <w:sz w:val="16"/>
          <w:szCs w:val="16"/>
        </w:rPr>
        <w:t>5</w:t>
      </w:r>
      <w:r w:rsidRPr="00AA7259">
        <w:rPr>
          <w:sz w:val="16"/>
          <w:szCs w:val="16"/>
        </w:rPr>
        <w:t xml:space="preserve">, 26485, nr. </w:t>
      </w:r>
      <w:r>
        <w:rPr>
          <w:sz w:val="16"/>
          <w:szCs w:val="16"/>
        </w:rPr>
        <w:t>F</w:t>
      </w:r>
      <w:r w:rsidRPr="00AA7259">
        <w:rPr>
          <w:sz w:val="16"/>
          <w:szCs w:val="16"/>
        </w:rPr>
        <w:t>/4</w:t>
      </w:r>
      <w:r>
        <w:rPr>
          <w:sz w:val="16"/>
          <w:szCs w:val="16"/>
        </w:rPr>
        <w:t>55</w:t>
      </w:r>
      <w:r w:rsidRPr="00AA7259">
        <w:rPr>
          <w:sz w:val="16"/>
          <w:szCs w:val="16"/>
        </w:rPr>
        <w:t>.</w:t>
      </w:r>
    </w:p>
  </w:footnote>
  <w:footnote w:id="2">
    <w:p w14:paraId="1EAF5F8F" w14:textId="77777777" w:rsidR="00A1744B" w:rsidRPr="00AA7259" w:rsidRDefault="00A1744B" w:rsidP="00A1744B">
      <w:pPr>
        <w:pStyle w:val="Voetnoottekst"/>
        <w:rPr>
          <w:sz w:val="16"/>
          <w:szCs w:val="16"/>
        </w:rPr>
      </w:pPr>
      <w:r w:rsidRPr="00AA7259">
        <w:rPr>
          <w:rStyle w:val="Voetnootmarkering"/>
          <w:sz w:val="16"/>
          <w:szCs w:val="16"/>
        </w:rPr>
        <w:footnoteRef/>
      </w:r>
      <w:r w:rsidRPr="00AA7259">
        <w:rPr>
          <w:sz w:val="16"/>
          <w:szCs w:val="16"/>
        </w:rPr>
        <w:t xml:space="preserve"> Het betreft grote ondernemingen die organisaties van openbaar belang zijn en die op hun balansdatum het gemiddelde aantal van 500 werknemers per boekjaar overschrijden.</w:t>
      </w:r>
    </w:p>
  </w:footnote>
  <w:footnote w:id="3">
    <w:p w14:paraId="48F1C252" w14:textId="77777777" w:rsidR="00095BE9" w:rsidRPr="00F05A03" w:rsidRDefault="00095BE9">
      <w:pPr>
        <w:pStyle w:val="Voetnoottekst"/>
        <w:rPr>
          <w:sz w:val="16"/>
          <w:szCs w:val="16"/>
        </w:rPr>
      </w:pPr>
      <w:r w:rsidRPr="00F05A03">
        <w:rPr>
          <w:rStyle w:val="Voetnootmarkering"/>
          <w:sz w:val="16"/>
          <w:szCs w:val="16"/>
        </w:rPr>
        <w:footnoteRef/>
      </w:r>
      <w:r w:rsidRPr="00F05A03">
        <w:rPr>
          <w:sz w:val="16"/>
          <w:szCs w:val="16"/>
        </w:rPr>
        <w:t xml:space="preserve"> Kamerstukken II, 2025/26, 36 678, nr. 8</w:t>
      </w:r>
      <w:r>
        <w:rPr>
          <w:sz w:val="16"/>
          <w:szCs w:val="16"/>
        </w:rPr>
        <w:t>.</w:t>
      </w:r>
    </w:p>
  </w:footnote>
  <w:footnote w:id="4">
    <w:p w14:paraId="7DB8A7AA" w14:textId="77777777" w:rsidR="00A1744B" w:rsidRDefault="00A1744B" w:rsidP="00A1744B">
      <w:pPr>
        <w:pStyle w:val="Voetnoottekst"/>
      </w:pPr>
      <w:r w:rsidRPr="00AA7259">
        <w:rPr>
          <w:rStyle w:val="Voetnootmarkering"/>
          <w:sz w:val="16"/>
          <w:szCs w:val="16"/>
        </w:rPr>
        <w:footnoteRef/>
      </w:r>
      <w:r w:rsidRPr="00AA7259">
        <w:rPr>
          <w:sz w:val="16"/>
          <w:szCs w:val="16"/>
        </w:rPr>
        <w:t xml:space="preserve"> Zie ook het BNC-fiche bij het Omnibus I-pakket, Kamerstukken II 2024/25, 22112, nr. 4012.</w:t>
      </w:r>
    </w:p>
  </w:footnote>
  <w:footnote w:id="5">
    <w:p w14:paraId="300529D5" w14:textId="77777777" w:rsidR="00A1744B" w:rsidRPr="003756DB" w:rsidRDefault="00A1744B" w:rsidP="00A1744B">
      <w:pPr>
        <w:pStyle w:val="Voetnoottekst"/>
        <w:rPr>
          <w:sz w:val="16"/>
          <w:szCs w:val="16"/>
        </w:rPr>
      </w:pPr>
      <w:r w:rsidRPr="003756DB">
        <w:rPr>
          <w:rStyle w:val="Voetnootmarkering"/>
          <w:sz w:val="16"/>
          <w:szCs w:val="16"/>
        </w:rPr>
        <w:footnoteRef/>
      </w:r>
      <w:r w:rsidRPr="003756DB">
        <w:rPr>
          <w:sz w:val="16"/>
          <w:szCs w:val="16"/>
        </w:rPr>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6">
    <w:p w14:paraId="51229AA2" w14:textId="77777777" w:rsidR="00A1744B" w:rsidRPr="003756DB" w:rsidRDefault="00A1744B" w:rsidP="00A1744B">
      <w:pPr>
        <w:pStyle w:val="Voetnoottekst"/>
        <w:rPr>
          <w:sz w:val="16"/>
          <w:szCs w:val="16"/>
        </w:rPr>
      </w:pPr>
      <w:r w:rsidRPr="003756DB">
        <w:rPr>
          <w:rStyle w:val="Voetnootmarkering"/>
          <w:sz w:val="16"/>
          <w:szCs w:val="16"/>
        </w:rPr>
        <w:footnoteRef/>
      </w:r>
      <w:r w:rsidRPr="003756DB">
        <w:rPr>
          <w:sz w:val="16"/>
          <w:szCs w:val="16"/>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26 februari 2025, COM(2025) 81.</w:t>
      </w:r>
    </w:p>
  </w:footnote>
  <w:footnote w:id="7">
    <w:p w14:paraId="379312EB" w14:textId="77777777" w:rsidR="00A1744B" w:rsidRPr="00E94EF5" w:rsidRDefault="00A1744B" w:rsidP="00A1744B">
      <w:pPr>
        <w:pStyle w:val="Voetnoottekst"/>
        <w:rPr>
          <w:sz w:val="16"/>
          <w:szCs w:val="16"/>
        </w:rPr>
      </w:pPr>
      <w:r w:rsidRPr="00E94EF5">
        <w:rPr>
          <w:rStyle w:val="Voetnootmarkering"/>
          <w:sz w:val="16"/>
          <w:szCs w:val="16"/>
        </w:rPr>
        <w:footnoteRef/>
      </w:r>
      <w:r w:rsidRPr="00E94EF5">
        <w:rPr>
          <w:sz w:val="16"/>
          <w:szCs w:val="16"/>
        </w:rPr>
        <w:t xml:space="preserve"> Kamerstukken II 2024/25, 36678, nr. 6.</w:t>
      </w:r>
    </w:p>
  </w:footnote>
  <w:footnote w:id="8">
    <w:p w14:paraId="20498196" w14:textId="77777777" w:rsidR="00A1744B" w:rsidRPr="00E94EF5" w:rsidRDefault="00A1744B" w:rsidP="00A1744B">
      <w:pPr>
        <w:pStyle w:val="Voetnoottekst"/>
        <w:rPr>
          <w:sz w:val="16"/>
          <w:szCs w:val="16"/>
        </w:rPr>
      </w:pPr>
      <w:r w:rsidRPr="00E94EF5">
        <w:rPr>
          <w:rStyle w:val="Voetnootmarkering"/>
          <w:sz w:val="16"/>
          <w:szCs w:val="16"/>
        </w:rPr>
        <w:footnoteRef/>
      </w:r>
      <w:r w:rsidRPr="00E94EF5">
        <w:rPr>
          <w:sz w:val="16"/>
          <w:szCs w:val="16"/>
        </w:rPr>
        <w:t xml:space="preserve"> </w:t>
      </w:r>
      <w:bookmarkStart w:id="0" w:name="_Hlk214875708"/>
      <w:r w:rsidRPr="00E94EF5">
        <w:rPr>
          <w:sz w:val="16"/>
          <w:szCs w:val="16"/>
        </w:rPr>
        <w:t>Kamerstukken I/II 2024/25, 26485, nr. F/455.</w:t>
      </w:r>
      <w:bookmarkEnd w:id="0"/>
    </w:p>
  </w:footnote>
  <w:footnote w:id="9">
    <w:p w14:paraId="3EFD2485" w14:textId="77777777" w:rsidR="00A1744B" w:rsidRPr="006073CA" w:rsidRDefault="00A1744B" w:rsidP="00A1744B">
      <w:pPr>
        <w:pStyle w:val="Voetnoottekst"/>
        <w:rPr>
          <w:sz w:val="16"/>
          <w:szCs w:val="16"/>
        </w:rPr>
      </w:pPr>
      <w:r w:rsidRPr="006073CA">
        <w:rPr>
          <w:rStyle w:val="Voetnootmarkering"/>
          <w:sz w:val="16"/>
          <w:szCs w:val="16"/>
        </w:rPr>
        <w:footnoteRef/>
      </w:r>
      <w:r w:rsidRPr="006073CA">
        <w:rPr>
          <w:sz w:val="16"/>
          <w:szCs w:val="16"/>
        </w:rPr>
        <w:t xml:space="preserve"> Op 25 juni heeft de Raad zijn positie vastgesteld, Zie de persmededeling van de Raad van de Europese Unie van 23 juni 2025 met een link naar het onderhandelingsmandaat van de Raad via </w:t>
      </w:r>
      <w:r w:rsidRPr="00142E3D">
        <w:rPr>
          <w:sz w:val="16"/>
          <w:szCs w:val="16"/>
        </w:rPr>
        <w:t>https://www.consilium.europa.eu/nl/press/press-releases/2025/06/23/simplification-council-agrees-position-on-sustainability-reporting-and-due-diligence-requirements-to-boost-eu-competitiveness/</w:t>
      </w:r>
      <w:r>
        <w:rPr>
          <w:sz w:val="16"/>
          <w:szCs w:val="16"/>
        </w:rPr>
        <w:t>. H</w:t>
      </w:r>
      <w:r w:rsidRPr="004F0477">
        <w:rPr>
          <w:sz w:val="16"/>
          <w:szCs w:val="16"/>
        </w:rPr>
        <w:t xml:space="preserve">et Europees Parlement </w:t>
      </w:r>
      <w:r>
        <w:rPr>
          <w:sz w:val="16"/>
          <w:szCs w:val="16"/>
        </w:rPr>
        <w:t xml:space="preserve">heeft </w:t>
      </w:r>
      <w:r w:rsidRPr="004F0477">
        <w:rPr>
          <w:sz w:val="16"/>
          <w:szCs w:val="16"/>
        </w:rPr>
        <w:t>op 13 november jl. een positie vastgesteld.</w:t>
      </w:r>
      <w:r>
        <w:rPr>
          <w:sz w:val="16"/>
          <w:szCs w:val="16"/>
        </w:rPr>
        <w:t xml:space="preserve"> </w:t>
      </w:r>
      <w:r w:rsidRPr="004F0477">
        <w:rPr>
          <w:sz w:val="16"/>
          <w:szCs w:val="16"/>
        </w:rPr>
        <w:t xml:space="preserve">Zie het </w:t>
      </w:r>
      <w:r w:rsidRPr="00985736">
        <w:rPr>
          <w:sz w:val="16"/>
          <w:szCs w:val="16"/>
        </w:rPr>
        <w:t>persbericht van het Europees Parlement via https://www.europarl.europa.eu/news/nl/press-room/20251106IPR31296/ep-leden-steunen-vereenvoudiging-duurzaamheidsrapportage-en-due-diligence.</w:t>
      </w:r>
    </w:p>
  </w:footnote>
  <w:footnote w:id="10">
    <w:p w14:paraId="106ED1AB" w14:textId="77777777" w:rsidR="00A1744B" w:rsidRPr="00E94EF5" w:rsidRDefault="00A1744B" w:rsidP="00A1744B">
      <w:pPr>
        <w:pStyle w:val="Voetnoottekst"/>
        <w:rPr>
          <w:sz w:val="16"/>
          <w:szCs w:val="16"/>
        </w:rPr>
      </w:pPr>
      <w:r w:rsidRPr="00E94EF5">
        <w:rPr>
          <w:rStyle w:val="Voetnootmarkering"/>
          <w:sz w:val="16"/>
          <w:szCs w:val="16"/>
        </w:rPr>
        <w:footnoteRef/>
      </w:r>
      <w:r w:rsidRPr="00E94EF5">
        <w:rPr>
          <w:sz w:val="16"/>
          <w:szCs w:val="16"/>
        </w:rPr>
        <w:t xml:space="preserve"> Kamerstukken II 2025/26, 21109, nr. 275.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E0F6" w14:textId="77777777" w:rsidR="00C64360" w:rsidRDefault="009F46C3">
    <w:r>
      <w:rPr>
        <w:noProof/>
      </w:rPr>
      <mc:AlternateContent>
        <mc:Choice Requires="wps">
          <w:drawing>
            <wp:anchor distT="0" distB="0" distL="0" distR="0" simplePos="0" relativeHeight="251652096" behindDoc="0" locked="1" layoutInCell="1" allowOverlap="1" wp14:anchorId="7EA3FC7B" wp14:editId="7419E50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BF0796" w14:textId="77777777" w:rsidR="00C64360" w:rsidRDefault="009F46C3">
                          <w:pPr>
                            <w:pStyle w:val="StandaardReferentiegegevensKop"/>
                          </w:pPr>
                          <w:r>
                            <w:t>Ons kenmerk</w:t>
                          </w:r>
                        </w:p>
                        <w:p w14:paraId="4B92EBFE" w14:textId="77777777" w:rsidR="001B1F2D" w:rsidRDefault="00667876">
                          <w:pPr>
                            <w:pStyle w:val="StandaardReferentiegegevens"/>
                          </w:pPr>
                          <w:r>
                            <w:fldChar w:fldCharType="begin"/>
                          </w:r>
                          <w:r>
                            <w:instrText xml:space="preserve"> DOCPROPERTY  "Kenmerk"  \* MERGEFORMAT </w:instrText>
                          </w:r>
                          <w:r>
                            <w:fldChar w:fldCharType="separate"/>
                          </w:r>
                          <w:r>
                            <w:t>2025-0000593613</w:t>
                          </w:r>
                          <w:r>
                            <w:fldChar w:fldCharType="end"/>
                          </w:r>
                        </w:p>
                      </w:txbxContent>
                    </wps:txbx>
                    <wps:bodyPr vert="horz" wrap="square" lIns="0" tIns="0" rIns="0" bIns="0" anchor="t" anchorCtr="0"/>
                  </wps:wsp>
                </a:graphicData>
              </a:graphic>
            </wp:anchor>
          </w:drawing>
        </mc:Choice>
        <mc:Fallback>
          <w:pict>
            <v:shapetype w14:anchorId="7EA3FC7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0BF0796" w14:textId="77777777" w:rsidR="00C64360" w:rsidRDefault="009F46C3">
                    <w:pPr>
                      <w:pStyle w:val="StandaardReferentiegegevensKop"/>
                    </w:pPr>
                    <w:r>
                      <w:t>Ons kenmerk</w:t>
                    </w:r>
                  </w:p>
                  <w:p w14:paraId="4B92EBFE" w14:textId="77777777" w:rsidR="001B1F2D" w:rsidRDefault="00667876">
                    <w:pPr>
                      <w:pStyle w:val="StandaardReferentiegegevens"/>
                    </w:pPr>
                    <w:r>
                      <w:fldChar w:fldCharType="begin"/>
                    </w:r>
                    <w:r>
                      <w:instrText xml:space="preserve"> DOCPROPERTY  "Kenmerk"  \* MERGEFORMAT </w:instrText>
                    </w:r>
                    <w:r>
                      <w:fldChar w:fldCharType="separate"/>
                    </w:r>
                    <w:r>
                      <w:t>2025-0000593613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0734DFA" wp14:editId="028337F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EE8F23" w14:textId="77777777" w:rsidR="001B1F2D" w:rsidRDefault="006678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0734DF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0EE8F23" w14:textId="77777777" w:rsidR="001B1F2D" w:rsidRDefault="006678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F074895" wp14:editId="5578895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8660374" w14:textId="77777777" w:rsidR="001B1F2D" w:rsidRDefault="006678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F07489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8660374" w14:textId="77777777" w:rsidR="001B1F2D" w:rsidRDefault="0066787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70DA" w14:textId="77777777" w:rsidR="00C64360" w:rsidRDefault="009F46C3">
    <w:pPr>
      <w:spacing w:after="7029" w:line="14" w:lineRule="exact"/>
    </w:pPr>
    <w:r>
      <w:rPr>
        <w:noProof/>
      </w:rPr>
      <mc:AlternateContent>
        <mc:Choice Requires="wps">
          <w:drawing>
            <wp:anchor distT="0" distB="0" distL="0" distR="0" simplePos="0" relativeHeight="251655168" behindDoc="0" locked="1" layoutInCell="1" allowOverlap="1" wp14:anchorId="0C3ADB0E" wp14:editId="48F25DE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67BC1A6" w14:textId="77777777" w:rsidR="00C64360" w:rsidRDefault="009F46C3">
                          <w:pPr>
                            <w:spacing w:line="240" w:lineRule="auto"/>
                          </w:pPr>
                          <w:r>
                            <w:rPr>
                              <w:noProof/>
                            </w:rPr>
                            <w:drawing>
                              <wp:inline distT="0" distB="0" distL="0" distR="0" wp14:anchorId="21742B85" wp14:editId="00B640C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3ADB0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67BC1A6" w14:textId="77777777" w:rsidR="00C64360" w:rsidRDefault="009F46C3">
                    <w:pPr>
                      <w:spacing w:line="240" w:lineRule="auto"/>
                    </w:pPr>
                    <w:r>
                      <w:rPr>
                        <w:noProof/>
                      </w:rPr>
                      <w:drawing>
                        <wp:inline distT="0" distB="0" distL="0" distR="0" wp14:anchorId="21742B85" wp14:editId="00B640C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50890FA" wp14:editId="04AE938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6B9A4B6" w14:textId="77777777" w:rsidR="009F46C3" w:rsidRDefault="009F46C3"/>
                      </w:txbxContent>
                    </wps:txbx>
                    <wps:bodyPr vert="horz" wrap="square" lIns="0" tIns="0" rIns="0" bIns="0" anchor="t" anchorCtr="0"/>
                  </wps:wsp>
                </a:graphicData>
              </a:graphic>
            </wp:anchor>
          </w:drawing>
        </mc:Choice>
        <mc:Fallback>
          <w:pict>
            <v:shape w14:anchorId="150890F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6B9A4B6" w14:textId="77777777" w:rsidR="009F46C3" w:rsidRDefault="009F46C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85F3BB3" wp14:editId="388213B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43C55BE" w14:textId="77777777" w:rsidR="00C64360" w:rsidRDefault="009F46C3">
                          <w:pPr>
                            <w:pStyle w:val="StandaardReferentiegegevens"/>
                          </w:pPr>
                          <w:r>
                            <w:t>Korte Voorhout 7</w:t>
                          </w:r>
                        </w:p>
                        <w:p w14:paraId="19B20868" w14:textId="77777777" w:rsidR="00C64360" w:rsidRDefault="009F46C3">
                          <w:pPr>
                            <w:pStyle w:val="StandaardReferentiegegevens"/>
                          </w:pPr>
                          <w:r>
                            <w:t>2511 CW  'S-GRAVENHAGE</w:t>
                          </w:r>
                        </w:p>
                        <w:p w14:paraId="5DF941F7" w14:textId="77777777" w:rsidR="00C64360" w:rsidRDefault="009F46C3">
                          <w:pPr>
                            <w:pStyle w:val="StandaardReferentiegegevens"/>
                          </w:pPr>
                          <w:r>
                            <w:t>POSTBUS 20201</w:t>
                          </w:r>
                        </w:p>
                        <w:p w14:paraId="3E6485CF" w14:textId="77777777" w:rsidR="00C64360" w:rsidRPr="00A1744B" w:rsidRDefault="009F46C3">
                          <w:pPr>
                            <w:pStyle w:val="StandaardReferentiegegevens"/>
                            <w:rPr>
                              <w:lang w:val="es-ES"/>
                            </w:rPr>
                          </w:pPr>
                          <w:r w:rsidRPr="00A1744B">
                            <w:rPr>
                              <w:lang w:val="es-ES"/>
                            </w:rPr>
                            <w:t>2500 EE  'S-GRAVENHAGE</w:t>
                          </w:r>
                        </w:p>
                        <w:p w14:paraId="316E3150" w14:textId="77777777" w:rsidR="00C64360" w:rsidRPr="00A1744B" w:rsidRDefault="009F46C3">
                          <w:pPr>
                            <w:pStyle w:val="StandaardReferentiegegevens"/>
                            <w:rPr>
                              <w:lang w:val="es-ES"/>
                            </w:rPr>
                          </w:pPr>
                          <w:r w:rsidRPr="00A1744B">
                            <w:rPr>
                              <w:lang w:val="es-ES"/>
                            </w:rPr>
                            <w:t>www.rijksoverheid.nl/fin</w:t>
                          </w:r>
                        </w:p>
                        <w:p w14:paraId="6B669F1B" w14:textId="77777777" w:rsidR="00C64360" w:rsidRPr="00A1744B" w:rsidRDefault="00C64360">
                          <w:pPr>
                            <w:pStyle w:val="WitregelW2"/>
                            <w:rPr>
                              <w:lang w:val="es-ES"/>
                            </w:rPr>
                          </w:pPr>
                        </w:p>
                        <w:p w14:paraId="5AF2AEDE" w14:textId="77777777" w:rsidR="00C64360" w:rsidRDefault="009F46C3">
                          <w:pPr>
                            <w:pStyle w:val="StandaardReferentiegegevensKop"/>
                          </w:pPr>
                          <w:r>
                            <w:t>Ons kenmerk</w:t>
                          </w:r>
                        </w:p>
                        <w:p w14:paraId="2B2B4F65" w14:textId="77777777" w:rsidR="001B1F2D" w:rsidRDefault="00667876">
                          <w:pPr>
                            <w:pStyle w:val="StandaardReferentiegegevens"/>
                          </w:pPr>
                          <w:r>
                            <w:fldChar w:fldCharType="begin"/>
                          </w:r>
                          <w:r>
                            <w:instrText xml:space="preserve"> DOCPROPERTY  "Kenmerk"  \* MERGEFORMAT </w:instrText>
                          </w:r>
                          <w:r>
                            <w:fldChar w:fldCharType="separate"/>
                          </w:r>
                          <w:r>
                            <w:t>2025-0000593613</w:t>
                          </w:r>
                          <w:r>
                            <w:fldChar w:fldCharType="end"/>
                          </w:r>
                        </w:p>
                        <w:p w14:paraId="379199E1" w14:textId="77777777" w:rsidR="00C64360" w:rsidRDefault="00C64360">
                          <w:pPr>
                            <w:pStyle w:val="WitregelW1"/>
                          </w:pPr>
                        </w:p>
                        <w:p w14:paraId="67C90B73" w14:textId="77777777" w:rsidR="00C64360" w:rsidRDefault="009F46C3">
                          <w:pPr>
                            <w:pStyle w:val="StandaardReferentiegegevensKop"/>
                          </w:pPr>
                          <w:r>
                            <w:t>Uw brief (kenmerk)</w:t>
                          </w:r>
                        </w:p>
                        <w:p w14:paraId="26C93C41" w14:textId="77777777" w:rsidR="001B1F2D" w:rsidRDefault="00667876">
                          <w:pPr>
                            <w:pStyle w:val="StandaardReferentiegegevens"/>
                          </w:pPr>
                          <w:r>
                            <w:fldChar w:fldCharType="begin"/>
                          </w:r>
                          <w:r>
                            <w:instrText xml:space="preserve"> DOCPROPERTY  "UwKenmerk"  \* MERGEFORMAT </w:instrText>
                          </w:r>
                          <w:r>
                            <w:fldChar w:fldCharType="end"/>
                          </w:r>
                        </w:p>
                        <w:p w14:paraId="11195EA9" w14:textId="77777777" w:rsidR="00C64360" w:rsidRDefault="00C64360">
                          <w:pPr>
                            <w:pStyle w:val="WitregelW1"/>
                          </w:pPr>
                        </w:p>
                        <w:p w14:paraId="15513318" w14:textId="77777777" w:rsidR="00C64360" w:rsidRDefault="009F46C3">
                          <w:pPr>
                            <w:pStyle w:val="StandaardReferentiegegevensKop"/>
                          </w:pPr>
                          <w:r>
                            <w:t>Bijlagen</w:t>
                          </w:r>
                        </w:p>
                        <w:p w14:paraId="6721CDF3" w14:textId="77777777" w:rsidR="00C64360" w:rsidRDefault="009F46C3">
                          <w:pPr>
                            <w:pStyle w:val="StandaardReferentiegegevens"/>
                          </w:pPr>
                          <w:r>
                            <w:t>(geen)</w:t>
                          </w:r>
                        </w:p>
                      </w:txbxContent>
                    </wps:txbx>
                    <wps:bodyPr vert="horz" wrap="square" lIns="0" tIns="0" rIns="0" bIns="0" anchor="t" anchorCtr="0"/>
                  </wps:wsp>
                </a:graphicData>
              </a:graphic>
            </wp:anchor>
          </w:drawing>
        </mc:Choice>
        <mc:Fallback>
          <w:pict>
            <v:shape w14:anchorId="385F3BB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43C55BE" w14:textId="77777777" w:rsidR="00C64360" w:rsidRDefault="009F46C3">
                    <w:pPr>
                      <w:pStyle w:val="StandaardReferentiegegevens"/>
                    </w:pPr>
                    <w:r>
                      <w:t>Korte Voorhout 7</w:t>
                    </w:r>
                  </w:p>
                  <w:p w14:paraId="19B20868" w14:textId="77777777" w:rsidR="00C64360" w:rsidRDefault="009F46C3">
                    <w:pPr>
                      <w:pStyle w:val="StandaardReferentiegegevens"/>
                    </w:pPr>
                    <w:r>
                      <w:t>2511 CW  'S-GRAVENHAGE</w:t>
                    </w:r>
                  </w:p>
                  <w:p w14:paraId="5DF941F7" w14:textId="77777777" w:rsidR="00C64360" w:rsidRDefault="009F46C3">
                    <w:pPr>
                      <w:pStyle w:val="StandaardReferentiegegevens"/>
                    </w:pPr>
                    <w:r>
                      <w:t>POSTBUS 20201</w:t>
                    </w:r>
                  </w:p>
                  <w:p w14:paraId="3E6485CF" w14:textId="77777777" w:rsidR="00C64360" w:rsidRPr="00A1744B" w:rsidRDefault="009F46C3">
                    <w:pPr>
                      <w:pStyle w:val="StandaardReferentiegegevens"/>
                      <w:rPr>
                        <w:lang w:val="es-ES"/>
                      </w:rPr>
                    </w:pPr>
                    <w:r w:rsidRPr="00A1744B">
                      <w:rPr>
                        <w:lang w:val="es-ES"/>
                      </w:rPr>
                      <w:t>2500 EE  'S-GRAVENHAGE</w:t>
                    </w:r>
                  </w:p>
                  <w:p w14:paraId="316E3150" w14:textId="77777777" w:rsidR="00C64360" w:rsidRPr="00A1744B" w:rsidRDefault="009F46C3">
                    <w:pPr>
                      <w:pStyle w:val="StandaardReferentiegegevens"/>
                      <w:rPr>
                        <w:lang w:val="es-ES"/>
                      </w:rPr>
                    </w:pPr>
                    <w:r w:rsidRPr="00A1744B">
                      <w:rPr>
                        <w:lang w:val="es-ES"/>
                      </w:rPr>
                      <w:t>www.rijksoverheid.nl/fin</w:t>
                    </w:r>
                  </w:p>
                  <w:p w14:paraId="6B669F1B" w14:textId="77777777" w:rsidR="00C64360" w:rsidRPr="00A1744B" w:rsidRDefault="00C64360">
                    <w:pPr>
                      <w:pStyle w:val="WitregelW2"/>
                      <w:rPr>
                        <w:lang w:val="es-ES"/>
                      </w:rPr>
                    </w:pPr>
                  </w:p>
                  <w:p w14:paraId="5AF2AEDE" w14:textId="77777777" w:rsidR="00C64360" w:rsidRDefault="009F46C3">
                    <w:pPr>
                      <w:pStyle w:val="StandaardReferentiegegevensKop"/>
                    </w:pPr>
                    <w:r>
                      <w:t>Ons kenmerk</w:t>
                    </w:r>
                  </w:p>
                  <w:p w14:paraId="2B2B4F65" w14:textId="77777777" w:rsidR="001B1F2D" w:rsidRDefault="00667876">
                    <w:pPr>
                      <w:pStyle w:val="StandaardReferentiegegevens"/>
                    </w:pPr>
                    <w:r>
                      <w:fldChar w:fldCharType="begin"/>
                    </w:r>
                    <w:r>
                      <w:instrText xml:space="preserve"> DOCPROPERTY  "Kenmerk"  \* MERGEFORMAT </w:instrText>
                    </w:r>
                    <w:r>
                      <w:fldChar w:fldCharType="separate"/>
                    </w:r>
                    <w:r>
                      <w:t>2025-0000593613</w:t>
                    </w:r>
                    <w:r>
                      <w:fldChar w:fldCharType="end"/>
                    </w:r>
                  </w:p>
                  <w:p w14:paraId="379199E1" w14:textId="77777777" w:rsidR="00C64360" w:rsidRDefault="00C64360">
                    <w:pPr>
                      <w:pStyle w:val="WitregelW1"/>
                    </w:pPr>
                  </w:p>
                  <w:p w14:paraId="67C90B73" w14:textId="77777777" w:rsidR="00C64360" w:rsidRDefault="009F46C3">
                    <w:pPr>
                      <w:pStyle w:val="StandaardReferentiegegevensKop"/>
                    </w:pPr>
                    <w:r>
                      <w:t>Uw brief (kenmerk)</w:t>
                    </w:r>
                  </w:p>
                  <w:p w14:paraId="26C93C41" w14:textId="77777777" w:rsidR="001B1F2D" w:rsidRDefault="00667876">
                    <w:pPr>
                      <w:pStyle w:val="StandaardReferentiegegevens"/>
                    </w:pPr>
                    <w:r>
                      <w:fldChar w:fldCharType="begin"/>
                    </w:r>
                    <w:r>
                      <w:instrText xml:space="preserve"> DOCPROPERTY  "UwKenmerk"  \* MERGEFORMAT </w:instrText>
                    </w:r>
                    <w:r>
                      <w:fldChar w:fldCharType="end"/>
                    </w:r>
                  </w:p>
                  <w:p w14:paraId="11195EA9" w14:textId="77777777" w:rsidR="00C64360" w:rsidRDefault="00C64360">
                    <w:pPr>
                      <w:pStyle w:val="WitregelW1"/>
                    </w:pPr>
                  </w:p>
                  <w:p w14:paraId="15513318" w14:textId="77777777" w:rsidR="00C64360" w:rsidRDefault="009F46C3">
                    <w:pPr>
                      <w:pStyle w:val="StandaardReferentiegegevensKop"/>
                    </w:pPr>
                    <w:r>
                      <w:t>Bijlagen</w:t>
                    </w:r>
                  </w:p>
                  <w:p w14:paraId="6721CDF3" w14:textId="77777777" w:rsidR="00C64360" w:rsidRDefault="009F46C3">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13A936A" wp14:editId="6F363E1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D5C54C9" w14:textId="77777777" w:rsidR="00C64360" w:rsidRDefault="009F46C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13A936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D5C54C9" w14:textId="77777777" w:rsidR="00C64360" w:rsidRDefault="009F46C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EF910D6" wp14:editId="0407ADC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E2FF4B0" w14:textId="77777777" w:rsidR="001B1F2D" w:rsidRDefault="00667876">
                          <w:pPr>
                            <w:pStyle w:val="Rubricering"/>
                          </w:pPr>
                          <w:r>
                            <w:fldChar w:fldCharType="begin"/>
                          </w:r>
                          <w:r>
                            <w:instrText xml:space="preserve"> DOCPROPERTY  "Rubricering"  \* MERGEFORMAT </w:instrText>
                          </w:r>
                          <w:r>
                            <w:fldChar w:fldCharType="end"/>
                          </w:r>
                        </w:p>
                        <w:p w14:paraId="20CAE6D8" w14:textId="77777777" w:rsidR="00667876" w:rsidRDefault="009F46C3">
                          <w:r>
                            <w:fldChar w:fldCharType="begin"/>
                          </w:r>
                          <w:r w:rsidR="00667876">
                            <w:instrText xml:space="preserve"> DOCPROPERTY  "Aan"  \* MERGEFORMAT </w:instrText>
                          </w:r>
                          <w:r>
                            <w:fldChar w:fldCharType="separate"/>
                          </w:r>
                          <w:r w:rsidR="00667876">
                            <w:t>Voorzitter van de Tweede Kamer der Staten-Generaal</w:t>
                          </w:r>
                        </w:p>
                        <w:p w14:paraId="2306BD52" w14:textId="77777777" w:rsidR="00667876" w:rsidRDefault="00667876">
                          <w:r>
                            <w:t>Postbus 20018</w:t>
                          </w:r>
                        </w:p>
                        <w:p w14:paraId="5499A5E4" w14:textId="77777777" w:rsidR="00667876" w:rsidRDefault="00667876">
                          <w:r>
                            <w:t>2500 EA  DEN HAAG</w:t>
                          </w:r>
                        </w:p>
                        <w:p w14:paraId="257DF106" w14:textId="77777777" w:rsidR="00667876" w:rsidRDefault="00667876"/>
                        <w:p w14:paraId="6B943ACF" w14:textId="77777777" w:rsidR="00C64360" w:rsidRDefault="009F46C3">
                          <w:r>
                            <w:fldChar w:fldCharType="end"/>
                          </w:r>
                        </w:p>
                      </w:txbxContent>
                    </wps:txbx>
                    <wps:bodyPr vert="horz" wrap="square" lIns="0" tIns="0" rIns="0" bIns="0" anchor="t" anchorCtr="0"/>
                  </wps:wsp>
                </a:graphicData>
              </a:graphic>
            </wp:anchor>
          </w:drawing>
        </mc:Choice>
        <mc:Fallback>
          <w:pict>
            <v:shape w14:anchorId="0EF910D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E2FF4B0" w14:textId="77777777" w:rsidR="001B1F2D" w:rsidRDefault="00667876">
                    <w:pPr>
                      <w:pStyle w:val="Rubricering"/>
                    </w:pPr>
                    <w:r>
                      <w:fldChar w:fldCharType="begin"/>
                    </w:r>
                    <w:r>
                      <w:instrText xml:space="preserve"> DOCPROPERTY  "Rubricering"  \* MERGEFORMAT </w:instrText>
                    </w:r>
                    <w:r>
                      <w:fldChar w:fldCharType="end"/>
                    </w:r>
                  </w:p>
                  <w:p w14:paraId="20CAE6D8" w14:textId="77777777" w:rsidR="00667876" w:rsidRDefault="009F46C3">
                    <w:r>
                      <w:fldChar w:fldCharType="begin"/>
                    </w:r>
                    <w:r w:rsidR="00667876">
                      <w:instrText xml:space="preserve"> DOCPROPERTY  "Aan"  \* MERGEFORMAT </w:instrText>
                    </w:r>
                    <w:r>
                      <w:fldChar w:fldCharType="separate"/>
                    </w:r>
                    <w:r w:rsidR="00667876">
                      <w:t>Voorzitter van de Tweede Kamer der Staten-Generaal</w:t>
                    </w:r>
                  </w:p>
                  <w:p w14:paraId="2306BD52" w14:textId="77777777" w:rsidR="00667876" w:rsidRDefault="00667876">
                    <w:r>
                      <w:t>Postbus 20018</w:t>
                    </w:r>
                  </w:p>
                  <w:p w14:paraId="5499A5E4" w14:textId="77777777" w:rsidR="00667876" w:rsidRDefault="00667876">
                    <w:r>
                      <w:t>2500 EA  DEN HAAG</w:t>
                    </w:r>
                  </w:p>
                  <w:p w14:paraId="257DF106" w14:textId="77777777" w:rsidR="00667876" w:rsidRDefault="00667876"/>
                  <w:p w14:paraId="6B943ACF" w14:textId="77777777" w:rsidR="00C64360" w:rsidRDefault="009F46C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A32C99" wp14:editId="4FF2B9F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D063372" w14:textId="77777777" w:rsidR="001B1F2D" w:rsidRDefault="006678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5A32C9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D063372" w14:textId="77777777" w:rsidR="001B1F2D" w:rsidRDefault="006678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DD5A834" wp14:editId="78A29A72">
              <wp:simplePos x="0" y="0"/>
              <wp:positionH relativeFrom="page">
                <wp:posOffset>1009650</wp:posOffset>
              </wp:positionH>
              <wp:positionV relativeFrom="paragraph">
                <wp:posOffset>3636010</wp:posOffset>
              </wp:positionV>
              <wp:extent cx="528383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5283835" cy="755650"/>
                      </a:xfrm>
                      <a:prstGeom prst="rect">
                        <a:avLst/>
                      </a:prstGeom>
                      <a:noFill/>
                    </wps:spPr>
                    <wps:txbx>
                      <w:txbxContent>
                        <w:tbl>
                          <w:tblPr>
                            <w:tblW w:w="0" w:type="auto"/>
                            <w:tblLayout w:type="fixed"/>
                            <w:tblLook w:val="07E0" w:firstRow="1" w:lastRow="1" w:firstColumn="1" w:lastColumn="1" w:noHBand="1" w:noVBand="1"/>
                          </w:tblPr>
                          <w:tblGrid>
                            <w:gridCol w:w="1140"/>
                            <w:gridCol w:w="6090"/>
                          </w:tblGrid>
                          <w:tr w:rsidR="00C64360" w14:paraId="5D6A0F91" w14:textId="77777777" w:rsidTr="005E70EC">
                            <w:trPr>
                              <w:trHeight w:val="200"/>
                            </w:trPr>
                            <w:tc>
                              <w:tcPr>
                                <w:tcW w:w="1140" w:type="dxa"/>
                              </w:tcPr>
                              <w:p w14:paraId="5E1E2E01" w14:textId="77777777" w:rsidR="00C64360" w:rsidRDefault="00C64360"/>
                            </w:tc>
                            <w:tc>
                              <w:tcPr>
                                <w:tcW w:w="6090" w:type="dxa"/>
                              </w:tcPr>
                              <w:p w14:paraId="46D7BC92" w14:textId="77777777" w:rsidR="00C64360" w:rsidRDefault="00C64360"/>
                            </w:tc>
                          </w:tr>
                          <w:tr w:rsidR="00C64360" w14:paraId="34A67D84" w14:textId="77777777" w:rsidTr="005E70EC">
                            <w:trPr>
                              <w:trHeight w:val="240"/>
                            </w:trPr>
                            <w:tc>
                              <w:tcPr>
                                <w:tcW w:w="1140" w:type="dxa"/>
                              </w:tcPr>
                              <w:p w14:paraId="48E42868" w14:textId="77777777" w:rsidR="00C64360" w:rsidRDefault="009F46C3">
                                <w:r>
                                  <w:t>Datum</w:t>
                                </w:r>
                              </w:p>
                            </w:tc>
                            <w:tc>
                              <w:tcPr>
                                <w:tcW w:w="6090" w:type="dxa"/>
                              </w:tcPr>
                              <w:p w14:paraId="73EF0BD9" w14:textId="4BBAC1F6" w:rsidR="00C64360" w:rsidRDefault="00667876">
                                <w:r>
                                  <w:t>3 december 2025</w:t>
                                </w:r>
                              </w:p>
                            </w:tc>
                          </w:tr>
                          <w:tr w:rsidR="00C64360" w14:paraId="1510964A" w14:textId="77777777" w:rsidTr="005E70EC">
                            <w:trPr>
                              <w:trHeight w:val="240"/>
                            </w:trPr>
                            <w:tc>
                              <w:tcPr>
                                <w:tcW w:w="1140" w:type="dxa"/>
                              </w:tcPr>
                              <w:p w14:paraId="722A0A31" w14:textId="77777777" w:rsidR="00C64360" w:rsidRDefault="009F46C3">
                                <w:r>
                                  <w:t>Betreft</w:t>
                                </w:r>
                              </w:p>
                            </w:tc>
                            <w:tc>
                              <w:tcPr>
                                <w:tcW w:w="6090" w:type="dxa"/>
                              </w:tcPr>
                              <w:p w14:paraId="51D5E074" w14:textId="77777777" w:rsidR="001B1F2D" w:rsidRDefault="00667876">
                                <w:r>
                                  <w:fldChar w:fldCharType="begin"/>
                                </w:r>
                                <w:r>
                                  <w:instrText xml:space="preserve"> DOCPROPERTY  "Onderwerp"  \* MERGEFORMAT </w:instrText>
                                </w:r>
                                <w:r>
                                  <w:fldChar w:fldCharType="separate"/>
                                </w:r>
                                <w:r>
                                  <w:t>Uw informatieverzoek van 19 november 2025</w:t>
                                </w:r>
                                <w:r>
                                  <w:fldChar w:fldCharType="end"/>
                                </w:r>
                                <w:r>
                                  <w:t xml:space="preserve"> over het wetsvoorstel implementatie richtlijn duurzaamheidsrapportering</w:t>
                                </w:r>
                              </w:p>
                            </w:tc>
                          </w:tr>
                          <w:tr w:rsidR="00C64360" w14:paraId="12959018" w14:textId="77777777" w:rsidTr="005E70EC">
                            <w:trPr>
                              <w:trHeight w:val="200"/>
                            </w:trPr>
                            <w:tc>
                              <w:tcPr>
                                <w:tcW w:w="1140" w:type="dxa"/>
                              </w:tcPr>
                              <w:p w14:paraId="386247AF" w14:textId="77777777" w:rsidR="00C64360" w:rsidRDefault="00C64360"/>
                            </w:tc>
                            <w:tc>
                              <w:tcPr>
                                <w:tcW w:w="6090" w:type="dxa"/>
                              </w:tcPr>
                              <w:p w14:paraId="2D64E442" w14:textId="77777777" w:rsidR="00C64360" w:rsidRDefault="00C64360"/>
                            </w:tc>
                          </w:tr>
                        </w:tbl>
                        <w:p w14:paraId="0EC5B393" w14:textId="77777777" w:rsidR="009F46C3" w:rsidRDefault="009F46C3"/>
                      </w:txbxContent>
                    </wps:txbx>
                    <wps:bodyPr vert="horz" wrap="square" lIns="0" tIns="0" rIns="0" bIns="0" anchor="t" anchorCtr="0"/>
                  </wps:wsp>
                </a:graphicData>
              </a:graphic>
              <wp14:sizeRelH relativeFrom="margin">
                <wp14:pctWidth>0</wp14:pctWidth>
              </wp14:sizeRelH>
            </wp:anchor>
          </w:drawing>
        </mc:Choice>
        <mc:Fallback>
          <w:pict>
            <v:shape w14:anchorId="2DD5A834" id="bd4aaf7a-03a6-11ee-8f29-0242ac130005" o:spid="_x0000_s1035" type="#_x0000_t202" style="position:absolute;margin-left:79.5pt;margin-top:286.3pt;width:416.05pt;height:59.5pt;z-index:2516613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6090"/>
                    </w:tblGrid>
                    <w:tr w:rsidR="00C64360" w14:paraId="5D6A0F91" w14:textId="77777777" w:rsidTr="005E70EC">
                      <w:trPr>
                        <w:trHeight w:val="200"/>
                      </w:trPr>
                      <w:tc>
                        <w:tcPr>
                          <w:tcW w:w="1140" w:type="dxa"/>
                        </w:tcPr>
                        <w:p w14:paraId="5E1E2E01" w14:textId="77777777" w:rsidR="00C64360" w:rsidRDefault="00C64360"/>
                      </w:tc>
                      <w:tc>
                        <w:tcPr>
                          <w:tcW w:w="6090" w:type="dxa"/>
                        </w:tcPr>
                        <w:p w14:paraId="46D7BC92" w14:textId="77777777" w:rsidR="00C64360" w:rsidRDefault="00C64360"/>
                      </w:tc>
                    </w:tr>
                    <w:tr w:rsidR="00C64360" w14:paraId="34A67D84" w14:textId="77777777" w:rsidTr="005E70EC">
                      <w:trPr>
                        <w:trHeight w:val="240"/>
                      </w:trPr>
                      <w:tc>
                        <w:tcPr>
                          <w:tcW w:w="1140" w:type="dxa"/>
                        </w:tcPr>
                        <w:p w14:paraId="48E42868" w14:textId="77777777" w:rsidR="00C64360" w:rsidRDefault="009F46C3">
                          <w:r>
                            <w:t>Datum</w:t>
                          </w:r>
                        </w:p>
                      </w:tc>
                      <w:tc>
                        <w:tcPr>
                          <w:tcW w:w="6090" w:type="dxa"/>
                        </w:tcPr>
                        <w:p w14:paraId="73EF0BD9" w14:textId="4BBAC1F6" w:rsidR="00C64360" w:rsidRDefault="00667876">
                          <w:r>
                            <w:t>3 december 2025</w:t>
                          </w:r>
                        </w:p>
                      </w:tc>
                    </w:tr>
                    <w:tr w:rsidR="00C64360" w14:paraId="1510964A" w14:textId="77777777" w:rsidTr="005E70EC">
                      <w:trPr>
                        <w:trHeight w:val="240"/>
                      </w:trPr>
                      <w:tc>
                        <w:tcPr>
                          <w:tcW w:w="1140" w:type="dxa"/>
                        </w:tcPr>
                        <w:p w14:paraId="722A0A31" w14:textId="77777777" w:rsidR="00C64360" w:rsidRDefault="009F46C3">
                          <w:r>
                            <w:t>Betreft</w:t>
                          </w:r>
                        </w:p>
                      </w:tc>
                      <w:tc>
                        <w:tcPr>
                          <w:tcW w:w="6090" w:type="dxa"/>
                        </w:tcPr>
                        <w:p w14:paraId="51D5E074" w14:textId="77777777" w:rsidR="001B1F2D" w:rsidRDefault="00667876">
                          <w:r>
                            <w:fldChar w:fldCharType="begin"/>
                          </w:r>
                          <w:r>
                            <w:instrText xml:space="preserve"> DOCPROPERTY  "Onderwerp"  \* MERGEFORMAT </w:instrText>
                          </w:r>
                          <w:r>
                            <w:fldChar w:fldCharType="separate"/>
                          </w:r>
                          <w:r>
                            <w:t>Uw informatieverzoek van 19 november 2025</w:t>
                          </w:r>
                          <w:r>
                            <w:fldChar w:fldCharType="end"/>
                          </w:r>
                          <w:r>
                            <w:t xml:space="preserve"> over het wetsvoorstel implementatie richtlijn duurzaamheidsrapportering</w:t>
                          </w:r>
                        </w:p>
                      </w:tc>
                    </w:tr>
                    <w:tr w:rsidR="00C64360" w14:paraId="12959018" w14:textId="77777777" w:rsidTr="005E70EC">
                      <w:trPr>
                        <w:trHeight w:val="200"/>
                      </w:trPr>
                      <w:tc>
                        <w:tcPr>
                          <w:tcW w:w="1140" w:type="dxa"/>
                        </w:tcPr>
                        <w:p w14:paraId="386247AF" w14:textId="77777777" w:rsidR="00C64360" w:rsidRDefault="00C64360"/>
                      </w:tc>
                      <w:tc>
                        <w:tcPr>
                          <w:tcW w:w="6090" w:type="dxa"/>
                        </w:tcPr>
                        <w:p w14:paraId="2D64E442" w14:textId="77777777" w:rsidR="00C64360" w:rsidRDefault="00C64360"/>
                      </w:tc>
                    </w:tr>
                  </w:tbl>
                  <w:p w14:paraId="0EC5B393" w14:textId="77777777" w:rsidR="009F46C3" w:rsidRDefault="009F46C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10BF32A" wp14:editId="127C4D8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C6C2805" w14:textId="77777777" w:rsidR="001B1F2D" w:rsidRDefault="006678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10BF32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C6C2805" w14:textId="77777777" w:rsidR="001B1F2D" w:rsidRDefault="0066787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5B70185" wp14:editId="18C21E1D">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4C76CA6" w14:textId="77777777" w:rsidR="009F46C3" w:rsidRDefault="009F46C3"/>
                      </w:txbxContent>
                    </wps:txbx>
                    <wps:bodyPr vert="horz" wrap="square" lIns="0" tIns="0" rIns="0" bIns="0" anchor="t" anchorCtr="0"/>
                  </wps:wsp>
                </a:graphicData>
              </a:graphic>
            </wp:anchor>
          </w:drawing>
        </mc:Choice>
        <mc:Fallback>
          <w:pict>
            <v:shape w14:anchorId="45B7018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4C76CA6" w14:textId="77777777" w:rsidR="009F46C3" w:rsidRDefault="009F46C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5B759"/>
    <w:multiLevelType w:val="multilevel"/>
    <w:tmpl w:val="A0406B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B5AA480"/>
    <w:multiLevelType w:val="multilevel"/>
    <w:tmpl w:val="99892A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F1E5C2"/>
    <w:multiLevelType w:val="multilevel"/>
    <w:tmpl w:val="EE7AE85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EB7AB4"/>
    <w:multiLevelType w:val="hybridMultilevel"/>
    <w:tmpl w:val="4B1CC7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E025A6"/>
    <w:multiLevelType w:val="multilevel"/>
    <w:tmpl w:val="415F04D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EB3286"/>
    <w:multiLevelType w:val="multilevel"/>
    <w:tmpl w:val="F56AD69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3B5E50"/>
    <w:multiLevelType w:val="hybridMultilevel"/>
    <w:tmpl w:val="EC4A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26BC73D"/>
    <w:multiLevelType w:val="multilevel"/>
    <w:tmpl w:val="9307999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354950">
    <w:abstractNumId w:val="5"/>
  </w:num>
  <w:num w:numId="2" w16cid:durableId="1516118531">
    <w:abstractNumId w:val="2"/>
  </w:num>
  <w:num w:numId="3" w16cid:durableId="477459288">
    <w:abstractNumId w:val="1"/>
  </w:num>
  <w:num w:numId="4" w16cid:durableId="1324354299">
    <w:abstractNumId w:val="0"/>
  </w:num>
  <w:num w:numId="5" w16cid:durableId="1715543540">
    <w:abstractNumId w:val="4"/>
  </w:num>
  <w:num w:numId="6" w16cid:durableId="1745299142">
    <w:abstractNumId w:val="7"/>
  </w:num>
  <w:num w:numId="7" w16cid:durableId="1501771179">
    <w:abstractNumId w:val="3"/>
  </w:num>
  <w:num w:numId="8" w16cid:durableId="1852061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60"/>
    <w:rsid w:val="00022533"/>
    <w:rsid w:val="000413B2"/>
    <w:rsid w:val="00095BE9"/>
    <w:rsid w:val="001B1F2D"/>
    <w:rsid w:val="0022106A"/>
    <w:rsid w:val="00261B45"/>
    <w:rsid w:val="002C0501"/>
    <w:rsid w:val="002D1CAC"/>
    <w:rsid w:val="0034605E"/>
    <w:rsid w:val="003E69A4"/>
    <w:rsid w:val="0045454A"/>
    <w:rsid w:val="004A1477"/>
    <w:rsid w:val="004E1EE6"/>
    <w:rsid w:val="00521B23"/>
    <w:rsid w:val="00591EB7"/>
    <w:rsid w:val="005E03BD"/>
    <w:rsid w:val="005E7082"/>
    <w:rsid w:val="005E70EC"/>
    <w:rsid w:val="00667876"/>
    <w:rsid w:val="00793C9A"/>
    <w:rsid w:val="0081211B"/>
    <w:rsid w:val="008D4C7F"/>
    <w:rsid w:val="009F46C3"/>
    <w:rsid w:val="00A1744B"/>
    <w:rsid w:val="00AE0F49"/>
    <w:rsid w:val="00B97192"/>
    <w:rsid w:val="00C475D3"/>
    <w:rsid w:val="00C57354"/>
    <w:rsid w:val="00C64360"/>
    <w:rsid w:val="00D76255"/>
    <w:rsid w:val="00DC15D9"/>
    <w:rsid w:val="00F05A03"/>
    <w:rsid w:val="00F66C7B"/>
    <w:rsid w:val="0AFB05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7AC232E"/>
  <w15:docId w15:val="{25FADBE9-ECA3-4930-A7BE-CA5598F9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174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744B"/>
    <w:rPr>
      <w:rFonts w:ascii="Verdana" w:hAnsi="Verdana"/>
      <w:color w:val="000000"/>
      <w:sz w:val="18"/>
      <w:szCs w:val="18"/>
    </w:rPr>
  </w:style>
  <w:style w:type="paragraph" w:styleId="Voettekst">
    <w:name w:val="footer"/>
    <w:basedOn w:val="Standaard"/>
    <w:link w:val="VoettekstChar"/>
    <w:uiPriority w:val="99"/>
    <w:unhideWhenUsed/>
    <w:rsid w:val="00A174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1744B"/>
    <w:rPr>
      <w:rFonts w:ascii="Verdana" w:hAnsi="Verdana"/>
      <w:color w:val="000000"/>
      <w:sz w:val="18"/>
      <w:szCs w:val="18"/>
    </w:rPr>
  </w:style>
  <w:style w:type="table" w:styleId="Tabelraster">
    <w:name w:val="Table Grid"/>
    <w:rsid w:val="00A1744B"/>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A1744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1744B"/>
    <w:rPr>
      <w:rFonts w:ascii="Verdana" w:hAnsi="Verdana"/>
      <w:color w:val="000000"/>
    </w:rPr>
  </w:style>
  <w:style w:type="character" w:styleId="Voetnootmarkering">
    <w:name w:val="footnote reference"/>
    <w:basedOn w:val="Standaardalinea-lettertype"/>
    <w:uiPriority w:val="99"/>
    <w:semiHidden/>
    <w:unhideWhenUsed/>
    <w:rsid w:val="00A1744B"/>
    <w:rPr>
      <w:vertAlign w:val="superscript"/>
    </w:rPr>
  </w:style>
  <w:style w:type="character" w:styleId="Verwijzingopmerking">
    <w:name w:val="annotation reference"/>
    <w:basedOn w:val="Standaardalinea-lettertype"/>
    <w:uiPriority w:val="99"/>
    <w:semiHidden/>
    <w:unhideWhenUsed/>
    <w:rsid w:val="00A1744B"/>
    <w:rPr>
      <w:sz w:val="16"/>
      <w:szCs w:val="16"/>
    </w:rPr>
  </w:style>
  <w:style w:type="paragraph" w:styleId="Tekstopmerking">
    <w:name w:val="annotation text"/>
    <w:basedOn w:val="Standaard"/>
    <w:link w:val="TekstopmerkingChar"/>
    <w:uiPriority w:val="99"/>
    <w:unhideWhenUsed/>
    <w:rsid w:val="00A1744B"/>
    <w:pPr>
      <w:spacing w:line="240" w:lineRule="auto"/>
    </w:pPr>
    <w:rPr>
      <w:sz w:val="20"/>
      <w:szCs w:val="20"/>
    </w:rPr>
  </w:style>
  <w:style w:type="character" w:customStyle="1" w:styleId="TekstopmerkingChar">
    <w:name w:val="Tekst opmerking Char"/>
    <w:basedOn w:val="Standaardalinea-lettertype"/>
    <w:link w:val="Tekstopmerking"/>
    <w:uiPriority w:val="99"/>
    <w:rsid w:val="00A1744B"/>
    <w:rPr>
      <w:rFonts w:ascii="Verdana" w:hAnsi="Verdana"/>
      <w:color w:val="000000"/>
    </w:rPr>
  </w:style>
  <w:style w:type="paragraph" w:styleId="Lijstalinea">
    <w:name w:val="List Paragraph"/>
    <w:basedOn w:val="Standaard"/>
    <w:uiPriority w:val="34"/>
    <w:semiHidden/>
    <w:rsid w:val="00A1744B"/>
    <w:pPr>
      <w:ind w:left="720"/>
      <w:contextualSpacing/>
    </w:pPr>
  </w:style>
  <w:style w:type="paragraph" w:customStyle="1" w:styleId="pf0">
    <w:name w:val="pf0"/>
    <w:basedOn w:val="Standaard"/>
    <w:rsid w:val="00A174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DC15D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30108">
      <w:bodyDiv w:val="1"/>
      <w:marLeft w:val="0"/>
      <w:marRight w:val="0"/>
      <w:marTop w:val="0"/>
      <w:marBottom w:val="0"/>
      <w:divBdr>
        <w:top w:val="none" w:sz="0" w:space="0" w:color="auto"/>
        <w:left w:val="none" w:sz="0" w:space="0" w:color="auto"/>
        <w:bottom w:val="none" w:sz="0" w:space="0" w:color="auto"/>
        <w:right w:val="none" w:sz="0" w:space="0" w:color="auto"/>
      </w:divBdr>
    </w:div>
    <w:div w:id="458189574">
      <w:bodyDiv w:val="1"/>
      <w:marLeft w:val="0"/>
      <w:marRight w:val="0"/>
      <w:marTop w:val="0"/>
      <w:marBottom w:val="0"/>
      <w:divBdr>
        <w:top w:val="none" w:sz="0" w:space="0" w:color="auto"/>
        <w:left w:val="none" w:sz="0" w:space="0" w:color="auto"/>
        <w:bottom w:val="none" w:sz="0" w:space="0" w:color="auto"/>
        <w:right w:val="none" w:sz="0" w:space="0" w:color="auto"/>
      </w:divBdr>
    </w:div>
    <w:div w:id="747076162">
      <w:bodyDiv w:val="1"/>
      <w:marLeft w:val="0"/>
      <w:marRight w:val="0"/>
      <w:marTop w:val="0"/>
      <w:marBottom w:val="0"/>
      <w:divBdr>
        <w:top w:val="none" w:sz="0" w:space="0" w:color="auto"/>
        <w:left w:val="none" w:sz="0" w:space="0" w:color="auto"/>
        <w:bottom w:val="none" w:sz="0" w:space="0" w:color="auto"/>
        <w:right w:val="none" w:sz="0" w:space="0" w:color="auto"/>
      </w:divBdr>
    </w:div>
    <w:div w:id="1066075184">
      <w:bodyDiv w:val="1"/>
      <w:marLeft w:val="0"/>
      <w:marRight w:val="0"/>
      <w:marTop w:val="0"/>
      <w:marBottom w:val="0"/>
      <w:divBdr>
        <w:top w:val="none" w:sz="0" w:space="0" w:color="auto"/>
        <w:left w:val="none" w:sz="0" w:space="0" w:color="auto"/>
        <w:bottom w:val="none" w:sz="0" w:space="0" w:color="auto"/>
        <w:right w:val="none" w:sz="0" w:space="0" w:color="auto"/>
      </w:divBdr>
    </w:div>
    <w:div w:id="1162621612">
      <w:bodyDiv w:val="1"/>
      <w:marLeft w:val="0"/>
      <w:marRight w:val="0"/>
      <w:marTop w:val="0"/>
      <w:marBottom w:val="0"/>
      <w:divBdr>
        <w:top w:val="none" w:sz="0" w:space="0" w:color="auto"/>
        <w:left w:val="none" w:sz="0" w:space="0" w:color="auto"/>
        <w:bottom w:val="none" w:sz="0" w:space="0" w:color="auto"/>
        <w:right w:val="none" w:sz="0" w:space="0" w:color="auto"/>
      </w:divBdr>
    </w:div>
    <w:div w:id="1633949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1018</ap:Words>
  <ap:Characters>5601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Uw informatieverzoek van 19 november 2025</vt:lpstr>
    </vt:vector>
  </ap:TitlesOfParts>
  <ap:LinksUpToDate>false</ap:LinksUpToDate>
  <ap:CharactersWithSpaces>6606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2025-12-03T13:26:00.0000000Z</dcterms:created>
  <dcterms:modified xsi:type="dcterms:W3CDTF">2025-12-03T13:26:00.0000000Z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Uw informatieverzoek van 19 november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2025-0000593613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Uw informatieverzoek van 19 november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2025-11-26T11:43:53Z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4c3f2990-e406-4e5a-8cfd-f9b200d1b301</vt:lpwstr>
  </property>
  <property fmtid="{D5CDD505-2E9C-101B-9397-08002B2CF9AE}" pid="37" name="MSIP_Label_6800fede-0e59-47ad-af95-4e63bbdb932d_ContentBits">
    <vt:lpwstr>0</vt:lpwstr>
  </property>
</Properties>
</file>