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7A5" w:rsidR="009C37A5" w:rsidP="009C37A5" w:rsidRDefault="009C37A5" w14:paraId="6E6F34FF" w14:textId="77777777">
      <w:r w:rsidRPr="009C37A5">
        <w:t>2025Z19783 (ingezonden 13 november 2025) Vragen van het lid Van Houwelingen (</w:t>
      </w:r>
      <w:proofErr w:type="spellStart"/>
      <w:r w:rsidRPr="009C37A5">
        <w:t>FvD</w:t>
      </w:r>
      <w:proofErr w:type="spellEnd"/>
      <w:r w:rsidRPr="009C37A5">
        <w:t xml:space="preserve">) aan de minister van Financiën over </w:t>
      </w:r>
      <w:proofErr w:type="spellStart"/>
      <w:r w:rsidRPr="009C37A5">
        <w:t>Palantir</w:t>
      </w:r>
      <w:proofErr w:type="spellEnd"/>
      <w:r w:rsidRPr="009C37A5">
        <w:t xml:space="preserve">. </w:t>
      </w:r>
    </w:p>
    <w:p w:rsidRPr="009C37A5" w:rsidR="009C37A5" w:rsidP="009C37A5" w:rsidRDefault="009C37A5" w14:paraId="3B5116B8" w14:textId="77777777"/>
    <w:p w:rsidRPr="009C37A5" w:rsidR="009C37A5" w:rsidP="00F905EF" w:rsidRDefault="009C37A5" w14:paraId="30E162E4" w14:textId="5FA0A4B3">
      <w:pPr>
        <w:tabs>
          <w:tab w:val="left" w:pos="9072"/>
        </w:tabs>
        <w:rPr>
          <w:b/>
          <w:bCs/>
        </w:rPr>
      </w:pPr>
      <w:r w:rsidRPr="009C37A5">
        <w:rPr>
          <w:b/>
          <w:bCs/>
        </w:rPr>
        <w:t>1) In uw beantwoording van een eerdere Kamervraag</w:t>
      </w:r>
      <w:r>
        <w:rPr>
          <w:rStyle w:val="Voetnootmarkering"/>
          <w:b/>
          <w:bCs/>
        </w:rPr>
        <w:footnoteReference w:id="1"/>
      </w:r>
      <w:r w:rsidRPr="009C37A5">
        <w:rPr>
          <w:b/>
          <w:bCs/>
        </w:rPr>
        <w:t xml:space="preserve">, schrijft u bij antwoorden 1 en 2 dat organisatieonderdelen die onder uw ministeriële verantwoordelijkheid vallen geen direct gebruik maken of hebben gemaakt van </w:t>
      </w:r>
      <w:proofErr w:type="spellStart"/>
      <w:r w:rsidRPr="009C37A5">
        <w:rPr>
          <w:b/>
          <w:bCs/>
        </w:rPr>
        <w:t>Palantir</w:t>
      </w:r>
      <w:proofErr w:type="spellEnd"/>
      <w:r w:rsidRPr="009C37A5">
        <w:rPr>
          <w:b/>
          <w:bCs/>
        </w:rPr>
        <w:t xml:space="preserve">-software; zijn er echter wellicht wel functionarissen of organisatieonderdelen die onder uw ministeriële verantwoordelijkheid vallen die indirect (bijvoorbeeld via een </w:t>
      </w:r>
      <w:proofErr w:type="spellStart"/>
      <w:r w:rsidRPr="009C37A5">
        <w:rPr>
          <w:b/>
          <w:bCs/>
        </w:rPr>
        <w:t>Palantir</w:t>
      </w:r>
      <w:proofErr w:type="spellEnd"/>
      <w:r w:rsidRPr="009C37A5">
        <w:rPr>
          <w:b/>
          <w:bCs/>
        </w:rPr>
        <w:t xml:space="preserve">-licentie die toebehoort aan een gebruiker die niet onder uw ministeriële verantwoordelijkheid valt) gebruik hebben gemaakt van </w:t>
      </w:r>
      <w:proofErr w:type="spellStart"/>
      <w:r w:rsidRPr="009C37A5">
        <w:rPr>
          <w:b/>
          <w:bCs/>
        </w:rPr>
        <w:t>Palantir</w:t>
      </w:r>
      <w:proofErr w:type="spellEnd"/>
      <w:r w:rsidRPr="009C37A5">
        <w:rPr>
          <w:b/>
          <w:bCs/>
        </w:rPr>
        <w:t xml:space="preserve">-software of informatieproducten uit </w:t>
      </w:r>
      <w:proofErr w:type="spellStart"/>
      <w:r w:rsidRPr="009C37A5">
        <w:rPr>
          <w:b/>
          <w:bCs/>
        </w:rPr>
        <w:t>Palantir</w:t>
      </w:r>
      <w:proofErr w:type="spellEnd"/>
      <w:r w:rsidRPr="009C37A5">
        <w:rPr>
          <w:b/>
          <w:bCs/>
        </w:rPr>
        <w:t>? Zo ja, welke organisatieonderdelen, functionarissen (functietitels) en/of informatieproducten betreft dit?</w:t>
      </w:r>
    </w:p>
    <w:p w:rsidRPr="009C37A5" w:rsidR="009C37A5" w:rsidP="009C37A5" w:rsidRDefault="009C37A5" w14:paraId="519B9AB2" w14:textId="77777777">
      <w:pPr>
        <w:rPr>
          <w:b/>
          <w:bCs/>
        </w:rPr>
      </w:pPr>
    </w:p>
    <w:p w:rsidRPr="009C37A5" w:rsidR="009C37A5" w:rsidP="009C37A5" w:rsidRDefault="009C37A5" w14:paraId="598A7EA5" w14:textId="77777777">
      <w:pPr>
        <w:rPr>
          <w:b/>
          <w:bCs/>
        </w:rPr>
      </w:pPr>
      <w:r w:rsidRPr="009C37A5">
        <w:rPr>
          <w:b/>
          <w:bCs/>
        </w:rPr>
        <w:t xml:space="preserve">2) In uw gebundelde antwoord op vragen 3 en 4 uit eerdergenoemde Kamervraag schrijft u </w:t>
      </w:r>
    </w:p>
    <w:p w:rsidRPr="009C37A5" w:rsidR="009C37A5" w:rsidP="00F905EF" w:rsidRDefault="009C37A5" w14:paraId="312973EE" w14:textId="77777777">
      <w:pPr>
        <w:tabs>
          <w:tab w:val="left" w:pos="9214"/>
        </w:tabs>
        <w:rPr>
          <w:b/>
          <w:bCs/>
        </w:rPr>
      </w:pPr>
      <w:r w:rsidRPr="009C37A5">
        <w:rPr>
          <w:b/>
          <w:bCs/>
        </w:rPr>
        <w:t xml:space="preserve">"Organisatieonderdelen van het Ministerie van Financiën ontvangen en delen informatie en signalen met ketenpartners binnen de geldende wettelijke kaders, deze levering vindt niet direct in </w:t>
      </w:r>
      <w:proofErr w:type="spellStart"/>
      <w:r w:rsidRPr="009C37A5">
        <w:rPr>
          <w:b/>
          <w:bCs/>
        </w:rPr>
        <w:t>Palantir</w:t>
      </w:r>
      <w:proofErr w:type="spellEnd"/>
      <w:r w:rsidRPr="009C37A5">
        <w:rPr>
          <w:b/>
          <w:bCs/>
        </w:rPr>
        <w:t xml:space="preserve"> plaats."; deelt (een organisatieonderdeel van) uw ministerie wellicht wel indirect data (aangezien aanlevering van data immers in de regel niet direct geschiedt, maar indirect via </w:t>
      </w:r>
      <w:proofErr w:type="spellStart"/>
      <w:r w:rsidRPr="009C37A5">
        <w:rPr>
          <w:b/>
          <w:bCs/>
        </w:rPr>
        <w:t>application</w:t>
      </w:r>
      <w:proofErr w:type="spellEnd"/>
      <w:r w:rsidRPr="009C37A5">
        <w:rPr>
          <w:b/>
          <w:bCs/>
        </w:rPr>
        <w:t xml:space="preserve"> </w:t>
      </w:r>
      <w:proofErr w:type="spellStart"/>
      <w:r w:rsidRPr="009C37A5">
        <w:rPr>
          <w:b/>
          <w:bCs/>
        </w:rPr>
        <w:t>programming</w:t>
      </w:r>
      <w:proofErr w:type="spellEnd"/>
      <w:r w:rsidRPr="009C37A5">
        <w:rPr>
          <w:b/>
          <w:bCs/>
        </w:rPr>
        <w:t xml:space="preserve"> interfaces (</w:t>
      </w:r>
      <w:proofErr w:type="spellStart"/>
      <w:r w:rsidRPr="009C37A5">
        <w:rPr>
          <w:b/>
          <w:bCs/>
        </w:rPr>
        <w:t>API's</w:t>
      </w:r>
      <w:proofErr w:type="spellEnd"/>
      <w:r w:rsidRPr="009C37A5">
        <w:rPr>
          <w:b/>
          <w:bCs/>
        </w:rPr>
        <w:t xml:space="preserve">) van onafhankelijke applicaties of aanleveringen via landing zones of buckets) met ketenpartners die gebruik maken van </w:t>
      </w:r>
      <w:proofErr w:type="spellStart"/>
      <w:r w:rsidRPr="009C37A5">
        <w:rPr>
          <w:b/>
          <w:bCs/>
        </w:rPr>
        <w:t>Palantir</w:t>
      </w:r>
      <w:proofErr w:type="spellEnd"/>
      <w:r w:rsidRPr="009C37A5">
        <w:rPr>
          <w:b/>
          <w:bCs/>
        </w:rPr>
        <w:t xml:space="preserve">-software? Zo ja, welke ketenpartners zijn dit en welke data betreft dit? </w:t>
      </w:r>
    </w:p>
    <w:p w:rsidRPr="009C37A5" w:rsidR="009C37A5" w:rsidP="009C37A5" w:rsidRDefault="009C37A5" w14:paraId="1E515232" w14:textId="77777777">
      <w:pPr>
        <w:rPr>
          <w:b/>
          <w:bCs/>
        </w:rPr>
      </w:pPr>
    </w:p>
    <w:p w:rsidRPr="009C37A5" w:rsidR="009C37A5" w:rsidP="009C37A5" w:rsidRDefault="009C37A5" w14:paraId="30CB0EBF" w14:textId="77777777">
      <w:pPr>
        <w:rPr>
          <w:i/>
          <w:iCs/>
        </w:rPr>
      </w:pPr>
      <w:r w:rsidRPr="009C37A5">
        <w:rPr>
          <w:i/>
          <w:iCs/>
        </w:rPr>
        <w:t>Antwoord</w:t>
      </w:r>
    </w:p>
    <w:p w:rsidR="009C37A5" w:rsidP="009C37A5" w:rsidRDefault="008C7944" w14:paraId="4C7BAEC2" w14:textId="2043C9D4">
      <w:r w:rsidRPr="008C7944">
        <w:t>De Wet politiegegevens (</w:t>
      </w:r>
      <w:proofErr w:type="spellStart"/>
      <w:r w:rsidRPr="008C7944">
        <w:t>Wpg</w:t>
      </w:r>
      <w:proofErr w:type="spellEnd"/>
      <w:r w:rsidRPr="008C7944">
        <w:t xml:space="preserve">) verplicht functionarissen die binnen het </w:t>
      </w:r>
      <w:proofErr w:type="spellStart"/>
      <w:r w:rsidRPr="008C7944">
        <w:t>Wpg</w:t>
      </w:r>
      <w:proofErr w:type="spellEnd"/>
      <w:r w:rsidRPr="008C7944">
        <w:t xml:space="preserve">-domein werkzaam zijn — waaronder de algemene opsporingsambtenaren van de politie, de Koninklijke Marechaussee en de Bijzondere Opsporingsdiensten — om informatie te delen binnen de geldende </w:t>
      </w:r>
      <w:r w:rsidRPr="008C7944" w:rsidR="00B7616E">
        <w:t xml:space="preserve">wettelijke </w:t>
      </w:r>
      <w:r w:rsidRPr="008C7944">
        <w:t xml:space="preserve">kaders. Algemene opsporingsambtenaren, zoals die van de FIOD, met wie de politie samenwerkt en die gebruikmaken van een door de politie verstrekte werkplek, kunnen toegang krijgen tot </w:t>
      </w:r>
      <w:proofErr w:type="spellStart"/>
      <w:r w:rsidRPr="008C7944">
        <w:t>Palantir</w:t>
      </w:r>
      <w:proofErr w:type="spellEnd"/>
      <w:r w:rsidRPr="008C7944">
        <w:t xml:space="preserve">. Dit gebruik valt onder de verantwoordelijkheid van de politie en vindt plaats binnen de geldende wettelijke kaders. Uit de eerdere inventarisatie is geen ander, indirect gebruik van </w:t>
      </w:r>
      <w:proofErr w:type="spellStart"/>
      <w:r w:rsidRPr="008C7944">
        <w:t>Palantir</w:t>
      </w:r>
      <w:proofErr w:type="spellEnd"/>
      <w:r w:rsidRPr="008C7944">
        <w:t xml:space="preserve"> of van door </w:t>
      </w:r>
      <w:proofErr w:type="spellStart"/>
      <w:r w:rsidRPr="008C7944">
        <w:t>Palantir</w:t>
      </w:r>
      <w:proofErr w:type="spellEnd"/>
      <w:r w:rsidRPr="008C7944">
        <w:t xml:space="preserve"> gegenereerde informatieproducten gebleken.</w:t>
      </w:r>
    </w:p>
    <w:p w:rsidRPr="009C37A5" w:rsidR="008C7944" w:rsidP="009C37A5" w:rsidRDefault="008C7944" w14:paraId="47AAC2AF" w14:textId="77777777"/>
    <w:p w:rsidR="009C37A5" w:rsidP="009C37A5" w:rsidRDefault="005E2217" w14:paraId="620142AE" w14:textId="6A8E82C1">
      <w:r w:rsidRPr="005E2217">
        <w:t xml:space="preserve">Voor een nadere duiding van het gebruik van </w:t>
      </w:r>
      <w:proofErr w:type="spellStart"/>
      <w:r w:rsidRPr="005E2217">
        <w:t>Palantir</w:t>
      </w:r>
      <w:proofErr w:type="spellEnd"/>
      <w:r w:rsidRPr="005E2217">
        <w:t xml:space="preserve"> bij organisaties buiten het Ministerie van Financiën, waaronder samenwerkingsverbanden die gelieerd zijn aan het Ministerie van Justitie en Veiligheid, zoals de Regionale Informatie- en Expertisecentra (</w:t>
      </w:r>
      <w:proofErr w:type="spellStart"/>
      <w:r w:rsidRPr="005E2217">
        <w:t>RIEC’s</w:t>
      </w:r>
      <w:proofErr w:type="spellEnd"/>
      <w:r w:rsidRPr="005E2217">
        <w:t>), het Landelijk Informatie- en Expertisecentrum (LIEC) en de Infobox Crimineel en Onverklaarbaar Vermogen (</w:t>
      </w:r>
      <w:proofErr w:type="spellStart"/>
      <w:r w:rsidRPr="005E2217">
        <w:t>iCOV</w:t>
      </w:r>
      <w:proofErr w:type="spellEnd"/>
      <w:r w:rsidRPr="005E2217">
        <w:t>), verwijs ik naar de beantwoording van de Kamervragen van het lid Van Houwelingen door andere ministeries.</w:t>
      </w:r>
    </w:p>
    <w:p w:rsidRPr="009C37A5" w:rsidR="005E2217" w:rsidP="009C37A5" w:rsidRDefault="005E2217" w14:paraId="74358017" w14:textId="77777777">
      <w:pPr>
        <w:rPr>
          <w:b/>
          <w:bCs/>
        </w:rPr>
      </w:pPr>
    </w:p>
    <w:p w:rsidRPr="009C37A5" w:rsidR="009C37A5" w:rsidP="009C37A5" w:rsidRDefault="009C37A5" w14:paraId="656800F9" w14:textId="77777777">
      <w:pPr>
        <w:rPr>
          <w:b/>
          <w:bCs/>
        </w:rPr>
      </w:pPr>
      <w:r w:rsidRPr="009C37A5">
        <w:rPr>
          <w:b/>
          <w:bCs/>
        </w:rPr>
        <w:t>3) Wanneer uw organisatie gegevens deelt met ketenpartners, ontslaat u dit vervolgens, naar uw oordeel, van de verantwoordelijkheden die de AVG verbindt aan de gegevensverwerking en - deling? Zo ja, waarom?</w:t>
      </w:r>
    </w:p>
    <w:p w:rsidRPr="009C37A5" w:rsidR="009C37A5" w:rsidP="009C37A5" w:rsidRDefault="009C37A5" w14:paraId="61FA42A5" w14:textId="77777777"/>
    <w:p w:rsidRPr="009C37A5" w:rsidR="009C37A5" w:rsidP="009C37A5" w:rsidRDefault="009C37A5" w14:paraId="58DBAD40" w14:textId="77777777">
      <w:pPr>
        <w:rPr>
          <w:i/>
          <w:iCs/>
        </w:rPr>
      </w:pPr>
      <w:r w:rsidRPr="009C37A5">
        <w:rPr>
          <w:i/>
          <w:iCs/>
        </w:rPr>
        <w:t>Antwoord</w:t>
      </w:r>
    </w:p>
    <w:p w:rsidRPr="009C37A5" w:rsidR="009C37A5" w:rsidP="009C37A5" w:rsidRDefault="009C37A5" w14:paraId="7E924D02" w14:textId="77777777">
      <w:r w:rsidRPr="009C37A5">
        <w:t>Nee. Wanneer organisatieonderdelen gegevens delen met ketenpartners, ontslaat dit het betreffende organisatieonderdeel niet van de verantwoordelijkheden die de AVG verbindt aan de verwerking en deling van persoonsgegevens. Deze verantwoordelijkheden kunnen niet enkel door het delen van gegevens worden overgedragen of uitgesloten.</w:t>
      </w:r>
    </w:p>
    <w:p w:rsidRPr="009C37A5" w:rsidR="009C37A5" w:rsidP="009C37A5" w:rsidRDefault="009C37A5" w14:paraId="4DA140FC" w14:textId="77777777"/>
    <w:p w:rsidRPr="009C37A5" w:rsidR="00FA2E1B" w:rsidP="009C37A5" w:rsidRDefault="009C37A5" w14:paraId="30F869D1" w14:textId="7CFB92CE">
      <w:r w:rsidRPr="009C37A5">
        <w:t>Bij ketensamenwerkingen kan sprake zijn van gedeelde of gezamenlijke verantwoordelijkheid. In dat geval worden de taakverdeling en verantwoordelijkheden vastgelegd in een convenant of—wanneer sprake is van verwerking in opdracht van het organisatieonderdeel—in een verwerkersovereenkomst.</w:t>
      </w:r>
    </w:p>
    <w:sectPr w:rsidRPr="009C37A5" w:rsidR="00FA2E1B" w:rsidSect="00F905EF">
      <w:pgSz w:w="11905" w:h="16837"/>
      <w:pgMar w:top="1560" w:right="1415" w:bottom="1432"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A06C" w14:textId="77777777" w:rsidR="00C314B7" w:rsidRDefault="00C314B7">
      <w:pPr>
        <w:spacing w:line="240" w:lineRule="auto"/>
      </w:pPr>
      <w:r>
        <w:separator/>
      </w:r>
    </w:p>
  </w:endnote>
  <w:endnote w:type="continuationSeparator" w:id="0">
    <w:p w14:paraId="15EFBF5B" w14:textId="77777777" w:rsidR="00C314B7" w:rsidRDefault="00C31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B13A" w14:textId="77777777" w:rsidR="00C314B7" w:rsidRDefault="00C314B7">
      <w:pPr>
        <w:spacing w:line="240" w:lineRule="auto"/>
      </w:pPr>
      <w:r>
        <w:separator/>
      </w:r>
    </w:p>
  </w:footnote>
  <w:footnote w:type="continuationSeparator" w:id="0">
    <w:p w14:paraId="546E93F4" w14:textId="77777777" w:rsidR="00C314B7" w:rsidRDefault="00C314B7">
      <w:pPr>
        <w:spacing w:line="240" w:lineRule="auto"/>
      </w:pPr>
      <w:r>
        <w:continuationSeparator/>
      </w:r>
    </w:p>
  </w:footnote>
  <w:footnote w:id="1">
    <w:p w14:paraId="720EB7F5" w14:textId="5D8FC98E" w:rsidR="009C37A5" w:rsidRDefault="009C37A5">
      <w:pPr>
        <w:pStyle w:val="Voetnoottekst"/>
      </w:pPr>
      <w:r w:rsidRPr="009C37A5">
        <w:rPr>
          <w:rStyle w:val="Voetnootmarkering"/>
          <w:sz w:val="16"/>
          <w:szCs w:val="16"/>
        </w:rPr>
        <w:footnoteRef/>
      </w:r>
      <w:r w:rsidRPr="009C37A5">
        <w:rPr>
          <w:sz w:val="16"/>
          <w:szCs w:val="16"/>
        </w:rPr>
        <w:t xml:space="preserve"> Aanhangsel Handelingen II, vergaderjaar 2025-2026, nr.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DD1380"/>
    <w:multiLevelType w:val="multilevel"/>
    <w:tmpl w:val="6EF557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615E0A3"/>
    <w:multiLevelType w:val="multilevel"/>
    <w:tmpl w:val="79E5F3F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CAA916"/>
    <w:multiLevelType w:val="multilevel"/>
    <w:tmpl w:val="6B19658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12CAD4A"/>
    <w:multiLevelType w:val="multilevel"/>
    <w:tmpl w:val="BECC82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71282106">
    <w:abstractNumId w:val="1"/>
  </w:num>
  <w:num w:numId="2" w16cid:durableId="1234242415">
    <w:abstractNumId w:val="3"/>
  </w:num>
  <w:num w:numId="3" w16cid:durableId="995644077">
    <w:abstractNumId w:val="2"/>
  </w:num>
  <w:num w:numId="4" w16cid:durableId="129521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DF"/>
    <w:rsid w:val="00023B52"/>
    <w:rsid w:val="00086422"/>
    <w:rsid w:val="000C0668"/>
    <w:rsid w:val="000E27DC"/>
    <w:rsid w:val="000F148A"/>
    <w:rsid w:val="00137A86"/>
    <w:rsid w:val="00153014"/>
    <w:rsid w:val="0016503B"/>
    <w:rsid w:val="001A4D6F"/>
    <w:rsid w:val="001B7236"/>
    <w:rsid w:val="001C6D4A"/>
    <w:rsid w:val="001F174B"/>
    <w:rsid w:val="0020213E"/>
    <w:rsid w:val="002531A0"/>
    <w:rsid w:val="00262064"/>
    <w:rsid w:val="002B0282"/>
    <w:rsid w:val="002B57D9"/>
    <w:rsid w:val="00367884"/>
    <w:rsid w:val="00381276"/>
    <w:rsid w:val="0038333E"/>
    <w:rsid w:val="003D6CD8"/>
    <w:rsid w:val="003E2DBA"/>
    <w:rsid w:val="004019DF"/>
    <w:rsid w:val="00403B56"/>
    <w:rsid w:val="00416767"/>
    <w:rsid w:val="004477E2"/>
    <w:rsid w:val="00455DFB"/>
    <w:rsid w:val="00472CEF"/>
    <w:rsid w:val="00482F7D"/>
    <w:rsid w:val="0051194A"/>
    <w:rsid w:val="00541C28"/>
    <w:rsid w:val="00591DA3"/>
    <w:rsid w:val="005A3842"/>
    <w:rsid w:val="005A660C"/>
    <w:rsid w:val="005A7025"/>
    <w:rsid w:val="005B69F4"/>
    <w:rsid w:val="005E2217"/>
    <w:rsid w:val="00633D4F"/>
    <w:rsid w:val="00647F61"/>
    <w:rsid w:val="00650EDD"/>
    <w:rsid w:val="00654988"/>
    <w:rsid w:val="006607DC"/>
    <w:rsid w:val="006B0A3B"/>
    <w:rsid w:val="00761B2C"/>
    <w:rsid w:val="00796737"/>
    <w:rsid w:val="0086635F"/>
    <w:rsid w:val="00882CE5"/>
    <w:rsid w:val="008C7944"/>
    <w:rsid w:val="00913317"/>
    <w:rsid w:val="009B2B49"/>
    <w:rsid w:val="009B6699"/>
    <w:rsid w:val="009C37A5"/>
    <w:rsid w:val="009C6228"/>
    <w:rsid w:val="009E3A7A"/>
    <w:rsid w:val="009E7EBD"/>
    <w:rsid w:val="00A126CC"/>
    <w:rsid w:val="00A54EDF"/>
    <w:rsid w:val="00A67569"/>
    <w:rsid w:val="00A704D9"/>
    <w:rsid w:val="00A80C19"/>
    <w:rsid w:val="00AD677F"/>
    <w:rsid w:val="00B13586"/>
    <w:rsid w:val="00B50564"/>
    <w:rsid w:val="00B60655"/>
    <w:rsid w:val="00B610A5"/>
    <w:rsid w:val="00B7616E"/>
    <w:rsid w:val="00BC5508"/>
    <w:rsid w:val="00C11406"/>
    <w:rsid w:val="00C314B7"/>
    <w:rsid w:val="00C66233"/>
    <w:rsid w:val="00CF1788"/>
    <w:rsid w:val="00D03373"/>
    <w:rsid w:val="00D4362B"/>
    <w:rsid w:val="00D4789A"/>
    <w:rsid w:val="00D534FC"/>
    <w:rsid w:val="00D65E77"/>
    <w:rsid w:val="00DE2709"/>
    <w:rsid w:val="00DF240E"/>
    <w:rsid w:val="00E61D74"/>
    <w:rsid w:val="00E62ECD"/>
    <w:rsid w:val="00E63E50"/>
    <w:rsid w:val="00E64489"/>
    <w:rsid w:val="00E76981"/>
    <w:rsid w:val="00EB35E0"/>
    <w:rsid w:val="00EC7305"/>
    <w:rsid w:val="00F12F26"/>
    <w:rsid w:val="00F27D3B"/>
    <w:rsid w:val="00F373EB"/>
    <w:rsid w:val="00F5054C"/>
    <w:rsid w:val="00F65C0F"/>
    <w:rsid w:val="00F905EF"/>
    <w:rsid w:val="00FA2E1B"/>
    <w:rsid w:val="00FC0187"/>
    <w:rsid w:val="00FE7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DA02"/>
  <w15:docId w15:val="{E9B3E060-7914-4610-893F-741137D1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77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77E2"/>
    <w:rPr>
      <w:rFonts w:ascii="Verdana" w:hAnsi="Verdana"/>
      <w:color w:val="000000"/>
      <w:sz w:val="18"/>
      <w:szCs w:val="18"/>
    </w:rPr>
  </w:style>
  <w:style w:type="paragraph" w:styleId="Voettekst">
    <w:name w:val="footer"/>
    <w:basedOn w:val="Standaard"/>
    <w:link w:val="VoettekstChar"/>
    <w:uiPriority w:val="99"/>
    <w:unhideWhenUsed/>
    <w:rsid w:val="004477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77E2"/>
    <w:rPr>
      <w:rFonts w:ascii="Verdana" w:hAnsi="Verdana"/>
      <w:color w:val="000000"/>
      <w:sz w:val="18"/>
      <w:szCs w:val="18"/>
    </w:rPr>
  </w:style>
  <w:style w:type="paragraph" w:styleId="Voetnoottekst">
    <w:name w:val="footnote text"/>
    <w:basedOn w:val="Standaard"/>
    <w:link w:val="VoetnoottekstChar"/>
    <w:uiPriority w:val="99"/>
    <w:semiHidden/>
    <w:unhideWhenUsed/>
    <w:rsid w:val="004477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77E2"/>
    <w:rPr>
      <w:rFonts w:ascii="Verdana" w:hAnsi="Verdana"/>
      <w:color w:val="000000"/>
    </w:rPr>
  </w:style>
  <w:style w:type="character" w:styleId="Voetnootmarkering">
    <w:name w:val="footnote reference"/>
    <w:basedOn w:val="Standaardalinea-lettertype"/>
    <w:uiPriority w:val="99"/>
    <w:semiHidden/>
    <w:unhideWhenUsed/>
    <w:rsid w:val="004477E2"/>
    <w:rPr>
      <w:vertAlign w:val="superscript"/>
    </w:rPr>
  </w:style>
  <w:style w:type="character" w:styleId="Onopgelostemelding">
    <w:name w:val="Unresolved Mention"/>
    <w:basedOn w:val="Standaardalinea-lettertype"/>
    <w:uiPriority w:val="99"/>
    <w:semiHidden/>
    <w:unhideWhenUsed/>
    <w:rsid w:val="004477E2"/>
    <w:rPr>
      <w:color w:val="605E5C"/>
      <w:shd w:val="clear" w:color="auto" w:fill="E1DFDD"/>
    </w:rPr>
  </w:style>
  <w:style w:type="paragraph" w:styleId="Lijstalinea">
    <w:name w:val="List Paragraph"/>
    <w:basedOn w:val="Standaard"/>
    <w:uiPriority w:val="34"/>
    <w:semiHidden/>
    <w:rsid w:val="0086635F"/>
    <w:pPr>
      <w:ind w:left="720"/>
      <w:contextualSpacing/>
    </w:pPr>
  </w:style>
  <w:style w:type="character" w:styleId="Verwijzingopmerking">
    <w:name w:val="annotation reference"/>
    <w:basedOn w:val="Standaardalinea-lettertype"/>
    <w:uiPriority w:val="99"/>
    <w:semiHidden/>
    <w:unhideWhenUsed/>
    <w:rsid w:val="003D6CD8"/>
    <w:rPr>
      <w:sz w:val="16"/>
      <w:szCs w:val="16"/>
    </w:rPr>
  </w:style>
  <w:style w:type="paragraph" w:styleId="Tekstopmerking">
    <w:name w:val="annotation text"/>
    <w:basedOn w:val="Standaard"/>
    <w:link w:val="TekstopmerkingChar"/>
    <w:uiPriority w:val="99"/>
    <w:unhideWhenUsed/>
    <w:rsid w:val="003D6CD8"/>
    <w:pPr>
      <w:spacing w:line="240" w:lineRule="auto"/>
    </w:pPr>
    <w:rPr>
      <w:sz w:val="20"/>
      <w:szCs w:val="20"/>
    </w:rPr>
  </w:style>
  <w:style w:type="character" w:customStyle="1" w:styleId="TekstopmerkingChar">
    <w:name w:val="Tekst opmerking Char"/>
    <w:basedOn w:val="Standaardalinea-lettertype"/>
    <w:link w:val="Tekstopmerking"/>
    <w:uiPriority w:val="99"/>
    <w:rsid w:val="003D6C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D6CD8"/>
    <w:rPr>
      <w:b/>
      <w:bCs/>
    </w:rPr>
  </w:style>
  <w:style w:type="character" w:customStyle="1" w:styleId="OnderwerpvanopmerkingChar">
    <w:name w:val="Onderwerp van opmerking Char"/>
    <w:basedOn w:val="TekstopmerkingChar"/>
    <w:link w:val="Onderwerpvanopmerking"/>
    <w:uiPriority w:val="99"/>
    <w:semiHidden/>
    <w:rsid w:val="003D6CD8"/>
    <w:rPr>
      <w:rFonts w:ascii="Verdana" w:hAnsi="Verdana"/>
      <w:b/>
      <w:bCs/>
      <w:color w:val="000000"/>
    </w:rPr>
  </w:style>
  <w:style w:type="paragraph" w:styleId="Revisie">
    <w:name w:val="Revision"/>
    <w:hidden/>
    <w:uiPriority w:val="99"/>
    <w:semiHidden/>
    <w:rsid w:val="002531A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290">
      <w:bodyDiv w:val="1"/>
      <w:marLeft w:val="0"/>
      <w:marRight w:val="0"/>
      <w:marTop w:val="0"/>
      <w:marBottom w:val="0"/>
      <w:divBdr>
        <w:top w:val="none" w:sz="0" w:space="0" w:color="auto"/>
        <w:left w:val="none" w:sz="0" w:space="0" w:color="auto"/>
        <w:bottom w:val="none" w:sz="0" w:space="0" w:color="auto"/>
        <w:right w:val="none" w:sz="0" w:space="0" w:color="auto"/>
      </w:divBdr>
    </w:div>
    <w:div w:id="228931275">
      <w:bodyDiv w:val="1"/>
      <w:marLeft w:val="0"/>
      <w:marRight w:val="0"/>
      <w:marTop w:val="0"/>
      <w:marBottom w:val="0"/>
      <w:divBdr>
        <w:top w:val="none" w:sz="0" w:space="0" w:color="auto"/>
        <w:left w:val="none" w:sz="0" w:space="0" w:color="auto"/>
        <w:bottom w:val="none" w:sz="0" w:space="0" w:color="auto"/>
        <w:right w:val="none" w:sz="0" w:space="0" w:color="auto"/>
      </w:divBdr>
    </w:div>
    <w:div w:id="233662483">
      <w:bodyDiv w:val="1"/>
      <w:marLeft w:val="0"/>
      <w:marRight w:val="0"/>
      <w:marTop w:val="0"/>
      <w:marBottom w:val="0"/>
      <w:divBdr>
        <w:top w:val="none" w:sz="0" w:space="0" w:color="auto"/>
        <w:left w:val="none" w:sz="0" w:space="0" w:color="auto"/>
        <w:bottom w:val="none" w:sz="0" w:space="0" w:color="auto"/>
        <w:right w:val="none" w:sz="0" w:space="0" w:color="auto"/>
      </w:divBdr>
    </w:div>
    <w:div w:id="254678528">
      <w:bodyDiv w:val="1"/>
      <w:marLeft w:val="0"/>
      <w:marRight w:val="0"/>
      <w:marTop w:val="0"/>
      <w:marBottom w:val="0"/>
      <w:divBdr>
        <w:top w:val="none" w:sz="0" w:space="0" w:color="auto"/>
        <w:left w:val="none" w:sz="0" w:space="0" w:color="auto"/>
        <w:bottom w:val="none" w:sz="0" w:space="0" w:color="auto"/>
        <w:right w:val="none" w:sz="0" w:space="0" w:color="auto"/>
      </w:divBdr>
    </w:div>
    <w:div w:id="608968941">
      <w:bodyDiv w:val="1"/>
      <w:marLeft w:val="0"/>
      <w:marRight w:val="0"/>
      <w:marTop w:val="0"/>
      <w:marBottom w:val="0"/>
      <w:divBdr>
        <w:top w:val="none" w:sz="0" w:space="0" w:color="auto"/>
        <w:left w:val="none" w:sz="0" w:space="0" w:color="auto"/>
        <w:bottom w:val="none" w:sz="0" w:space="0" w:color="auto"/>
        <w:right w:val="none" w:sz="0" w:space="0" w:color="auto"/>
      </w:divBdr>
    </w:div>
    <w:div w:id="627318323">
      <w:bodyDiv w:val="1"/>
      <w:marLeft w:val="0"/>
      <w:marRight w:val="0"/>
      <w:marTop w:val="0"/>
      <w:marBottom w:val="0"/>
      <w:divBdr>
        <w:top w:val="none" w:sz="0" w:space="0" w:color="auto"/>
        <w:left w:val="none" w:sz="0" w:space="0" w:color="auto"/>
        <w:bottom w:val="none" w:sz="0" w:space="0" w:color="auto"/>
        <w:right w:val="none" w:sz="0" w:space="0" w:color="auto"/>
      </w:divBdr>
    </w:div>
    <w:div w:id="636648257">
      <w:bodyDiv w:val="1"/>
      <w:marLeft w:val="0"/>
      <w:marRight w:val="0"/>
      <w:marTop w:val="0"/>
      <w:marBottom w:val="0"/>
      <w:divBdr>
        <w:top w:val="none" w:sz="0" w:space="0" w:color="auto"/>
        <w:left w:val="none" w:sz="0" w:space="0" w:color="auto"/>
        <w:bottom w:val="none" w:sz="0" w:space="0" w:color="auto"/>
        <w:right w:val="none" w:sz="0" w:space="0" w:color="auto"/>
      </w:divBdr>
    </w:div>
    <w:div w:id="798649299">
      <w:bodyDiv w:val="1"/>
      <w:marLeft w:val="0"/>
      <w:marRight w:val="0"/>
      <w:marTop w:val="0"/>
      <w:marBottom w:val="0"/>
      <w:divBdr>
        <w:top w:val="none" w:sz="0" w:space="0" w:color="auto"/>
        <w:left w:val="none" w:sz="0" w:space="0" w:color="auto"/>
        <w:bottom w:val="none" w:sz="0" w:space="0" w:color="auto"/>
        <w:right w:val="none" w:sz="0" w:space="0" w:color="auto"/>
      </w:divBdr>
    </w:div>
    <w:div w:id="854155595">
      <w:bodyDiv w:val="1"/>
      <w:marLeft w:val="0"/>
      <w:marRight w:val="0"/>
      <w:marTop w:val="0"/>
      <w:marBottom w:val="0"/>
      <w:divBdr>
        <w:top w:val="none" w:sz="0" w:space="0" w:color="auto"/>
        <w:left w:val="none" w:sz="0" w:space="0" w:color="auto"/>
        <w:bottom w:val="none" w:sz="0" w:space="0" w:color="auto"/>
        <w:right w:val="none" w:sz="0" w:space="0" w:color="auto"/>
      </w:divBdr>
    </w:div>
    <w:div w:id="896819479">
      <w:bodyDiv w:val="1"/>
      <w:marLeft w:val="0"/>
      <w:marRight w:val="0"/>
      <w:marTop w:val="0"/>
      <w:marBottom w:val="0"/>
      <w:divBdr>
        <w:top w:val="none" w:sz="0" w:space="0" w:color="auto"/>
        <w:left w:val="none" w:sz="0" w:space="0" w:color="auto"/>
        <w:bottom w:val="none" w:sz="0" w:space="0" w:color="auto"/>
        <w:right w:val="none" w:sz="0" w:space="0" w:color="auto"/>
      </w:divBdr>
    </w:div>
    <w:div w:id="903611910">
      <w:bodyDiv w:val="1"/>
      <w:marLeft w:val="0"/>
      <w:marRight w:val="0"/>
      <w:marTop w:val="0"/>
      <w:marBottom w:val="0"/>
      <w:divBdr>
        <w:top w:val="none" w:sz="0" w:space="0" w:color="auto"/>
        <w:left w:val="none" w:sz="0" w:space="0" w:color="auto"/>
        <w:bottom w:val="none" w:sz="0" w:space="0" w:color="auto"/>
        <w:right w:val="none" w:sz="0" w:space="0" w:color="auto"/>
      </w:divBdr>
    </w:div>
    <w:div w:id="1219978413">
      <w:bodyDiv w:val="1"/>
      <w:marLeft w:val="0"/>
      <w:marRight w:val="0"/>
      <w:marTop w:val="0"/>
      <w:marBottom w:val="0"/>
      <w:divBdr>
        <w:top w:val="none" w:sz="0" w:space="0" w:color="auto"/>
        <w:left w:val="none" w:sz="0" w:space="0" w:color="auto"/>
        <w:bottom w:val="none" w:sz="0" w:space="0" w:color="auto"/>
        <w:right w:val="none" w:sz="0" w:space="0" w:color="auto"/>
      </w:divBdr>
    </w:div>
    <w:div w:id="1244414698">
      <w:bodyDiv w:val="1"/>
      <w:marLeft w:val="0"/>
      <w:marRight w:val="0"/>
      <w:marTop w:val="0"/>
      <w:marBottom w:val="0"/>
      <w:divBdr>
        <w:top w:val="none" w:sz="0" w:space="0" w:color="auto"/>
        <w:left w:val="none" w:sz="0" w:space="0" w:color="auto"/>
        <w:bottom w:val="none" w:sz="0" w:space="0" w:color="auto"/>
        <w:right w:val="none" w:sz="0" w:space="0" w:color="auto"/>
      </w:divBdr>
    </w:div>
    <w:div w:id="1362777219">
      <w:bodyDiv w:val="1"/>
      <w:marLeft w:val="0"/>
      <w:marRight w:val="0"/>
      <w:marTop w:val="0"/>
      <w:marBottom w:val="0"/>
      <w:divBdr>
        <w:top w:val="none" w:sz="0" w:space="0" w:color="auto"/>
        <w:left w:val="none" w:sz="0" w:space="0" w:color="auto"/>
        <w:bottom w:val="none" w:sz="0" w:space="0" w:color="auto"/>
        <w:right w:val="none" w:sz="0" w:space="0" w:color="auto"/>
      </w:divBdr>
    </w:div>
    <w:div w:id="1551460406">
      <w:bodyDiv w:val="1"/>
      <w:marLeft w:val="0"/>
      <w:marRight w:val="0"/>
      <w:marTop w:val="0"/>
      <w:marBottom w:val="0"/>
      <w:divBdr>
        <w:top w:val="none" w:sz="0" w:space="0" w:color="auto"/>
        <w:left w:val="none" w:sz="0" w:space="0" w:color="auto"/>
        <w:bottom w:val="none" w:sz="0" w:space="0" w:color="auto"/>
        <w:right w:val="none" w:sz="0" w:space="0" w:color="auto"/>
      </w:divBdr>
    </w:div>
    <w:div w:id="1573274906">
      <w:bodyDiv w:val="1"/>
      <w:marLeft w:val="0"/>
      <w:marRight w:val="0"/>
      <w:marTop w:val="0"/>
      <w:marBottom w:val="0"/>
      <w:divBdr>
        <w:top w:val="none" w:sz="0" w:space="0" w:color="auto"/>
        <w:left w:val="none" w:sz="0" w:space="0" w:color="auto"/>
        <w:bottom w:val="none" w:sz="0" w:space="0" w:color="auto"/>
        <w:right w:val="none" w:sz="0" w:space="0" w:color="auto"/>
      </w:divBdr>
    </w:div>
    <w:div w:id="1717849693">
      <w:bodyDiv w:val="1"/>
      <w:marLeft w:val="0"/>
      <w:marRight w:val="0"/>
      <w:marTop w:val="0"/>
      <w:marBottom w:val="0"/>
      <w:divBdr>
        <w:top w:val="none" w:sz="0" w:space="0" w:color="auto"/>
        <w:left w:val="none" w:sz="0" w:space="0" w:color="auto"/>
        <w:bottom w:val="none" w:sz="0" w:space="0" w:color="auto"/>
        <w:right w:val="none" w:sz="0" w:space="0" w:color="auto"/>
      </w:divBdr>
    </w:div>
    <w:div w:id="1878010455">
      <w:bodyDiv w:val="1"/>
      <w:marLeft w:val="0"/>
      <w:marRight w:val="0"/>
      <w:marTop w:val="0"/>
      <w:marBottom w:val="0"/>
      <w:divBdr>
        <w:top w:val="none" w:sz="0" w:space="0" w:color="auto"/>
        <w:left w:val="none" w:sz="0" w:space="0" w:color="auto"/>
        <w:bottom w:val="none" w:sz="0" w:space="0" w:color="auto"/>
        <w:right w:val="none" w:sz="0" w:space="0" w:color="auto"/>
      </w:divBdr>
    </w:div>
    <w:div w:id="2101019207">
      <w:bodyDiv w:val="1"/>
      <w:marLeft w:val="0"/>
      <w:marRight w:val="0"/>
      <w:marTop w:val="0"/>
      <w:marBottom w:val="0"/>
      <w:divBdr>
        <w:top w:val="none" w:sz="0" w:space="0" w:color="auto"/>
        <w:left w:val="none" w:sz="0" w:space="0" w:color="auto"/>
        <w:bottom w:val="none" w:sz="0" w:space="0" w:color="auto"/>
        <w:right w:val="none" w:sz="0" w:space="0" w:color="auto"/>
      </w:divBdr>
    </w:div>
    <w:div w:id="212022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22" Type="http://schemas.openxmlformats.org/officeDocument/2006/relationships/webSetting" Target="webSettings0.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551</ap:Words>
  <ap:Characters>3034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Blanco document - Antwoorden Kamervragen van het lid Van Houwelingen (FvD) aan de minister van Financiën over Palantir</vt:lpstr>
    </vt:vector>
  </ap:TitlesOfParts>
  <ap:LinksUpToDate>false</ap:LinksUpToDate>
  <ap:CharactersWithSpaces>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2025-12-05T09:34:00.0000000Z</dcterms:created>
  <dcterms:modified xsi:type="dcterms:W3CDTF">2025-12-05T09:34:00.0000000Z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28 augustus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2025-0000539975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Antwoorden Kamervragen van het lid Van Houwelingen (FvD) aan de minister van Financiën over Palantir</vt:lpwstr>
  </property>
  <property fmtid="{D5CDD505-2E9C-101B-9397-08002B2CF9AE}" pid="32" name="MSIP_Label_112e3eac-4767-4d29-949e-d809b1160d11_Enabled">
    <vt:lpwstr>true</vt:lpwstr>
  </property>
  <property fmtid="{D5CDD505-2E9C-101B-9397-08002B2CF9AE}" pid="33" name="MSIP_Label_112e3eac-4767-4d29-949e-d809b1160d11_SetDate">
    <vt:lpwstr>2025-08-28T08:56:49Z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2981215f-091e-4d9b-acf0-3cef8d0ceaca</vt:lpwstr>
  </property>
  <property fmtid="{D5CDD505-2E9C-101B-9397-08002B2CF9AE}" pid="38" name="MSIP_Label_112e3eac-4767-4d29-949e-d809b1160d11_ContentBits">
    <vt:lpwstr>0</vt:lpwstr>
  </property>
</Properties>
</file>