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34442" w:rsidP="00C46E7E" w14:paraId="07C4ED04" w14:textId="77777777"/>
    <w:p w:rsidR="00F34442" w:rsidP="00C46E7E" w14:paraId="28C56F12" w14:textId="77777777">
      <w:r>
        <w:t>Na het commissiedebat functioneren Rijksdienst van 6 november 2024 is een motie van de leden Sneller en Vermee</w:t>
      </w:r>
      <w:r w:rsidR="009375CC">
        <w:t xml:space="preserve">r </w:t>
      </w:r>
      <w:r w:rsidR="00B14AEA">
        <w:t>(</w:t>
      </w:r>
      <w:r w:rsidRPr="00B14AEA" w:rsidR="00B14AEA">
        <w:t>Kamerstuk</w:t>
      </w:r>
      <w:r>
        <w:t>ken</w:t>
      </w:r>
      <w:r w:rsidRPr="00B14AEA" w:rsidR="00B14AEA">
        <w:t xml:space="preserve"> II 2024/25, 31490, nr. 354</w:t>
      </w:r>
      <w:r w:rsidR="00B14AEA">
        <w:t xml:space="preserve">) </w:t>
      </w:r>
      <w:r>
        <w:t xml:space="preserve">aangenomen om een dashboard te ontwikkelen voor de realisatie van </w:t>
      </w:r>
    </w:p>
    <w:p w:rsidR="00C46E7E" w:rsidP="00C46E7E" w14:paraId="3942DD5B" w14:textId="77777777">
      <w:r>
        <w:t xml:space="preserve">Roemernorm binnen de rijksoverheid </w:t>
      </w:r>
      <w:r>
        <w:t>en daarbij ook een overzicht van de vacatures te betrekken.</w:t>
      </w:r>
      <w:r w:rsidRPr="00B14AEA">
        <w:br/>
      </w:r>
    </w:p>
    <w:p w:rsidR="007A285E" w:rsidP="007A285E" w14:paraId="5532C167" w14:textId="77777777">
      <w:pPr>
        <w:rPr>
          <w:b/>
          <w:bCs/>
        </w:rPr>
      </w:pPr>
      <w:r w:rsidRPr="007A285E">
        <w:rPr>
          <w:b/>
          <w:bCs/>
        </w:rPr>
        <w:t>Terugdringen externe inhuur</w:t>
      </w:r>
    </w:p>
    <w:p w:rsidR="007A285E" w:rsidP="007A285E" w14:paraId="173261FD" w14:textId="77777777">
      <w:r>
        <w:t xml:space="preserve">Op 18 april is een brief </w:t>
      </w:r>
      <w:r w:rsidR="00962DEA">
        <w:t xml:space="preserve">aan </w:t>
      </w:r>
      <w:r>
        <w:t>uw Kamer gestuurd over het terugdringen van de externe inhuur</w:t>
      </w:r>
      <w:r w:rsidRPr="005A6B04">
        <w:t xml:space="preserve"> (314190-363)</w:t>
      </w:r>
      <w:r w:rsidR="00F34442">
        <w:t>.</w:t>
      </w:r>
      <w:r>
        <w:rPr>
          <w:rStyle w:val="FootnoteReference"/>
        </w:rPr>
        <w:footnoteReference w:id="2"/>
      </w:r>
      <w:r w:rsidR="002822DA">
        <w:t xml:space="preserve"> </w:t>
      </w:r>
      <w:r>
        <w:t>D</w:t>
      </w:r>
      <w:r w:rsidRPr="00AE0FD6">
        <w:t>e uitgaven aan externe inhuur mogen</w:t>
      </w:r>
      <w:r>
        <w:t xml:space="preserve"> </w:t>
      </w:r>
      <w:r w:rsidRPr="00AE0FD6">
        <w:t>niet meer dan 10% van de totale personele uitgaven betreffen (de zogenaamde</w:t>
      </w:r>
      <w:r>
        <w:t xml:space="preserve"> </w:t>
      </w:r>
      <w:r w:rsidRPr="00AE0FD6">
        <w:t>Roemernorm). Deze uitgavennorm voor externe inhuur is</w:t>
      </w:r>
      <w:r>
        <w:t xml:space="preserve"> </w:t>
      </w:r>
      <w:r w:rsidRPr="00AE0FD6">
        <w:t>richtinggevend, waarbij achteraf door de desbetreffende minister wordt verklaard</w:t>
      </w:r>
      <w:r>
        <w:t xml:space="preserve"> </w:t>
      </w:r>
      <w:r w:rsidRPr="00AE0FD6">
        <w:t xml:space="preserve">waarom de norm al </w:t>
      </w:r>
      <w:r w:rsidR="002822DA">
        <w:t>dan niet</w:t>
      </w:r>
      <w:r w:rsidRPr="00AE0FD6">
        <w:t xml:space="preserve"> is gerealiseerd</w:t>
      </w:r>
      <w:r w:rsidR="000A778F">
        <w:t xml:space="preserve"> </w:t>
      </w:r>
      <w:r w:rsidRPr="003A363A" w:rsidR="000A778F">
        <w:rPr>
          <w:i/>
          <w:iCs/>
        </w:rPr>
        <w:t>(</w:t>
      </w:r>
      <w:r w:rsidRPr="003A363A" w:rsidR="000A778F">
        <w:rPr>
          <w:i/>
          <w:iCs/>
        </w:rPr>
        <w:t>comply</w:t>
      </w:r>
      <w:r w:rsidRPr="003A363A" w:rsidR="000A778F">
        <w:rPr>
          <w:i/>
          <w:iCs/>
        </w:rPr>
        <w:t>-or-</w:t>
      </w:r>
      <w:r w:rsidRPr="003A363A" w:rsidR="000A778F">
        <w:rPr>
          <w:i/>
          <w:iCs/>
        </w:rPr>
        <w:t>explain</w:t>
      </w:r>
      <w:r w:rsidRPr="003A363A" w:rsidR="000A778F">
        <w:rPr>
          <w:i/>
          <w:iCs/>
        </w:rPr>
        <w:t>)</w:t>
      </w:r>
      <w:r w:rsidRPr="00AE0FD6">
        <w:t>. In het geval de norm wordt</w:t>
      </w:r>
      <w:r>
        <w:t xml:space="preserve"> </w:t>
      </w:r>
      <w:r w:rsidRPr="00AE0FD6">
        <w:t>overschreden, is het uitgangspunt 'leg uit'</w:t>
      </w:r>
      <w:r w:rsidRPr="003A363A">
        <w:rPr>
          <w:i/>
          <w:iCs/>
        </w:rPr>
        <w:t xml:space="preserve">. </w:t>
      </w:r>
      <w:r w:rsidRPr="00AE0FD6">
        <w:t>De ministeries zijn</w:t>
      </w:r>
      <w:r>
        <w:t xml:space="preserve"> </w:t>
      </w:r>
      <w:r w:rsidRPr="00AE0FD6">
        <w:t>verantwoordelijk voor het voldoen aan de norm. Zij leggen verantwoording af in</w:t>
      </w:r>
      <w:r>
        <w:t xml:space="preserve"> </w:t>
      </w:r>
      <w:r w:rsidRPr="00AE0FD6">
        <w:t>hun departementale jaarverslag. In de Jaarrapportage Bedrijfsvoering Rijk (JBR)</w:t>
      </w:r>
      <w:r>
        <w:t xml:space="preserve"> </w:t>
      </w:r>
      <w:r w:rsidRPr="00AE0FD6">
        <w:t>wordt het totaal aan externe inhuur bij het Rijk inzichtelijk gemaakt</w:t>
      </w:r>
      <w:r w:rsidR="00920FA0">
        <w:t>.</w:t>
      </w:r>
    </w:p>
    <w:p w:rsidRPr="005A6B04" w:rsidR="007A285E" w:rsidP="007A285E" w14:paraId="02E5EB06" w14:textId="77777777"/>
    <w:p w:rsidR="00920FA0" w:rsidP="00920FA0" w14:paraId="4975FCED" w14:textId="77777777">
      <w:r>
        <w:t>Ik vind het van belang dat we de externe inhuur terugdringen</w:t>
      </w:r>
      <w:r w:rsidR="00362505">
        <w:t>. Het</w:t>
      </w:r>
      <w:r w:rsidRPr="005A6B04">
        <w:t xml:space="preserve"> is primair de verantwoordelijkheid van de ministeries en hun</w:t>
      </w:r>
      <w:r>
        <w:t xml:space="preserve"> u</w:t>
      </w:r>
      <w:r w:rsidRPr="005A6B04">
        <w:t xml:space="preserve">itvoeringsorganisaties om </w:t>
      </w:r>
      <w:r>
        <w:t>dat te doen</w:t>
      </w:r>
      <w:r w:rsidRPr="005A6B04">
        <w:t xml:space="preserve">. </w:t>
      </w:r>
      <w:r>
        <w:t xml:space="preserve">Ik kan en wil daar </w:t>
      </w:r>
      <w:r w:rsidRPr="005A6B04">
        <w:t>niet in treden</w:t>
      </w:r>
      <w:r>
        <w:t>,</w:t>
      </w:r>
      <w:r w:rsidRPr="005A6B04">
        <w:t xml:space="preserve"> omdat </w:t>
      </w:r>
      <w:r>
        <w:t>ministeries en hun uitvoeringsorganisaties</w:t>
      </w:r>
      <w:r w:rsidRPr="005A6B04">
        <w:t xml:space="preserve"> zelf het beste kunnen beoordelen of in bepaalde,</w:t>
      </w:r>
      <w:r w:rsidR="009375CC">
        <w:t xml:space="preserve"> </w:t>
      </w:r>
      <w:r>
        <w:t>s</w:t>
      </w:r>
      <w:r w:rsidRPr="005A6B04">
        <w:t>pecifieke gevallen externe inhuur nodig is voor de taakuitvoering en</w:t>
      </w:r>
      <w:r>
        <w:t xml:space="preserve"> </w:t>
      </w:r>
      <w:r w:rsidRPr="005A6B04">
        <w:t xml:space="preserve">maatschappelijke dienstverlening. </w:t>
      </w:r>
    </w:p>
    <w:p w:rsidR="00920FA0" w:rsidP="00920FA0" w14:paraId="4E74EF55" w14:textId="77777777"/>
    <w:p w:rsidR="00C46E7E" w:rsidP="00C46E7E" w14:paraId="770E7B8C" w14:textId="77777777">
      <w:pPr>
        <w:rPr>
          <w:b/>
          <w:bCs/>
        </w:rPr>
      </w:pPr>
      <w:r w:rsidRPr="00FD5B61">
        <w:rPr>
          <w:b/>
          <w:bCs/>
        </w:rPr>
        <w:t>Dashboard</w:t>
      </w:r>
    </w:p>
    <w:p w:rsidR="00FD5B61" w:rsidP="00C46E7E" w14:paraId="01A6AABD" w14:textId="77777777">
      <w:r>
        <w:t>In navolging op de motie van Sneller en Vermeer is h</w:t>
      </w:r>
      <w:r>
        <w:t xml:space="preserve">et dashboard externe inhuur ontwikkeld. Dit dashboard geeft een overzicht weer van de stand van de externe inhuur en het aantal openstaande vacatures per departement. </w:t>
      </w:r>
      <w:r>
        <w:t>Het dashboard</w:t>
      </w:r>
      <w:r>
        <w:t xml:space="preserve"> is te vinden op</w:t>
      </w:r>
      <w:r>
        <w:t xml:space="preserve"> </w:t>
      </w:r>
      <w:hyperlink w:history="1" r:id="rId7">
        <w:r w:rsidRPr="0030316F" w:rsidR="0030316F">
          <w:rPr>
            <w:rStyle w:val="Hyperlink"/>
          </w:rPr>
          <w:t>dashboards.rijksoverheid.nl</w:t>
        </w:r>
      </w:hyperlink>
      <w:r>
        <w:t>.</w:t>
      </w:r>
    </w:p>
    <w:p w:rsidR="00F465C8" w:rsidP="00C46E7E" w14:paraId="71F0D851" w14:textId="77777777"/>
    <w:p w:rsidR="00FD5B61" w:rsidP="00C46E7E" w14:paraId="3FA79C74" w14:textId="77777777">
      <w:r>
        <w:t>Rijksbreed</w:t>
      </w:r>
      <w:r>
        <w:t xml:space="preserve"> bedragen in de eerste helft van 2025 (peildatum 1 juli 2025) de uitgaven aan externe inhuur 11,4% van de totale personele uitgaven</w:t>
      </w:r>
      <w:r w:rsidRPr="00B6707E">
        <w:t>. Uit het dashboard blijkt dat vanuit deze uitgaven, het meest</w:t>
      </w:r>
      <w:r w:rsidR="00362505">
        <w:t>e</w:t>
      </w:r>
      <w:r w:rsidRPr="00B6707E">
        <w:t xml:space="preserve"> extern werd ingehuurd voor </w:t>
      </w:r>
      <w:r w:rsidRPr="00B6707E">
        <w:t>ICT</w:t>
      </w:r>
      <w:r w:rsidR="00E80A6B">
        <w:t>-</w:t>
      </w:r>
      <w:r w:rsidRPr="00B6707E">
        <w:t>werkzaamheden en voor formatie en piekwerkzaamheden bij de uitvoeringsorganisaties. Een lijn die is voortgezet vanuit 2024, zoals ook is gerapporteerd in de JBR 2024.</w:t>
      </w:r>
      <w:r>
        <w:t xml:space="preserve"> Dit betreft een tussenstand.</w:t>
      </w:r>
      <w:r>
        <w:rPr>
          <w:rStyle w:val="FootnoteReference"/>
        </w:rPr>
        <w:footnoteReference w:id="3"/>
      </w:r>
    </w:p>
    <w:p w:rsidRPr="005A6B04" w:rsidR="00920FA0" w:rsidP="00920FA0" w14:paraId="1C29EB47" w14:textId="77777777">
      <w:r>
        <w:t>In de jaarverslagen 2025 van de departementen zal worden gerapporteerd over de totale uitgaven aan externe inhuur en indien van toepassing wordt in het jaarverslag toegelicht waarom de norm is overschreden. De jaarverslagen worden in mei 2026 gepubliceerd. Een samenvattend resultaat</w:t>
      </w:r>
      <w:r w:rsidRPr="005A6B04">
        <w:t xml:space="preserve"> </w:t>
      </w:r>
      <w:r>
        <w:t xml:space="preserve">vanuit de jaarverslagen en het </w:t>
      </w:r>
      <w:r>
        <w:t>rijksbrede</w:t>
      </w:r>
      <w:r>
        <w:t xml:space="preserve"> overzicht externe inhuur wordt opgenomen in </w:t>
      </w:r>
      <w:r w:rsidR="00E80A6B">
        <w:t xml:space="preserve">de </w:t>
      </w:r>
      <w:r w:rsidRPr="005A6B04">
        <w:t>JBR</w:t>
      </w:r>
      <w:r>
        <w:t>, die ook in mei 2026 verschijnt, en in het dashboard.</w:t>
      </w:r>
    </w:p>
    <w:p w:rsidR="00920FA0" w:rsidP="00C46E7E" w14:paraId="0F33D42B" w14:textId="77777777"/>
    <w:p w:rsidR="007A285E" w:rsidP="00FD5B61" w14:paraId="525F3323" w14:textId="77777777">
      <w:r>
        <w:t xml:space="preserve">De indeling van het dashboard is conform de inhuur categorieën uit de Rijksbegrotingsvoorschriften, in lijn met de </w:t>
      </w:r>
      <w:r w:rsidR="00920FA0">
        <w:t>JBR</w:t>
      </w:r>
      <w:r>
        <w:t>.</w:t>
      </w:r>
      <w:r w:rsidR="00E80A6B">
        <w:t xml:space="preserve"> </w:t>
      </w:r>
      <w:r>
        <w:t xml:space="preserve">Het dashboard wordt twee keer per jaar geactualiseerd, met de stand per 1 juli en de stand per 31 december (de laatste stand is conform de bijlage externe inhuur </w:t>
      </w:r>
      <w:r w:rsidR="000A3F70">
        <w:t>uit</w:t>
      </w:r>
      <w:r>
        <w:t xml:space="preserve"> de departementale jaarverslagen). Deze frequentie is gekozen om de extra administratieve lasten voor de ministeries en uitvoeringsorganisaties beperkt te houden. Publicatie van het dashboard vindt plaats drie maanden na de rapportageperiode vanwege doorlooptijd voor de aanlevering van de gegevens en doorlooptijd voor de verwerking van de gegevens.</w:t>
      </w:r>
      <w:r w:rsidR="00F465C8">
        <w:t xml:space="preserve"> </w:t>
      </w:r>
      <w:r w:rsidR="00F53AF5">
        <w:t>Vanaf 2025 worden de nieuwe departement</w:t>
      </w:r>
      <w:r w:rsidR="00796B75">
        <w:t>s</w:t>
      </w:r>
      <w:r w:rsidR="00F53AF5">
        <w:t>namen gehanteerd</w:t>
      </w:r>
      <w:r>
        <w:rPr>
          <w:rStyle w:val="FootnoteReference"/>
        </w:rPr>
        <w:footnoteReference w:id="4"/>
      </w:r>
      <w:r w:rsidRPr="0030316F">
        <w:t>.</w:t>
      </w:r>
    </w:p>
    <w:p w:rsidRPr="0030316F" w:rsidR="001D6538" w:rsidP="00FD5B61" w14:paraId="2939A46D" w14:textId="77777777"/>
    <w:p w:rsidR="008762D2" w14:paraId="2365B3DB" w14:textId="77777777"/>
    <w:p w:rsidR="00CC14EE" w14:paraId="0FB18C43" w14:textId="77777777">
      <w:r>
        <w:t xml:space="preserve">De </w:t>
      </w:r>
      <w:r w:rsidR="00E80A6B">
        <w:t>m</w:t>
      </w:r>
      <w:r>
        <w:t>inister van Binnenlandse Zaken en Koninkrijksrelaties</w:t>
      </w:r>
      <w:r>
        <w:rPr>
          <w:i/>
        </w:rPr>
        <w:t>,</w:t>
      </w:r>
    </w:p>
    <w:p w:rsidR="00CC14EE" w14:paraId="295EA68E" w14:textId="77777777"/>
    <w:p w:rsidR="000A778F" w14:paraId="2F28629D" w14:textId="77777777"/>
    <w:p w:rsidR="000A778F" w14:paraId="3B5BF063" w14:textId="77777777"/>
    <w:p w:rsidR="000A778F" w14:paraId="5121C727" w14:textId="77777777"/>
    <w:p w:rsidR="000A778F" w14:paraId="17E1FE0F" w14:textId="77777777"/>
    <w:p w:rsidR="00CC14EE" w14:paraId="53DC4596" w14:textId="77777777">
      <w:r>
        <w:t>F. Rijkaart</w:t>
      </w:r>
    </w:p>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4FB9" w14:paraId="00DDE1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14EE" w14:paraId="712C1DC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4FB9" w14:paraId="7FC67E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03A2" w14:paraId="1010F869" w14:textId="77777777">
      <w:pPr>
        <w:spacing w:line="240" w:lineRule="auto"/>
      </w:pPr>
      <w:r>
        <w:separator/>
      </w:r>
    </w:p>
  </w:footnote>
  <w:footnote w:type="continuationSeparator" w:id="1">
    <w:p w:rsidR="000D03A2" w14:paraId="58AE5852" w14:textId="77777777">
      <w:pPr>
        <w:spacing w:line="240" w:lineRule="auto"/>
      </w:pPr>
      <w:r>
        <w:continuationSeparator/>
      </w:r>
    </w:p>
  </w:footnote>
  <w:footnote w:id="2">
    <w:p w:rsidR="007A285E" w:rsidP="007A285E" w14:paraId="15FD3174" w14:textId="77777777">
      <w:pPr>
        <w:pStyle w:val="FootnoteText"/>
      </w:pPr>
      <w:r>
        <w:rPr>
          <w:rStyle w:val="FootnoteReference"/>
        </w:rPr>
        <w:footnoteRef/>
      </w:r>
      <w:r>
        <w:t xml:space="preserve"> </w:t>
      </w:r>
      <w:r w:rsidRPr="00D82E59">
        <w:rPr>
          <w:sz w:val="16"/>
          <w:szCs w:val="16"/>
        </w:rPr>
        <w:t>https://www.tweedekamer.nl/kamerstukken/brieven_regering/detail?id=2025Z07939&amp;did=2025D18024</w:t>
      </w:r>
    </w:p>
  </w:footnote>
  <w:footnote w:id="3">
    <w:p w:rsidR="000A778F" w:rsidRPr="000A778F" w:rsidP="000A778F" w14:paraId="2D5EE17E" w14:textId="77777777">
      <w:pPr>
        <w:rPr>
          <w:sz w:val="16"/>
          <w:szCs w:val="16"/>
          <w:u w:val="single"/>
        </w:rPr>
      </w:pPr>
      <w:r>
        <w:rPr>
          <w:rStyle w:val="FootnoteReference"/>
        </w:rPr>
        <w:footnoteRef/>
      </w:r>
      <w:r>
        <w:t xml:space="preserve"> </w:t>
      </w:r>
      <w:r w:rsidRPr="000A778F">
        <w:rPr>
          <w:sz w:val="16"/>
          <w:szCs w:val="16"/>
          <w:u w:val="single"/>
        </w:rPr>
        <w:t>BZK/VRO</w:t>
      </w:r>
      <w:r w:rsidRPr="000A778F">
        <w:rPr>
          <w:sz w:val="16"/>
          <w:szCs w:val="16"/>
        </w:rPr>
        <w:t xml:space="preserve">: </w:t>
      </w:r>
      <w:r w:rsidRPr="000A778F">
        <w:rPr>
          <w:rFonts w:eastAsia="Arial" w:cs="Arial"/>
          <w:sz w:val="16"/>
          <w:szCs w:val="16"/>
          <w:lang w:eastAsia="en-US"/>
        </w:rPr>
        <w:t>Bij vrijwel alle organisatieonderdelen van BZK/VRO wordt dit jaar minder ingehuurd. De departementale herschikking van Herstel Groningen naar mijn ministerie heeft echter een compenserend effect gehad, waardoor het totale inhuurpercentage per 1 juli 2025 vrijwel onveranderd is gebleven. De tijdelijke uitvoeringsorganisatie Nationaal Coördinator Groningen opereert in de unieke context van een tijdelijke opgave en een behoefte aan specialistische kennis, waarvoor externe inhuur noodzakelijk is. Net als de overige onderdelen van mijn ministerie bekijkt deze organisatie echter voortdurend waar mogelijkheden zijn om de externe inhuur verder terug te brengen.</w:t>
      </w:r>
    </w:p>
    <w:p w:rsidR="000A778F" w:rsidRPr="000A778F" w:rsidP="000A778F" w14:paraId="2BFD7B03" w14:textId="77777777">
      <w:pPr>
        <w:rPr>
          <w:sz w:val="16"/>
          <w:szCs w:val="16"/>
          <w:u w:val="single"/>
        </w:rPr>
      </w:pPr>
      <w:r w:rsidRPr="00D812BE">
        <w:rPr>
          <w:sz w:val="16"/>
          <w:szCs w:val="16"/>
        </w:rPr>
        <w:t>IenW</w:t>
      </w:r>
      <w:r w:rsidRPr="000A778F">
        <w:rPr>
          <w:sz w:val="16"/>
          <w:szCs w:val="16"/>
        </w:rPr>
        <w:t xml:space="preserve">: Het aandeel externe inhuur bij </w:t>
      </w:r>
      <w:r w:rsidRPr="000A778F">
        <w:rPr>
          <w:sz w:val="16"/>
          <w:szCs w:val="16"/>
        </w:rPr>
        <w:t>IenW</w:t>
      </w:r>
      <w:r w:rsidRPr="000A778F">
        <w:rPr>
          <w:sz w:val="16"/>
          <w:szCs w:val="16"/>
        </w:rPr>
        <w:t xml:space="preserve"> is inclusief de inzet van derden bij Rijkswaterstaat (RWS) </w:t>
      </w:r>
      <w:r w:rsidR="00362505">
        <w:rPr>
          <w:sz w:val="16"/>
          <w:szCs w:val="16"/>
        </w:rPr>
        <w:t>voor</w:t>
      </w:r>
      <w:r w:rsidRPr="000A778F">
        <w:rPr>
          <w:sz w:val="16"/>
          <w:szCs w:val="16"/>
        </w:rPr>
        <w:t xml:space="preserve"> taken die RWS van de markt betrekt (de niet-kerntaken), welke wordt gefinancierd uit de programmamiddelen. Zonder de inhuur op niet-kerntaken bij RWS (€93 miljoen), is het inhuurpercentage bij </w:t>
      </w:r>
      <w:r w:rsidRPr="000A778F">
        <w:rPr>
          <w:sz w:val="16"/>
          <w:szCs w:val="16"/>
        </w:rPr>
        <w:t>IenW</w:t>
      </w:r>
      <w:r w:rsidRPr="000A778F">
        <w:rPr>
          <w:sz w:val="16"/>
          <w:szCs w:val="16"/>
        </w:rPr>
        <w:t xml:space="preserve"> in de eerste helft van 2025 7,4%.</w:t>
      </w:r>
    </w:p>
    <w:p w:rsidR="000A778F" w:rsidRPr="000A778F" w:rsidP="000A778F" w14:paraId="3664EC92" w14:textId="77777777">
      <w:pPr>
        <w:rPr>
          <w:sz w:val="16"/>
          <w:szCs w:val="16"/>
          <w:u w:val="single"/>
        </w:rPr>
      </w:pPr>
      <w:r w:rsidRPr="000A778F">
        <w:rPr>
          <w:sz w:val="16"/>
          <w:szCs w:val="16"/>
          <w:u w:val="single"/>
        </w:rPr>
        <w:t>EZ/KGG</w:t>
      </w:r>
      <w:r w:rsidRPr="000A778F">
        <w:rPr>
          <w:sz w:val="16"/>
          <w:szCs w:val="16"/>
        </w:rPr>
        <w:t>: Bij EZ/KGG is veel ICT-inhuur en is sprake van fluctuerende opdrachtportefeuilles, waarvoor inhuur noodzakelijk kan zijn.</w:t>
      </w:r>
    </w:p>
  </w:footnote>
  <w:footnote w:id="4">
    <w:p w:rsidR="00B20A9F" w:rsidRPr="0030316F" w:rsidP="00B20A9F" w14:paraId="58D465A5" w14:textId="77777777">
      <w:pPr>
        <w:rPr>
          <w:sz w:val="16"/>
          <w:szCs w:val="16"/>
        </w:rPr>
      </w:pPr>
      <w:r>
        <w:rPr>
          <w:rStyle w:val="FootnoteReference"/>
        </w:rPr>
        <w:footnoteRef/>
      </w:r>
      <w:r>
        <w:t xml:space="preserve"> </w:t>
      </w:r>
      <w:r w:rsidRPr="0030316F">
        <w:rPr>
          <w:sz w:val="16"/>
          <w:szCs w:val="16"/>
        </w:rPr>
        <w:t xml:space="preserve">De departementen zijn historisch als volgt ingedeeld: AZ, BZK, BZ, </w:t>
      </w:r>
      <w:r w:rsidRPr="0030316F">
        <w:rPr>
          <w:sz w:val="16"/>
          <w:szCs w:val="16"/>
        </w:rPr>
        <w:t>Def</w:t>
      </w:r>
      <w:r w:rsidRPr="0030316F">
        <w:rPr>
          <w:sz w:val="16"/>
          <w:szCs w:val="16"/>
        </w:rPr>
        <w:t xml:space="preserve">, EZK, FIN </w:t>
      </w:r>
      <w:r w:rsidRPr="0030316F">
        <w:rPr>
          <w:sz w:val="16"/>
          <w:szCs w:val="16"/>
        </w:rPr>
        <w:t>IenW</w:t>
      </w:r>
      <w:r w:rsidRPr="0030316F">
        <w:rPr>
          <w:sz w:val="16"/>
          <w:szCs w:val="16"/>
        </w:rPr>
        <w:t xml:space="preserve">, </w:t>
      </w:r>
      <w:r w:rsidRPr="0030316F">
        <w:rPr>
          <w:sz w:val="16"/>
          <w:szCs w:val="16"/>
        </w:rPr>
        <w:t>JenV</w:t>
      </w:r>
      <w:r w:rsidRPr="0030316F">
        <w:rPr>
          <w:sz w:val="16"/>
          <w:szCs w:val="16"/>
        </w:rPr>
        <w:t>, LNV, OCW, SZW en VWS. Vanaf 2025 worden de nieuwe departement</w:t>
      </w:r>
      <w:r w:rsidR="00796B75">
        <w:rPr>
          <w:sz w:val="16"/>
          <w:szCs w:val="16"/>
        </w:rPr>
        <w:t>s</w:t>
      </w:r>
      <w:r w:rsidRPr="0030316F">
        <w:rPr>
          <w:sz w:val="16"/>
          <w:szCs w:val="16"/>
        </w:rPr>
        <w:t xml:space="preserve">namen gehanteerd, zijnde: AZ, BZK/VRO, BZ, </w:t>
      </w:r>
      <w:r w:rsidRPr="0030316F">
        <w:rPr>
          <w:sz w:val="16"/>
          <w:szCs w:val="16"/>
        </w:rPr>
        <w:t>Def</w:t>
      </w:r>
      <w:r w:rsidRPr="0030316F">
        <w:rPr>
          <w:sz w:val="16"/>
          <w:szCs w:val="16"/>
        </w:rPr>
        <w:t>, EZ</w:t>
      </w:r>
      <w:r w:rsidR="00920FA0">
        <w:rPr>
          <w:sz w:val="16"/>
          <w:szCs w:val="16"/>
        </w:rPr>
        <w:t>/KGG</w:t>
      </w:r>
      <w:r w:rsidRPr="0030316F">
        <w:rPr>
          <w:sz w:val="16"/>
          <w:szCs w:val="16"/>
        </w:rPr>
        <w:t xml:space="preserve">, FIN, </w:t>
      </w:r>
      <w:r w:rsidRPr="0030316F">
        <w:rPr>
          <w:sz w:val="16"/>
          <w:szCs w:val="16"/>
        </w:rPr>
        <w:t>IenW</w:t>
      </w:r>
      <w:r w:rsidRPr="0030316F">
        <w:rPr>
          <w:sz w:val="16"/>
          <w:szCs w:val="16"/>
        </w:rPr>
        <w:t xml:space="preserve">, </w:t>
      </w:r>
      <w:r w:rsidRPr="0030316F">
        <w:rPr>
          <w:sz w:val="16"/>
          <w:szCs w:val="16"/>
        </w:rPr>
        <w:t>JenV</w:t>
      </w:r>
      <w:r w:rsidR="00920FA0">
        <w:rPr>
          <w:sz w:val="16"/>
          <w:szCs w:val="16"/>
        </w:rPr>
        <w:t xml:space="preserve">, </w:t>
      </w:r>
      <w:r w:rsidRPr="0030316F">
        <w:rPr>
          <w:sz w:val="16"/>
          <w:szCs w:val="16"/>
        </w:rPr>
        <w:t>AenM</w:t>
      </w:r>
      <w:r w:rsidRPr="0030316F">
        <w:rPr>
          <w:sz w:val="16"/>
          <w:szCs w:val="16"/>
        </w:rPr>
        <w:t xml:space="preserve">, LVVN, OCW, SZW en VWS. </w:t>
      </w:r>
    </w:p>
    <w:p w:rsidR="00B20A9F" w14:paraId="674C452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4FB9" w14:paraId="075513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14EE" w14:paraId="75AE438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C14EE" w14:textId="77777777">
                          <w:pPr>
                            <w:pStyle w:val="Referentiegegevensbold"/>
                          </w:pPr>
                          <w:r>
                            <w:t>DGDOO</w:t>
                          </w:r>
                        </w:p>
                        <w:p w:rsidR="00CC14EE" w14:textId="77777777">
                          <w:pPr>
                            <w:pStyle w:val="Referentiegegevens"/>
                          </w:pPr>
                          <w:r>
                            <w:t>A&amp;O</w:t>
                          </w:r>
                        </w:p>
                        <w:p w:rsidR="00CC14EE" w14:textId="77777777">
                          <w:pPr>
                            <w:pStyle w:val="WitregelW2"/>
                          </w:pPr>
                        </w:p>
                        <w:p w:rsidR="00CC14EE" w14:textId="77777777">
                          <w:pPr>
                            <w:pStyle w:val="WitregelW1"/>
                          </w:pPr>
                        </w:p>
                        <w:p w:rsidR="00CC14EE" w14:textId="77777777">
                          <w:pPr>
                            <w:pStyle w:val="Referentiegegevensbold"/>
                          </w:pPr>
                          <w:r>
                            <w:t>Onze referentie</w:t>
                          </w:r>
                        </w:p>
                        <w:p w:rsidR="00945A12" w14:textId="77777777">
                          <w:pPr>
                            <w:pStyle w:val="Referentiegegevens"/>
                          </w:pPr>
                          <w:r>
                            <w:fldChar w:fldCharType="begin"/>
                          </w:r>
                          <w:r>
                            <w:instrText xml:space="preserve"> DOCPROPERTY  "Kenmerk"  \* MERGEFORMAT </w:instrText>
                          </w:r>
                          <w:r>
                            <w:fldChar w:fldCharType="separate"/>
                          </w:r>
                          <w:r w:rsidR="009D21BE">
                            <w:t>2025-0000625520</w:t>
                          </w:r>
                          <w:r w:rsidR="009D21B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C14EE" w14:paraId="2016475C" w14:textId="77777777">
                    <w:pPr>
                      <w:pStyle w:val="Referentiegegevensbold"/>
                    </w:pPr>
                    <w:r>
                      <w:t>DGDOO</w:t>
                    </w:r>
                  </w:p>
                  <w:p w:rsidR="00CC14EE" w14:paraId="11BC64AC" w14:textId="77777777">
                    <w:pPr>
                      <w:pStyle w:val="Referentiegegevens"/>
                    </w:pPr>
                    <w:r>
                      <w:t>A&amp;O</w:t>
                    </w:r>
                  </w:p>
                  <w:p w:rsidR="00CC14EE" w14:paraId="036EE292" w14:textId="77777777">
                    <w:pPr>
                      <w:pStyle w:val="WitregelW2"/>
                    </w:pPr>
                  </w:p>
                  <w:p w:rsidR="00CC14EE" w14:paraId="4CFB992A" w14:textId="77777777">
                    <w:pPr>
                      <w:pStyle w:val="WitregelW1"/>
                    </w:pPr>
                  </w:p>
                  <w:p w:rsidR="00CC14EE" w14:paraId="6B2FC901" w14:textId="77777777">
                    <w:pPr>
                      <w:pStyle w:val="Referentiegegevensbold"/>
                    </w:pPr>
                    <w:r>
                      <w:t>Onze referentie</w:t>
                    </w:r>
                  </w:p>
                  <w:p w:rsidR="00945A12" w14:paraId="233F2905" w14:textId="77777777">
                    <w:pPr>
                      <w:pStyle w:val="Referentiegegevens"/>
                    </w:pPr>
                    <w:r>
                      <w:fldChar w:fldCharType="begin"/>
                    </w:r>
                    <w:r>
                      <w:instrText xml:space="preserve"> DOCPROPERTY  "Kenmerk"  \* MERGEFORMAT </w:instrText>
                    </w:r>
                    <w:r>
                      <w:fldChar w:fldCharType="separate"/>
                    </w:r>
                    <w:r w:rsidR="009D21BE">
                      <w:t>2025-0000625520</w:t>
                    </w:r>
                    <w:r w:rsidR="009D21B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4244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4244B" w14:paraId="566F9E4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45A1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945A12" w14:paraId="45FDECB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14EE" w14:paraId="67F9857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C14EE" w14:textId="77777777">
                          <w:r>
                            <w:t>Aan de Voorzitter van de Tweede Kamer der Staten-Generaal</w:t>
                          </w:r>
                        </w:p>
                        <w:p w:rsidR="00CC14EE" w14:textId="77777777">
                          <w:r>
                            <w:t>Postbus 20018</w:t>
                          </w:r>
                        </w:p>
                        <w:p w:rsidR="00CC14EE"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C14EE" w14:paraId="0E5DD710" w14:textId="77777777">
                    <w:r>
                      <w:t>Aan de Voorzitter van de Tweede Kamer der Staten-Generaal</w:t>
                    </w:r>
                  </w:p>
                  <w:p w:rsidR="00CC14EE" w14:paraId="41104812" w14:textId="77777777">
                    <w:r>
                      <w:t>Postbus 20018</w:t>
                    </w:r>
                  </w:p>
                  <w:p w:rsidR="00CC14EE" w14:paraId="28A9AA6A"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9600"/>
                      </a:xfrm>
                      <a:prstGeom prst="rect">
                        <a:avLst/>
                      </a:prstGeom>
                      <a:noFill/>
                    </wps:spPr>
                    <wps:txbx>
                      <w:txbxContent>
                        <w:tbl>
                          <w:tblPr>
                            <w:tblW w:w="0" w:type="auto"/>
                            <w:tblInd w:w="-120" w:type="dxa"/>
                            <w:tblLayout w:type="fixed"/>
                            <w:tblLook w:val="07E0"/>
                          </w:tblPr>
                          <w:tblGrid>
                            <w:gridCol w:w="1140"/>
                            <w:gridCol w:w="5918"/>
                          </w:tblGrid>
                          <w:tr w14:paraId="7D83B4D0" w14:textId="77777777">
                            <w:tblPrEx>
                              <w:tblW w:w="0" w:type="auto"/>
                              <w:tblInd w:w="-120" w:type="dxa"/>
                              <w:tblLayout w:type="fixed"/>
                              <w:tblLook w:val="07E0"/>
                            </w:tblPrEx>
                            <w:trPr>
                              <w:trHeight w:val="240"/>
                            </w:trPr>
                            <w:tc>
                              <w:tcPr>
                                <w:tcW w:w="1140" w:type="dxa"/>
                              </w:tcPr>
                              <w:p w:rsidR="00CC14EE" w14:textId="77777777">
                                <w:r>
                                  <w:t>Datum</w:t>
                                </w:r>
                              </w:p>
                            </w:tc>
                            <w:tc>
                              <w:tcPr>
                                <w:tcW w:w="5918" w:type="dxa"/>
                              </w:tcPr>
                              <w:p w:rsidR="00CC14EE" w14:textId="60A4DE8C">
                                <w:r>
                                  <w:t>5 december 2025</w:t>
                                </w:r>
                              </w:p>
                            </w:tc>
                          </w:tr>
                          <w:tr w14:paraId="48E3F177" w14:textId="77777777">
                            <w:tblPrEx>
                              <w:tblW w:w="0" w:type="auto"/>
                              <w:tblInd w:w="-120" w:type="dxa"/>
                              <w:tblLayout w:type="fixed"/>
                              <w:tblLook w:val="07E0"/>
                            </w:tblPrEx>
                            <w:trPr>
                              <w:trHeight w:val="240"/>
                            </w:trPr>
                            <w:tc>
                              <w:tcPr>
                                <w:tcW w:w="1140" w:type="dxa"/>
                              </w:tcPr>
                              <w:p w:rsidR="00CC14EE" w14:textId="77777777">
                                <w:r>
                                  <w:t>Betreft</w:t>
                                </w:r>
                              </w:p>
                            </w:tc>
                            <w:tc>
                              <w:tcPr>
                                <w:tcW w:w="5918" w:type="dxa"/>
                              </w:tcPr>
                              <w:p w:rsidR="00CC14EE" w14:textId="77777777">
                                <w:r>
                                  <w:t>Dashboard externe inhuur n.a.v. de motie Sneller/Vermeer</w:t>
                                </w:r>
                              </w:p>
                            </w:tc>
                          </w:tr>
                        </w:tbl>
                        <w:p w:rsidR="0014244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8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D83B4CF" w14:textId="77777777">
                      <w:tblPrEx>
                        <w:tblW w:w="0" w:type="auto"/>
                        <w:tblInd w:w="-120" w:type="dxa"/>
                        <w:tblLayout w:type="fixed"/>
                        <w:tblLook w:val="07E0"/>
                      </w:tblPrEx>
                      <w:trPr>
                        <w:trHeight w:val="240"/>
                      </w:trPr>
                      <w:tc>
                        <w:tcPr>
                          <w:tcW w:w="1140" w:type="dxa"/>
                        </w:tcPr>
                        <w:p w:rsidR="00CC14EE" w14:paraId="3C08C694" w14:textId="77777777">
                          <w:r>
                            <w:t>Datum</w:t>
                          </w:r>
                        </w:p>
                      </w:tc>
                      <w:tc>
                        <w:tcPr>
                          <w:tcW w:w="5918" w:type="dxa"/>
                        </w:tcPr>
                        <w:p w:rsidR="00CC14EE" w14:paraId="37B6DE87" w14:textId="60A4DE8C">
                          <w:r>
                            <w:t>5 december 2025</w:t>
                          </w:r>
                        </w:p>
                      </w:tc>
                    </w:tr>
                    <w:tr w14:paraId="48E3F176" w14:textId="77777777">
                      <w:tblPrEx>
                        <w:tblW w:w="0" w:type="auto"/>
                        <w:tblInd w:w="-120" w:type="dxa"/>
                        <w:tblLayout w:type="fixed"/>
                        <w:tblLook w:val="07E0"/>
                      </w:tblPrEx>
                      <w:trPr>
                        <w:trHeight w:val="240"/>
                      </w:trPr>
                      <w:tc>
                        <w:tcPr>
                          <w:tcW w:w="1140" w:type="dxa"/>
                        </w:tcPr>
                        <w:p w:rsidR="00CC14EE" w14:paraId="40BC6C40" w14:textId="77777777">
                          <w:r>
                            <w:t>Betreft</w:t>
                          </w:r>
                        </w:p>
                      </w:tc>
                      <w:tc>
                        <w:tcPr>
                          <w:tcW w:w="5918" w:type="dxa"/>
                        </w:tcPr>
                        <w:p w:rsidR="00CC14EE" w14:paraId="1791A141" w14:textId="77777777">
                          <w:r>
                            <w:t>Dashboard externe inhuur n.a.v. de motie Sneller/Vermeer</w:t>
                          </w:r>
                        </w:p>
                      </w:tc>
                    </w:tr>
                  </w:tbl>
                  <w:p w:rsidR="0014244B" w14:paraId="6BB31435"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C14EE" w14:textId="77777777">
                          <w:pPr>
                            <w:pStyle w:val="Referentiegegevensbold"/>
                          </w:pPr>
                          <w:r>
                            <w:t>DGDOO</w:t>
                          </w:r>
                        </w:p>
                        <w:p w:rsidR="00CC14EE" w14:textId="77777777">
                          <w:pPr>
                            <w:pStyle w:val="Referentiegegevens"/>
                          </w:pPr>
                          <w:r>
                            <w:t>A&amp;O</w:t>
                          </w:r>
                        </w:p>
                        <w:p w:rsidR="00CC14EE" w14:textId="77777777">
                          <w:pPr>
                            <w:pStyle w:val="WitregelW1"/>
                          </w:pPr>
                        </w:p>
                        <w:p w:rsidR="00CC14EE" w14:textId="77777777">
                          <w:pPr>
                            <w:pStyle w:val="Referentiegegevens"/>
                          </w:pPr>
                          <w:r>
                            <w:t>Ministerie van BZK</w:t>
                          </w:r>
                        </w:p>
                        <w:p w:rsidR="00CC14EE" w14:textId="77777777">
                          <w:pPr>
                            <w:pStyle w:val="Referentiegegevens"/>
                          </w:pPr>
                          <w:r>
                            <w:t>Turfmarkt 147</w:t>
                          </w:r>
                        </w:p>
                        <w:p w:rsidR="00CC14EE" w14:textId="77777777">
                          <w:pPr>
                            <w:pStyle w:val="Referentiegegevens"/>
                          </w:pPr>
                          <w:r>
                            <w:t>2511 DP Den Haag</w:t>
                          </w:r>
                        </w:p>
                        <w:p w:rsidR="00CC14EE" w14:textId="77777777">
                          <w:pPr>
                            <w:pStyle w:val="Referentiegegevens"/>
                          </w:pPr>
                          <w:r>
                            <w:t>Postbus 20011</w:t>
                          </w:r>
                        </w:p>
                        <w:p w:rsidR="00CC14EE" w14:textId="77777777">
                          <w:pPr>
                            <w:pStyle w:val="Referentiegegevens"/>
                          </w:pPr>
                          <w:r>
                            <w:t>2500 EA  Den Haag</w:t>
                          </w:r>
                        </w:p>
                        <w:p w:rsidR="00CC14EE" w14:textId="77777777">
                          <w:pPr>
                            <w:pStyle w:val="WitregelW2"/>
                          </w:pPr>
                        </w:p>
                        <w:p w:rsidR="00CC14EE" w14:textId="77777777">
                          <w:pPr>
                            <w:pStyle w:val="Referentiegegevensbold"/>
                          </w:pPr>
                          <w:r>
                            <w:t>Onze referentie</w:t>
                          </w:r>
                        </w:p>
                        <w:p w:rsidR="00945A12" w14:textId="77777777">
                          <w:pPr>
                            <w:pStyle w:val="Referentiegegevens"/>
                          </w:pPr>
                          <w:r>
                            <w:fldChar w:fldCharType="begin"/>
                          </w:r>
                          <w:r>
                            <w:instrText xml:space="preserve"> DOCPROPERTY  "Kenmerk"  \* MERGEFORMAT </w:instrText>
                          </w:r>
                          <w:r>
                            <w:fldChar w:fldCharType="separate"/>
                          </w:r>
                          <w:r w:rsidR="009D21BE">
                            <w:t>2025-0000625520</w:t>
                          </w:r>
                          <w:r w:rsidR="009D21BE">
                            <w:fldChar w:fldCharType="end"/>
                          </w:r>
                        </w:p>
                        <w:p w:rsidR="00CC14EE" w14:textId="77777777">
                          <w:pPr>
                            <w:pStyle w:val="WitregelW1"/>
                          </w:pPr>
                        </w:p>
                        <w:p w:rsidR="00CC14EE" w14:textId="77777777">
                          <w:pPr>
                            <w:pStyle w:val="Referentiegegevensbold"/>
                          </w:pPr>
                          <w:r>
                            <w:t>Bijlage(n)</w:t>
                          </w:r>
                        </w:p>
                        <w:p w:rsidR="00CC14EE" w14:textId="77777777">
                          <w:pPr>
                            <w:pStyle w:val="Referentiegegevens"/>
                          </w:pPr>
                          <w:r>
                            <w:t>0</w:t>
                          </w:r>
                        </w:p>
                        <w:p w:rsidR="00CC14EE" w14:textId="77777777">
                          <w:pPr>
                            <w:pStyle w:val="WitregelW2"/>
                          </w:pPr>
                        </w:p>
                        <w:p w:rsidR="00CC14E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C14EE" w14:paraId="3A01F353" w14:textId="77777777">
                    <w:pPr>
                      <w:pStyle w:val="Referentiegegevensbold"/>
                    </w:pPr>
                    <w:r>
                      <w:t>DGDOO</w:t>
                    </w:r>
                  </w:p>
                  <w:p w:rsidR="00CC14EE" w14:paraId="77E08BD1" w14:textId="77777777">
                    <w:pPr>
                      <w:pStyle w:val="Referentiegegevens"/>
                    </w:pPr>
                    <w:r>
                      <w:t>A&amp;O</w:t>
                    </w:r>
                  </w:p>
                  <w:p w:rsidR="00CC14EE" w14:paraId="7C60DADE" w14:textId="77777777">
                    <w:pPr>
                      <w:pStyle w:val="WitregelW1"/>
                    </w:pPr>
                  </w:p>
                  <w:p w:rsidR="00CC14EE" w14:paraId="2AB95FED" w14:textId="77777777">
                    <w:pPr>
                      <w:pStyle w:val="Referentiegegevens"/>
                    </w:pPr>
                    <w:r>
                      <w:t>Ministerie van BZK</w:t>
                    </w:r>
                  </w:p>
                  <w:p w:rsidR="00CC14EE" w14:paraId="24A1C285" w14:textId="77777777">
                    <w:pPr>
                      <w:pStyle w:val="Referentiegegevens"/>
                    </w:pPr>
                    <w:r>
                      <w:t>Turfmarkt 147</w:t>
                    </w:r>
                  </w:p>
                  <w:p w:rsidR="00CC14EE" w14:paraId="6CB01D5D" w14:textId="77777777">
                    <w:pPr>
                      <w:pStyle w:val="Referentiegegevens"/>
                    </w:pPr>
                    <w:r>
                      <w:t>2511 DP Den Haag</w:t>
                    </w:r>
                  </w:p>
                  <w:p w:rsidR="00CC14EE" w14:paraId="3B6369B4" w14:textId="77777777">
                    <w:pPr>
                      <w:pStyle w:val="Referentiegegevens"/>
                    </w:pPr>
                    <w:r>
                      <w:t>Postbus 20011</w:t>
                    </w:r>
                  </w:p>
                  <w:p w:rsidR="00CC14EE" w14:paraId="6FDAEE09" w14:textId="77777777">
                    <w:pPr>
                      <w:pStyle w:val="Referentiegegevens"/>
                    </w:pPr>
                    <w:r>
                      <w:t>2500 EA  Den Haag</w:t>
                    </w:r>
                  </w:p>
                  <w:p w:rsidR="00CC14EE" w14:paraId="3CEAD2B2" w14:textId="77777777">
                    <w:pPr>
                      <w:pStyle w:val="WitregelW2"/>
                    </w:pPr>
                  </w:p>
                  <w:p w:rsidR="00CC14EE" w14:paraId="17A1C138" w14:textId="77777777">
                    <w:pPr>
                      <w:pStyle w:val="Referentiegegevensbold"/>
                    </w:pPr>
                    <w:r>
                      <w:t>Onze referentie</w:t>
                    </w:r>
                  </w:p>
                  <w:p w:rsidR="00945A12" w14:paraId="337E50EB" w14:textId="77777777">
                    <w:pPr>
                      <w:pStyle w:val="Referentiegegevens"/>
                    </w:pPr>
                    <w:r>
                      <w:fldChar w:fldCharType="begin"/>
                    </w:r>
                    <w:r>
                      <w:instrText xml:space="preserve"> DOCPROPERTY  "Kenmerk"  \* MERGEFORMAT </w:instrText>
                    </w:r>
                    <w:r>
                      <w:fldChar w:fldCharType="separate"/>
                    </w:r>
                    <w:r w:rsidR="009D21BE">
                      <w:t>2025-0000625520</w:t>
                    </w:r>
                    <w:r w:rsidR="009D21BE">
                      <w:fldChar w:fldCharType="end"/>
                    </w:r>
                  </w:p>
                  <w:p w:rsidR="00CC14EE" w14:paraId="0FF31D78" w14:textId="77777777">
                    <w:pPr>
                      <w:pStyle w:val="WitregelW1"/>
                    </w:pPr>
                  </w:p>
                  <w:p w:rsidR="00CC14EE" w14:paraId="7CBE2CC0" w14:textId="77777777">
                    <w:pPr>
                      <w:pStyle w:val="Referentiegegevensbold"/>
                    </w:pPr>
                    <w:r>
                      <w:t>Bijlage(n)</w:t>
                    </w:r>
                  </w:p>
                  <w:p w:rsidR="00CC14EE" w14:paraId="26C7CFBE" w14:textId="77777777">
                    <w:pPr>
                      <w:pStyle w:val="Referentiegegevens"/>
                    </w:pPr>
                    <w:r>
                      <w:t>0</w:t>
                    </w:r>
                  </w:p>
                  <w:p w:rsidR="00CC14EE" w14:paraId="5A796797" w14:textId="77777777">
                    <w:pPr>
                      <w:pStyle w:val="WitregelW2"/>
                    </w:pPr>
                  </w:p>
                  <w:p w:rsidR="00CC14EE" w14:paraId="7E87F533"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4244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4244B" w14:paraId="07D9EF1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45A1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945A12" w14:paraId="2446024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C14EE" w14:textId="77777777">
                          <w:pPr>
                            <w:spacing w:line="240" w:lineRule="auto"/>
                          </w:pPr>
                          <w:r>
                            <w:rPr>
                              <w:noProof/>
                            </w:rPr>
                            <w:drawing>
                              <wp:inline distT="0" distB="0" distL="0" distR="0">
                                <wp:extent cx="467995" cy="1583865"/>
                                <wp:effectExtent l="0" t="0" r="0" b="0"/>
                                <wp:docPr id="123368287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3368287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C14EE" w14:paraId="2B9B4DF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C14EE" w14:textId="77777777">
                          <w:pPr>
                            <w:spacing w:line="240" w:lineRule="auto"/>
                          </w:pPr>
                          <w:r>
                            <w:rPr>
                              <w:noProof/>
                            </w:rPr>
                            <w:drawing>
                              <wp:inline distT="0" distB="0" distL="0" distR="0">
                                <wp:extent cx="2339975" cy="1582834"/>
                                <wp:effectExtent l="0" t="0" r="0" b="0"/>
                                <wp:docPr id="145937915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5937915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C14EE" w14:paraId="4264F9A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C14E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C14EE" w14:paraId="2BFA628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02C0EFE"/>
    <w:multiLevelType w:val="multilevel"/>
    <w:tmpl w:val="208425B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52CBA73"/>
    <w:multiLevelType w:val="multilevel"/>
    <w:tmpl w:val="4DEA50A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7315369B"/>
    <w:multiLevelType w:val="multilevel"/>
    <w:tmpl w:val="C82E2DE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5610C62"/>
    <w:multiLevelType w:val="multilevel"/>
    <w:tmpl w:val="F5DAE0A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829101162">
    <w:abstractNumId w:val="3"/>
  </w:num>
  <w:num w:numId="2" w16cid:durableId="1846089576">
    <w:abstractNumId w:val="2"/>
  </w:num>
  <w:num w:numId="3" w16cid:durableId="1850365433">
    <w:abstractNumId w:val="0"/>
  </w:num>
  <w:num w:numId="4" w16cid:durableId="163783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4EE"/>
    <w:rsid w:val="0000191F"/>
    <w:rsid w:val="00021945"/>
    <w:rsid w:val="00031775"/>
    <w:rsid w:val="000A3F70"/>
    <w:rsid w:val="000A778F"/>
    <w:rsid w:val="000D03A2"/>
    <w:rsid w:val="0014244B"/>
    <w:rsid w:val="001D6538"/>
    <w:rsid w:val="001E1583"/>
    <w:rsid w:val="002655FD"/>
    <w:rsid w:val="002822DA"/>
    <w:rsid w:val="002B0E0C"/>
    <w:rsid w:val="002C5CD8"/>
    <w:rsid w:val="0030316F"/>
    <w:rsid w:val="00362505"/>
    <w:rsid w:val="003A363A"/>
    <w:rsid w:val="003F5901"/>
    <w:rsid w:val="004C1F1D"/>
    <w:rsid w:val="0055535E"/>
    <w:rsid w:val="005A6B04"/>
    <w:rsid w:val="005B5FA8"/>
    <w:rsid w:val="005F2E81"/>
    <w:rsid w:val="005F6183"/>
    <w:rsid w:val="00633B90"/>
    <w:rsid w:val="006453CF"/>
    <w:rsid w:val="00674D62"/>
    <w:rsid w:val="00693BBA"/>
    <w:rsid w:val="006E7246"/>
    <w:rsid w:val="00743A6B"/>
    <w:rsid w:val="00765193"/>
    <w:rsid w:val="00796B75"/>
    <w:rsid w:val="007A285E"/>
    <w:rsid w:val="007B6C84"/>
    <w:rsid w:val="00812460"/>
    <w:rsid w:val="008530BE"/>
    <w:rsid w:val="008758F8"/>
    <w:rsid w:val="008762D2"/>
    <w:rsid w:val="009130CC"/>
    <w:rsid w:val="00920FA0"/>
    <w:rsid w:val="009364F0"/>
    <w:rsid w:val="009375CC"/>
    <w:rsid w:val="00945A12"/>
    <w:rsid w:val="00962DEA"/>
    <w:rsid w:val="009D21BE"/>
    <w:rsid w:val="00A42834"/>
    <w:rsid w:val="00A60B83"/>
    <w:rsid w:val="00A66987"/>
    <w:rsid w:val="00A87DB1"/>
    <w:rsid w:val="00AE0FD6"/>
    <w:rsid w:val="00B14AEA"/>
    <w:rsid w:val="00B20A9F"/>
    <w:rsid w:val="00B54D4A"/>
    <w:rsid w:val="00B6707E"/>
    <w:rsid w:val="00BA131B"/>
    <w:rsid w:val="00C173A8"/>
    <w:rsid w:val="00C46E7E"/>
    <w:rsid w:val="00C94E93"/>
    <w:rsid w:val="00CC14EE"/>
    <w:rsid w:val="00D02C53"/>
    <w:rsid w:val="00D16547"/>
    <w:rsid w:val="00D812BE"/>
    <w:rsid w:val="00D82E59"/>
    <w:rsid w:val="00DB4BC4"/>
    <w:rsid w:val="00DE6A1D"/>
    <w:rsid w:val="00E37213"/>
    <w:rsid w:val="00E80A6B"/>
    <w:rsid w:val="00EA65FF"/>
    <w:rsid w:val="00EF5ED2"/>
    <w:rsid w:val="00F14FB9"/>
    <w:rsid w:val="00F25097"/>
    <w:rsid w:val="00F34442"/>
    <w:rsid w:val="00F465C8"/>
    <w:rsid w:val="00F53AF5"/>
    <w:rsid w:val="00F61312"/>
    <w:rsid w:val="00F73330"/>
    <w:rsid w:val="00FD5B6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A0D560A"/>
  <w15:docId w15:val="{70A846C9-ECE7-43A5-A9D3-1D9DFFD6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46E7E"/>
    <w:pPr>
      <w:tabs>
        <w:tab w:val="center" w:pos="4536"/>
        <w:tab w:val="right" w:pos="9072"/>
      </w:tabs>
      <w:spacing w:line="240" w:lineRule="auto"/>
    </w:pPr>
  </w:style>
  <w:style w:type="character" w:customStyle="1" w:styleId="KoptekstChar">
    <w:name w:val="Koptekst Char"/>
    <w:basedOn w:val="DefaultParagraphFont"/>
    <w:link w:val="Header"/>
    <w:uiPriority w:val="99"/>
    <w:rsid w:val="00C46E7E"/>
    <w:rPr>
      <w:rFonts w:ascii="Verdana" w:hAnsi="Verdana"/>
      <w:color w:val="000000"/>
      <w:sz w:val="18"/>
      <w:szCs w:val="18"/>
    </w:rPr>
  </w:style>
  <w:style w:type="paragraph" w:styleId="Footer">
    <w:name w:val="footer"/>
    <w:basedOn w:val="Normal"/>
    <w:link w:val="VoettekstChar"/>
    <w:uiPriority w:val="99"/>
    <w:unhideWhenUsed/>
    <w:rsid w:val="00C46E7E"/>
    <w:pPr>
      <w:tabs>
        <w:tab w:val="center" w:pos="4536"/>
        <w:tab w:val="right" w:pos="9072"/>
      </w:tabs>
      <w:spacing w:line="240" w:lineRule="auto"/>
    </w:pPr>
  </w:style>
  <w:style w:type="character" w:customStyle="1" w:styleId="VoettekstChar">
    <w:name w:val="Voettekst Char"/>
    <w:basedOn w:val="DefaultParagraphFont"/>
    <w:link w:val="Footer"/>
    <w:uiPriority w:val="99"/>
    <w:rsid w:val="00C46E7E"/>
    <w:rPr>
      <w:rFonts w:ascii="Verdana" w:hAnsi="Verdana"/>
      <w:color w:val="000000"/>
      <w:sz w:val="18"/>
      <w:szCs w:val="18"/>
    </w:rPr>
  </w:style>
  <w:style w:type="paragraph" w:styleId="ListParagraph">
    <w:name w:val="List Paragraph"/>
    <w:basedOn w:val="Normal"/>
    <w:uiPriority w:val="34"/>
    <w:semiHidden/>
    <w:rsid w:val="00C46E7E"/>
    <w:pPr>
      <w:spacing w:line="240" w:lineRule="exact"/>
      <w:ind w:left="720"/>
      <w:contextualSpacing/>
    </w:pPr>
  </w:style>
  <w:style w:type="paragraph" w:styleId="FootnoteText">
    <w:name w:val="footnote text"/>
    <w:basedOn w:val="Normal"/>
    <w:link w:val="VoetnoottekstChar"/>
    <w:uiPriority w:val="99"/>
    <w:semiHidden/>
    <w:unhideWhenUsed/>
    <w:rsid w:val="007A285E"/>
    <w:pPr>
      <w:spacing w:line="240" w:lineRule="auto"/>
    </w:pPr>
    <w:rPr>
      <w:sz w:val="20"/>
      <w:szCs w:val="20"/>
    </w:rPr>
  </w:style>
  <w:style w:type="character" w:customStyle="1" w:styleId="VoetnoottekstChar">
    <w:name w:val="Voetnoottekst Char"/>
    <w:basedOn w:val="DefaultParagraphFont"/>
    <w:link w:val="FootnoteText"/>
    <w:uiPriority w:val="99"/>
    <w:semiHidden/>
    <w:rsid w:val="007A285E"/>
    <w:rPr>
      <w:rFonts w:ascii="Verdana" w:hAnsi="Verdana"/>
      <w:color w:val="000000"/>
    </w:rPr>
  </w:style>
  <w:style w:type="character" w:styleId="FootnoteReference">
    <w:name w:val="footnote reference"/>
    <w:basedOn w:val="DefaultParagraphFont"/>
    <w:uiPriority w:val="99"/>
    <w:semiHidden/>
    <w:unhideWhenUsed/>
    <w:rsid w:val="007A285E"/>
    <w:rPr>
      <w:vertAlign w:val="superscript"/>
    </w:rPr>
  </w:style>
  <w:style w:type="character" w:styleId="UnresolvedMention">
    <w:name w:val="Unresolved Mention"/>
    <w:basedOn w:val="DefaultParagraphFont"/>
    <w:uiPriority w:val="99"/>
    <w:semiHidden/>
    <w:unhideWhenUsed/>
    <w:rsid w:val="000A3F70"/>
    <w:rPr>
      <w:color w:val="605E5C"/>
      <w:shd w:val="clear" w:color="auto" w:fill="E1DFDD"/>
    </w:rPr>
  </w:style>
  <w:style w:type="character" w:styleId="CommentReference">
    <w:name w:val="annotation reference"/>
    <w:basedOn w:val="DefaultParagraphFont"/>
    <w:uiPriority w:val="99"/>
    <w:semiHidden/>
    <w:unhideWhenUsed/>
    <w:rsid w:val="001E1583"/>
    <w:rPr>
      <w:sz w:val="16"/>
      <w:szCs w:val="16"/>
    </w:rPr>
  </w:style>
  <w:style w:type="paragraph" w:styleId="CommentText">
    <w:name w:val="annotation text"/>
    <w:basedOn w:val="Normal"/>
    <w:link w:val="TekstopmerkingChar"/>
    <w:uiPriority w:val="99"/>
    <w:unhideWhenUsed/>
    <w:rsid w:val="001E1583"/>
    <w:pPr>
      <w:spacing w:line="240" w:lineRule="auto"/>
    </w:pPr>
    <w:rPr>
      <w:sz w:val="20"/>
      <w:szCs w:val="20"/>
    </w:rPr>
  </w:style>
  <w:style w:type="character" w:customStyle="1" w:styleId="TekstopmerkingChar">
    <w:name w:val="Tekst opmerking Char"/>
    <w:basedOn w:val="DefaultParagraphFont"/>
    <w:link w:val="CommentText"/>
    <w:uiPriority w:val="99"/>
    <w:rsid w:val="001E1583"/>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E1583"/>
    <w:rPr>
      <w:b/>
      <w:bCs/>
    </w:rPr>
  </w:style>
  <w:style w:type="character" w:customStyle="1" w:styleId="OnderwerpvanopmerkingChar">
    <w:name w:val="Onderwerp van opmerking Char"/>
    <w:basedOn w:val="TekstopmerkingChar"/>
    <w:link w:val="CommentSubject"/>
    <w:uiPriority w:val="99"/>
    <w:semiHidden/>
    <w:rsid w:val="001E1583"/>
    <w:rPr>
      <w:rFonts w:ascii="Verdana" w:hAnsi="Verdana"/>
      <w:b/>
      <w:bCs/>
      <w:color w:val="000000"/>
    </w:rPr>
  </w:style>
  <w:style w:type="paragraph" w:styleId="Revision">
    <w:name w:val="Revision"/>
    <w:hidden/>
    <w:uiPriority w:val="99"/>
    <w:semiHidden/>
    <w:rsid w:val="001E1583"/>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3031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dashboards.rijksoverheid.nl/" TargetMode="External" Id="rId7" /><Relationship Type="http://schemas.openxmlformats.org/officeDocument/2006/relationships/header" Target="header1.xml" Id="rId8" /><Relationship Type="http://schemas.openxmlformats.org/officeDocument/2006/relationships/header" Target="head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534</ap:Words>
  <ap:Characters>2937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Brief aan Parlement - Dashboard externe inhuur n.a.v. de motie Sneller/Vermeer</vt:lpstr>
    </vt:vector>
  </ap:TitlesOfParts>
  <ap:LinksUpToDate>false</ap:LinksUpToDate>
  <ap:CharactersWithSpaces>3465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2025-12-05T12:15:00.0000000Z</dcterms:created>
  <dcterms:modified xsi:type="dcterms:W3CDTF">2025-12-05T12:16:00.0000000Z</dcterms:modified>
  <dc:creator/>
  <lastModifiedBy/>
  <dc:description>------------------------</dc:description>
  <dc:subject/>
  <keywords/>
  <version/>
  <category/>
</coreProperties>
</file>