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E539B" w:rsidP="003E539B" w14:paraId="7B1916CA" w14:textId="77777777">
      <w:pPr>
        <w:pStyle w:val="ListParagraph"/>
        <w:numPr>
          <w:ilvl w:val="0"/>
          <w:numId w:val="18"/>
        </w:numPr>
        <w:ind w:left="426" w:hanging="426"/>
        <w:outlineLvl w:val="0"/>
        <w:rPr>
          <w:b/>
          <w:bCs/>
        </w:rPr>
      </w:pPr>
      <w:bookmarkStart w:name="_Toc193820832" w:id="0"/>
      <w:bookmarkStart w:name="_Toc193891794" w:id="1"/>
      <w:bookmarkStart w:name="_Toc193801561" w:id="2"/>
      <w:r>
        <w:rPr>
          <w:b/>
          <w:bCs/>
        </w:rPr>
        <w:t>Inleiding</w:t>
      </w:r>
      <w:bookmarkEnd w:id="0"/>
      <w:bookmarkEnd w:id="1"/>
    </w:p>
    <w:p w:rsidR="005E4608" w:rsidP="003775CF" w14:paraId="0C8C3AF9" w14:textId="77777777">
      <w:pPr>
        <w:pStyle w:val="ListParagraph"/>
        <w:ind w:left="426"/>
        <w:outlineLvl w:val="0"/>
        <w:rPr>
          <w:b/>
          <w:bCs/>
        </w:rPr>
      </w:pPr>
    </w:p>
    <w:p w:rsidR="003E539B" w:rsidP="002C1A30" w14:paraId="7ABF1209" w14:textId="77777777">
      <w:r>
        <w:t xml:space="preserve">Bij brief van 17 januari 2024 heeft </w:t>
      </w:r>
      <w:r w:rsidR="00C374A6">
        <w:t>de toenmalige minister van Binnenlandse Zaken en Koninkrijksrelaties</w:t>
      </w:r>
      <w:r>
        <w:t xml:space="preserve"> u geïnformeerd over het dossier geschilbeslechting in het Nederlandse verkiezingsproces.</w:t>
      </w:r>
      <w:r>
        <w:rPr>
          <w:rStyle w:val="FootnoteReference"/>
        </w:rPr>
        <w:footnoteReference w:id="3"/>
      </w:r>
      <w:r>
        <w:t xml:space="preserve"> In deze brief schreef hij dat nationale en internationale ontwikkelingen aanleiding gaven het proces van geschilbeslechting tegen het licht te houden, om vervolgens in te gaan op het proces en de conclusie te trekken dat er inderdaad reden is het systeem anders in te richten. Dit om de toegankelijkheid, onafhankelijkheid en onpartijdigheid van het proces om geschillen te beoordelen verder te versterken. Het doorvoeren van een dergelijke aanpassing betreft een ingewikkeld vraagstuk dat vraagt om een grondige aanpak en zorgvuldige doordenking. </w:t>
      </w:r>
    </w:p>
    <w:p w:rsidR="003E539B" w:rsidP="002C1A30" w14:paraId="0F23CA39" w14:textId="77777777"/>
    <w:p w:rsidR="003E539B" w:rsidP="002C1A30" w14:paraId="6B11B65C" w14:textId="77777777">
      <w:r>
        <w:t xml:space="preserve">Als eerste stap in dit proces heeft mijn ambtsvoorganger hierover op 4 maart 2024 een verzoek tot voorlichting gedaan bij de Afdeling advisering van de Raad van State (hierna: de Afdeling advisering). Deze voorlichting is op 15 juli 2024 verschenen en heb ik op 13 oktober </w:t>
      </w:r>
      <w:r w:rsidR="00564DBB">
        <w:t>2024</w:t>
      </w:r>
      <w:r>
        <w:t xml:space="preserve"> aan uw Kamer aangeboden.</w:t>
      </w:r>
      <w:r>
        <w:rPr>
          <w:rStyle w:val="FootnoteReference"/>
        </w:rPr>
        <w:footnoteReference w:id="4"/>
      </w:r>
      <w:r>
        <w:t xml:space="preserve"> Het kabinet is de Afdeling advisering zeer erkentelijk voor de uitgebreide voorlichting en heldere overwegingen, die hebben geleid tot een volgende stap in de gedachtenvorming. In deze brief ga ik, namens het kabinet</w:t>
      </w:r>
      <w:r w:rsidRPr="008F1ADC">
        <w:t>, hierop in</w:t>
      </w:r>
      <w:r>
        <w:t>.</w:t>
      </w:r>
      <w:r w:rsidR="000979DD">
        <w:t xml:space="preserve"> </w:t>
      </w:r>
      <w:r w:rsidR="00193CE4">
        <w:t>Hierbij loop ik niet puntsgewijs de conclusies van de Afdeling advisering af, maar schets ik</w:t>
      </w:r>
      <w:r w:rsidR="000979DD">
        <w:t xml:space="preserve"> de hoofdlijnen </w:t>
      </w:r>
      <w:r w:rsidR="00C80030">
        <w:t xml:space="preserve">van de wijze waarop het kabinet voornemens is het proces van geschilbeslechting vorm te geven. Daarbij put ik uit de voorlichting van de Afdeling advisering, en de uitgangspunten die voortvloeien uit het EVRM en </w:t>
      </w:r>
      <w:r w:rsidR="00D175F2">
        <w:t xml:space="preserve">de inzet van het kabinet </w:t>
      </w:r>
      <w:r w:rsidR="00C66F7C">
        <w:t xml:space="preserve">voor goed bestuur en een sterke rechtsstaat waarbij de </w:t>
      </w:r>
      <w:r w:rsidRPr="00C66F7C" w:rsidR="00C66F7C">
        <w:rPr>
          <w:i/>
          <w:iCs/>
        </w:rPr>
        <w:t xml:space="preserve">checks </w:t>
      </w:r>
      <w:r w:rsidRPr="00C66F7C" w:rsidR="00C66F7C">
        <w:rPr>
          <w:i/>
          <w:iCs/>
        </w:rPr>
        <w:t>and</w:t>
      </w:r>
      <w:r w:rsidRPr="00C66F7C" w:rsidR="00C66F7C">
        <w:rPr>
          <w:i/>
          <w:iCs/>
        </w:rPr>
        <w:t xml:space="preserve"> </w:t>
      </w:r>
      <w:r w:rsidRPr="00C66F7C" w:rsidR="00C66F7C">
        <w:rPr>
          <w:i/>
          <w:iCs/>
        </w:rPr>
        <w:t>balances</w:t>
      </w:r>
      <w:r w:rsidRPr="00C66F7C" w:rsidR="00C66F7C">
        <w:t xml:space="preserve"> in ons democratisch bestel</w:t>
      </w:r>
      <w:r w:rsidR="00C66F7C">
        <w:t xml:space="preserve"> worden verbeterd</w:t>
      </w:r>
      <w:r w:rsidR="00C80030">
        <w:t xml:space="preserve">. </w:t>
      </w:r>
    </w:p>
    <w:p w:rsidR="00B20127" w:rsidP="002C1A30" w14:paraId="218DD678" w14:textId="77777777"/>
    <w:p w:rsidR="00B20127" w:rsidP="002C1A30" w14:paraId="59697490" w14:textId="77777777">
      <w:r>
        <w:t xml:space="preserve">Hieronder worden de uitgangspunten uiteengezet die het kabinet hanteert bij vormgeving van het </w:t>
      </w:r>
      <w:r w:rsidR="00584F9B">
        <w:t xml:space="preserve">proces van geschilbeslechting (paragraaf 2) en vervolgens </w:t>
      </w:r>
      <w:r>
        <w:t>de hoofdlijnen geschetst van de vormgeving van het voorstel voor de aangepaste procedure</w:t>
      </w:r>
      <w:r w:rsidR="00584F9B">
        <w:t xml:space="preserve"> (paragraaf 3)</w:t>
      </w:r>
      <w:r>
        <w:t>. Het voorstel valt uiteen in twee delen: (i) de wijze waarop het proces wordt ingericht en (ii) de inhoudelijke beoordeling van een geschil en de criteria om al dan niet over te gaan tot een (gedeeltelijke) hertelling of herstemming.</w:t>
      </w:r>
    </w:p>
    <w:p w:rsidR="00C374A6" w:rsidP="002C1A30" w14:paraId="3DA99047" w14:textId="77777777"/>
    <w:p w:rsidRPr="003E539B" w:rsidR="003E539B" w:rsidP="008C2191" w14:paraId="2D10D713" w14:textId="77777777">
      <w:pPr>
        <w:rPr>
          <w:b/>
          <w:bCs/>
        </w:rPr>
      </w:pPr>
    </w:p>
    <w:p w:rsidRPr="00C374A6" w:rsidR="00FC32E0" w:rsidP="003775CF" w14:paraId="7A17C13A" w14:textId="77777777">
      <w:pPr>
        <w:pStyle w:val="ListParagraph"/>
        <w:numPr>
          <w:ilvl w:val="0"/>
          <w:numId w:val="18"/>
        </w:numPr>
        <w:ind w:left="426" w:hanging="426"/>
        <w:outlineLvl w:val="0"/>
        <w:rPr>
          <w:b/>
          <w:bCs/>
        </w:rPr>
      </w:pPr>
      <w:bookmarkStart w:name="_Toc193820833" w:id="3"/>
      <w:bookmarkStart w:name="_Toc193891795" w:id="4"/>
      <w:r>
        <w:rPr>
          <w:b/>
          <w:bCs/>
        </w:rPr>
        <w:t>Hoofdlijnen en u</w:t>
      </w:r>
      <w:r w:rsidR="00AB2ABE">
        <w:rPr>
          <w:b/>
          <w:bCs/>
        </w:rPr>
        <w:t>itgangspunten</w:t>
      </w:r>
      <w:r w:rsidRPr="003E539B" w:rsidR="00B63359">
        <w:rPr>
          <w:b/>
          <w:bCs/>
        </w:rPr>
        <w:t xml:space="preserve"> procedure geschilbeslechting</w:t>
      </w:r>
      <w:bookmarkStart w:name="_Hlk187400218" w:id="5"/>
      <w:bookmarkEnd w:id="2"/>
      <w:bookmarkEnd w:id="3"/>
      <w:bookmarkEnd w:id="4"/>
    </w:p>
    <w:p w:rsidRPr="00DF2307" w:rsidR="00DF2307" w:rsidP="00DF2307" w14:paraId="7C5CB94A" w14:textId="77777777">
      <w:pPr>
        <w:rPr>
          <w:b/>
          <w:bCs/>
        </w:rPr>
      </w:pPr>
    </w:p>
    <w:p w:rsidRPr="001E477C" w:rsidR="000317EA" w:rsidP="00B7406B" w14:paraId="0C3D4964" w14:textId="77777777">
      <w:pPr>
        <w:pStyle w:val="ListParagraph"/>
        <w:numPr>
          <w:ilvl w:val="1"/>
          <w:numId w:val="18"/>
        </w:numPr>
        <w:outlineLvl w:val="1"/>
      </w:pPr>
      <w:r>
        <w:rPr>
          <w:b/>
          <w:bCs/>
        </w:rPr>
        <w:t>Uitgangspunten EVRM</w:t>
      </w:r>
    </w:p>
    <w:p w:rsidR="001E477C" w:rsidP="001E477C" w14:paraId="26353E66" w14:textId="77777777">
      <w:r>
        <w:t>Bij de uitwerking van dit voorstel hanteert het kabinet</w:t>
      </w:r>
      <w:r w:rsidR="00584F9B">
        <w:t xml:space="preserve"> </w:t>
      </w:r>
      <w:r>
        <w:t xml:space="preserve">uitgangspunten die voortvloeien uit het EVRM, jurisprudentie </w:t>
      </w:r>
      <w:r w:rsidR="00193CE4">
        <w:t xml:space="preserve">hierover </w:t>
      </w:r>
      <w:r>
        <w:t>van het EHRM</w:t>
      </w:r>
      <w:r>
        <w:rPr>
          <w:rStyle w:val="FootnoteReference"/>
        </w:rPr>
        <w:footnoteReference w:id="5"/>
      </w:r>
      <w:r>
        <w:t>, en aanbevelingen van de Venetië</w:t>
      </w:r>
      <w:r w:rsidR="00193CE4">
        <w:t>-</w:t>
      </w:r>
      <w:r>
        <w:t>Commissie.</w:t>
      </w:r>
      <w:r w:rsidR="00441802">
        <w:t xml:space="preserve"> Deze uitgangspunten zijn:</w:t>
      </w:r>
    </w:p>
    <w:p w:rsidR="001E477C" w:rsidP="001E477C" w14:paraId="63A783F4" w14:textId="77777777"/>
    <w:p w:rsidR="00291DCB" w:rsidP="00A43EC9" w14:paraId="2C7E0A9F" w14:textId="77777777">
      <w:pPr>
        <w:pStyle w:val="ListParagraph"/>
        <w:numPr>
          <w:ilvl w:val="0"/>
          <w:numId w:val="8"/>
        </w:numPr>
      </w:pPr>
      <w:r>
        <w:t>Er moet sprake zijn van d</w:t>
      </w:r>
      <w:r w:rsidR="0066741B">
        <w:t>oeltreffende geschilbeslechting van individuele klachten.</w:t>
      </w:r>
    </w:p>
    <w:p w:rsidR="00193CE4" w:rsidP="00193CE4" w14:paraId="7A6A4D93" w14:textId="77777777">
      <w:pPr>
        <w:pStyle w:val="ListParagraph"/>
        <w:numPr>
          <w:ilvl w:val="0"/>
          <w:numId w:val="8"/>
        </w:numPr>
      </w:pPr>
      <w:r>
        <w:t>Geschilbeslechting vindt plaats door een onafhankelijke en onpartijdige instantie.</w:t>
      </w:r>
    </w:p>
    <w:p w:rsidRPr="00AA6DC3" w:rsidR="00193CE4" w:rsidP="003775CF" w14:paraId="5B2EFC1C" w14:textId="77777777">
      <w:pPr>
        <w:pStyle w:val="ListParagraph"/>
        <w:numPr>
          <w:ilvl w:val="1"/>
          <w:numId w:val="7"/>
        </w:numPr>
        <w:ind w:left="720"/>
      </w:pPr>
      <w:r>
        <w:t>Indien het vertegenwoordigend orgaan – dat een belang heeft bij de uitslagvaststelling – een rol heeft in het proces van geschilbeslechting, moet worden voorzien in een controlemechanisme hierop, zoals een rechterlijke toets.</w:t>
      </w:r>
      <w:r w:rsidR="009F2EE1">
        <w:t xml:space="preserve"> Dit omdat – zoals het EHRM oordeelde – parlementsleden per definitie niet politiek neutraal zijn.</w:t>
      </w:r>
      <w:r>
        <w:rPr>
          <w:rStyle w:val="FootnoteReference"/>
        </w:rPr>
        <w:footnoteReference w:id="6"/>
      </w:r>
      <w:r w:rsidRPr="00D57182" w:rsidR="00D57182">
        <w:t xml:space="preserve"> </w:t>
      </w:r>
      <w:r w:rsidR="00D57182">
        <w:t xml:space="preserve">Bij </w:t>
      </w:r>
      <w:r w:rsidR="00676EB7">
        <w:t xml:space="preserve">de beoordeling </w:t>
      </w:r>
      <w:r w:rsidRPr="00AA6DC3" w:rsidR="00676EB7">
        <w:t xml:space="preserve">door </w:t>
      </w:r>
      <w:r w:rsidRPr="00AA6DC3" w:rsidR="00D57182">
        <w:t xml:space="preserve">een vertegenwoordigend orgaan bestaat derhalve het risico dat </w:t>
      </w:r>
      <w:r w:rsidRPr="00AA6DC3" w:rsidR="008C2A9F">
        <w:t>de</w:t>
      </w:r>
      <w:r w:rsidRPr="00AA6DC3" w:rsidR="00D57182">
        <w:t xml:space="preserve"> onafhankelijk</w:t>
      </w:r>
      <w:r w:rsidRPr="00AA6DC3" w:rsidR="005A74B0">
        <w:t>heid</w:t>
      </w:r>
      <w:r w:rsidRPr="00AA6DC3" w:rsidR="00EC1C20">
        <w:t xml:space="preserve"> en onpartijdigheid</w:t>
      </w:r>
      <w:r w:rsidRPr="00AA6DC3" w:rsidR="00D57182">
        <w:t xml:space="preserve"> </w:t>
      </w:r>
      <w:r w:rsidRPr="00AA6DC3" w:rsidR="008C2A9F">
        <w:t>ter discussie wordt gesteld</w:t>
      </w:r>
      <w:r w:rsidRPr="00AA6DC3" w:rsidR="00D57182">
        <w:t>.</w:t>
      </w:r>
    </w:p>
    <w:p w:rsidRPr="00AA6DC3" w:rsidR="00676EB7" w:rsidP="00751A7E" w14:paraId="348A93D1" w14:textId="77777777">
      <w:pPr>
        <w:pStyle w:val="ListParagraph"/>
        <w:numPr>
          <w:ilvl w:val="0"/>
          <w:numId w:val="9"/>
        </w:numPr>
      </w:pPr>
      <w:r w:rsidRPr="00AA6DC3">
        <w:t>T</w:t>
      </w:r>
      <w:r w:rsidRPr="00AA6DC3" w:rsidR="00A43EC9">
        <w:t xml:space="preserve">wee </w:t>
      </w:r>
      <w:r w:rsidRPr="00AA6DC3" w:rsidR="00823D93">
        <w:t xml:space="preserve">soorten </w:t>
      </w:r>
      <w:r w:rsidRPr="00AA6DC3" w:rsidR="00A43EC9">
        <w:t xml:space="preserve">instanties zijn geschikt om te kwalificeren als onafhankelijke instantie: een rechterlijke instantie of een ‘kiescommissie’ (een onafhankelijke commissie bestaande uit personen met veel kiesrechtexpertise). </w:t>
      </w:r>
      <w:r w:rsidRPr="00AA6DC3" w:rsidR="00E2590F">
        <w:t>Indien de beoordeling bij een kiescommissie wordt belegd, is het wenselijk als er tegen het besluit van de kiescommissie alsnog beroep bij de rechter openstaat.</w:t>
      </w:r>
    </w:p>
    <w:p w:rsidRPr="00AA6DC3" w:rsidR="00D8315F" w:rsidP="00D8315F" w14:paraId="43558401" w14:textId="77777777">
      <w:pPr>
        <w:pStyle w:val="ListParagraph"/>
        <w:numPr>
          <w:ilvl w:val="1"/>
          <w:numId w:val="9"/>
        </w:numPr>
      </w:pPr>
      <w:r w:rsidRPr="00AA6DC3">
        <w:t>Voor parlementsverkiezingen geldt dat – indien dit staande praktijk is – het systeem waarbij het parlement zelf klachten behandelt in stand kan blijven, maar dat er in alle gevallen daarna beroep mogelijk moet zijn bij een rechterlijke instantie.</w:t>
      </w:r>
    </w:p>
    <w:p w:rsidR="00887644" w:rsidP="00751A7E" w14:paraId="42B5F45A" w14:textId="77777777">
      <w:pPr>
        <w:pStyle w:val="ListParagraph"/>
        <w:numPr>
          <w:ilvl w:val="0"/>
          <w:numId w:val="9"/>
        </w:numPr>
      </w:pPr>
      <w:r w:rsidRPr="00AA6DC3">
        <w:t xml:space="preserve">De geschilprocedure moet eenvoudig en </w:t>
      </w:r>
      <w:r w:rsidRPr="00AA6DC3" w:rsidR="00F81F5D">
        <w:t>toegankelijk zijn</w:t>
      </w:r>
      <w:r>
        <w:t xml:space="preserve">. </w:t>
      </w:r>
      <w:r w:rsidR="00112BE1">
        <w:t xml:space="preserve">Derhalve </w:t>
      </w:r>
      <w:r w:rsidR="00F70EF6">
        <w:t>moet het aantal</w:t>
      </w:r>
      <w:r>
        <w:t xml:space="preserve"> procedurele belemmeringen</w:t>
      </w:r>
      <w:r>
        <w:t xml:space="preserve"> </w:t>
      </w:r>
      <w:r w:rsidR="00F70EF6">
        <w:t xml:space="preserve">beperkt zijn </w:t>
      </w:r>
      <w:r w:rsidR="00D17919">
        <w:t>en</w:t>
      </w:r>
      <w:r w:rsidR="00F70EF6">
        <w:t xml:space="preserve"> mag er geen sprake zijn van</w:t>
      </w:r>
      <w:r w:rsidR="00D17919">
        <w:t xml:space="preserve"> </w:t>
      </w:r>
      <w:r>
        <w:t xml:space="preserve">te </w:t>
      </w:r>
      <w:r>
        <w:t xml:space="preserve">strikte </w:t>
      </w:r>
      <w:r>
        <w:t>eisen ten aanzien van ontvankelijkheid</w:t>
      </w:r>
      <w:r>
        <w:t>.</w:t>
      </w:r>
    </w:p>
    <w:p w:rsidR="00291DCB" w:rsidP="00B63359" w14:paraId="596C004D" w14:textId="77777777">
      <w:pPr>
        <w:pStyle w:val="ListParagraph"/>
        <w:numPr>
          <w:ilvl w:val="0"/>
          <w:numId w:val="9"/>
        </w:numPr>
      </w:pPr>
      <w:r>
        <w:t>Nationale wet- en regelgeving moet duidelijke toetsingskaders en handvatten bevatten voor de instantie die de geschillen beslecht.</w:t>
      </w:r>
    </w:p>
    <w:p w:rsidR="001E477C" w:rsidP="001E477C" w14:paraId="1F54817C" w14:textId="77777777">
      <w:pPr>
        <w:pStyle w:val="ListParagraph"/>
        <w:ind w:left="360"/>
      </w:pPr>
    </w:p>
    <w:p w:rsidRPr="001E477C" w:rsidR="001E477C" w:rsidP="00B7406B" w14:paraId="07F84106" w14:textId="77777777">
      <w:pPr>
        <w:pStyle w:val="ListParagraph"/>
        <w:numPr>
          <w:ilvl w:val="1"/>
          <w:numId w:val="18"/>
        </w:numPr>
        <w:outlineLvl w:val="1"/>
      </w:pPr>
      <w:r>
        <w:rPr>
          <w:b/>
          <w:bCs/>
        </w:rPr>
        <w:t>Uitgangspunten weerbare democratische rechtsstaat</w:t>
      </w:r>
    </w:p>
    <w:p w:rsidR="00E650DE" w:rsidP="001E477C" w14:paraId="59E347E3" w14:textId="77777777">
      <w:r>
        <w:t xml:space="preserve">De Nederlandse democratische rechtsstaat is robuust en tegelijk </w:t>
      </w:r>
      <w:r w:rsidR="00E54B53">
        <w:t>is er inzet nodig om de instituties te versterken</w:t>
      </w:r>
      <w:r>
        <w:t xml:space="preserve">. </w:t>
      </w:r>
      <w:r w:rsidR="00D175F2">
        <w:t>Daarom heeft het kabinet</w:t>
      </w:r>
      <w:r w:rsidR="00035265">
        <w:t xml:space="preserve"> in het regeerprogramma uitgesproken de democratische rechtsstaat te versterken door ervoor te zorgen dat staatsmachten elkaar kunnen controleren en in evenwicht </w:t>
      </w:r>
      <w:r w:rsidR="00E54B53">
        <w:t xml:space="preserve">kunnen </w:t>
      </w:r>
      <w:r w:rsidR="00035265">
        <w:t>houden. De staatsrechtelijke instituties en verkiezingen moeten bovendien robuust en weerbaar zijn.</w:t>
      </w:r>
      <w:r w:rsidR="00E54B53">
        <w:t xml:space="preserve"> Dat draagt bij aan de formering van legitieme vertegenwoordigende organen.</w:t>
      </w:r>
    </w:p>
    <w:p w:rsidR="00E650DE" w:rsidP="001E477C" w14:paraId="7F49BEF4" w14:textId="77777777"/>
    <w:p w:rsidR="001E477C" w:rsidP="001E477C" w14:paraId="4B2FA1A2" w14:textId="77777777">
      <w:r>
        <w:t xml:space="preserve">Het introduceren van </w:t>
      </w:r>
      <w:r w:rsidR="004172FB">
        <w:t>(</w:t>
      </w:r>
      <w:r>
        <w:t>rechterlijke</w:t>
      </w:r>
      <w:r w:rsidR="004172FB">
        <w:t>)</w:t>
      </w:r>
      <w:r>
        <w:t xml:space="preserve"> toetsing </w:t>
      </w:r>
      <w:r w:rsidR="004172FB">
        <w:t xml:space="preserve">van verkiezingsgeschillen </w:t>
      </w:r>
      <w:r w:rsidR="00822B6C">
        <w:t xml:space="preserve">versterkt het systeem van </w:t>
      </w:r>
      <w:r w:rsidR="00822B6C">
        <w:rPr>
          <w:i/>
          <w:iCs/>
        </w:rPr>
        <w:t xml:space="preserve">checks </w:t>
      </w:r>
      <w:r w:rsidR="00822B6C">
        <w:rPr>
          <w:i/>
          <w:iCs/>
        </w:rPr>
        <w:t>and</w:t>
      </w:r>
      <w:r w:rsidR="00822B6C">
        <w:rPr>
          <w:i/>
          <w:iCs/>
        </w:rPr>
        <w:t xml:space="preserve"> </w:t>
      </w:r>
      <w:r w:rsidR="00822B6C">
        <w:rPr>
          <w:i/>
          <w:iCs/>
        </w:rPr>
        <w:t>balances</w:t>
      </w:r>
      <w:r w:rsidR="00822B6C">
        <w:t xml:space="preserve"> en draagt bij robuuste en weerbare verkiezingen</w:t>
      </w:r>
      <w:r w:rsidR="00441802">
        <w:t xml:space="preserve">. </w:t>
      </w:r>
      <w:r w:rsidR="00822B6C">
        <w:t xml:space="preserve">Bij de introductie </w:t>
      </w:r>
      <w:r w:rsidR="00441802">
        <w:t>worden de volgende uitgangspunten in acht genomen</w:t>
      </w:r>
      <w:r w:rsidR="00E650DE">
        <w:t>:</w:t>
      </w:r>
    </w:p>
    <w:p w:rsidR="0094447D" w:rsidP="00441802" w14:paraId="7D589B97" w14:textId="77777777">
      <w:pPr>
        <w:pStyle w:val="ListParagraph"/>
        <w:numPr>
          <w:ilvl w:val="0"/>
          <w:numId w:val="19"/>
        </w:numPr>
      </w:pPr>
      <w:r>
        <w:t>Geschilbeslechting moet bijdragen aan het vertrouwen in het verkiezingsproces.</w:t>
      </w:r>
      <w:r w:rsidR="000E50A3">
        <w:t xml:space="preserve"> Dat betekent hoofdzakelijk dat er </w:t>
      </w:r>
      <w:r w:rsidR="002B2C64">
        <w:t xml:space="preserve">na geschilbeslechting </w:t>
      </w:r>
      <w:r w:rsidR="000E50A3">
        <w:t xml:space="preserve">geen twijfel </w:t>
      </w:r>
      <w:r w:rsidR="002B2C64">
        <w:t xml:space="preserve">meer </w:t>
      </w:r>
      <w:r w:rsidR="000E50A3">
        <w:t xml:space="preserve">mag zijn over de integriteit van </w:t>
      </w:r>
      <w:r w:rsidR="00DF2307">
        <w:t>de verkiezingen</w:t>
      </w:r>
      <w:r w:rsidR="00074AC8">
        <w:t xml:space="preserve"> en de uitslag.</w:t>
      </w:r>
    </w:p>
    <w:p w:rsidR="00441802" w:rsidP="00441802" w14:paraId="4B55E498" w14:textId="77777777">
      <w:pPr>
        <w:pStyle w:val="ListParagraph"/>
        <w:numPr>
          <w:ilvl w:val="0"/>
          <w:numId w:val="19"/>
        </w:numPr>
      </w:pPr>
      <w:r>
        <w:t>Geschilbeslechting moet bijdragen aan de legitimiteit van het vertegenwoordigende orgaan.</w:t>
      </w:r>
    </w:p>
    <w:p w:rsidR="001E477C" w:rsidP="001E477C" w14:paraId="392F750F" w14:textId="77777777">
      <w:pPr>
        <w:pStyle w:val="ListParagraph"/>
        <w:numPr>
          <w:ilvl w:val="0"/>
          <w:numId w:val="19"/>
        </w:numPr>
      </w:pPr>
      <w:r>
        <w:t xml:space="preserve">Geschilbeslechting moet passen binnen het systeem van </w:t>
      </w:r>
      <w:r w:rsidRPr="00F03222">
        <w:rPr>
          <w:i/>
          <w:iCs/>
        </w:rPr>
        <w:t xml:space="preserve">checks </w:t>
      </w:r>
      <w:r w:rsidRPr="00F03222">
        <w:rPr>
          <w:i/>
          <w:iCs/>
        </w:rPr>
        <w:t>and</w:t>
      </w:r>
      <w:r w:rsidRPr="00F03222">
        <w:rPr>
          <w:i/>
          <w:iCs/>
        </w:rPr>
        <w:t xml:space="preserve"> </w:t>
      </w:r>
      <w:r w:rsidRPr="00F03222">
        <w:rPr>
          <w:i/>
          <w:iCs/>
        </w:rPr>
        <w:t>balances</w:t>
      </w:r>
      <w:r w:rsidR="000E50A3">
        <w:t xml:space="preserve"> en de balans tussen de verschillende staatsmachten niet verstoren.</w:t>
      </w:r>
    </w:p>
    <w:bookmarkEnd w:id="5"/>
    <w:p w:rsidR="00B63359" w:rsidP="00B63359" w14:paraId="6CAA921E" w14:textId="77777777"/>
    <w:p w:rsidR="00B63359" w:rsidP="00BF6A07" w14:paraId="66B488A6" w14:textId="77777777">
      <w:pPr>
        <w:pStyle w:val="ListParagraph"/>
        <w:numPr>
          <w:ilvl w:val="0"/>
          <w:numId w:val="18"/>
        </w:numPr>
        <w:ind w:left="426" w:hanging="426"/>
        <w:outlineLvl w:val="0"/>
        <w:rPr>
          <w:b/>
          <w:bCs/>
        </w:rPr>
      </w:pPr>
      <w:bookmarkStart w:name="_Toc193801562" w:id="6"/>
      <w:bookmarkStart w:name="_Toc193820834" w:id="7"/>
      <w:bookmarkStart w:name="_Toc193891796" w:id="8"/>
      <w:r w:rsidRPr="003E539B">
        <w:rPr>
          <w:b/>
          <w:bCs/>
        </w:rPr>
        <w:t>Inrichting proces geschilbeslechting</w:t>
      </w:r>
      <w:bookmarkEnd w:id="6"/>
      <w:bookmarkEnd w:id="7"/>
      <w:bookmarkEnd w:id="8"/>
    </w:p>
    <w:p w:rsidR="00455A37" w:rsidP="003E539B" w14:paraId="36EB3CF8" w14:textId="77777777">
      <w:pPr>
        <w:pStyle w:val="ListParagraph"/>
        <w:ind w:left="426"/>
        <w:rPr>
          <w:b/>
          <w:bCs/>
        </w:rPr>
      </w:pPr>
    </w:p>
    <w:p w:rsidR="00A201DD" w:rsidP="00B63359" w14:paraId="798EC8D0" w14:textId="77777777">
      <w:r>
        <w:t>D</w:t>
      </w:r>
      <w:r w:rsidR="002B6B07">
        <w:t xml:space="preserve">e </w:t>
      </w:r>
      <w:r w:rsidR="0066741B">
        <w:t xml:space="preserve">wijziging van de inrichting </w:t>
      </w:r>
      <w:r w:rsidR="00AA475F">
        <w:t xml:space="preserve">die </w:t>
      </w:r>
      <w:r w:rsidR="00C60BF4">
        <w:t xml:space="preserve">het kabinet </w:t>
      </w:r>
      <w:r w:rsidR="0066741B">
        <w:t>voor ogen heeft</w:t>
      </w:r>
      <w:r>
        <w:t xml:space="preserve"> is</w:t>
      </w:r>
      <w:r w:rsidR="0066741B">
        <w:t xml:space="preserve"> tweeledig.</w:t>
      </w:r>
      <w:r w:rsidR="00BD0E36">
        <w:t xml:space="preserve"> </w:t>
      </w:r>
    </w:p>
    <w:p w:rsidR="00BD0E36" w:rsidP="005A11D6" w14:paraId="75BAC1C7" w14:textId="77777777">
      <w:pPr>
        <w:pStyle w:val="ListParagraph"/>
        <w:numPr>
          <w:ilvl w:val="0"/>
          <w:numId w:val="13"/>
        </w:numPr>
        <w:ind w:left="284" w:hanging="284"/>
      </w:pPr>
      <w:r>
        <w:t>H</w:t>
      </w:r>
      <w:r w:rsidRPr="00A201DD" w:rsidR="00A201DD">
        <w:t xml:space="preserve">et creëren van een beroepsmogelijkheid voor kandidaten en politieke </w:t>
      </w:r>
      <w:r w:rsidR="009F0BF7">
        <w:t>groeperingen</w:t>
      </w:r>
      <w:r w:rsidRPr="00A201DD" w:rsidR="009F0BF7">
        <w:t xml:space="preserve"> </w:t>
      </w:r>
      <w:r w:rsidRPr="00A201DD" w:rsidR="00A201DD">
        <w:t>ná het besluit van het vertegenwoordigend orgaan over de toelating van de nieuwe leden (en als onderdeel daarvan over de geldigheid van de verkiezing)</w:t>
      </w:r>
      <w:r>
        <w:t>.</w:t>
      </w:r>
    </w:p>
    <w:p w:rsidR="00AA475F" w:rsidP="005A11D6" w14:paraId="18A8F6FE" w14:textId="77777777">
      <w:pPr>
        <w:pStyle w:val="ListParagraph"/>
        <w:numPr>
          <w:ilvl w:val="0"/>
          <w:numId w:val="13"/>
        </w:numPr>
        <w:ind w:left="284" w:hanging="284"/>
      </w:pPr>
      <w:r>
        <w:t xml:space="preserve">Het aanvullen </w:t>
      </w:r>
      <w:r w:rsidRPr="00BD0E36">
        <w:t xml:space="preserve">van het verkiezingsproces vóór het besluit van het vertegenwoordigend orgaan door een procedure in te richten waarin burgers geschillen kunnen inbrengen om te laten toetsen door een onafhankelijke instantie. </w:t>
      </w:r>
    </w:p>
    <w:p w:rsidR="00111B71" w:rsidP="00111B71" w14:paraId="25181FF4" w14:textId="77777777"/>
    <w:p w:rsidR="00111B71" w:rsidP="007078F8" w14:paraId="298E9787" w14:textId="77777777">
      <w:r>
        <w:t xml:space="preserve">Hieronder worden </w:t>
      </w:r>
      <w:r>
        <w:t xml:space="preserve">beide </w:t>
      </w:r>
      <w:r>
        <w:t>wijzigingen uiteengezet</w:t>
      </w:r>
      <w:r>
        <w:t xml:space="preserve">. Daarnaast </w:t>
      </w:r>
      <w:r>
        <w:t xml:space="preserve">wordt ingegaan op </w:t>
      </w:r>
      <w:r w:rsidR="007078F8">
        <w:t>de uitslagvaststelling door het</w:t>
      </w:r>
      <w:r w:rsidR="00AE39E0">
        <w:t xml:space="preserve"> vertegenwoordigend orgaan en op </w:t>
      </w:r>
      <w:r>
        <w:t xml:space="preserve">de andere </w:t>
      </w:r>
      <w:r w:rsidR="00AE39E0">
        <w:t>onderwerpen</w:t>
      </w:r>
      <w:r>
        <w:t xml:space="preserve"> uit de voorlichting van de Afdeling advisering.</w:t>
      </w:r>
    </w:p>
    <w:p w:rsidR="00321D90" w:rsidP="00D57707" w14:paraId="5E57DF3F" w14:textId="77777777">
      <w:pPr>
        <w:pStyle w:val="ListParagraph"/>
      </w:pPr>
    </w:p>
    <w:p w:rsidR="006D5EB6" w:rsidP="00D57707" w14:paraId="6C1C5F7B" w14:textId="77777777">
      <w:pPr>
        <w:pStyle w:val="ListParagraph"/>
        <w:numPr>
          <w:ilvl w:val="1"/>
          <w:numId w:val="18"/>
        </w:numPr>
        <w:outlineLvl w:val="1"/>
        <w:rPr>
          <w:b/>
          <w:bCs/>
        </w:rPr>
      </w:pPr>
      <w:bookmarkStart w:name="_Toc193820836" w:id="9"/>
      <w:bookmarkStart w:name="_Toc193891798" w:id="10"/>
      <w:r w:rsidRPr="003E539B">
        <w:rPr>
          <w:b/>
          <w:bCs/>
        </w:rPr>
        <w:t xml:space="preserve">Beroepsmogelijkheid voor kandidaten en politieke </w:t>
      </w:r>
      <w:r w:rsidRPr="003E539B" w:rsidR="009F0BF7">
        <w:rPr>
          <w:b/>
          <w:bCs/>
        </w:rPr>
        <w:t xml:space="preserve">groeperingen </w:t>
      </w:r>
      <w:r w:rsidRPr="003E539B">
        <w:rPr>
          <w:b/>
          <w:bCs/>
        </w:rPr>
        <w:t>ná het besluit van het vertegenwoordigend orgaan</w:t>
      </w:r>
      <w:bookmarkEnd w:id="9"/>
      <w:bookmarkEnd w:id="10"/>
    </w:p>
    <w:p w:rsidRPr="004172FB" w:rsidR="00FC32E0" w:rsidP="00CE3CD8" w14:paraId="1787EB98" w14:textId="77777777">
      <w:pPr>
        <w:pStyle w:val="ListParagraph"/>
        <w:ind w:left="792"/>
        <w:outlineLvl w:val="1"/>
        <w:rPr>
          <w:b/>
          <w:bCs/>
        </w:rPr>
      </w:pPr>
    </w:p>
    <w:p w:rsidRPr="003E539B" w:rsidR="00CB2877" w:rsidP="003E539B" w14:paraId="5465EE13" w14:textId="77777777">
      <w:pPr>
        <w:pStyle w:val="ListParagraph"/>
        <w:numPr>
          <w:ilvl w:val="2"/>
          <w:numId w:val="18"/>
        </w:numPr>
        <w:outlineLvl w:val="2"/>
        <w:rPr>
          <w:i/>
          <w:iCs/>
        </w:rPr>
      </w:pPr>
      <w:bookmarkStart w:name="_Toc193820837" w:id="11"/>
      <w:bookmarkStart w:name="_Toc193891799" w:id="12"/>
      <w:r w:rsidRPr="003E539B">
        <w:rPr>
          <w:i/>
          <w:iCs/>
        </w:rPr>
        <w:t>Beroepsmogelijkheid</w:t>
      </w:r>
      <w:bookmarkEnd w:id="11"/>
      <w:bookmarkEnd w:id="12"/>
    </w:p>
    <w:p w:rsidR="000A60FB" w:rsidP="00B63359" w14:paraId="656B3028" w14:textId="77777777">
      <w:bookmarkStart w:name="_Hlk184892294" w:id="13"/>
      <w:r>
        <w:t>De</w:t>
      </w:r>
      <w:r w:rsidR="00291DCB">
        <w:t xml:space="preserve"> meest wezenlijke </w:t>
      </w:r>
      <w:r>
        <w:t>wijziging in</w:t>
      </w:r>
      <w:r w:rsidR="00291DCB">
        <w:t xml:space="preserve"> de nieuwe inrichting van het proces van geschilbeslechting betreft de mogelijkheid beroep in te stellen tegen de beslissing van het vertegenwoordigend orgaan over de </w:t>
      </w:r>
      <w:r w:rsidR="00593E20">
        <w:t>geldigheid van de verkiezingen en de toelating van de nieuwe leden</w:t>
      </w:r>
      <w:r w:rsidR="00291DCB">
        <w:t>.</w:t>
      </w:r>
      <w:r w:rsidR="005427DD">
        <w:t xml:space="preserve"> </w:t>
      </w:r>
      <w:r w:rsidR="0085578C">
        <w:t xml:space="preserve">Dit </w:t>
      </w:r>
      <w:r w:rsidR="00D17919">
        <w:t>laat onverlet</w:t>
      </w:r>
      <w:r w:rsidR="0085578C">
        <w:t xml:space="preserve"> dat het oordeel over de geldigheid van een verkiezing in beginsel bij het vertegenwoordigend orgaan </w:t>
      </w:r>
      <w:r w:rsidR="00D17919">
        <w:t xml:space="preserve">blijft </w:t>
      </w:r>
      <w:r w:rsidR="0085578C">
        <w:t>lig</w:t>
      </w:r>
      <w:r w:rsidR="00D17919">
        <w:t>gen</w:t>
      </w:r>
      <w:r w:rsidR="0085578C">
        <w:t>, maar h</w:t>
      </w:r>
      <w:r w:rsidR="005427DD">
        <w:t xml:space="preserve">iermee wordt </w:t>
      </w:r>
      <w:r w:rsidR="00D17919">
        <w:t xml:space="preserve">bewerkstelligd </w:t>
      </w:r>
      <w:r w:rsidR="005427DD">
        <w:t xml:space="preserve">dat het finale oordeel over een geschil </w:t>
      </w:r>
      <w:r w:rsidR="00620CB9">
        <w:t xml:space="preserve">niet </w:t>
      </w:r>
      <w:r w:rsidR="005427DD">
        <w:t xml:space="preserve">is belegd bij </w:t>
      </w:r>
      <w:r w:rsidR="00620CB9">
        <w:t>een instantie die zelf</w:t>
      </w:r>
      <w:r w:rsidR="005427DD">
        <w:t xml:space="preserve"> belang heeft bij de </w:t>
      </w:r>
      <w:r w:rsidRPr="0041239B" w:rsidR="005427DD">
        <w:t>uitslagvaststelling.</w:t>
      </w:r>
      <w:r w:rsidRPr="0041239B" w:rsidR="00291DCB">
        <w:t xml:space="preserve"> </w:t>
      </w:r>
      <w:r w:rsidR="00F03222">
        <w:t xml:space="preserve">Hiermee wordt tegemoetgekomen aan de eis van het EVRM ten aanzien van geschilbeslechting door een </w:t>
      </w:r>
      <w:r w:rsidR="00193CE4">
        <w:t xml:space="preserve">onafhankelijke en </w:t>
      </w:r>
      <w:r w:rsidR="00F03222">
        <w:t>onpartijdige instantie</w:t>
      </w:r>
      <w:r w:rsidR="005E1E5A">
        <w:t xml:space="preserve"> en</w:t>
      </w:r>
      <w:r w:rsidR="00F03222">
        <w:t xml:space="preserve"> wordt de weerbaarheid van het verkiezingsproces verhoogd. </w:t>
      </w:r>
      <w:r w:rsidR="00593E20">
        <w:t>D</w:t>
      </w:r>
      <w:r w:rsidR="00F03222">
        <w:t>iscussies over de</w:t>
      </w:r>
      <w:r w:rsidR="00593E20">
        <w:t xml:space="preserve"> integriteit van de beslissing van het vertegenwoordigend orgaan worden hiermee namelijk voorkomen.</w:t>
      </w:r>
    </w:p>
    <w:p w:rsidR="00872F04" w:rsidP="00B63359" w14:paraId="5C2365E4" w14:textId="77777777"/>
    <w:p w:rsidR="00F07068" w:rsidP="003E539B" w14:paraId="5508C33A" w14:textId="77777777">
      <w:pPr>
        <w:pStyle w:val="ListParagraph"/>
        <w:numPr>
          <w:ilvl w:val="2"/>
          <w:numId w:val="18"/>
        </w:numPr>
        <w:outlineLvl w:val="2"/>
      </w:pPr>
      <w:bookmarkStart w:name="_Toc193820838" w:id="14"/>
      <w:bookmarkStart w:name="_Toc193891800" w:id="15"/>
      <w:r>
        <w:rPr>
          <w:i/>
          <w:iCs/>
        </w:rPr>
        <w:t>Bevoegde instantie</w:t>
      </w:r>
      <w:bookmarkEnd w:id="14"/>
      <w:bookmarkEnd w:id="15"/>
    </w:p>
    <w:p w:rsidR="00FC32E0" w:rsidP="00B63359" w14:paraId="4C367B62" w14:textId="77777777">
      <w:r w:rsidRPr="0041239B">
        <w:t>In lijn met de Afdeling advisering acht h</w:t>
      </w:r>
      <w:r w:rsidRPr="0041239B" w:rsidR="00291DCB">
        <w:t xml:space="preserve">et kabinet de Afdeling bestuursrechtspraak van de Raad van State (hierna: Afdeling bestuursrechtspraak) </w:t>
      </w:r>
      <w:r w:rsidRPr="0041239B" w:rsidR="00DF3D8B">
        <w:t xml:space="preserve">op dit moment </w:t>
      </w:r>
      <w:r w:rsidRPr="0041239B" w:rsidR="00291DCB">
        <w:t>de aangewezen instantie om deze geschillen</w:t>
      </w:r>
      <w:r w:rsidRPr="0041239B" w:rsidR="00620CB9">
        <w:t xml:space="preserve"> in eerste en enige </w:t>
      </w:r>
      <w:r w:rsidRPr="0041239B" w:rsidR="003C7749">
        <w:t xml:space="preserve">aanleg </w:t>
      </w:r>
      <w:r w:rsidRPr="0041239B" w:rsidR="00291DCB">
        <w:t>te behandel</w:t>
      </w:r>
      <w:r w:rsidRPr="0041239B" w:rsidR="001725EC">
        <w:t xml:space="preserve">en. De Afdeling bestuursrechtspraak voldoet aan de criteria voor een onafhankelijke en onpartijdige instantie en </w:t>
      </w:r>
      <w:r w:rsidRPr="0041239B">
        <w:t xml:space="preserve">is ook al de bevoegde instantie om te oordelen over </w:t>
      </w:r>
      <w:r w:rsidRPr="0041239B">
        <w:t>geschillen die zich voordoen eerder in het verkiezingsproces</w:t>
      </w:r>
      <w:r w:rsidRPr="0041239B" w:rsidR="001332BC">
        <w:t xml:space="preserve">, zoals </w:t>
      </w:r>
      <w:r w:rsidRPr="0041239B" w:rsidR="00623F0E">
        <w:t xml:space="preserve">bij </w:t>
      </w:r>
      <w:r w:rsidRPr="0041239B" w:rsidR="001332BC">
        <w:t>de kandidaatstelling</w:t>
      </w:r>
      <w:r w:rsidRPr="0041239B">
        <w:t>.</w:t>
      </w:r>
      <w:r>
        <w:rPr>
          <w:rStyle w:val="FootnoteReference"/>
        </w:rPr>
        <w:footnoteReference w:id="7"/>
      </w:r>
    </w:p>
    <w:p w:rsidR="00872F04" w:rsidP="00B63359" w14:paraId="61284D58" w14:textId="77777777"/>
    <w:p w:rsidR="00DF3D8B" w:rsidP="003E539B" w14:paraId="622C14A4" w14:textId="77777777">
      <w:pPr>
        <w:pStyle w:val="ListParagraph"/>
        <w:numPr>
          <w:ilvl w:val="2"/>
          <w:numId w:val="18"/>
        </w:numPr>
        <w:outlineLvl w:val="2"/>
      </w:pPr>
      <w:r>
        <w:rPr>
          <w:i/>
          <w:iCs/>
        </w:rPr>
        <w:t>Het instellen van beroep</w:t>
      </w:r>
    </w:p>
    <w:bookmarkEnd w:id="13"/>
    <w:p w:rsidR="00455A37" w:rsidP="00B63359" w14:paraId="5020B217" w14:textId="77777777">
      <w:r>
        <w:t xml:space="preserve">Het kabinet </w:t>
      </w:r>
      <w:r w:rsidR="005427DD">
        <w:t xml:space="preserve">deelt de zorg </w:t>
      </w:r>
      <w:r w:rsidR="00620CB9">
        <w:t xml:space="preserve">van </w:t>
      </w:r>
      <w:r w:rsidR="005427DD">
        <w:t xml:space="preserve">de Afdeling advisering dat wanneer iedere burger de mogelijkheid zou krijgen beroep in te stellen bij de Afdeling </w:t>
      </w:r>
      <w:r w:rsidR="00620CB9">
        <w:t>bestuursrechtsspraak</w:t>
      </w:r>
      <w:r w:rsidR="005427DD">
        <w:t xml:space="preserve"> </w:t>
      </w:r>
      <w:r w:rsidR="004E3ED4">
        <w:t>er een risico is dat</w:t>
      </w:r>
      <w:r w:rsidR="00620CB9">
        <w:t xml:space="preserve"> spoedige voortgang</w:t>
      </w:r>
      <w:r w:rsidR="00823D93">
        <w:t xml:space="preserve"> en afronding</w:t>
      </w:r>
      <w:r w:rsidR="00620CB9">
        <w:t xml:space="preserve"> van het verkiezingsproces </w:t>
      </w:r>
      <w:r w:rsidR="00E84A25">
        <w:t>niet volledig kan worden gegarandeerd</w:t>
      </w:r>
      <w:r w:rsidR="00620CB9">
        <w:t>.</w:t>
      </w:r>
      <w:r w:rsidR="007765A9">
        <w:t xml:space="preserve"> Dit </w:t>
      </w:r>
      <w:r w:rsidR="00D45D4D">
        <w:t xml:space="preserve">is onwenselijk </w:t>
      </w:r>
      <w:r w:rsidR="009F1F64">
        <w:t>aangezien</w:t>
      </w:r>
      <w:r w:rsidR="00D45D4D">
        <w:t xml:space="preserve"> </w:t>
      </w:r>
      <w:r w:rsidR="009F1F64">
        <w:t xml:space="preserve">een snelle start van de nieuwgekozen volksvertegenwoordigers van belang is voor de </w:t>
      </w:r>
      <w:r w:rsidR="00D45D4D">
        <w:t>democratische legitimatie van een vertegenwoordigend orgaan</w:t>
      </w:r>
      <w:r w:rsidR="00A55F50">
        <w:t xml:space="preserve">. </w:t>
      </w:r>
      <w:r w:rsidRPr="00F970AC" w:rsidR="00F970AC">
        <w:t>Teveel vertraging van het verkiezingsproces doet dus af aan de weerbaarheid van de democratische rechtsstaat omdat daarmee de legitimiteit van het vertegenwoordigende orgaan in het geding kan komen.</w:t>
      </w:r>
      <w:r w:rsidR="00F970AC">
        <w:t xml:space="preserve"> </w:t>
      </w:r>
      <w:r w:rsidR="007C4070">
        <w:t xml:space="preserve">Daarnaast is het onwenselijk als </w:t>
      </w:r>
      <w:r w:rsidR="00751A7E">
        <w:t>er</w:t>
      </w:r>
      <w:r w:rsidR="007C4070">
        <w:t xml:space="preserve"> lang</w:t>
      </w:r>
      <w:r w:rsidR="0092454E">
        <w:t xml:space="preserve"> twijfel kan </w:t>
      </w:r>
      <w:r w:rsidR="007C4070">
        <w:t>be</w:t>
      </w:r>
      <w:r w:rsidR="0092454E">
        <w:t xml:space="preserve">staan over wie er zitting </w:t>
      </w:r>
      <w:r w:rsidR="007C4070">
        <w:t>gaat nemen</w:t>
      </w:r>
      <w:r w:rsidR="0092454E">
        <w:t xml:space="preserve"> in het vertegenwoordigende orgaan</w:t>
      </w:r>
      <w:r w:rsidR="007C4070">
        <w:t>, ook in het kader van het formatieproces</w:t>
      </w:r>
      <w:r w:rsidR="0092454E">
        <w:t>.</w:t>
      </w:r>
      <w:r w:rsidR="007C4070">
        <w:t xml:space="preserve"> </w:t>
      </w:r>
      <w:r w:rsidRPr="00D1013B" w:rsidR="00620CB9">
        <w:t>Het kabinet maakt daarom de keuze om de mogelijkheid om beroep in te stellen</w:t>
      </w:r>
      <w:r w:rsidRPr="00D1013B" w:rsidR="00D17919">
        <w:t xml:space="preserve"> tegen </w:t>
      </w:r>
      <w:r w:rsidR="00144B8B">
        <w:t>besluiten</w:t>
      </w:r>
      <w:r w:rsidRPr="00D1013B" w:rsidR="00C476B1">
        <w:t xml:space="preserve"> over de geldigheid van de verkiezing</w:t>
      </w:r>
      <w:r w:rsidR="003C7749">
        <w:t>,</w:t>
      </w:r>
      <w:r w:rsidRPr="00D1013B" w:rsidR="00C476B1">
        <w:t xml:space="preserve"> of de toelating van kandidaten</w:t>
      </w:r>
      <w:r w:rsidR="003C7749">
        <w:t>,</w:t>
      </w:r>
      <w:r w:rsidRPr="00D1013B" w:rsidR="00620CB9">
        <w:t xml:space="preserve"> enkel open te stellen voor </w:t>
      </w:r>
      <w:r w:rsidRPr="00D1013B" w:rsidR="001332BC">
        <w:t xml:space="preserve">politieke </w:t>
      </w:r>
      <w:r w:rsidR="009F0BF7">
        <w:t>groeperingen</w:t>
      </w:r>
      <w:r w:rsidRPr="00A201DD" w:rsidR="009F0BF7">
        <w:t xml:space="preserve"> </w:t>
      </w:r>
      <w:r w:rsidRPr="00D1013B" w:rsidR="001332BC">
        <w:t xml:space="preserve">en </w:t>
      </w:r>
      <w:r w:rsidRPr="00D1013B" w:rsidR="00620CB9">
        <w:t>kandidaten</w:t>
      </w:r>
      <w:r w:rsidRPr="00D1013B" w:rsidR="001332BC">
        <w:t xml:space="preserve">. Voor kandidaten geldt </w:t>
      </w:r>
      <w:r w:rsidRPr="00D1013B" w:rsidR="00457EF4">
        <w:t xml:space="preserve">bovendien </w:t>
      </w:r>
      <w:r w:rsidRPr="00D1013B" w:rsidR="001332BC">
        <w:t>dat</w:t>
      </w:r>
      <w:r w:rsidRPr="00D1013B" w:rsidR="00D87590">
        <w:t xml:space="preserve"> </w:t>
      </w:r>
      <w:r w:rsidRPr="00D1013B" w:rsidR="0063106A">
        <w:t>het</w:t>
      </w:r>
      <w:r w:rsidRPr="00D1013B" w:rsidR="00457EF4">
        <w:t xml:space="preserve"> in hun ogen </w:t>
      </w:r>
      <w:r w:rsidR="00E84A25">
        <w:t xml:space="preserve">onjuiste </w:t>
      </w:r>
      <w:r w:rsidRPr="00D1013B" w:rsidR="0021598B">
        <w:t>besluit van het vertegenwoordigend orgaan</w:t>
      </w:r>
      <w:r w:rsidRPr="00D1013B" w:rsidR="0063106A">
        <w:t xml:space="preserve"> hen rechtstreeks moet raken, in die zin dat zij bij het nemen van een </w:t>
      </w:r>
      <w:r w:rsidR="0026105D">
        <w:t>ander</w:t>
      </w:r>
      <w:r w:rsidRPr="00D1013B" w:rsidR="0026105D">
        <w:t xml:space="preserve"> </w:t>
      </w:r>
      <w:r w:rsidRPr="00D1013B" w:rsidR="0063106A">
        <w:t xml:space="preserve">besluit wel een zetel toegewezen hadden gekregen. </w:t>
      </w:r>
    </w:p>
    <w:p w:rsidR="00872F04" w:rsidP="003775CF" w14:paraId="115D0662" w14:textId="77777777">
      <w:pPr>
        <w:pStyle w:val="ListParagraph"/>
        <w:ind w:left="1728"/>
        <w:outlineLvl w:val="3"/>
      </w:pPr>
    </w:p>
    <w:p w:rsidR="00D1013B" w:rsidP="00B63359" w14:paraId="38CA91E7" w14:textId="77777777">
      <w:r w:rsidRPr="00D1013B">
        <w:t xml:space="preserve">Daarnaast geldt </w:t>
      </w:r>
      <w:r w:rsidRPr="00D1013B" w:rsidR="001E4F9B">
        <w:t xml:space="preserve">de eis – zowel voor </w:t>
      </w:r>
      <w:r w:rsidR="009F0BF7">
        <w:t>groeperingen</w:t>
      </w:r>
      <w:r w:rsidRPr="00A201DD" w:rsidR="009F0BF7">
        <w:t xml:space="preserve"> </w:t>
      </w:r>
      <w:r w:rsidRPr="00D1013B" w:rsidR="001E4F9B">
        <w:t xml:space="preserve">als kandidaten – dat </w:t>
      </w:r>
      <w:r w:rsidR="00823D93">
        <w:t xml:space="preserve">in </w:t>
      </w:r>
      <w:r w:rsidRPr="00D1013B" w:rsidR="001E4F9B">
        <w:t>de beroepsgronden uiteen</w:t>
      </w:r>
      <w:r w:rsidR="00823D93">
        <w:t xml:space="preserve"> wordt ge</w:t>
      </w:r>
      <w:r w:rsidRPr="00D1013B" w:rsidR="001E4F9B">
        <w:t xml:space="preserve">zet hoe de aangevoerde onjuiste uitslagvaststelling volgt uit </w:t>
      </w:r>
      <w:r w:rsidRPr="00D1013B">
        <w:t>een</w:t>
      </w:r>
      <w:r w:rsidRPr="00D1013B" w:rsidR="001E4F9B">
        <w:t xml:space="preserve"> (vermeende) </w:t>
      </w:r>
      <w:r w:rsidRPr="00D1013B">
        <w:t>fout of onregelmatigheid.</w:t>
      </w:r>
      <w:r w:rsidRPr="00D1013B" w:rsidR="001E4F9B">
        <w:t xml:space="preserve"> </w:t>
      </w:r>
      <w:r w:rsidRPr="00D1013B">
        <w:t>Het enkel wijzen op (vermeende) onregelmatigheden zonder onderbouwing waarom dit invloed heeft gehad op de zetelverdeling of zeteltoewijzing is onvoldoende</w:t>
      </w:r>
      <w:r w:rsidR="00823D93">
        <w:t xml:space="preserve"> en zal leiden tot een (kennelijke) ongegrondverklaring</w:t>
      </w:r>
      <w:r w:rsidRPr="00D1013B">
        <w:t>.</w:t>
      </w:r>
    </w:p>
    <w:p w:rsidR="00455A37" w:rsidP="00B63359" w14:paraId="4E4C1C84" w14:textId="77777777"/>
    <w:p w:rsidR="00CB2877" w:rsidP="00B63359" w14:paraId="58EEC660" w14:textId="77777777">
      <w:r w:rsidRPr="00D1013B">
        <w:t>Hoewel d</w:t>
      </w:r>
      <w:r w:rsidRPr="00D1013B" w:rsidR="00457EF4">
        <w:t>e keuze</w:t>
      </w:r>
      <w:r w:rsidRPr="00D1013B" w:rsidR="0063106A">
        <w:t xml:space="preserve"> om </w:t>
      </w:r>
      <w:r w:rsidRPr="00D1013B">
        <w:t xml:space="preserve">het instellen van beroep alleen in voornoemde gevallen mogelijk te maken </w:t>
      </w:r>
      <w:r w:rsidR="00BF7AFF">
        <w:t xml:space="preserve">met zich </w:t>
      </w:r>
      <w:r w:rsidRPr="00D1013B" w:rsidR="00457EF4">
        <w:t>meebrengt dat niet iedere burger persoonlijk de mogelijkheid heeft het besluit van het vertegenwoordigend orgaan aan te vechten, betekent</w:t>
      </w:r>
      <w:r w:rsidR="00457EF4">
        <w:t xml:space="preserve"> dit uiteraard niet dat </w:t>
      </w:r>
      <w:r w:rsidR="00823D93">
        <w:t xml:space="preserve">diens </w:t>
      </w:r>
      <w:r w:rsidR="00457EF4">
        <w:t>inhoudelijke beroepsgronden niet alsnog naar voren kunnen worden gebracht</w:t>
      </w:r>
      <w:r w:rsidR="008A36ED">
        <w:t xml:space="preserve">. </w:t>
      </w:r>
      <w:r w:rsidR="00BF7AFF">
        <w:t>Dat kan b</w:t>
      </w:r>
      <w:r w:rsidR="00457EF4">
        <w:t>ijvoorbeeld door een</w:t>
      </w:r>
      <w:r w:rsidR="008A36ED">
        <w:t xml:space="preserve"> politieke </w:t>
      </w:r>
      <w:r w:rsidR="009F0BF7">
        <w:t xml:space="preserve">groepering </w:t>
      </w:r>
      <w:r w:rsidR="008A36ED">
        <w:t>of</w:t>
      </w:r>
      <w:r w:rsidR="00457EF4">
        <w:t xml:space="preserve"> k</w:t>
      </w:r>
      <w:r w:rsidR="008A36ED">
        <w:t xml:space="preserve">andidaat te benaderen met de relevante informatie. Indien de informatie een valide punt bevat, zal een kandidaat hiermee </w:t>
      </w:r>
      <w:r w:rsidR="004C17FD">
        <w:t xml:space="preserve">hoogstwaarschijnlijk </w:t>
      </w:r>
      <w:r w:rsidR="008A36ED">
        <w:t xml:space="preserve">zelf naar de Afdeling bestuursrechtspraak stappen. Op deze wijze vormt de inkadering van het aantal beroepsbevoegden in feite een filter en worden alleen beroepen die in enige mate kansrijk lijken aan de rechter voorgelegd. </w:t>
      </w:r>
    </w:p>
    <w:p w:rsidR="00AF7F5E" w:rsidP="00B63359" w14:paraId="5B3D2338" w14:textId="77777777"/>
    <w:p w:rsidR="00007DBF" w:rsidP="00E02CC9" w14:paraId="537D0D16" w14:textId="77777777">
      <w:pPr>
        <w:pStyle w:val="ListParagraph"/>
        <w:numPr>
          <w:ilvl w:val="2"/>
          <w:numId w:val="18"/>
        </w:numPr>
        <w:outlineLvl w:val="2"/>
      </w:pPr>
      <w:bookmarkStart w:name="_Toc193820843" w:id="16"/>
      <w:bookmarkStart w:name="_Toc193891805" w:id="17"/>
      <w:r>
        <w:t>Beoordeling</w:t>
      </w:r>
      <w:bookmarkEnd w:id="16"/>
      <w:bookmarkEnd w:id="17"/>
      <w:r w:rsidR="00FA7A7D">
        <w:t xml:space="preserve"> beroepen</w:t>
      </w:r>
    </w:p>
    <w:p w:rsidR="00D54689" w:rsidP="00B63359" w14:paraId="7F6BD47D" w14:textId="77777777">
      <w:r>
        <w:t xml:space="preserve">Naar aanleiding van een ingesteld beroep beoordeelt de Afdeling bestuursrechtspraak of er aanleiding is om over te gaan tot een (gedeeltelijke) hertelling of herstemming. </w:t>
      </w:r>
      <w:r w:rsidR="00C35C11">
        <w:t>D</w:t>
      </w:r>
      <w:r>
        <w:t xml:space="preserve">e Afdeling bestuursrechtspraak baseert zich hierbij op </w:t>
      </w:r>
      <w:r>
        <w:t>de criteria die worden opgesteld ten behoeve van de beoordeling van geschillen (zie hieronder bij ‘Beoordeling geschillen’).</w:t>
      </w:r>
    </w:p>
    <w:p w:rsidR="00D173F7" w:rsidP="00B63359" w14:paraId="66C3B4E5" w14:textId="77777777"/>
    <w:p w:rsidR="00A23E84" w:rsidP="00C0062F" w14:paraId="7CFFAE32" w14:textId="77777777">
      <w:r>
        <w:tab/>
      </w:r>
      <w:r w:rsidRPr="003775CF">
        <w:rPr>
          <w:i/>
          <w:iCs/>
        </w:rPr>
        <w:t>3.</w:t>
      </w:r>
      <w:r w:rsidR="00CE3CD8">
        <w:rPr>
          <w:i/>
          <w:iCs/>
        </w:rPr>
        <w:t>1</w:t>
      </w:r>
      <w:r w:rsidRPr="003775CF">
        <w:rPr>
          <w:i/>
          <w:iCs/>
        </w:rPr>
        <w:t>.5 Verhouding beroepsmogelijkheid tot criteria EVRM</w:t>
      </w:r>
    </w:p>
    <w:p w:rsidR="00D173F7" w:rsidP="00D173F7" w14:paraId="77CAC1C7" w14:textId="77777777">
      <w:r>
        <w:t>Het kabinet is zich ervan bewust dat de keuze om enkel politieke groeperingen</w:t>
      </w:r>
      <w:r w:rsidRPr="00A201DD">
        <w:t xml:space="preserve"> </w:t>
      </w:r>
      <w:r w:rsidRPr="00512368">
        <w:t>en kandidaten de mogelijkheid te bieden om beroep in te stellen nog niet zorgt voor doeltreffende geschilbeslechting van door burgers ingebrachte individuele</w:t>
      </w:r>
      <w:r>
        <w:t xml:space="preserve"> bezwaren eerder in het proces. Dit vergt een transparant proces waarin inzichtelijk wordt gemaakt hoe een bezwaar wordt beoordeeld en gewogen. Het kabinet wil dit realiseren door het proces van geschilbeslechting in de fase voorafgaand aan het geloofsbrievenonderzoek uit te breiden. Dit zorgt ervoor dat burgers al in deze fase van het proces inzicht krijgen in hoe hun bezwaar is beoordeeld. Deze informatie wordt ook openbaar gemaakt. Naast transparantie voor de burger heeft een beoordelingsmoment in deze fase als voordeel dat eventueel geconstateerde onregelmatigheden in sommige gevallen nog gecorrigeerd kunnen worden. De beoordeling van geschillen zal in deze fase plaatsvinden door een onafhankelijke instantie met kiesrechtexpertise. Hieronder wordt dit nader uiteengezet. </w:t>
      </w:r>
    </w:p>
    <w:p w:rsidR="00D173F7" w:rsidP="00D173F7" w14:paraId="3878D4D2" w14:textId="77777777"/>
    <w:p w:rsidR="00D173F7" w:rsidP="00D173F7" w14:paraId="0E895AED" w14:textId="77777777">
      <w:r>
        <w:t>Het kabinet meent dat de combinatie van enerzijds openbare beoordeling van ingebrachte bezwaren van individuele burgers door een onafhankelijke instantie met kiesrechtexpertise en anderzijds de behandeling van beroepen van politieke groeperingen</w:t>
      </w:r>
      <w:r w:rsidRPr="00A201DD">
        <w:t xml:space="preserve"> </w:t>
      </w:r>
      <w:r w:rsidRPr="00512368">
        <w:t>en kandidaten door</w:t>
      </w:r>
      <w:r>
        <w:t xml:space="preserve"> de Afdeling bestuursrechtspraak in zijn totaliteit voldoet aan de criteria van toetsing door een onafhankelijke instantie zoals die voortvloeien uit het EVRM en zijn geformuleerd door het EHRM. Zo zal de beoordeling van geschillen in de eerste fase plaatsvinden door een onafhankelijke kiescommissie met kiesrechtexpertise en komt het proces tegemoet aan de voorwaarde uit het EVRM dat tegen de beoordeling van een kiescommissie alsnog beroep bij de rechter open moet staat. Hierin voorziet de mogelijkheid tot beroep bij de Afdeling bestuursrechtspraak. Het oordeel van de onafhankelijke kiesrechtinstantie is dan wel niet rechtstreeks appellabel, maar aangezien de oordelen openbaar zijn en politieke groeperingen</w:t>
      </w:r>
      <w:r w:rsidRPr="00A201DD">
        <w:t xml:space="preserve"> </w:t>
      </w:r>
      <w:r>
        <w:t>en kandidaten deze derhalve kunnen meenemen bij het instellen van beroep, wordt naar het oordeel van het kabinet inhoudelijk aan de gestelde eis voldaan</w:t>
      </w:r>
      <w:r w:rsidRPr="00A0573C">
        <w:t>. Met deze inrichting meent het kabinet te voldoen aan de eisen die het EVRM stelt.</w:t>
      </w:r>
    </w:p>
    <w:p w:rsidR="00FE4689" w:rsidP="00C0062F" w14:paraId="4671F962" w14:textId="77777777"/>
    <w:p w:rsidR="00FF5AF9" w:rsidP="003775CF" w14:paraId="1D7902CA" w14:textId="77777777">
      <w:pPr>
        <w:pStyle w:val="ListParagraph"/>
        <w:numPr>
          <w:ilvl w:val="1"/>
          <w:numId w:val="18"/>
        </w:numPr>
        <w:outlineLvl w:val="1"/>
      </w:pPr>
      <w:bookmarkStart w:name="_Toc193820845" w:id="18"/>
      <w:bookmarkStart w:name="_Toc193891807" w:id="19"/>
      <w:r w:rsidRPr="003E539B">
        <w:rPr>
          <w:b/>
          <w:bCs/>
        </w:rPr>
        <w:t>Aanvullende geschilbeslechting vóór besluit vertegenwoordigend orgaan</w:t>
      </w:r>
      <w:bookmarkEnd w:id="18"/>
      <w:bookmarkEnd w:id="19"/>
    </w:p>
    <w:p w:rsidRPr="0041239B" w:rsidR="006D5EB6" w:rsidP="006D5EB6" w14:paraId="466CBF39" w14:textId="77777777">
      <w:pPr>
        <w:rPr>
          <w:u w:val="single"/>
        </w:rPr>
      </w:pPr>
    </w:p>
    <w:p w:rsidRPr="003E539B" w:rsidR="006D5EB6" w:rsidP="00305B95" w14:paraId="54F0BE41" w14:textId="77777777">
      <w:pPr>
        <w:pStyle w:val="ListParagraph"/>
        <w:numPr>
          <w:ilvl w:val="2"/>
          <w:numId w:val="18"/>
        </w:numPr>
        <w:ind w:left="1134"/>
        <w:outlineLvl w:val="2"/>
        <w:rPr>
          <w:i/>
          <w:iCs/>
        </w:rPr>
      </w:pPr>
      <w:bookmarkStart w:name="_Toc193820846" w:id="20"/>
      <w:bookmarkStart w:name="_Toc193891808" w:id="21"/>
      <w:r w:rsidRPr="003E539B">
        <w:rPr>
          <w:i/>
          <w:iCs/>
        </w:rPr>
        <w:t>Verhouding tot huidig verkiezingsproces en al verwachte wijzigingen</w:t>
      </w:r>
      <w:bookmarkEnd w:id="20"/>
      <w:bookmarkEnd w:id="21"/>
    </w:p>
    <w:p w:rsidR="005D76A3" w:rsidP="00305B95" w14:paraId="32BFA792" w14:textId="77777777">
      <w:bookmarkStart w:name="_Hlk191984521" w:id="22"/>
      <w:r>
        <w:t xml:space="preserve">Alvorens hieronder in te gaan </w:t>
      </w:r>
      <w:r w:rsidR="00862DB1">
        <w:t>op de inrichting van</w:t>
      </w:r>
      <w:r>
        <w:t xml:space="preserve"> het proces voorafgaand aan het geloofsbrievenonderzoek wil ik stilstaan bij </w:t>
      </w:r>
      <w:r w:rsidR="00862DB1">
        <w:t xml:space="preserve">de verhouding </w:t>
      </w:r>
      <w:r w:rsidR="00FE4689">
        <w:t xml:space="preserve">hiervan </w:t>
      </w:r>
      <w:r>
        <w:t xml:space="preserve">tot het huidige verkiezingsproces, en de wijzigingen </w:t>
      </w:r>
      <w:r w:rsidR="00EF395E">
        <w:t xml:space="preserve">daarvan </w:t>
      </w:r>
      <w:r>
        <w:t>die al op stapel staan.</w:t>
      </w:r>
      <w:r>
        <w:t xml:space="preserve"> In de verdere uitwerking zal uiteraard steeds worden gekeken of ontwikkelingen op andere verkiezingsdossiers aanleiding geven tot aanpassingen in dit </w:t>
      </w:r>
      <w:r w:rsidR="000C7A80">
        <w:t>traject</w:t>
      </w:r>
      <w:r>
        <w:t>.</w:t>
      </w:r>
      <w:r w:rsidR="00C74973">
        <w:t xml:space="preserve"> </w:t>
      </w:r>
    </w:p>
    <w:p w:rsidR="00F60C83" w:rsidP="00305B95" w14:paraId="7D8C4B5A" w14:textId="77777777"/>
    <w:p w:rsidR="00116673" w:rsidP="00305B95" w14:paraId="0A33A832" w14:textId="77777777">
      <w:r>
        <w:t>Het verkiezingsproces biedt burgers al diverse mogelijkheden om kenbaar te maken dat een onderdeel van het proces in hun ogen niet juist is verlopen</w:t>
      </w:r>
      <w:r w:rsidRPr="00697124">
        <w:t xml:space="preserve">. </w:t>
      </w:r>
      <w:r w:rsidRPr="00CD4CB2">
        <w:t xml:space="preserve">Bijvoorbeeld de mogelijkheid om bezwaar te maken tijdens de zittingen van het </w:t>
      </w:r>
      <w:r w:rsidRPr="00CD4CB2">
        <w:t>stembureau en gemeentelijk stembureau.</w:t>
      </w:r>
      <w:r>
        <w:rPr>
          <w:rStyle w:val="FootnoteReference"/>
        </w:rPr>
        <w:footnoteReference w:id="8"/>
      </w:r>
      <w:r w:rsidRPr="00697124">
        <w:t xml:space="preserve"> </w:t>
      </w:r>
      <w:r>
        <w:t xml:space="preserve">De taak die het kabinet bij de onafhankelijke kiesrechtinstantie </w:t>
      </w:r>
      <w:r w:rsidR="0092454E">
        <w:t>wil</w:t>
      </w:r>
      <w:r>
        <w:t xml:space="preserve"> beleggen vormt een aanvulling van de bevoegdheid die wordt </w:t>
      </w:r>
      <w:r w:rsidR="0092454E">
        <w:t xml:space="preserve">gecreëerd </w:t>
      </w:r>
      <w:r>
        <w:t xml:space="preserve">met </w:t>
      </w:r>
      <w:r w:rsidR="00EF7A28">
        <w:t>de Wet</w:t>
      </w:r>
      <w:r>
        <w:t xml:space="preserve"> kwaliteitsbevordering uitvoering verkiezingsproces (hierna: </w:t>
      </w:r>
      <w:r w:rsidR="00EF7A28">
        <w:t xml:space="preserve">Wet </w:t>
      </w:r>
      <w:r>
        <w:t xml:space="preserve">Kwaliteitsbevordering), </w:t>
      </w:r>
      <w:r w:rsidR="00EF7A28">
        <w:t>die op 1 januari 2026 in werking zal treden</w:t>
      </w:r>
      <w:r>
        <w:t>.</w:t>
      </w:r>
      <w:r>
        <w:rPr>
          <w:rStyle w:val="FootnoteReference"/>
        </w:rPr>
        <w:footnoteReference w:id="9"/>
      </w:r>
      <w:r>
        <w:t xml:space="preserve"> Deze bevoegdheid houdt in het </w:t>
      </w:r>
      <w:bookmarkStart w:name="_Hlk189573688" w:id="23"/>
      <w:r>
        <w:t>voor</w:t>
      </w:r>
      <w:r w:rsidRPr="008F1076">
        <w:t xml:space="preserve"> elke verkiezing</w:t>
      </w:r>
      <w:r>
        <w:t xml:space="preserve"> opstellen van</w:t>
      </w:r>
      <w:r w:rsidRPr="008F1076">
        <w:t xml:space="preserve"> een </w:t>
      </w:r>
      <w:r>
        <w:t xml:space="preserve">openbare </w:t>
      </w:r>
      <w:r w:rsidRPr="008F1076">
        <w:t xml:space="preserve">rapportage </w:t>
      </w:r>
      <w:r>
        <w:t>van</w:t>
      </w:r>
      <w:r w:rsidRPr="008F1076">
        <w:t xml:space="preserve"> geconstateerde onregelmatigheden en indien daartoe aanleiding is het </w:t>
      </w:r>
      <w:r>
        <w:t xml:space="preserve">advies aan een </w:t>
      </w:r>
      <w:r w:rsidRPr="008F1076">
        <w:t xml:space="preserve">vertegenwoordigend orgaan </w:t>
      </w:r>
      <w:bookmarkEnd w:id="23"/>
      <w:r>
        <w:t>om tot een herstemming over te gaan</w:t>
      </w:r>
      <w:r w:rsidRPr="008F1076">
        <w:t>.</w:t>
      </w:r>
      <w:r>
        <w:t xml:space="preserve"> </w:t>
      </w:r>
      <w:r w:rsidR="00EF7A28">
        <w:t xml:space="preserve">De Wet </w:t>
      </w:r>
      <w:r>
        <w:t xml:space="preserve">Kwaliteitsbevordering belegt deze taak bij de Kiesraad. </w:t>
      </w:r>
    </w:p>
    <w:p w:rsidR="00D830F7" w:rsidP="00305B95" w14:paraId="7AC83A3C" w14:textId="77777777"/>
    <w:p w:rsidRPr="00116673" w:rsidR="00D830F7" w:rsidP="00305B95" w14:paraId="6E6F1936" w14:textId="77777777">
      <w:r>
        <w:t>Daarnaast beoogt het kabinet met de aanvulling van het proces om onregelmatigheden te beoordelen voorafgaand aan het besluit van het vertegenwoordigend orgaan aan te sluiten op de procedure van uitslagvaststelling zoals die geldt sinds de inwerkingtreding van de Wet nieuwe procedure vaststelling verkiezingsuitslagen (hierna: Wet NPVV) per 1 januari 2023.</w:t>
      </w:r>
      <w:r>
        <w:rPr>
          <w:rStyle w:val="FootnoteReference"/>
        </w:rPr>
        <w:footnoteReference w:id="10"/>
      </w:r>
      <w:r>
        <w:t xml:space="preserve"> In de Wet NPVV werd een nieuwe procedure geïntroduceerd om telfouten sneller te constateren en corrigeren. Onderdeel van deze procedure is dat kiezers bij het centraal stembureau een onderbouwde melding kunnen maken van een vermeende telfout in het proces-verbaal van een stembureau of gemeentelijk stembureau. Het centraal stembureau onderzoekt iedere melding en kan indien daartoe aanleiding is het gemeentelijk stembureau vragen deze melding te onderzoeken, voorafgaand aan de zitting waarin het centraal stembureau de uitslag vaststelt. De wijze waarop met een melding is omgegaan, wordt vermeld in het proces-verbaal van het centraal stembureau. Daarnaast controleert de Kiesraad uit eigen beweging of er uit de processen-verbaal opvallende zaken blijken. Eventuele telfouten zullen in de regel dus al zijn beoordeeld (en hersteld) voorafgaand aan het geloofsbrievenonderzoek. Met onderhavig traject zet het kabinet een soortgelijke stap ook voor het constateren en indien mogelijk corrigeren van onregelmatigheden</w:t>
      </w:r>
      <w:r w:rsidR="001334E9">
        <w:t>.</w:t>
      </w:r>
      <w:r w:rsidRPr="001334E9" w:rsidR="001334E9">
        <w:t xml:space="preserve"> </w:t>
      </w:r>
      <w:r w:rsidR="001334E9">
        <w:t>Uitgangspunt is dat geschilbeslechting voorafgaand aan het besluit van het vertegenwoordigend orgaan zoveel mogelijk aansluit op de NPVV.</w:t>
      </w:r>
    </w:p>
    <w:p w:rsidR="003D219E" w:rsidP="00305B95" w14:paraId="372731EA" w14:textId="77777777"/>
    <w:p w:rsidR="00573EF7" w:rsidP="00305B95" w14:paraId="75B2BD3D" w14:textId="77777777">
      <w:r>
        <w:t xml:space="preserve">De inrichting van het proces voor vaststelling van verkiezingsuitslagen </w:t>
      </w:r>
      <w:r w:rsidR="00A2296D">
        <w:t>is recent</w:t>
      </w:r>
      <w:r>
        <w:t xml:space="preserve"> geëvalueerd.</w:t>
      </w:r>
      <w:r>
        <w:rPr>
          <w:rStyle w:val="FootnoteReference"/>
        </w:rPr>
        <w:footnoteReference w:id="11"/>
      </w:r>
      <w:r>
        <w:t xml:space="preserve"> Bij deze evaluatie zijn de Kiesraad en vertegenwoordigers van gemeenten betrokken. Hierbij </w:t>
      </w:r>
      <w:r w:rsidR="004A4676">
        <w:t xml:space="preserve">stond </w:t>
      </w:r>
      <w:r>
        <w:t>met name de uitvoerbaarheid voor gemeenten, de Kiesraad en vrijwilligers centraal. D</w:t>
      </w:r>
      <w:r w:rsidR="00770028">
        <w:t>eze evaluatie</w:t>
      </w:r>
      <w:r>
        <w:t xml:space="preserve"> kan worden meegenomen bij de verdere inrichting van het proces.</w:t>
      </w:r>
      <w:r w:rsidR="00770028">
        <w:t xml:space="preserve"> </w:t>
      </w:r>
      <w:bookmarkEnd w:id="22"/>
    </w:p>
    <w:p w:rsidR="002722C3" w:rsidP="00305B95" w14:paraId="6512C831" w14:textId="77777777"/>
    <w:p w:rsidR="00F72327" w:rsidP="00305B95" w14:paraId="1C96E388" w14:textId="77777777">
      <w:pPr>
        <w:pStyle w:val="ListParagraph"/>
        <w:numPr>
          <w:ilvl w:val="2"/>
          <w:numId w:val="18"/>
        </w:numPr>
        <w:outlineLvl w:val="2"/>
      </w:pPr>
      <w:bookmarkStart w:name="_Toc193820848" w:id="24"/>
      <w:bookmarkStart w:name="_Toc193891810" w:id="25"/>
      <w:r w:rsidRPr="003E539B">
        <w:rPr>
          <w:i/>
          <w:iCs/>
        </w:rPr>
        <w:t>Inrichting aanvullende geschilbeslechting door onafhankelijke kiesrechtinstantie</w:t>
      </w:r>
      <w:bookmarkEnd w:id="24"/>
      <w:bookmarkEnd w:id="25"/>
    </w:p>
    <w:p w:rsidR="006C7AD9" w:rsidP="00305B95" w14:paraId="63A3A92D" w14:textId="77777777">
      <w:r w:rsidRPr="001F0CF0">
        <w:t>Het kabinet is voornemens e</w:t>
      </w:r>
      <w:r w:rsidRPr="001F0CF0" w:rsidR="007916DA">
        <w:t>en procedure</w:t>
      </w:r>
      <w:r w:rsidR="0007122D">
        <w:t xml:space="preserve">, </w:t>
      </w:r>
      <w:r w:rsidR="00E50506">
        <w:t xml:space="preserve">lijkend op </w:t>
      </w:r>
      <w:r w:rsidR="0007122D">
        <w:t xml:space="preserve">die </w:t>
      </w:r>
      <w:r w:rsidR="00E50506">
        <w:t xml:space="preserve">uit </w:t>
      </w:r>
      <w:r w:rsidR="0007122D">
        <w:t xml:space="preserve">de </w:t>
      </w:r>
      <w:r w:rsidR="00E50506">
        <w:t xml:space="preserve">Wet </w:t>
      </w:r>
      <w:r w:rsidR="0007122D">
        <w:t>NPVV,</w:t>
      </w:r>
      <w:r w:rsidRPr="001F0CF0" w:rsidR="007916DA">
        <w:t xml:space="preserve"> </w:t>
      </w:r>
      <w:r w:rsidRPr="001F0CF0">
        <w:t>in te richten voor (vermeende) onregelmatigheden tijdens het verkiezingsproces</w:t>
      </w:r>
      <w:r w:rsidRPr="001F0CF0" w:rsidR="00DC739E">
        <w:t xml:space="preserve">. </w:t>
      </w:r>
      <w:r w:rsidR="001E6E6D">
        <w:t xml:space="preserve">Het gaat hierbij om situaties waarin er bijvoorbeeld sprake is van stembussen die niet verzegeld waren of niet onder voldoende toezicht stonden. Ook gaat het om </w:t>
      </w:r>
      <w:r w:rsidR="001E6E6D">
        <w:t xml:space="preserve">situaties waarin kiezers (ten onrechte) geen </w:t>
      </w:r>
      <w:r w:rsidR="001E6E6D">
        <w:t>stempas</w:t>
      </w:r>
      <w:r w:rsidR="001E6E6D">
        <w:t xml:space="preserve"> hebben ontvangen of dat er onregelmatigheden zijn geconstateerd bij het verstrekken van stembiljetten in een stemlokaal. Een kiezer zou door deze situatie van mening kunnen zijn dat de stemming niet volgens de standaarden voor een betrouwbare verkiezing is verlopen. </w:t>
      </w:r>
      <w:r>
        <w:t xml:space="preserve">Deze twijfels over de integriteit van de verkiezingen </w:t>
      </w:r>
      <w:r w:rsidR="00C22C77">
        <w:t xml:space="preserve">kunnen </w:t>
      </w:r>
      <w:r>
        <w:t xml:space="preserve">het vertrouwen van de kiezer in het verkiezingsproces </w:t>
      </w:r>
      <w:r w:rsidR="00C22C77">
        <w:t>schaden</w:t>
      </w:r>
      <w:r>
        <w:t xml:space="preserve">. </w:t>
      </w:r>
      <w:r w:rsidR="00C22C77">
        <w:t>De nieuwe procedure kan zo dus bijdragen aan het</w:t>
      </w:r>
      <w:r w:rsidR="00696ED9">
        <w:t xml:space="preserve"> </w:t>
      </w:r>
      <w:r w:rsidR="001D1167">
        <w:t xml:space="preserve">versterken van de </w:t>
      </w:r>
      <w:r>
        <w:t>weerbaar</w:t>
      </w:r>
      <w:r w:rsidR="001D1167">
        <w:t xml:space="preserve">heid </w:t>
      </w:r>
      <w:r w:rsidR="00C22C77">
        <w:t>van het verkiezingsproces</w:t>
      </w:r>
      <w:r>
        <w:t>.</w:t>
      </w:r>
    </w:p>
    <w:p w:rsidR="006C7AD9" w:rsidP="00305B95" w14:paraId="189E1C36" w14:textId="77777777"/>
    <w:p w:rsidR="00C354B2" w:rsidP="00305B95" w14:paraId="04ACF693" w14:textId="77777777">
      <w:r>
        <w:t>Dit</w:t>
      </w:r>
      <w:r w:rsidRPr="001F0CF0" w:rsidR="0005549E">
        <w:t xml:space="preserve"> proces</w:t>
      </w:r>
      <w:r w:rsidRPr="001F0CF0" w:rsidR="006D431D">
        <w:t xml:space="preserve"> zal er op hoofdlijnen als volgt uitzien</w:t>
      </w:r>
      <w:r w:rsidR="001E6E6D">
        <w:t xml:space="preserve">: </w:t>
      </w:r>
      <w:r w:rsidR="00122D96">
        <w:t>m</w:t>
      </w:r>
      <w:r w:rsidRPr="001F0CF0" w:rsidR="006D431D">
        <w:t xml:space="preserve">eldingen over onregelmatigheden </w:t>
      </w:r>
      <w:r w:rsidRPr="001F0CF0" w:rsidR="00207EFB">
        <w:t xml:space="preserve">kunnen rechtstreeks </w:t>
      </w:r>
      <w:r w:rsidRPr="001F0CF0" w:rsidR="000B2B3C">
        <w:t xml:space="preserve">worden </w:t>
      </w:r>
      <w:r w:rsidRPr="001F0CF0" w:rsidR="00207EFB">
        <w:t xml:space="preserve">gemeld bij </w:t>
      </w:r>
      <w:r w:rsidRPr="001F0CF0" w:rsidR="000B2B3C">
        <w:t xml:space="preserve">de </w:t>
      </w:r>
      <w:r w:rsidR="006D5EB6">
        <w:t>onafhankelijke kiesrechtinstantie</w:t>
      </w:r>
      <w:r w:rsidRPr="001F0CF0" w:rsidR="00207EFB">
        <w:t>, d</w:t>
      </w:r>
      <w:r w:rsidRPr="001F0CF0" w:rsidR="00AB13F9">
        <w:t>ie</w:t>
      </w:r>
      <w:r w:rsidRPr="001F0CF0" w:rsidR="00207EFB">
        <w:t xml:space="preserve"> elke melding moet onderzoeken</w:t>
      </w:r>
      <w:r w:rsidRPr="001F0CF0" w:rsidR="00A65D6D">
        <w:t>. Daarnaast word</w:t>
      </w:r>
      <w:r>
        <w:t>en</w:t>
      </w:r>
      <w:r w:rsidRPr="001F0CF0" w:rsidR="00A65D6D">
        <w:t xml:space="preserve"> ook de bezwaren die burgers inbrengen bij het stembureau en gemeentelijk stembureau voor onderzoek doorgeleid naar de </w:t>
      </w:r>
      <w:r w:rsidR="006D5EB6">
        <w:t>onafhankelijke kiesrechtinstantie</w:t>
      </w:r>
      <w:r w:rsidRPr="001F0CF0" w:rsidR="00A65D6D">
        <w:t>.</w:t>
      </w:r>
      <w:r w:rsidRPr="001F0CF0" w:rsidR="00FA32B9">
        <w:t xml:space="preserve"> </w:t>
      </w:r>
      <w:r w:rsidRPr="001F0CF0" w:rsidR="00A65D6D">
        <w:t>Nadat d</w:t>
      </w:r>
      <w:r w:rsidRPr="001F0CF0" w:rsidR="005038DE">
        <w:t xml:space="preserve">e </w:t>
      </w:r>
      <w:r w:rsidR="006D5EB6">
        <w:t>onafhankelijke kiesrechtinstantie</w:t>
      </w:r>
      <w:r w:rsidRPr="001F0CF0" w:rsidR="006D5EB6">
        <w:t xml:space="preserve"> </w:t>
      </w:r>
      <w:r w:rsidRPr="001F0CF0" w:rsidR="00A65D6D">
        <w:t xml:space="preserve">de binnengekomen meldingen heeft onderzocht, </w:t>
      </w:r>
      <w:r w:rsidRPr="001F0CF0" w:rsidR="005038DE">
        <w:t xml:space="preserve">maakt </w:t>
      </w:r>
      <w:r w:rsidR="00E74448">
        <w:t>zij</w:t>
      </w:r>
      <w:r w:rsidRPr="001F0CF0" w:rsidR="00A65D6D">
        <w:t xml:space="preserve"> </w:t>
      </w:r>
      <w:r w:rsidRPr="001F0CF0" w:rsidR="005038DE">
        <w:t xml:space="preserve">alle meldingen openbaar en </w:t>
      </w:r>
      <w:r w:rsidRPr="001F0CF0" w:rsidR="00C32EBF">
        <w:t xml:space="preserve">voorziet </w:t>
      </w:r>
      <w:r>
        <w:t>deze</w:t>
      </w:r>
      <w:r w:rsidRPr="001F0CF0" w:rsidR="00C32EBF">
        <w:t xml:space="preserve"> van </w:t>
      </w:r>
      <w:r w:rsidRPr="001F0CF0" w:rsidR="00FD096F">
        <w:t>een</w:t>
      </w:r>
      <w:r w:rsidRPr="001F0CF0" w:rsidR="00C32EBF">
        <w:t xml:space="preserve"> afdoende gemotiveerde beoordeling</w:t>
      </w:r>
      <w:r w:rsidRPr="001F0CF0" w:rsidR="005038DE">
        <w:t>.</w:t>
      </w:r>
      <w:r w:rsidRPr="001F0CF0" w:rsidR="002C0E71">
        <w:t xml:space="preserve"> </w:t>
      </w:r>
    </w:p>
    <w:p w:rsidR="00C354B2" w:rsidP="00305B95" w14:paraId="7A7C064B" w14:textId="77777777"/>
    <w:p w:rsidR="00F8070F" w:rsidP="00305B95" w14:paraId="030A617D" w14:textId="77777777">
      <w:r>
        <w:t xml:space="preserve">Uit het voorgaande volgt dat er twee </w:t>
      </w:r>
      <w:r w:rsidR="00656031">
        <w:t xml:space="preserve">stromen </w:t>
      </w:r>
      <w:r>
        <w:t xml:space="preserve">ontstaan </w:t>
      </w:r>
      <w:r w:rsidR="00656031">
        <w:t>voor burgers om meldingen te doen</w:t>
      </w:r>
      <w:r>
        <w:t>:</w:t>
      </w:r>
    </w:p>
    <w:p w:rsidR="00F8070F" w:rsidP="00305B95" w14:paraId="404A9DCD" w14:textId="77777777">
      <w:pPr>
        <w:pStyle w:val="ListParagraph"/>
        <w:numPr>
          <w:ilvl w:val="1"/>
          <w:numId w:val="13"/>
        </w:numPr>
      </w:pPr>
      <w:r>
        <w:t xml:space="preserve">Het bestaande proces om bij het centraal stembureau melding te maken van (vermeende) telfouten. Dit blijft ongewijzigd. </w:t>
      </w:r>
    </w:p>
    <w:p w:rsidR="00E43FAF" w:rsidP="00305B95" w14:paraId="09948D75" w14:textId="77777777">
      <w:pPr>
        <w:pStyle w:val="ListParagraph"/>
        <w:numPr>
          <w:ilvl w:val="1"/>
          <w:numId w:val="13"/>
        </w:numPr>
      </w:pPr>
      <w:r>
        <w:t xml:space="preserve">Het nieuwe proces om bij de onafhankelijke kiesrechtinstantie melding te kunnen maken </w:t>
      </w:r>
      <w:r w:rsidRPr="00A05BFB">
        <w:t xml:space="preserve">van (vermeende) onregelmatigheden en </w:t>
      </w:r>
      <w:r>
        <w:t>inzicht te krijgen in de beoordeling daarvan.</w:t>
      </w:r>
    </w:p>
    <w:p w:rsidR="00E43FAF" w:rsidP="00C0062F" w14:paraId="23036CAA" w14:textId="77777777"/>
    <w:p w:rsidRPr="003775CF" w:rsidR="001030C8" w:rsidP="007C2D29" w14:paraId="556C8136" w14:textId="77777777">
      <w:pPr>
        <w:pStyle w:val="ListParagraph"/>
        <w:spacing w:line="276" w:lineRule="auto"/>
        <w:outlineLvl w:val="3"/>
        <w:rPr>
          <w:i/>
          <w:iCs/>
        </w:rPr>
      </w:pPr>
      <w:bookmarkStart w:name="_Toc193820849" w:id="26"/>
      <w:bookmarkStart w:name="_Toc193891811" w:id="27"/>
      <w:r w:rsidRPr="003775CF">
        <w:rPr>
          <w:i/>
          <w:iCs/>
        </w:rPr>
        <w:t>3.2.3</w:t>
      </w:r>
      <w:r w:rsidRPr="003775CF">
        <w:rPr>
          <w:i/>
          <w:iCs/>
        </w:rPr>
        <w:tab/>
      </w:r>
      <w:r w:rsidRPr="003775CF" w:rsidR="00536AFE">
        <w:rPr>
          <w:i/>
          <w:iCs/>
        </w:rPr>
        <w:t>Samenhang met wijzigingen in de Kiesraad</w:t>
      </w:r>
      <w:bookmarkEnd w:id="26"/>
      <w:bookmarkEnd w:id="27"/>
    </w:p>
    <w:p w:rsidR="008808D1" w:rsidP="00536AFE" w14:paraId="3EA5CB16" w14:textId="77777777">
      <w:r>
        <w:t xml:space="preserve">Zoals gezegd </w:t>
      </w:r>
      <w:r w:rsidR="00536AFE">
        <w:t>vormt</w:t>
      </w:r>
      <w:r>
        <w:t xml:space="preserve"> de taak om (vermeende) onregelmatigheden te beoordelen in feite</w:t>
      </w:r>
      <w:r w:rsidR="00536AFE">
        <w:t xml:space="preserve"> een aanvulling </w:t>
      </w:r>
      <w:r>
        <w:t xml:space="preserve">op de taak die </w:t>
      </w:r>
      <w:r w:rsidR="00EF7A28">
        <w:t>de Wet</w:t>
      </w:r>
      <w:r w:rsidR="00536AFE">
        <w:t xml:space="preserve"> Kwaliteitsbevordering</w:t>
      </w:r>
      <w:r>
        <w:t xml:space="preserve"> bij de Kiesraad belegt om te rapporteren over</w:t>
      </w:r>
      <w:r w:rsidRPr="008F1076" w:rsidR="00536AFE">
        <w:t xml:space="preserve"> geconstateerde onregelmatigheden en</w:t>
      </w:r>
      <w:r w:rsidR="00536AFE">
        <w:t xml:space="preserve">, </w:t>
      </w:r>
      <w:r w:rsidRPr="008F1076" w:rsidR="00536AFE">
        <w:t>indien daartoe aanleiding is</w:t>
      </w:r>
      <w:r w:rsidR="00536AFE">
        <w:t>,</w:t>
      </w:r>
      <w:r w:rsidRPr="008F1076" w:rsidR="00536AFE">
        <w:t xml:space="preserve"> het </w:t>
      </w:r>
      <w:r w:rsidR="00536AFE">
        <w:t xml:space="preserve">adviseren aan een </w:t>
      </w:r>
      <w:r w:rsidRPr="008F1076" w:rsidR="00536AFE">
        <w:t xml:space="preserve">vertegenwoordigend orgaan </w:t>
      </w:r>
      <w:r w:rsidR="00536AFE">
        <w:t>om tot een herstemming over te gaan</w:t>
      </w:r>
      <w:r w:rsidRPr="008F1076" w:rsidR="00536AFE">
        <w:t>.</w:t>
      </w:r>
      <w:r w:rsidR="00536AFE">
        <w:t xml:space="preserve"> </w:t>
      </w:r>
      <w:r>
        <w:t xml:space="preserve">De meldingen die de onafhankelijke kiesrechtinstantie heeft onderzocht en voorzien van </w:t>
      </w:r>
      <w:r w:rsidR="001B2D81">
        <w:t>een</w:t>
      </w:r>
      <w:r w:rsidR="00E50506">
        <w:t xml:space="preserve"> </w:t>
      </w:r>
      <w:r>
        <w:t>gemotiveerde beoordeling openbaar heeft gemaakt, kunnen immers door de Kiesraad gebruikt worden en dienen als input om het advies op te baseren.</w:t>
      </w:r>
    </w:p>
    <w:p w:rsidR="008808D1" w:rsidP="00536AFE" w14:paraId="796CD5FE" w14:textId="77777777"/>
    <w:p w:rsidR="00DC175E" w:rsidP="00C0062F" w14:paraId="5F5A6AA8" w14:textId="77777777">
      <w:r>
        <w:t>Ik voer het gesprek met de Kiesraad of, en zo ja hoe, de rol van onafhankelijke kiesrechtinstantie in het kader van geschilbeslechting bij de Kiesraad kan komen te liggen</w:t>
      </w:r>
      <w:r w:rsidRPr="00FC1263">
        <w:t>.</w:t>
      </w:r>
      <w:r w:rsidR="001030C8">
        <w:t xml:space="preserve"> Het kabinet acht een rol voor de Kiesraad hierin voorstelbaar, gelet op de daar al aanwezige kiesrechtexpertise en de op dit moment al voorziene uitbreiding van taken die samenhangen met geschilbeslechting. In de vervolgfase zal ik hierover het gesprek met de Kiesraad verder voeren.</w:t>
      </w:r>
      <w:r w:rsidRPr="00C74973" w:rsidR="001030C8">
        <w:t xml:space="preserve"> </w:t>
      </w:r>
    </w:p>
    <w:p w:rsidR="00111B71" w:rsidP="00C0062F" w14:paraId="2ABA92C3" w14:textId="77777777"/>
    <w:p w:rsidRPr="0058264C" w:rsidR="008124BD" w:rsidP="008124BD" w14:paraId="529D139D" w14:textId="77777777">
      <w:pPr>
        <w:pStyle w:val="ListParagraph"/>
        <w:numPr>
          <w:ilvl w:val="1"/>
          <w:numId w:val="18"/>
        </w:numPr>
        <w:outlineLvl w:val="1"/>
        <w:rPr>
          <w:b/>
          <w:bCs/>
        </w:rPr>
      </w:pPr>
      <w:bookmarkStart w:name="_Toc193820850" w:id="28"/>
      <w:bookmarkStart w:name="_Toc193891812" w:id="29"/>
      <w:r w:rsidRPr="003E539B">
        <w:rPr>
          <w:b/>
          <w:bCs/>
        </w:rPr>
        <w:t>Uitslagvaststelling</w:t>
      </w:r>
      <w:r w:rsidRPr="003E539B" w:rsidR="00AE39E0">
        <w:rPr>
          <w:b/>
          <w:bCs/>
        </w:rPr>
        <w:t xml:space="preserve"> door het vertegenwoordigend orgaan</w:t>
      </w:r>
      <w:bookmarkEnd w:id="28"/>
      <w:bookmarkEnd w:id="29"/>
    </w:p>
    <w:p w:rsidR="00A001A7" w:rsidP="00C0062F" w14:paraId="6F064087" w14:textId="77777777">
      <w:r>
        <w:t>De volgende fase</w:t>
      </w:r>
      <w:r w:rsidR="00042CBE">
        <w:t xml:space="preserve"> in het verkiezingsproces</w:t>
      </w:r>
      <w:r>
        <w:t xml:space="preserve"> is de beoordeling van het verloop van de verkiezingen en eventuele gerezen geschillen door </w:t>
      </w:r>
      <w:r w:rsidR="002E0384">
        <w:t>het vertegenwoordigend orgaan. In de praktijk wordt deze beoordeling uitgevoerd door enkele leden uit het orgaan in oude samenstelling: de C</w:t>
      </w:r>
      <w:r>
        <w:t xml:space="preserve">ommissie voor het </w:t>
      </w:r>
      <w:r w:rsidR="002E0384">
        <w:t>O</w:t>
      </w:r>
      <w:r>
        <w:t xml:space="preserve">nderzoek van de </w:t>
      </w:r>
      <w:r w:rsidR="002E0384">
        <w:t>G</w:t>
      </w:r>
      <w:r>
        <w:t xml:space="preserve">eloofsbrieven (hierna: de geloofsbrievencommissie). </w:t>
      </w:r>
      <w:r w:rsidR="00F54D02">
        <w:t xml:space="preserve">De geloofsbrievencommissie </w:t>
      </w:r>
      <w:r w:rsidR="00F54D02">
        <w:t>is hierbij gebonden aan de</w:t>
      </w:r>
      <w:r w:rsidRPr="00F54D02" w:rsidR="00F54D02">
        <w:t xml:space="preserve"> criteria die worden opgesteld ten behoeve van de beoordeling van geschillen (zie hieronder bij ‘Beoordeling geschillen’). </w:t>
      </w:r>
      <w:r w:rsidR="00DE3BB3">
        <w:t xml:space="preserve">Bij deze beoordeling </w:t>
      </w:r>
      <w:r w:rsidR="007E45B5">
        <w:t>neemt</w:t>
      </w:r>
      <w:r w:rsidR="00DE3BB3">
        <w:t xml:space="preserve"> de geloofsbrievencommissie </w:t>
      </w:r>
      <w:r w:rsidR="007E45B5">
        <w:t xml:space="preserve">kennis van </w:t>
      </w:r>
      <w:r w:rsidR="00DE3BB3">
        <w:t xml:space="preserve">de </w:t>
      </w:r>
      <w:r w:rsidRPr="00DE3BB3" w:rsidR="00DE3BB3">
        <w:t>processen-verbaal van de stembureaus, de gemeentelijke stembureaus en het centraal stembureau</w:t>
      </w:r>
      <w:r w:rsidR="007E45B5">
        <w:t xml:space="preserve"> en de daarin vermelde bezwaren. </w:t>
      </w:r>
    </w:p>
    <w:p w:rsidR="00A001A7" w:rsidP="00C0062F" w14:paraId="5DE67AB8" w14:textId="77777777"/>
    <w:p w:rsidR="00DF4551" w:rsidP="00C0062F" w14:paraId="6DFED276" w14:textId="77777777">
      <w:r>
        <w:t xml:space="preserve">In het nieuwe proces betrekt de geloofsbrievencommissie hierbij ook de beoordeling van de </w:t>
      </w:r>
      <w:r w:rsidR="002F039E">
        <w:t xml:space="preserve">onafhankelijke kiesrechtinstantie </w:t>
      </w:r>
      <w:r>
        <w:t>over de gedane meldingen.</w:t>
      </w:r>
      <w:r w:rsidR="005904EF">
        <w:t xml:space="preserve"> Daarnaast kan </w:t>
      </w:r>
      <w:r w:rsidR="00EE1F81">
        <w:t>een geschil kenbaar</w:t>
      </w:r>
      <w:r w:rsidR="005904EF">
        <w:t xml:space="preserve"> worden </w:t>
      </w:r>
      <w:r w:rsidR="00EE1F81">
        <w:t>gemaakt</w:t>
      </w:r>
      <w:r w:rsidR="005904EF">
        <w:t xml:space="preserve"> bij de geloofsbrievencommissie. In feite bestaat deze mogelijkheid nu ook al, maar dit proces is niet uitgewerkt of </w:t>
      </w:r>
      <w:r w:rsidR="00EE1F81">
        <w:t xml:space="preserve">ergens </w:t>
      </w:r>
      <w:r w:rsidR="005904EF">
        <w:t xml:space="preserve">vastgelegd, waardoor niet inzichtelijk is op welke wijze, wanneer en door wie </w:t>
      </w:r>
      <w:r w:rsidR="00EE1F81">
        <w:t>dit mogelijk is</w:t>
      </w:r>
      <w:r w:rsidR="005904EF">
        <w:t xml:space="preserve">. Het kabinet </w:t>
      </w:r>
      <w:r w:rsidR="00E70606">
        <w:t>is van plan hierover in overleg te treden met</w:t>
      </w:r>
      <w:r w:rsidR="002E1C79">
        <w:t xml:space="preserve"> uw Kamer, de Eerste Kamer en</w:t>
      </w:r>
      <w:r w:rsidR="00E70606">
        <w:t xml:space="preserve"> de </w:t>
      </w:r>
      <w:r w:rsidR="002E1C79">
        <w:t>(</w:t>
      </w:r>
      <w:r w:rsidR="005038B1">
        <w:t>koepelorganisaties van</w:t>
      </w:r>
      <w:r w:rsidR="002E1C79">
        <w:t>)</w:t>
      </w:r>
      <w:r w:rsidR="005038B1">
        <w:t xml:space="preserve"> decentrale overheden om te bespreken of het wenselijk is hiervoor een procedure in te richten</w:t>
      </w:r>
      <w:r w:rsidR="00E70606">
        <w:t>.</w:t>
      </w:r>
      <w:r w:rsidR="00BB0F28">
        <w:t xml:space="preserve"> </w:t>
      </w:r>
    </w:p>
    <w:p w:rsidR="00F8070F" w:rsidP="00C0062F" w14:paraId="63DCEF1A" w14:textId="77777777"/>
    <w:p w:rsidR="008124BD" w:rsidP="007975CC" w14:paraId="2DCDAA90" w14:textId="77777777">
      <w:r>
        <w:t xml:space="preserve">De </w:t>
      </w:r>
      <w:r w:rsidR="0095756E">
        <w:t xml:space="preserve">geloofsbrievencommissie bereidt het besluit voor </w:t>
      </w:r>
      <w:r w:rsidR="00B8668F">
        <w:t xml:space="preserve">van het vertegenwoordigend orgaan </w:t>
      </w:r>
      <w:r w:rsidR="0095756E">
        <w:t>over de geldigheid van de verkiezing</w:t>
      </w:r>
      <w:r w:rsidR="00DC4D08">
        <w:t xml:space="preserve"> en de toelating van de nieuwe leden</w:t>
      </w:r>
      <w:r w:rsidR="0095756E">
        <w:t>.</w:t>
      </w:r>
      <w:r w:rsidR="00DC4D08">
        <w:t xml:space="preserve"> In de praktijk volgt het vertegenwoordigend orgaan dit, maar formeel is het er niet aan gebonden. Met het besluit van het vertegenwoordigend orgaan</w:t>
      </w:r>
      <w:r w:rsidR="0095756E">
        <w:t xml:space="preserve"> komt het proces aan bij de </w:t>
      </w:r>
      <w:r w:rsidR="00F8070F">
        <w:t xml:space="preserve">volgende </w:t>
      </w:r>
      <w:r w:rsidR="0095756E">
        <w:t>fase van geschilbeslechting</w:t>
      </w:r>
      <w:r w:rsidR="009E3B66">
        <w:t>,</w:t>
      </w:r>
      <w:r w:rsidR="00007DBF">
        <w:t xml:space="preserve"> waar deze brief mee begon</w:t>
      </w:r>
      <w:r w:rsidR="0095756E">
        <w:t xml:space="preserve">: het instellen van beroep bij de Afdeling bestuursrechtspraak tegen </w:t>
      </w:r>
      <w:r w:rsidR="00DC4D08">
        <w:t xml:space="preserve">een </w:t>
      </w:r>
      <w:r w:rsidR="0095756E">
        <w:t xml:space="preserve">besluit van het vertegenwoordigend orgaan. </w:t>
      </w:r>
    </w:p>
    <w:p w:rsidR="008124BD" w:rsidP="007975CC" w14:paraId="4615224A" w14:textId="77777777"/>
    <w:p w:rsidR="007D0369" w:rsidP="007975CC" w14:paraId="33D151C4" w14:textId="77777777">
      <w:r>
        <w:t xml:space="preserve">Het oordeel van een kandidaat </w:t>
      </w:r>
      <w:r w:rsidR="00AF765B">
        <w:t xml:space="preserve">of politieke </w:t>
      </w:r>
      <w:r w:rsidR="009F0BF7">
        <w:t>groepering</w:t>
      </w:r>
      <w:r w:rsidRPr="00A201DD" w:rsidR="009F0BF7">
        <w:t xml:space="preserve"> </w:t>
      </w:r>
      <w:r>
        <w:t>dat er reden is om beroep in te stellen</w:t>
      </w:r>
      <w:r w:rsidR="00AF765B">
        <w:t>,</w:t>
      </w:r>
      <w:r>
        <w:t xml:space="preserve"> kan hij baseren op een eigen bevinding of op </w:t>
      </w:r>
      <w:r w:rsidR="00566A93">
        <w:t>basis van de openbare informatie over de bezwaren en meldingen die zijn binnengekomen</w:t>
      </w:r>
      <w:r>
        <w:t xml:space="preserve"> </w:t>
      </w:r>
      <w:r w:rsidR="00566A93">
        <w:t xml:space="preserve">bij de stembureaus, gemeentelijk stembureaus, het centraal stembureau, de </w:t>
      </w:r>
      <w:r w:rsidR="002F039E">
        <w:t xml:space="preserve">onafhankelijke kiesrechtinstantie </w:t>
      </w:r>
      <w:r w:rsidR="00566A93">
        <w:t>en de geloofsbrievencommissie, en de wijze waarop deze zijn beoordeeld.</w:t>
      </w:r>
      <w:r w:rsidR="00DC4D08">
        <w:t xml:space="preserve"> </w:t>
      </w:r>
    </w:p>
    <w:p w:rsidR="00F8070F" w:rsidP="007975CC" w14:paraId="003AA0BA" w14:textId="77777777"/>
    <w:p w:rsidRPr="0058264C" w:rsidR="00455A37" w:rsidP="003E539B" w14:paraId="6434AED9" w14:textId="77777777">
      <w:pPr>
        <w:pStyle w:val="ListParagraph"/>
        <w:numPr>
          <w:ilvl w:val="1"/>
          <w:numId w:val="18"/>
        </w:numPr>
        <w:outlineLvl w:val="1"/>
        <w:rPr>
          <w:b/>
          <w:bCs/>
        </w:rPr>
      </w:pPr>
      <w:bookmarkStart w:name="_Toc193820851" w:id="30"/>
      <w:bookmarkStart w:name="_Toc193891813" w:id="31"/>
      <w:r>
        <w:rPr>
          <w:b/>
          <w:bCs/>
        </w:rPr>
        <w:t>Toelating leden</w:t>
      </w:r>
      <w:bookmarkEnd w:id="30"/>
      <w:bookmarkEnd w:id="31"/>
    </w:p>
    <w:p w:rsidR="00F76D59" w:rsidP="007975CC" w14:paraId="5424AC46" w14:textId="77777777">
      <w:r>
        <w:t>In het voorlichtingsverzoek heeft het kabinet de Afdeling advisering gevraagd of het denkbaar is dat nieuwe leden</w:t>
      </w:r>
      <w:r w:rsidR="00F8070F">
        <w:t xml:space="preserve"> van het vertegenwoordigend orgaan</w:t>
      </w:r>
      <w:r>
        <w:t xml:space="preserve"> onder voorbehoud worden toegelaten, in afwachting van de afronding van eventuele beroepsprocedures. De Afdeling advisering heeft aangegeven dit slecht denkbaar te achten, gelet op de onwenselijke onzekerheid die hierdoor kan ontstaan over het gezag en het functioneren van een volksvertegenwoordiger. </w:t>
      </w:r>
      <w:r w:rsidR="001C0B92">
        <w:t xml:space="preserve">Dit kan gevolgen hebben voor de legitimiteit van de volksvertegenwoordiging. </w:t>
      </w:r>
      <w:r>
        <w:t xml:space="preserve">Het kabinet volgt </w:t>
      </w:r>
      <w:r w:rsidR="001C0B92">
        <w:t xml:space="preserve">daarom </w:t>
      </w:r>
      <w:r>
        <w:t>dit oordeel van de Afdeling advisering</w:t>
      </w:r>
      <w:r w:rsidR="00B82308">
        <w:t>, en</w:t>
      </w:r>
      <w:r w:rsidR="00696ED9">
        <w:t xml:space="preserve"> </w:t>
      </w:r>
      <w:r>
        <w:t xml:space="preserve">gaat </w:t>
      </w:r>
      <w:r w:rsidR="00F54D02">
        <w:t xml:space="preserve">er </w:t>
      </w:r>
      <w:r>
        <w:t>derhalve bij de inrichting van het nieuwe proces van uit dat de nieuwe leden pas tot het vertegenwoordigend orgaan worden toegelaten nadat eventuele beroepsprocedures zijn afgerond.</w:t>
      </w:r>
    </w:p>
    <w:p w:rsidR="005242F7" w:rsidP="007975CC" w14:paraId="1DF1E1CF" w14:textId="77777777"/>
    <w:p w:rsidRPr="0058264C" w:rsidR="00C374A6" w:rsidP="0058264C" w14:paraId="637076A6" w14:textId="77777777">
      <w:pPr>
        <w:pStyle w:val="ListParagraph"/>
        <w:ind w:left="0" w:firstLine="431"/>
        <w:outlineLvl w:val="2"/>
        <w:rPr>
          <w:b/>
          <w:bCs/>
        </w:rPr>
      </w:pPr>
      <w:bookmarkStart w:name="_Toc193820853" w:id="32"/>
      <w:bookmarkStart w:name="_Toc193891815" w:id="33"/>
      <w:r w:rsidRPr="00305B95">
        <w:rPr>
          <w:b/>
          <w:bCs/>
        </w:rPr>
        <w:t xml:space="preserve">3.5 </w:t>
      </w:r>
      <w:r w:rsidRPr="00305B95" w:rsidR="00AE39E0">
        <w:rPr>
          <w:b/>
          <w:bCs/>
        </w:rPr>
        <w:t>Termijn beroepsprocedures</w:t>
      </w:r>
      <w:bookmarkEnd w:id="32"/>
      <w:bookmarkEnd w:id="33"/>
    </w:p>
    <w:p w:rsidR="006C5B91" w:rsidP="007975CC" w14:paraId="6C849DD6" w14:textId="77777777">
      <w:r>
        <w:t>Een ingewikkeld vraagstuk is welke termijn geldt voor het instellen van beroep en welke termijn de Afdeling bestuursrechtspraak hanteert voor de behandeling hiervan.</w:t>
      </w:r>
      <w:r w:rsidR="00D64DAA">
        <w:t xml:space="preserve"> Hierbij spelen twee belangen</w:t>
      </w:r>
      <w:r w:rsidR="00AC5866">
        <w:t>, die tot op zekere hoogte tegenstrijdig zijn</w:t>
      </w:r>
      <w:r w:rsidR="00B82308">
        <w:t>.</w:t>
      </w:r>
      <w:r w:rsidR="00D64DAA">
        <w:t xml:space="preserve"> </w:t>
      </w:r>
      <w:r w:rsidR="00B82308">
        <w:t>E</w:t>
      </w:r>
      <w:r w:rsidR="00D64DAA">
        <w:t xml:space="preserve">nerzijds </w:t>
      </w:r>
      <w:r w:rsidR="001C0B92">
        <w:t xml:space="preserve">moet </w:t>
      </w:r>
      <w:r w:rsidR="00332B0E">
        <w:t xml:space="preserve">er voldoende tijd </w:t>
      </w:r>
      <w:r w:rsidR="001C0B92">
        <w:t>zijn</w:t>
      </w:r>
      <w:r w:rsidR="003775CF">
        <w:t xml:space="preserve"> </w:t>
      </w:r>
      <w:r w:rsidR="00332B0E">
        <w:t xml:space="preserve">voor de rechter om eventuele </w:t>
      </w:r>
      <w:r w:rsidR="00332B0E">
        <w:t>beroepsprocedures zorgvuldig te behandelen</w:t>
      </w:r>
      <w:r w:rsidR="00B82308">
        <w:t>. Een te gehaaste en daarmee in potentie onzorgvuldig</w:t>
      </w:r>
      <w:r w:rsidR="001F2409">
        <w:t>e</w:t>
      </w:r>
      <w:r w:rsidR="00B82308">
        <w:t xml:space="preserve"> behandeling van een beroep kan immers twijfels oproepen. A</w:t>
      </w:r>
      <w:r w:rsidR="00332B0E">
        <w:t xml:space="preserve">nderzijds </w:t>
      </w:r>
      <w:r w:rsidR="00F864DB">
        <w:t xml:space="preserve">is het voor de democratische legitimiteit en daarmee het vertrouwen in het verkiezingsproces belangrijk </w:t>
      </w:r>
      <w:r w:rsidR="00D64DAA">
        <w:t>dat de verkiezingsuitslag zo snel mogelijk wordt vertaald in de samenstelling van het vertegenwoordigend orgaan (en de nieuwgekozen leden van een orgaan dus zo snel mogelijk starten)</w:t>
      </w:r>
      <w:r w:rsidR="0032332F">
        <w:t>.</w:t>
      </w:r>
      <w:r w:rsidR="00B82308">
        <w:t xml:space="preserve"> </w:t>
      </w:r>
    </w:p>
    <w:p w:rsidR="006C5B91" w:rsidP="007975CC" w14:paraId="36A80B49" w14:textId="77777777"/>
    <w:p w:rsidR="006C5B91" w:rsidP="007975CC" w14:paraId="67C5C2C3" w14:textId="77777777">
      <w:r>
        <w:t xml:space="preserve">In </w:t>
      </w:r>
      <w:r w:rsidR="00E36AF3">
        <w:t xml:space="preserve">haar </w:t>
      </w:r>
      <w:r>
        <w:t xml:space="preserve">voorlichting wijst de Afdeling advisering op de bestaande korte beroepsprocedures uit de Kieswet, met beroepstermijnen variërend van vier tot zes dagen en in veel gevallen uitspraak binnen enkele dagen. Daarnaast wordt aangehaald dat bij de beroepsmogelijkheid die in het verleden bestond tegen het besluit van het vertegenwoordigend orgaan op decentraal niveau een beroepstermijn gold van zes dagen en dat uiterlijk de twaalfde dag na indiening een uitspraak volgde. Kanttekening hierbij is dat de periode tussen de dag van de stemming en de eerste samenkomst van het nieuwe orgaan destijds drie weken betrof en dat dit nu twee weken is. </w:t>
      </w:r>
    </w:p>
    <w:p w:rsidR="006C5B91" w:rsidP="007975CC" w14:paraId="28CDAB7A" w14:textId="77777777"/>
    <w:p w:rsidR="00444FD8" w:rsidP="007975CC" w14:paraId="75382BBA" w14:textId="77777777">
      <w:r>
        <w:t xml:space="preserve">Voor de Tweede en Eerste Kamer is een punt van aandacht bovendien de in artikel 64, tweede lid, van de Grondwet vervatte termijn van drie maanden tussen het besluit tot ontbinding en de eerste samenkomst van de nieuwgekozen </w:t>
      </w:r>
      <w:r w:rsidR="00B967A5">
        <w:t>K</w:t>
      </w:r>
      <w:r>
        <w:t xml:space="preserve">amer. De huidige wettelijke procedures om een verkiezing te </w:t>
      </w:r>
      <w:r w:rsidR="00212B66">
        <w:t>organiseren schuren nu al met de termijn van</w:t>
      </w:r>
      <w:r>
        <w:t xml:space="preserve"> drie maanden</w:t>
      </w:r>
      <w:r w:rsidR="00212B66">
        <w:t xml:space="preserve">, en </w:t>
      </w:r>
      <w:r w:rsidR="00841CBB">
        <w:t>het toevoegen van een beroepsprocedure</w:t>
      </w:r>
      <w:r w:rsidR="00C046ED">
        <w:t xml:space="preserve"> vergt dus ook dat de verhouding tussen de termijnen in het verkiezingsproces en deze grondwetsbepaling nader worden doordacht.</w:t>
      </w:r>
      <w:r w:rsidR="00C01974">
        <w:t xml:space="preserve"> </w:t>
      </w:r>
    </w:p>
    <w:p w:rsidR="004831F0" w:rsidP="007975CC" w14:paraId="06F2788F" w14:textId="77777777"/>
    <w:p w:rsidR="00B63359" w:rsidP="003E539B" w14:paraId="1F07AE57" w14:textId="77777777">
      <w:pPr>
        <w:pStyle w:val="ListParagraph"/>
        <w:numPr>
          <w:ilvl w:val="0"/>
          <w:numId w:val="18"/>
        </w:numPr>
        <w:outlineLvl w:val="0"/>
        <w:rPr>
          <w:b/>
          <w:bCs/>
        </w:rPr>
      </w:pPr>
      <w:bookmarkStart w:name="_Toc193820854" w:id="34"/>
      <w:bookmarkStart w:name="_Toc193891816" w:id="35"/>
      <w:r w:rsidRPr="003E539B">
        <w:rPr>
          <w:b/>
          <w:bCs/>
        </w:rPr>
        <w:t>Beoordeling geschillen</w:t>
      </w:r>
      <w:bookmarkEnd w:id="34"/>
      <w:bookmarkEnd w:id="35"/>
    </w:p>
    <w:p w:rsidR="00F928E6" w:rsidP="003E539B" w14:paraId="04B7EF6A" w14:textId="77777777">
      <w:pPr>
        <w:pStyle w:val="ListParagraph"/>
        <w:ind w:left="360"/>
        <w:rPr>
          <w:b/>
          <w:bCs/>
        </w:rPr>
      </w:pPr>
    </w:p>
    <w:p w:rsidRPr="003E539B" w:rsidR="00F54D02" w:rsidP="003E539B" w14:paraId="1F6864A4" w14:textId="77777777">
      <w:pPr>
        <w:pStyle w:val="ListParagraph"/>
        <w:numPr>
          <w:ilvl w:val="1"/>
          <w:numId w:val="18"/>
        </w:numPr>
        <w:outlineLvl w:val="1"/>
        <w:rPr>
          <w:b/>
          <w:bCs/>
        </w:rPr>
      </w:pPr>
      <w:bookmarkStart w:name="_Toc193820855" w:id="36"/>
      <w:bookmarkStart w:name="_Toc193891817" w:id="37"/>
      <w:r>
        <w:rPr>
          <w:b/>
          <w:bCs/>
        </w:rPr>
        <w:t xml:space="preserve">Belang van een </w:t>
      </w:r>
      <w:r w:rsidR="00C70EAE">
        <w:rPr>
          <w:b/>
          <w:bCs/>
        </w:rPr>
        <w:t>toetsingskader</w:t>
      </w:r>
      <w:bookmarkEnd w:id="36"/>
      <w:bookmarkEnd w:id="37"/>
    </w:p>
    <w:p w:rsidR="005E3D33" w:rsidP="00F54D02" w14:paraId="02E9A4B9" w14:textId="77777777">
      <w:r>
        <w:t xml:space="preserve">Een </w:t>
      </w:r>
      <w:r w:rsidR="0067431D">
        <w:t xml:space="preserve">belangrijk </w:t>
      </w:r>
      <w:r>
        <w:t>onderdeel van het nieuwe proces van geschilbeslechting is dat er duidelijke toetsingskaders en handvatten komen</w:t>
      </w:r>
      <w:r w:rsidR="00130FC3">
        <w:t xml:space="preserve">, aan de hand waarvan </w:t>
      </w:r>
      <w:r>
        <w:t xml:space="preserve">de instantie die de geschillen </w:t>
      </w:r>
      <w:r w:rsidR="00130FC3">
        <w:t>beslecht</w:t>
      </w:r>
      <w:r w:rsidR="00144B8B">
        <w:t xml:space="preserve"> tot een oordeel kan komen. </w:t>
      </w:r>
      <w:r w:rsidR="00725A72">
        <w:t xml:space="preserve">Het hebben van duidelijke toetsingskaders is om meerdere redenen wenselijk. Ten eerste draagt het inkaderen van de beoordelingsruimte van de toetsende instantie bij aan de rechtszekerheid, aangezien beter voorzienbaar is hoe de beoordeling uitpakt. Dit maakt het aandragen van argumenten makkelijker en de beoordeling beter controleerbaar. </w:t>
      </w:r>
      <w:r w:rsidR="001140F3">
        <w:t>Ten tweede</w:t>
      </w:r>
      <w:r w:rsidR="00725A72">
        <w:t xml:space="preserve"> is de beoordeling sneller en eenvoudiger te maken en </w:t>
      </w:r>
      <w:r w:rsidR="001140F3">
        <w:t xml:space="preserve">te </w:t>
      </w:r>
      <w:r w:rsidR="00725A72">
        <w:t>onderbouwen. Dit draagt bij aan de gewenste snelheid in het verkiezingsproces.</w:t>
      </w:r>
      <w:r w:rsidR="00946FEA">
        <w:t xml:space="preserve"> </w:t>
      </w:r>
      <w:r w:rsidR="001F2409">
        <w:t xml:space="preserve">Ten derde draagt het doordat het de balans tussen de staatsmachten versterkt bij aan het vergroten van de weerbaarheid van de democratische rechtsstaat. </w:t>
      </w:r>
    </w:p>
    <w:p w:rsidR="00C70EAE" w:rsidP="00F54D02" w14:paraId="58610913" w14:textId="77777777"/>
    <w:p w:rsidR="005E3D33" w:rsidP="003E539B" w14:paraId="1DA5FCC4" w14:textId="77777777">
      <w:pPr>
        <w:pStyle w:val="ListParagraph"/>
        <w:numPr>
          <w:ilvl w:val="1"/>
          <w:numId w:val="18"/>
        </w:numPr>
        <w:outlineLvl w:val="1"/>
      </w:pPr>
      <w:bookmarkStart w:name="_Toc193820856" w:id="38"/>
      <w:bookmarkStart w:name="_Toc193891818" w:id="39"/>
      <w:r>
        <w:rPr>
          <w:b/>
          <w:bCs/>
        </w:rPr>
        <w:t xml:space="preserve">Beoordeling van twee type </w:t>
      </w:r>
      <w:r w:rsidR="00C70EAE">
        <w:rPr>
          <w:b/>
          <w:bCs/>
        </w:rPr>
        <w:t>besluiten</w:t>
      </w:r>
      <w:bookmarkEnd w:id="38"/>
      <w:bookmarkEnd w:id="39"/>
    </w:p>
    <w:p w:rsidR="00755291" w:rsidP="00F54D02" w14:paraId="03DEB40A" w14:textId="77777777">
      <w:r>
        <w:t xml:space="preserve">Bij de uitslagvaststelling van een verkiezing door het vertegenwoordigend orgaan zijn </w:t>
      </w:r>
      <w:r w:rsidR="00D8424E">
        <w:t xml:space="preserve">er </w:t>
      </w:r>
      <w:r w:rsidR="00144B8B">
        <w:t>twee type besluiten die</w:t>
      </w:r>
      <w:r w:rsidR="005E3D33">
        <w:t xml:space="preserve"> beiden</w:t>
      </w:r>
      <w:r w:rsidR="00144B8B">
        <w:t xml:space="preserve"> kunnen worden aangevochten: </w:t>
      </w:r>
      <w:r w:rsidR="002376DA">
        <w:t xml:space="preserve">1) </w:t>
      </w:r>
      <w:r w:rsidR="00144B8B">
        <w:t xml:space="preserve">het besluit over de geldigheid van de verkiezing en </w:t>
      </w:r>
      <w:r w:rsidR="002376DA">
        <w:t xml:space="preserve">2) </w:t>
      </w:r>
      <w:r w:rsidR="00144B8B">
        <w:t xml:space="preserve">een individueel besluit over de toelating van een nieuw lid. </w:t>
      </w:r>
      <w:r w:rsidR="005E3D33">
        <w:t>Hierbij geldt uiteraard dat het besluit over de toelating inhoudelijk voortvloeit uit het besluit over de geldigheid en de op basis daarvan vastgestelde verkiezingsuitslag.</w:t>
      </w:r>
    </w:p>
    <w:p w:rsidR="00755291" w:rsidP="00F54D02" w14:paraId="11AD8607" w14:textId="77777777"/>
    <w:p w:rsidR="00755291" w:rsidP="00B63359" w14:paraId="48FB7C54" w14:textId="77777777">
      <w:r>
        <w:t xml:space="preserve">Waar het </w:t>
      </w:r>
      <w:r w:rsidR="005E3D33">
        <w:t xml:space="preserve">enkel </w:t>
      </w:r>
      <w:r>
        <w:t xml:space="preserve">gaat om een geschil over de toelating </w:t>
      </w:r>
      <w:r w:rsidR="005E3D33">
        <w:t xml:space="preserve">– en de geldigheid </w:t>
      </w:r>
      <w:r w:rsidR="00A22793">
        <w:t xml:space="preserve">van de verkiezing </w:t>
      </w:r>
      <w:r w:rsidR="00CC0955">
        <w:t>als zodanig</w:t>
      </w:r>
      <w:r w:rsidR="005E3D33">
        <w:t xml:space="preserve"> niet ter discussie staat – </w:t>
      </w:r>
      <w:r w:rsidR="00725A72">
        <w:t>zal</w:t>
      </w:r>
      <w:r w:rsidR="005E3D33">
        <w:t xml:space="preserve"> </w:t>
      </w:r>
      <w:r w:rsidR="00725A72">
        <w:t>de beoordeling</w:t>
      </w:r>
      <w:r>
        <w:t xml:space="preserve"> relatief overzichtelijk</w:t>
      </w:r>
      <w:r w:rsidR="00725A72">
        <w:t xml:space="preserve"> zijn en zien</w:t>
      </w:r>
      <w:r>
        <w:t xml:space="preserve"> op de vraag of er al dan niet wordt voldaan aan de (al bestaande) wettelijke criteria voor </w:t>
      </w:r>
      <w:r w:rsidR="00CC0955">
        <w:t xml:space="preserve">het </w:t>
      </w:r>
      <w:r>
        <w:t>lidmaatschap van het betreffende orgaan.</w:t>
      </w:r>
      <w:r>
        <w:t xml:space="preserve"> </w:t>
      </w:r>
      <w:r>
        <w:t xml:space="preserve">Dit ligt ingewikkelder </w:t>
      </w:r>
      <w:r w:rsidR="001140F3">
        <w:t>voor de</w:t>
      </w:r>
      <w:r w:rsidR="00725A72">
        <w:t xml:space="preserve"> geschillen over de geldigheid van de verkiezing. Hier ligt namelijk ook de vraag voor of</w:t>
      </w:r>
      <w:r w:rsidR="00130FC3">
        <w:t xml:space="preserve"> een (gedeeltelijke) hertelling of herstemming aangewezen is</w:t>
      </w:r>
      <w:r w:rsidR="00725A72">
        <w:t>.</w:t>
      </w:r>
      <w:r w:rsidR="005E3D33">
        <w:t xml:space="preserve"> </w:t>
      </w:r>
      <w:r w:rsidR="002376DA">
        <w:t xml:space="preserve">Ook merk ik op dat </w:t>
      </w:r>
      <w:r w:rsidR="00D8424E">
        <w:t>zich</w:t>
      </w:r>
      <w:r w:rsidR="002376DA">
        <w:t xml:space="preserve"> </w:t>
      </w:r>
      <w:r w:rsidR="00D8424E">
        <w:t xml:space="preserve">in Nederland </w:t>
      </w:r>
      <w:r w:rsidR="002376DA">
        <w:t xml:space="preserve">geen recente casuïstiek op dit gebied </w:t>
      </w:r>
      <w:r w:rsidR="006F7464">
        <w:t xml:space="preserve">heeft voorgedaan </w:t>
      </w:r>
      <w:r w:rsidR="00D8424E">
        <w:t>die</w:t>
      </w:r>
      <w:r w:rsidR="002376DA">
        <w:t xml:space="preserve"> gebruikt kan worden voor de inrichting van dit </w:t>
      </w:r>
      <w:r w:rsidR="006F7464">
        <w:t>vraagstuk</w:t>
      </w:r>
      <w:r w:rsidR="002376DA">
        <w:t>.</w:t>
      </w:r>
    </w:p>
    <w:p w:rsidR="00925E63" w:rsidP="00B63359" w14:paraId="72DD8EC9" w14:textId="77777777"/>
    <w:p w:rsidR="0058264C" w:rsidP="0058264C" w14:paraId="38BBA0EB" w14:textId="77777777">
      <w:pPr>
        <w:pStyle w:val="ListParagraph"/>
        <w:numPr>
          <w:ilvl w:val="1"/>
          <w:numId w:val="18"/>
        </w:numPr>
        <w:outlineLvl w:val="1"/>
      </w:pPr>
      <w:bookmarkStart w:name="_Toc193820857" w:id="40"/>
      <w:bookmarkStart w:name="_Toc193891819" w:id="41"/>
      <w:r>
        <w:rPr>
          <w:b/>
          <w:bCs/>
        </w:rPr>
        <w:t>Vormgeving toetsingskader</w:t>
      </w:r>
      <w:bookmarkEnd w:id="40"/>
      <w:bookmarkEnd w:id="41"/>
    </w:p>
    <w:p w:rsidR="00925E63" w:rsidP="00B63359" w14:paraId="1119206E" w14:textId="77777777">
      <w:r>
        <w:t>Bij</w:t>
      </w:r>
      <w:r w:rsidR="005E3D33">
        <w:t xml:space="preserve"> het maken van </w:t>
      </w:r>
      <w:r w:rsidR="00755291">
        <w:t xml:space="preserve">de afweging </w:t>
      </w:r>
      <w:r>
        <w:t>over het al dan niet herstemmen of hertellen</w:t>
      </w:r>
      <w:r w:rsidR="005E3D33">
        <w:t xml:space="preserve"> </w:t>
      </w:r>
      <w:r>
        <w:t>zal het</w:t>
      </w:r>
      <w:r w:rsidR="005E3D33">
        <w:t xml:space="preserve"> toetsingskader</w:t>
      </w:r>
      <w:r>
        <w:t xml:space="preserve"> </w:t>
      </w:r>
      <w:r w:rsidR="00FF09CB">
        <w:t xml:space="preserve">bindend zijn. Dit geldt zowel bij het opstellen van het advies over een herstemming in de fase voorafgaand aan het besluit voor het vertegenwoordigend orgaan als bij de beoordeling door </w:t>
      </w:r>
      <w:r w:rsidR="00130FC3">
        <w:t xml:space="preserve">de geloofsbrievencommissie </w:t>
      </w:r>
      <w:r w:rsidR="00FF09CB">
        <w:t xml:space="preserve">en </w:t>
      </w:r>
      <w:r w:rsidR="00130FC3">
        <w:t>de Afdeling bestuursrechtspraak.</w:t>
      </w:r>
      <w:r w:rsidR="00D613EF">
        <w:t xml:space="preserve"> </w:t>
      </w:r>
      <w:r w:rsidR="001F5E1C">
        <w:t>Deze</w:t>
      </w:r>
      <w:r w:rsidR="00B948EE">
        <w:t xml:space="preserve"> beoordeling </w:t>
      </w:r>
      <w:r w:rsidR="00C01974">
        <w:t xml:space="preserve">van de geldigheid van een verkiezing </w:t>
      </w:r>
      <w:r w:rsidR="001F5E1C">
        <w:t xml:space="preserve">bestaat </w:t>
      </w:r>
      <w:r w:rsidR="00B948EE">
        <w:t>uit twee stappen</w:t>
      </w:r>
      <w:r>
        <w:t>.</w:t>
      </w:r>
    </w:p>
    <w:p w:rsidR="00925E63" w:rsidP="00B63359" w14:paraId="0BFDD343" w14:textId="77777777"/>
    <w:p w:rsidR="00C01974" w:rsidP="003E539B" w14:paraId="239E66C4" w14:textId="77777777">
      <w:pPr>
        <w:pStyle w:val="ListParagraph"/>
        <w:numPr>
          <w:ilvl w:val="2"/>
          <w:numId w:val="18"/>
        </w:numPr>
        <w:outlineLvl w:val="2"/>
      </w:pPr>
      <w:bookmarkStart w:name="_Toc193820858" w:id="42"/>
      <w:bookmarkStart w:name="_Toc193891820" w:id="43"/>
      <w:r>
        <w:rPr>
          <w:i/>
          <w:iCs/>
        </w:rPr>
        <w:t>Vaststellen onregelmatigheid</w:t>
      </w:r>
      <w:bookmarkEnd w:id="42"/>
      <w:bookmarkEnd w:id="43"/>
      <w:r w:rsidR="00B948EE">
        <w:t xml:space="preserve"> </w:t>
      </w:r>
    </w:p>
    <w:p w:rsidR="00925E63" w:rsidP="00B63359" w14:paraId="0ED9343D" w14:textId="77777777">
      <w:r>
        <w:t xml:space="preserve">Allereerst </w:t>
      </w:r>
      <w:r w:rsidR="002376DA">
        <w:t xml:space="preserve">(stap 1) </w:t>
      </w:r>
      <w:r>
        <w:t>de vraag of kan worden vastgesteld dat sprake is geweest van een telfout of onregelmatigheid</w:t>
      </w:r>
      <w:r w:rsidR="00A85DCF">
        <w:t>,</w:t>
      </w:r>
      <w:r w:rsidR="0097787F">
        <w:t xml:space="preserve"> bijvoorbeeld door te checken of een uitgebrachte stem is terug te vinden in het proces-verbaal van een stembureau of door na te gaan of i</w:t>
      </w:r>
      <w:r w:rsidR="00642D73">
        <w:t>n</w:t>
      </w:r>
      <w:r w:rsidR="0097787F">
        <w:t xml:space="preserve"> een specifieke situatie is gehandeld in overeenstemming met de Kieswet. </w:t>
      </w:r>
    </w:p>
    <w:p w:rsidR="00925E63" w:rsidP="003E539B" w14:paraId="3DB5C321" w14:textId="77777777">
      <w:pPr>
        <w:pStyle w:val="ListParagraph"/>
        <w:numPr>
          <w:ilvl w:val="2"/>
          <w:numId w:val="18"/>
        </w:numPr>
        <w:outlineLvl w:val="2"/>
      </w:pPr>
      <w:bookmarkStart w:name="_Toc193820859" w:id="44"/>
      <w:bookmarkStart w:name="_Toc193891821" w:id="45"/>
      <w:r>
        <w:rPr>
          <w:i/>
          <w:iCs/>
        </w:rPr>
        <w:t>Consequentie onregelmatigheid</w:t>
      </w:r>
      <w:bookmarkEnd w:id="44"/>
      <w:bookmarkEnd w:id="45"/>
    </w:p>
    <w:p w:rsidR="00376139" w:rsidP="00B63359" w14:paraId="010BA0F5" w14:textId="77777777">
      <w:r>
        <w:t xml:space="preserve">Daarna </w:t>
      </w:r>
      <w:r w:rsidR="002376DA">
        <w:t xml:space="preserve">(stap 2) </w:t>
      </w:r>
      <w:r>
        <w:t xml:space="preserve">volgt de beoordeling of de consequenties van een geconstateerde telfout of onregelmatigheid zodanig zijn dat moet worden overgegaan tot een hertelling of herstemming. </w:t>
      </w:r>
      <w:r w:rsidR="00C075D6">
        <w:t>Dit zal niet in alle gevallen zo zijn. Zo</w:t>
      </w:r>
      <w:r w:rsidR="0097787F">
        <w:t xml:space="preserve"> is het niet proportioneel als</w:t>
      </w:r>
      <w:r w:rsidR="00C075D6">
        <w:t xml:space="preserve"> de constatering dat een enkele burger ten onrechte niet heeft kunnen deelnemen aan de stemming er</w:t>
      </w:r>
      <w:r w:rsidR="0097787F">
        <w:t xml:space="preserve">toe zou leiden </w:t>
      </w:r>
      <w:r w:rsidR="00C075D6">
        <w:t xml:space="preserve">dat de gehele stemming over moet. </w:t>
      </w:r>
      <w:r w:rsidR="0097787F">
        <w:t xml:space="preserve">De vraag is waar dit kantelpunt zich </w:t>
      </w:r>
      <w:r w:rsidR="007154E8">
        <w:t xml:space="preserve">dan </w:t>
      </w:r>
      <w:r w:rsidR="0097787F">
        <w:t xml:space="preserve">wel zou moeten bevinden. </w:t>
      </w:r>
      <w:r w:rsidR="001F5E1C">
        <w:t>Voor</w:t>
      </w:r>
      <w:r w:rsidR="008B7275">
        <w:t xml:space="preserve"> deze afweging dienen criteria te worden vastgesteld</w:t>
      </w:r>
      <w:r w:rsidR="001F5E1C">
        <w:t xml:space="preserve">, die </w:t>
      </w:r>
      <w:r w:rsidR="002F4FDB">
        <w:t>uiteen</w:t>
      </w:r>
      <w:r w:rsidR="001F5E1C">
        <w:t>vallen</w:t>
      </w:r>
      <w:r w:rsidR="009E36FE">
        <w:t xml:space="preserve"> in twee categorieën</w:t>
      </w:r>
      <w:r>
        <w:t>.</w:t>
      </w:r>
      <w:r w:rsidRPr="00C86BB1" w:rsidR="00C86BB1">
        <w:t xml:space="preserve"> </w:t>
      </w:r>
      <w:r w:rsidR="00C86BB1">
        <w:t xml:space="preserve">(i) criteria wanneer geconstateerde telfouten zodanig zijn dat er aanleiding is voor een hertelling en (ii) criteria wanneer geconstateerde onregelmatigheden zodanig zijn dat er aanleiding is voor een herstemming. </w:t>
      </w:r>
    </w:p>
    <w:p w:rsidR="00C86BB1" w:rsidP="00B63359" w14:paraId="362A93EC" w14:textId="77777777"/>
    <w:p w:rsidRPr="003775CF" w:rsidR="00C86BB1" w:rsidP="007C2D29" w14:paraId="1A799210" w14:textId="77777777">
      <w:pPr>
        <w:pStyle w:val="ListParagraph"/>
        <w:numPr>
          <w:ilvl w:val="2"/>
          <w:numId w:val="18"/>
        </w:numPr>
        <w:outlineLvl w:val="3"/>
        <w:rPr>
          <w:i/>
          <w:iCs/>
        </w:rPr>
      </w:pPr>
      <w:bookmarkStart w:name="_Toc193820860" w:id="46"/>
      <w:bookmarkStart w:name="_Toc193891822" w:id="47"/>
      <w:r w:rsidRPr="003775CF">
        <w:rPr>
          <w:i/>
          <w:iCs/>
        </w:rPr>
        <w:t>Hertelling</w:t>
      </w:r>
      <w:bookmarkEnd w:id="46"/>
      <w:bookmarkEnd w:id="47"/>
    </w:p>
    <w:p w:rsidR="00C148D7" w:rsidP="00B63359" w14:paraId="44E54023" w14:textId="77777777">
      <w:r>
        <w:t>Waar het gaat om</w:t>
      </w:r>
      <w:r w:rsidR="00B948EE">
        <w:t xml:space="preserve"> vermeende</w:t>
      </w:r>
      <w:r>
        <w:t xml:space="preserve"> telfouten</w:t>
      </w:r>
      <w:r w:rsidR="00B948EE">
        <w:t xml:space="preserve"> </w:t>
      </w:r>
      <w:r w:rsidR="00A23EBE">
        <w:t>ligt het in</w:t>
      </w:r>
      <w:r w:rsidR="00B948EE">
        <w:t xml:space="preserve"> de </w:t>
      </w:r>
      <w:r w:rsidR="00A23EBE">
        <w:t xml:space="preserve">rede dat </w:t>
      </w:r>
      <w:r w:rsidR="0019118C">
        <w:t xml:space="preserve">de </w:t>
      </w:r>
      <w:r w:rsidR="00B948EE">
        <w:t>criteria meer cijfermatig van aard zijn</w:t>
      </w:r>
      <w:r w:rsidR="000D5F53">
        <w:t xml:space="preserve">, aan de hand waarvan </w:t>
      </w:r>
      <w:r w:rsidR="00CD3513">
        <w:t>geobjectiveerd</w:t>
      </w:r>
      <w:r w:rsidR="000D5F53">
        <w:t xml:space="preserve"> kan worden wanneer een hertelling dient plaats te vinden.</w:t>
      </w:r>
      <w:r w:rsidR="002F4FDB">
        <w:t xml:space="preserve"> </w:t>
      </w:r>
      <w:r w:rsidR="00441FBD">
        <w:t xml:space="preserve">Het controleprotocol van de Kiesraad kan dienen als startpunt bij het uitdenken hiervan. </w:t>
      </w:r>
    </w:p>
    <w:p w:rsidR="00F922FD" w:rsidP="00B63359" w14:paraId="29DA4DC4" w14:textId="77777777"/>
    <w:p w:rsidRPr="003775CF" w:rsidR="00C148D7" w:rsidP="007C2D29" w14:paraId="36E623E2" w14:textId="77777777">
      <w:pPr>
        <w:pStyle w:val="ListParagraph"/>
        <w:numPr>
          <w:ilvl w:val="2"/>
          <w:numId w:val="18"/>
        </w:numPr>
        <w:outlineLvl w:val="3"/>
        <w:rPr>
          <w:i/>
          <w:iCs/>
        </w:rPr>
      </w:pPr>
      <w:bookmarkStart w:name="_Toc193820861" w:id="48"/>
      <w:bookmarkStart w:name="_Toc193891823" w:id="49"/>
      <w:r w:rsidRPr="003775CF">
        <w:rPr>
          <w:i/>
          <w:iCs/>
        </w:rPr>
        <w:t>Herstemming</w:t>
      </w:r>
      <w:bookmarkEnd w:id="48"/>
      <w:bookmarkEnd w:id="49"/>
    </w:p>
    <w:p w:rsidR="006F7464" w:rsidP="00B63359" w14:paraId="35FB5A1D" w14:textId="77777777">
      <w:r>
        <w:t xml:space="preserve">Ingewikkelder is het om een maatstaf te vinden wanneer een herstemming geboden is, omdat de impact van een onregelmatigheid in veel gevallen niet te kwantificeren is. Een </w:t>
      </w:r>
      <w:r w:rsidR="001F5E1C">
        <w:t xml:space="preserve">optie </w:t>
      </w:r>
      <w:r>
        <w:t xml:space="preserve">die ik onderzoek is </w:t>
      </w:r>
      <w:r w:rsidR="00374885">
        <w:t>of het extra- en in</w:t>
      </w:r>
      <w:r w:rsidR="00EC6299">
        <w:t>ter</w:t>
      </w:r>
      <w:r w:rsidR="00374885">
        <w:t xml:space="preserve">poleren van uitslagen bij andere stembureaus hierbij behulpzaam kan zijn. </w:t>
      </w:r>
    </w:p>
    <w:p w:rsidR="00C148D7" w:rsidP="00C148D7" w14:paraId="06BCC92E" w14:textId="77777777"/>
    <w:p w:rsidR="006F7464" w:rsidP="00C148D7" w14:paraId="137E977F" w14:textId="77777777">
      <w:r>
        <w:t xml:space="preserve">Stel bijvoorbeeld dat </w:t>
      </w:r>
      <w:r w:rsidR="009F0BF7">
        <w:t xml:space="preserve">groepering </w:t>
      </w:r>
      <w:r>
        <w:t xml:space="preserve">A bij de Tweede Kamerverkiezing </w:t>
      </w:r>
      <w:r w:rsidR="00EC6299">
        <w:t>tien</w:t>
      </w:r>
      <w:r>
        <w:t xml:space="preserve"> stemmen tekort komt voor een extra zetel. In gemeente X </w:t>
      </w:r>
      <w:r w:rsidR="004E2939">
        <w:t>hebben kandidaten op lijst</w:t>
      </w:r>
      <w:r>
        <w:t xml:space="preserve"> A 10% van de stemmen gekregen. In gemeente X is echter brand uitgebroken bij een stemlokaal waar 2000 stemmen zijn uitgebracht</w:t>
      </w:r>
      <w:r w:rsidR="00EC6299">
        <w:t xml:space="preserve"> en alle stembiljetten zijn in rook opgegaan</w:t>
      </w:r>
      <w:r>
        <w:t xml:space="preserve">. Deze stemmen zijn dus niet </w:t>
      </w:r>
      <w:r w:rsidR="0019118C">
        <w:t xml:space="preserve">meegeteld </w:t>
      </w:r>
      <w:r>
        <w:t xml:space="preserve">in de uitslag van gemeente X. </w:t>
      </w:r>
      <w:r w:rsidR="00EC6299">
        <w:t xml:space="preserve">Uitgaande van het aantal stemmen dat </w:t>
      </w:r>
      <w:r w:rsidR="004E2939">
        <w:t xml:space="preserve">kandidaten op lijst </w:t>
      </w:r>
      <w:r w:rsidR="00EC6299">
        <w:t xml:space="preserve">A gemiddeld per stembureau in gemeente X </w:t>
      </w:r>
      <w:r w:rsidR="004E2939">
        <w:t xml:space="preserve">hebben </w:t>
      </w:r>
      <w:r w:rsidR="00EC6299">
        <w:t xml:space="preserve">gekregen, is de kans </w:t>
      </w:r>
      <w:r w:rsidR="00792D81">
        <w:t xml:space="preserve">groot </w:t>
      </w:r>
      <w:r w:rsidR="00EC6299">
        <w:t xml:space="preserve">dat er bij dit stembureau tien stemmen zijn uitgebracht op </w:t>
      </w:r>
      <w:r w:rsidR="004E2939">
        <w:t xml:space="preserve">kandidaten op lijst </w:t>
      </w:r>
      <w:r w:rsidR="00EC6299">
        <w:t xml:space="preserve">A. Het is denkbaar dat in dit soort situaties </w:t>
      </w:r>
      <w:r>
        <w:t xml:space="preserve">de vraag rijst of </w:t>
      </w:r>
      <w:r w:rsidR="00EC6299">
        <w:t xml:space="preserve">een herstemming moet plaatsvinden. </w:t>
      </w:r>
      <w:r w:rsidR="00792D81">
        <w:t xml:space="preserve">Tegelijkertijd zal een vergelijking met omliggende stembureaus soms ook niet opgaan, bijvoorbeeld door de samenstelling van de buurt. </w:t>
      </w:r>
    </w:p>
    <w:p w:rsidR="009F509C" w:rsidP="009F509C" w14:paraId="7A8695EF" w14:textId="77777777"/>
    <w:p w:rsidR="00D850FD" w:rsidP="009F509C" w14:paraId="1832F7E0" w14:textId="77777777">
      <w:r>
        <w:t xml:space="preserve">Andere bijkomende vragen zijn of een reële kans dat </w:t>
      </w:r>
      <w:r w:rsidR="00642D73">
        <w:t xml:space="preserve">een </w:t>
      </w:r>
      <w:r w:rsidR="0067431D">
        <w:t xml:space="preserve">onregelmatigheid </w:t>
      </w:r>
      <w:r>
        <w:t>invloed heeft gehad op de zetelverdeling voldoende moet zijn om tot een herstemming over te gaan</w:t>
      </w:r>
      <w:r w:rsidR="0067431D">
        <w:t xml:space="preserve"> </w:t>
      </w:r>
      <w:r>
        <w:t>of dat het moet gaan o</w:t>
      </w:r>
      <w:r w:rsidR="00FC0883">
        <w:t>m</w:t>
      </w:r>
      <w:r>
        <w:t xml:space="preserve"> een zo goed als zekere</w:t>
      </w:r>
      <w:r w:rsidR="001D57E6">
        <w:t xml:space="preserve"> kans</w:t>
      </w:r>
      <w:r>
        <w:t>.</w:t>
      </w:r>
      <w:r w:rsidR="007154E8">
        <w:t xml:space="preserve"> En of alleen invloed op de zetelverdeling tussen </w:t>
      </w:r>
      <w:r w:rsidR="009F0BF7">
        <w:t>groeperingen</w:t>
      </w:r>
      <w:r w:rsidRPr="00A201DD" w:rsidR="009F0BF7">
        <w:t xml:space="preserve"> </w:t>
      </w:r>
      <w:r w:rsidR="007154E8">
        <w:t>of ook invloed op de toewijzing van zetels aan specifieke kandidaten in elke fase van het proces een reden zou moeten zijn voor een herstemming.</w:t>
      </w:r>
      <w:r w:rsidR="0067431D">
        <w:t xml:space="preserve"> </w:t>
      </w:r>
    </w:p>
    <w:p w:rsidR="00D850FD" w:rsidP="009F509C" w14:paraId="765BFE33" w14:textId="77777777"/>
    <w:p w:rsidR="00AE39E0" w:rsidP="009F509C" w14:paraId="4233E2B6" w14:textId="77777777">
      <w:r>
        <w:t>Centraal staat</w:t>
      </w:r>
      <w:r w:rsidR="005C2CFB">
        <w:t xml:space="preserve"> de afweging tussen het belang van een juiste zeteltoewijzing aan kandidaten ten opzichte van het – ook door de Afdeling advisering benoemde – belang van de verkiezing als momentopname.</w:t>
      </w:r>
      <w:r w:rsidR="0020787E">
        <w:t xml:space="preserve"> Een herstemming, zelfs al vindt die maar enkele weken later plaats, brengt altijd </w:t>
      </w:r>
      <w:r w:rsidR="001F5E1C">
        <w:t>de kans</w:t>
      </w:r>
      <w:r w:rsidR="0020787E">
        <w:t xml:space="preserve"> </w:t>
      </w:r>
      <w:r>
        <w:t xml:space="preserve">met zich </w:t>
      </w:r>
      <w:r w:rsidR="0020787E">
        <w:t xml:space="preserve">mee dat kiezers anders </w:t>
      </w:r>
      <w:r w:rsidR="0010643A">
        <w:t xml:space="preserve">(strategisch) </w:t>
      </w:r>
      <w:r w:rsidR="0020787E">
        <w:t xml:space="preserve">stemmen dan tijdens de eerdere stemming. </w:t>
      </w:r>
      <w:r>
        <w:t>Deze</w:t>
      </w:r>
      <w:r w:rsidR="007154E8">
        <w:t xml:space="preserve"> verschillende belangen </w:t>
      </w:r>
      <w:r>
        <w:t xml:space="preserve">moeten </w:t>
      </w:r>
      <w:r w:rsidR="007154E8">
        <w:t>tegen elkaar worden afgewogen. Enerzijds het belang van een verkiezingsuitslag die zo accuraat als mogelijk is en anderzijds</w:t>
      </w:r>
      <w:r w:rsidR="007A32E9">
        <w:t xml:space="preserve"> – zoals ook opgemerkt door de Afdeling advisering –</w:t>
      </w:r>
      <w:r w:rsidR="007154E8">
        <w:t xml:space="preserve"> </w:t>
      </w:r>
      <w:r w:rsidR="00517D44">
        <w:t>dat</w:t>
      </w:r>
      <w:r w:rsidR="007A32E9">
        <w:t xml:space="preserve"> </w:t>
      </w:r>
      <w:r w:rsidR="00B57D48">
        <w:t>een herstemming slechts terughoudend dient te worden ingezet, aangezien herstemmen in vergaande mate de verkiezing als momentopname doorkruist en grote consequenties kan hebben op het stemgedrag.</w:t>
      </w:r>
      <w:r w:rsidR="00517D44">
        <w:t xml:space="preserve"> </w:t>
      </w:r>
      <w:r w:rsidR="001F2409">
        <w:t>H</w:t>
      </w:r>
      <w:r w:rsidR="007A32E9">
        <w:t xml:space="preserve">et vaststellen van het toetsingskader </w:t>
      </w:r>
      <w:r w:rsidR="00757C40">
        <w:t xml:space="preserve">vergt </w:t>
      </w:r>
      <w:r w:rsidR="007A32E9">
        <w:t xml:space="preserve">dus een </w:t>
      </w:r>
      <w:r w:rsidR="001F2409">
        <w:t>af</w:t>
      </w:r>
      <w:r w:rsidR="007A32E9">
        <w:t>weging tussen het</w:t>
      </w:r>
      <w:r w:rsidR="00C86863">
        <w:t xml:space="preserve"> effect</w:t>
      </w:r>
      <w:r w:rsidR="00757C40">
        <w:t xml:space="preserve"> dat het </w:t>
      </w:r>
      <w:r w:rsidR="001F2409">
        <w:t xml:space="preserve">laten </w:t>
      </w:r>
      <w:r w:rsidR="00757C40">
        <w:t>passeren van een onregelmatigheid heeft</w:t>
      </w:r>
      <w:r w:rsidR="00C86863">
        <w:t xml:space="preserve"> </w:t>
      </w:r>
      <w:r>
        <w:t xml:space="preserve">op het vertrouwen in het verkiezingsproces </w:t>
      </w:r>
      <w:r w:rsidR="001F2409">
        <w:t xml:space="preserve">en </w:t>
      </w:r>
      <w:r>
        <w:t>de</w:t>
      </w:r>
      <w:r w:rsidR="00757C40">
        <w:t xml:space="preserve"> vraag of een (enkele) onjuiste toewijzing dan wel toedeling van zetels het overdoen van </w:t>
      </w:r>
      <w:r w:rsidR="00B20D4F">
        <w:t>een</w:t>
      </w:r>
      <w:r w:rsidR="00757C40">
        <w:t xml:space="preserve"> verkiezing rechtvaardigt.</w:t>
      </w:r>
    </w:p>
    <w:p w:rsidR="00CA60D2" w:rsidP="009F509C" w14:paraId="5B8D4771" w14:textId="77777777"/>
    <w:p w:rsidRPr="007A6B84" w:rsidR="004A1398" w:rsidP="003E539B" w14:paraId="55FAA665" w14:textId="77777777">
      <w:pPr>
        <w:pStyle w:val="ListParagraph"/>
        <w:numPr>
          <w:ilvl w:val="2"/>
          <w:numId w:val="18"/>
        </w:numPr>
        <w:outlineLvl w:val="2"/>
      </w:pPr>
      <w:bookmarkStart w:name="_Toc193820862" w:id="50"/>
      <w:bookmarkStart w:name="_Toc193891824" w:id="51"/>
      <w:r>
        <w:rPr>
          <w:i/>
          <w:iCs/>
        </w:rPr>
        <w:t>Kenbaarheid toetsingskader</w:t>
      </w:r>
      <w:bookmarkEnd w:id="50"/>
      <w:bookmarkEnd w:id="51"/>
    </w:p>
    <w:p w:rsidR="008F1ADC" w14:paraId="0BCE638F" w14:textId="77777777">
      <w:r>
        <w:t xml:space="preserve">Tot slot merk ik in algemene zin op dat, in lijn met de aanbevelingen van de </w:t>
      </w:r>
      <w:r w:rsidR="007F27C1">
        <w:t>Afdeling advisering</w:t>
      </w:r>
      <w:r>
        <w:t xml:space="preserve">, het kabinet het belang onderschrijft dat het proces voor geschilbeslechting wordt </w:t>
      </w:r>
      <w:r w:rsidR="00050705">
        <w:t xml:space="preserve">vastgelegd </w:t>
      </w:r>
      <w:r>
        <w:t xml:space="preserve">in juridisch </w:t>
      </w:r>
      <w:r w:rsidR="00050705">
        <w:t xml:space="preserve">uitgewerkte </w:t>
      </w:r>
      <w:r>
        <w:t xml:space="preserve">en kenbare procedures. Dit zodat voor iedere burger duidelijk is welke mogelijkheden hij heeft om eventuele bezwaren kenbaar te maken en hoe is geborgd dat hij hierop een afdoende gemotiveerde reactie krijgt. De nieuwe inrichting van het proces </w:t>
      </w:r>
      <w:r w:rsidR="00F42492">
        <w:t xml:space="preserve">en de wijze waarop de geschillen worden beoordeeld </w:t>
      </w:r>
      <w:r>
        <w:t xml:space="preserve">zal dan ook worden neergelegd in </w:t>
      </w:r>
      <w:r w:rsidR="00050705">
        <w:t>de Kieswet en eventueel onderliggende</w:t>
      </w:r>
      <w:r w:rsidR="008C5D0E">
        <w:t xml:space="preserve"> regelgeving</w:t>
      </w:r>
      <w:r>
        <w:t>.</w:t>
      </w:r>
      <w:r w:rsidR="00BD527D">
        <w:t xml:space="preserve"> Zoals al aangekondigd door mijn ambtsvoorganger zal dit een wijziging van </w:t>
      </w:r>
      <w:r w:rsidR="004E2939">
        <w:t xml:space="preserve">artikel 58 van </w:t>
      </w:r>
      <w:r w:rsidR="00BD527D">
        <w:t>de Grondwet vergen</w:t>
      </w:r>
      <w:r w:rsidR="004E2939">
        <w:t>, waarin voor de Tweede en Eerste Kamer nu de hoofdregel ligt vervat dat een orgaan zelf in laatste instantie gaat voor de beslechting van verkiezingsgeschillen</w:t>
      </w:r>
      <w:r w:rsidR="00BD527D">
        <w:t>.</w:t>
      </w:r>
      <w:r>
        <w:t xml:space="preserve"> </w:t>
      </w:r>
    </w:p>
    <w:p w:rsidR="0058264C" w14:paraId="07CE29E3" w14:textId="77777777"/>
    <w:p w:rsidR="0058264C" w14:paraId="0B29A124" w14:textId="77777777"/>
    <w:p w:rsidR="0058264C" w14:paraId="571793FB" w14:textId="77777777"/>
    <w:p w:rsidR="00BF112B" w14:paraId="3E94DCF9" w14:textId="77777777"/>
    <w:p w:rsidR="00031D77" w:rsidP="00031D77" w14:paraId="6FEE1FA9" w14:textId="77777777">
      <w:pPr>
        <w:pStyle w:val="ListParagraph"/>
        <w:numPr>
          <w:ilvl w:val="0"/>
          <w:numId w:val="18"/>
        </w:numPr>
        <w:outlineLvl w:val="0"/>
        <w:rPr>
          <w:b/>
          <w:bCs/>
        </w:rPr>
      </w:pPr>
      <w:bookmarkStart w:name="_Toc193820844" w:id="52"/>
      <w:bookmarkStart w:name="_Toc193891806" w:id="53"/>
      <w:bookmarkStart w:name="_Toc193820863" w:id="54"/>
      <w:bookmarkStart w:name="_Toc193891825" w:id="55"/>
      <w:r w:rsidRPr="00031D77">
        <w:rPr>
          <w:b/>
          <w:bCs/>
        </w:rPr>
        <w:t xml:space="preserve">Verhouding </w:t>
      </w:r>
      <w:bookmarkEnd w:id="52"/>
      <w:bookmarkEnd w:id="53"/>
      <w:r w:rsidR="005B6523">
        <w:rPr>
          <w:b/>
          <w:bCs/>
        </w:rPr>
        <w:t>voorstel</w:t>
      </w:r>
      <w:r w:rsidRPr="00031D77">
        <w:rPr>
          <w:b/>
          <w:bCs/>
        </w:rPr>
        <w:t xml:space="preserve"> tot uitgangspunten</w:t>
      </w:r>
    </w:p>
    <w:p w:rsidRPr="00031D77" w:rsidR="0058264C" w:rsidP="0058264C" w14:paraId="1D41831E" w14:textId="77777777">
      <w:pPr>
        <w:pStyle w:val="ListParagraph"/>
        <w:ind w:left="360"/>
        <w:outlineLvl w:val="0"/>
        <w:rPr>
          <w:b/>
          <w:bCs/>
        </w:rPr>
      </w:pPr>
    </w:p>
    <w:p w:rsidR="005B6523" w:rsidP="00031D77" w14:paraId="754FDEF3" w14:textId="77777777">
      <w:r>
        <w:t xml:space="preserve">Aan het begin van deze brief zijn de uitgangspunten </w:t>
      </w:r>
      <w:r w:rsidR="00B7406B">
        <w:t>opgesomd</w:t>
      </w:r>
      <w:r>
        <w:t xml:space="preserve"> die door het kabinet in acht worden genomen bij h</w:t>
      </w:r>
      <w:r w:rsidR="00B7406B">
        <w:t xml:space="preserve">et inrichten van de geschilbeslechtingsprocedure. </w:t>
      </w:r>
      <w:r w:rsidR="00B60D9E">
        <w:t xml:space="preserve">Hieronder </w:t>
      </w:r>
      <w:r w:rsidR="00B7406B">
        <w:t>zal worden gereflecteerd op hoe het bovenstaande voorstel tegemoetkomt aan deze uitgangspunten.</w:t>
      </w:r>
    </w:p>
    <w:p w:rsidR="00B7406B" w:rsidP="00031D77" w14:paraId="1429144E" w14:textId="77777777"/>
    <w:p w:rsidRPr="00A0573C" w:rsidR="00031D77" w:rsidP="00031D77" w14:paraId="06FCA9EA" w14:textId="77777777">
      <w:r>
        <w:t>Zoals al genoemd meent h</w:t>
      </w:r>
      <w:r w:rsidRPr="00A0573C">
        <w:t>et kabinet dat</w:t>
      </w:r>
      <w:r>
        <w:t xml:space="preserve"> een stelsel dat bestaat uit</w:t>
      </w:r>
      <w:r w:rsidRPr="00A0573C">
        <w:t xml:space="preserve"> de combinatie van enerzijds </w:t>
      </w:r>
      <w:r>
        <w:t>transparante</w:t>
      </w:r>
      <w:r w:rsidRPr="00A0573C">
        <w:t xml:space="preserve"> </w:t>
      </w:r>
      <w:r w:rsidRPr="00A0573C">
        <w:t xml:space="preserve">beoordeling van </w:t>
      </w:r>
      <w:r>
        <w:t>individuele bezwaren</w:t>
      </w:r>
      <w:r w:rsidRPr="00A0573C">
        <w:t xml:space="preserve"> door een onafhankelijke instantie met kiesrechtexpertise </w:t>
      </w:r>
      <w:r>
        <w:t xml:space="preserve">voorafgaand aan de uitslagvaststelling door het vertegenwoordigend orgaan </w:t>
      </w:r>
      <w:r w:rsidRPr="00A0573C">
        <w:t xml:space="preserve">en anderzijds </w:t>
      </w:r>
      <w:r>
        <w:t>een beroepsmogelijkheid voor</w:t>
      </w:r>
      <w:r w:rsidRPr="00A0573C">
        <w:t xml:space="preserve"> politieke groeperingen en kandidaten </w:t>
      </w:r>
      <w:r>
        <w:t>bij</w:t>
      </w:r>
      <w:r w:rsidRPr="00A0573C">
        <w:t xml:space="preserve"> </w:t>
      </w:r>
      <w:r w:rsidRPr="00A0573C">
        <w:t xml:space="preserve">de Afdeling bestuursrechtspraak in zijn totaliteit voldoet aan de </w:t>
      </w:r>
      <w:r>
        <w:t>eisen die het EVRM stelt.</w:t>
      </w:r>
    </w:p>
    <w:p w:rsidRPr="00A0573C" w:rsidR="00031D77" w:rsidP="00031D77" w14:paraId="260F249D" w14:textId="77777777"/>
    <w:p w:rsidR="00B7406B" w:rsidP="00031D77" w14:paraId="2DFC7420" w14:textId="77777777">
      <w:r>
        <w:t xml:space="preserve">Het voorstel draagt </w:t>
      </w:r>
      <w:r w:rsidR="00F25AE3">
        <w:t xml:space="preserve">bovendien </w:t>
      </w:r>
      <w:r>
        <w:t xml:space="preserve">bij aan het verder </w:t>
      </w:r>
      <w:r w:rsidR="001E678E">
        <w:t>versterken van de weerbaarheid</w:t>
      </w:r>
      <w:r w:rsidR="00696ED9">
        <w:t xml:space="preserve"> </w:t>
      </w:r>
      <w:r>
        <w:t xml:space="preserve">van de Nederlandse democratische rechtsstaat. Een onpartijdige en onafhankelijke rechter (uiteindelijk) </w:t>
      </w:r>
      <w:r w:rsidR="0041449C">
        <w:t xml:space="preserve">bij een geschil </w:t>
      </w:r>
      <w:r>
        <w:t>laten beslissen over de geldigheid van de verkiezingen en de toelating van de leden voorkomt</w:t>
      </w:r>
      <w:r w:rsidR="00311A80">
        <w:t xml:space="preserve"> namelijk</w:t>
      </w:r>
      <w:r>
        <w:t xml:space="preserve"> twijfel over de integriteit van dat besluit. Daarmee wordt het vertrouwen in het verkiezingsproces verhoogd, en indirect versterkt dit de legitimiteit van het vertegenwoordigende orgaan. </w:t>
      </w:r>
    </w:p>
    <w:p w:rsidRPr="00031D77" w:rsidR="00031D77" w:rsidP="00031D77" w14:paraId="48FFC857" w14:textId="77777777">
      <w:pPr>
        <w:rPr>
          <w:b/>
          <w:bCs/>
        </w:rPr>
      </w:pPr>
    </w:p>
    <w:p w:rsidRPr="003E539B" w:rsidR="00BF112B" w:rsidP="003E539B" w14:paraId="17B58DD8" w14:textId="77777777">
      <w:pPr>
        <w:pStyle w:val="ListParagraph"/>
        <w:numPr>
          <w:ilvl w:val="0"/>
          <w:numId w:val="18"/>
        </w:numPr>
        <w:outlineLvl w:val="0"/>
        <w:rPr>
          <w:b/>
          <w:bCs/>
        </w:rPr>
      </w:pPr>
      <w:r w:rsidRPr="003E539B">
        <w:rPr>
          <w:b/>
          <w:bCs/>
        </w:rPr>
        <w:t>Vervolgproces</w:t>
      </w:r>
      <w:bookmarkEnd w:id="54"/>
      <w:bookmarkEnd w:id="55"/>
    </w:p>
    <w:p w:rsidR="00A8771E" w:rsidP="00A8771E" w14:paraId="2B0F61F3" w14:textId="77777777"/>
    <w:p w:rsidR="00A8771E" w:rsidP="00A8771E" w14:paraId="082D6FE3" w14:textId="77777777">
      <w:r w:rsidRPr="00006DD5">
        <w:t xml:space="preserve">Het kabinet </w:t>
      </w:r>
      <w:r w:rsidRPr="00006DD5" w:rsidR="003C1D5A">
        <w:t>is van plan</w:t>
      </w:r>
      <w:r w:rsidRPr="00006DD5">
        <w:t xml:space="preserve"> </w:t>
      </w:r>
      <w:r w:rsidRPr="00006DD5" w:rsidR="00006DD5">
        <w:t>de komende periode verder te werken aan</w:t>
      </w:r>
      <w:r w:rsidRPr="00006DD5">
        <w:t xml:space="preserve"> de nadere uitwerking van de hierboven beschreven hoofdlijnen van het proces en het kader voor de inhoudelijke beoordeling van geschillen. </w:t>
      </w:r>
      <w:r w:rsidRPr="00006DD5" w:rsidR="00B32B9A">
        <w:t>Onderdeel hiervan is het afstemmen van deze uitwerking</w:t>
      </w:r>
      <w:r w:rsidRPr="00006DD5">
        <w:t xml:space="preserve"> met </w:t>
      </w:r>
      <w:r w:rsidRPr="00006DD5" w:rsidR="003C1D5A">
        <w:t xml:space="preserve">de </w:t>
      </w:r>
      <w:r w:rsidRPr="00006DD5">
        <w:t xml:space="preserve">relevante </w:t>
      </w:r>
      <w:r w:rsidRPr="00006DD5" w:rsidR="00946344">
        <w:t>betrokkenen</w:t>
      </w:r>
      <w:r w:rsidRPr="00006DD5">
        <w:t>,</w:t>
      </w:r>
      <w:r w:rsidRPr="00006DD5" w:rsidR="003C1D5A">
        <w:t xml:space="preserve"> waaronder in ieder geval de Afdeling bestuursrechtspraak</w:t>
      </w:r>
      <w:r w:rsidRPr="00006DD5" w:rsidR="002F039E">
        <w:t>, de Kiesraad</w:t>
      </w:r>
      <w:r w:rsidRPr="00006DD5" w:rsidR="003C1D5A">
        <w:t xml:space="preserve"> </w:t>
      </w:r>
      <w:r w:rsidRPr="00006DD5" w:rsidR="003B3461">
        <w:t xml:space="preserve">en </w:t>
      </w:r>
      <w:r w:rsidRPr="00006DD5" w:rsidR="003C1D5A">
        <w:t>de ketenpartners die betrokken zijn bij de uitvoering op gemeentelijk niveau.</w:t>
      </w:r>
      <w:r w:rsidRPr="00006DD5">
        <w:t xml:space="preserve"> </w:t>
      </w:r>
      <w:r w:rsidRPr="00006DD5" w:rsidR="00F25AE3">
        <w:t>Hierna zal ik</w:t>
      </w:r>
      <w:r w:rsidRPr="00006DD5" w:rsidR="003C1D5A">
        <w:t xml:space="preserve"> u</w:t>
      </w:r>
      <w:r w:rsidRPr="00006DD5" w:rsidR="008B34FA">
        <w:t xml:space="preserve"> opnieuw </w:t>
      </w:r>
      <w:r w:rsidRPr="00006DD5" w:rsidR="003C1D5A">
        <w:t>informeren over de voortgang</w:t>
      </w:r>
      <w:r w:rsidRPr="00006DD5" w:rsidR="00BB1B8F">
        <w:t xml:space="preserve"> van </w:t>
      </w:r>
      <w:r w:rsidRPr="00006DD5" w:rsidR="00A87997">
        <w:t>het</w:t>
      </w:r>
      <w:r w:rsidRPr="00006DD5" w:rsidR="00BB1B8F">
        <w:t xml:space="preserve"> traject</w:t>
      </w:r>
      <w:r w:rsidRPr="00006DD5" w:rsidR="003C1D5A">
        <w:t>.</w:t>
      </w:r>
    </w:p>
    <w:p w:rsidR="008F1ADC" w14:paraId="522A0B50" w14:textId="77777777"/>
    <w:p w:rsidR="00B24532" w14:paraId="3200F094" w14:textId="77777777"/>
    <w:p w:rsidR="00A872B8" w14:paraId="691A228C" w14:textId="77777777">
      <w:r>
        <w:t xml:space="preserve">De minister van Binnenlandse Zaken en Koninkrijksrelaties, </w:t>
      </w:r>
    </w:p>
    <w:p w:rsidR="00A872B8" w14:paraId="2AAC4B53" w14:textId="77777777"/>
    <w:p w:rsidR="00A872B8" w14:paraId="2ED2694C" w14:textId="77777777"/>
    <w:p w:rsidR="00A872B8" w14:paraId="591E60A6" w14:textId="77777777"/>
    <w:p w:rsidR="00A872B8" w14:paraId="7D6EAA8D" w14:textId="77777777"/>
    <w:p w:rsidR="00A872B8" w14:paraId="1991D2CB" w14:textId="77777777"/>
    <w:p w:rsidR="00A872B8" w14:paraId="0A507B0F" w14:textId="77777777"/>
    <w:p w:rsidR="00A872B8" w14:paraId="4C8DA299" w14:textId="77777777">
      <w:r>
        <w:t>F</w:t>
      </w:r>
      <w:r w:rsidR="00B24532">
        <w:t>.</w:t>
      </w:r>
      <w:r>
        <w:t xml:space="preserve"> Rijkaart</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DC3" w14:paraId="19875A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DC3" w14:paraId="120881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DC3" w14:paraId="21068B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6B13" w14:paraId="0DADD6CD" w14:textId="77777777">
      <w:pPr>
        <w:spacing w:line="240" w:lineRule="auto"/>
      </w:pPr>
      <w:r>
        <w:separator/>
      </w:r>
    </w:p>
  </w:footnote>
  <w:footnote w:type="continuationSeparator" w:id="1">
    <w:p w:rsidR="00896B13" w14:paraId="29E12620" w14:textId="77777777">
      <w:pPr>
        <w:spacing w:line="240" w:lineRule="auto"/>
      </w:pPr>
      <w:r>
        <w:continuationSeparator/>
      </w:r>
    </w:p>
  </w:footnote>
  <w:footnote w:type="continuationNotice" w:id="2">
    <w:p w:rsidR="00896B13" w14:paraId="7FBE5D3B" w14:textId="77777777">
      <w:pPr>
        <w:spacing w:line="240" w:lineRule="auto"/>
      </w:pPr>
    </w:p>
  </w:footnote>
  <w:footnote w:id="3">
    <w:p w:rsidR="00E02CC9" w:rsidRPr="00531BBD" w:rsidP="00E02CC9" w14:paraId="5CDCF3E3" w14:textId="77777777">
      <w:pPr>
        <w:pStyle w:val="FootnoteText"/>
        <w:rPr>
          <w:i/>
          <w:iCs/>
          <w:sz w:val="16"/>
          <w:szCs w:val="16"/>
        </w:rPr>
      </w:pPr>
      <w:r w:rsidRPr="00531BBD">
        <w:rPr>
          <w:rStyle w:val="FootnoteReference"/>
          <w:sz w:val="16"/>
          <w:szCs w:val="16"/>
        </w:rPr>
        <w:footnoteRef/>
      </w:r>
      <w:r w:rsidRPr="00531BBD">
        <w:rPr>
          <w:i/>
          <w:iCs/>
          <w:sz w:val="16"/>
          <w:szCs w:val="16"/>
        </w:rPr>
        <w:t xml:space="preserve"> Kamerstukken II </w:t>
      </w:r>
      <w:r w:rsidRPr="00531BBD">
        <w:rPr>
          <w:sz w:val="16"/>
          <w:szCs w:val="16"/>
        </w:rPr>
        <w:t>2023</w:t>
      </w:r>
      <w:r w:rsidRPr="00531BBD" w:rsidR="00E4476A">
        <w:rPr>
          <w:sz w:val="16"/>
          <w:szCs w:val="16"/>
        </w:rPr>
        <w:t>/</w:t>
      </w:r>
      <w:r w:rsidRPr="00531BBD">
        <w:rPr>
          <w:sz w:val="16"/>
          <w:szCs w:val="16"/>
        </w:rPr>
        <w:t>24, 35165, nr. 68.</w:t>
      </w:r>
    </w:p>
  </w:footnote>
  <w:footnote w:id="4">
    <w:p w:rsidR="003E539B" w:rsidRPr="00531BBD" w:rsidP="003E539B" w14:paraId="2385242F" w14:textId="77777777">
      <w:pPr>
        <w:pStyle w:val="FootnoteText"/>
        <w:rPr>
          <w:sz w:val="16"/>
          <w:szCs w:val="16"/>
        </w:rPr>
      </w:pPr>
      <w:r w:rsidRPr="00531BBD">
        <w:rPr>
          <w:rStyle w:val="FootnoteReference"/>
          <w:sz w:val="16"/>
          <w:szCs w:val="16"/>
        </w:rPr>
        <w:footnoteRef/>
      </w:r>
      <w:r w:rsidRPr="00531BBD">
        <w:rPr>
          <w:sz w:val="16"/>
          <w:szCs w:val="16"/>
        </w:rPr>
        <w:t xml:space="preserve"> </w:t>
      </w:r>
      <w:r w:rsidRPr="00531BBD">
        <w:rPr>
          <w:i/>
          <w:iCs/>
          <w:sz w:val="16"/>
          <w:szCs w:val="16"/>
        </w:rPr>
        <w:t xml:space="preserve">Kamerstukken II </w:t>
      </w:r>
      <w:r w:rsidRPr="00531BBD">
        <w:rPr>
          <w:sz w:val="16"/>
          <w:szCs w:val="16"/>
        </w:rPr>
        <w:t>2024</w:t>
      </w:r>
      <w:r w:rsidRPr="00531BBD" w:rsidR="00E4476A">
        <w:rPr>
          <w:sz w:val="16"/>
          <w:szCs w:val="16"/>
        </w:rPr>
        <w:t>/</w:t>
      </w:r>
      <w:r w:rsidRPr="00531BBD">
        <w:rPr>
          <w:sz w:val="16"/>
          <w:szCs w:val="16"/>
        </w:rPr>
        <w:t>25, 35165, nr. 84.</w:t>
      </w:r>
    </w:p>
  </w:footnote>
  <w:footnote w:id="5">
    <w:p w:rsidR="00B20D4F" w:rsidRPr="00BF448B" w:rsidP="00B20D4F" w14:paraId="45C9D4F3" w14:textId="77777777">
      <w:pPr>
        <w:pStyle w:val="FootnoteText"/>
        <w:rPr>
          <w:lang w:val="de-DE"/>
        </w:rPr>
      </w:pPr>
      <w:r w:rsidRPr="00531BBD">
        <w:rPr>
          <w:rStyle w:val="FootnoteReference"/>
          <w:sz w:val="16"/>
          <w:szCs w:val="16"/>
        </w:rPr>
        <w:footnoteRef/>
      </w:r>
      <w:r w:rsidRPr="00531BBD">
        <w:rPr>
          <w:sz w:val="16"/>
          <w:szCs w:val="16"/>
          <w:lang w:val="de-DE"/>
        </w:rPr>
        <w:t xml:space="preserve"> EHRM</w:t>
      </w:r>
      <w:r w:rsidR="00305B95">
        <w:rPr>
          <w:sz w:val="16"/>
          <w:szCs w:val="16"/>
          <w:lang w:val="de-DE"/>
        </w:rPr>
        <w:t xml:space="preserve"> 10 </w:t>
      </w:r>
      <w:r w:rsidR="00305B95">
        <w:rPr>
          <w:sz w:val="16"/>
          <w:szCs w:val="16"/>
          <w:lang w:val="de-DE"/>
        </w:rPr>
        <w:t>juli</w:t>
      </w:r>
      <w:r w:rsidR="00305B95">
        <w:rPr>
          <w:sz w:val="16"/>
          <w:szCs w:val="16"/>
          <w:lang w:val="de-DE"/>
        </w:rPr>
        <w:t xml:space="preserve"> 2020</w:t>
      </w:r>
      <w:r w:rsidRPr="00531BBD">
        <w:rPr>
          <w:sz w:val="16"/>
          <w:szCs w:val="16"/>
          <w:lang w:val="de-DE"/>
        </w:rPr>
        <w:t xml:space="preserve">, </w:t>
      </w:r>
      <w:r w:rsidRPr="00531BBD">
        <w:rPr>
          <w:sz w:val="16"/>
          <w:szCs w:val="16"/>
          <w:lang w:val="de-DE"/>
        </w:rPr>
        <w:t>Mugemangango</w:t>
      </w:r>
      <w:r w:rsidRPr="00531BBD">
        <w:rPr>
          <w:sz w:val="16"/>
          <w:szCs w:val="16"/>
          <w:lang w:val="de-DE"/>
        </w:rPr>
        <w:t xml:space="preserve"> t. </w:t>
      </w:r>
      <w:r w:rsidRPr="00531BBD">
        <w:rPr>
          <w:sz w:val="16"/>
          <w:szCs w:val="16"/>
          <w:lang w:val="de-DE"/>
        </w:rPr>
        <w:t>Belgi</w:t>
      </w:r>
      <w:r w:rsidR="00305B95">
        <w:rPr>
          <w:sz w:val="16"/>
          <w:szCs w:val="16"/>
          <w:lang w:val="de-DE"/>
        </w:rPr>
        <w:t>ë</w:t>
      </w:r>
      <w:r w:rsidRPr="00531BBD">
        <w:rPr>
          <w:sz w:val="16"/>
          <w:szCs w:val="16"/>
          <w:lang w:val="de-DE"/>
        </w:rPr>
        <w:t xml:space="preserve"> [GK], </w:t>
      </w:r>
      <w:r w:rsidRPr="00531BBD">
        <w:rPr>
          <w:sz w:val="16"/>
          <w:szCs w:val="16"/>
          <w:lang w:val="de-DE"/>
        </w:rPr>
        <w:t>nr.</w:t>
      </w:r>
      <w:r w:rsidRPr="00531BBD">
        <w:rPr>
          <w:sz w:val="16"/>
          <w:szCs w:val="16"/>
          <w:lang w:val="de-DE"/>
        </w:rPr>
        <w:t xml:space="preserve"> 310/15.</w:t>
      </w:r>
    </w:p>
  </w:footnote>
  <w:footnote w:id="6">
    <w:p w:rsidR="009F2EE1" w:rsidRPr="007C2D29" w14:paraId="6AFB38C1" w14:textId="77777777">
      <w:pPr>
        <w:pStyle w:val="FootnoteText"/>
        <w:rPr>
          <w:sz w:val="16"/>
          <w:szCs w:val="16"/>
          <w:lang w:val="de-DE"/>
        </w:rPr>
      </w:pPr>
      <w:r w:rsidRPr="007C2D29">
        <w:rPr>
          <w:rStyle w:val="FootnoteReference"/>
          <w:sz w:val="16"/>
          <w:szCs w:val="16"/>
        </w:rPr>
        <w:footnoteRef/>
      </w:r>
      <w:r w:rsidRPr="007C2D29">
        <w:rPr>
          <w:sz w:val="16"/>
          <w:szCs w:val="16"/>
          <w:lang w:val="de-DE"/>
        </w:rPr>
        <w:t xml:space="preserve"> EHRM</w:t>
      </w:r>
      <w:r w:rsidR="00305B95">
        <w:rPr>
          <w:sz w:val="16"/>
          <w:szCs w:val="16"/>
          <w:lang w:val="de-DE"/>
        </w:rPr>
        <w:t xml:space="preserve"> 10 </w:t>
      </w:r>
      <w:r w:rsidR="00305B95">
        <w:rPr>
          <w:sz w:val="16"/>
          <w:szCs w:val="16"/>
          <w:lang w:val="de-DE"/>
        </w:rPr>
        <w:t>juli</w:t>
      </w:r>
      <w:r w:rsidR="00305B95">
        <w:rPr>
          <w:sz w:val="16"/>
          <w:szCs w:val="16"/>
          <w:lang w:val="de-DE"/>
        </w:rPr>
        <w:t xml:space="preserve"> 2020</w:t>
      </w:r>
      <w:r w:rsidRPr="007C2D29">
        <w:rPr>
          <w:sz w:val="16"/>
          <w:szCs w:val="16"/>
          <w:lang w:val="de-DE"/>
        </w:rPr>
        <w:t xml:space="preserve">, </w:t>
      </w:r>
      <w:r w:rsidRPr="007C2D29">
        <w:rPr>
          <w:sz w:val="16"/>
          <w:szCs w:val="16"/>
          <w:lang w:val="de-DE"/>
        </w:rPr>
        <w:t>Mugemangango</w:t>
      </w:r>
      <w:r w:rsidRPr="007C2D29">
        <w:rPr>
          <w:sz w:val="16"/>
          <w:szCs w:val="16"/>
          <w:lang w:val="de-DE"/>
        </w:rPr>
        <w:t xml:space="preserve"> t. </w:t>
      </w:r>
      <w:r w:rsidRPr="007C2D29">
        <w:rPr>
          <w:sz w:val="16"/>
          <w:szCs w:val="16"/>
          <w:lang w:val="de-DE"/>
        </w:rPr>
        <w:t>Belgi</w:t>
      </w:r>
      <w:r w:rsidR="00305B95">
        <w:rPr>
          <w:sz w:val="16"/>
          <w:szCs w:val="16"/>
          <w:lang w:val="de-DE"/>
        </w:rPr>
        <w:t>ë</w:t>
      </w:r>
      <w:r w:rsidRPr="007C2D29">
        <w:rPr>
          <w:sz w:val="16"/>
          <w:szCs w:val="16"/>
          <w:lang w:val="de-DE"/>
        </w:rPr>
        <w:t xml:space="preserve"> [GK], </w:t>
      </w:r>
      <w:r w:rsidRPr="007C2D29">
        <w:rPr>
          <w:sz w:val="16"/>
          <w:szCs w:val="16"/>
          <w:lang w:val="de-DE"/>
        </w:rPr>
        <w:t>nr.</w:t>
      </w:r>
      <w:r w:rsidRPr="007C2D29">
        <w:rPr>
          <w:sz w:val="16"/>
          <w:szCs w:val="16"/>
          <w:lang w:val="de-DE"/>
        </w:rPr>
        <w:t xml:space="preserve"> 310/15, § 98.</w:t>
      </w:r>
    </w:p>
  </w:footnote>
  <w:footnote w:id="7">
    <w:p w:rsidR="00925713" w:rsidRPr="00925713" w14:paraId="42BD3315" w14:textId="77777777">
      <w:pPr>
        <w:pStyle w:val="FootnoteText"/>
      </w:pPr>
      <w:r w:rsidRPr="00F748B6">
        <w:rPr>
          <w:rStyle w:val="FootnoteReference"/>
          <w:sz w:val="16"/>
          <w:szCs w:val="16"/>
        </w:rPr>
        <w:footnoteRef/>
      </w:r>
      <w:r w:rsidRPr="00F748B6">
        <w:rPr>
          <w:sz w:val="16"/>
          <w:szCs w:val="16"/>
        </w:rPr>
        <w:t xml:space="preserve"> In de contourennota constitutionele toetsing (</w:t>
      </w:r>
      <w:r w:rsidRPr="00F748B6">
        <w:rPr>
          <w:i/>
          <w:iCs/>
          <w:sz w:val="16"/>
          <w:szCs w:val="16"/>
        </w:rPr>
        <w:t>Kamerstukken II</w:t>
      </w:r>
      <w:r w:rsidRPr="00F748B6">
        <w:rPr>
          <w:sz w:val="16"/>
          <w:szCs w:val="16"/>
        </w:rPr>
        <w:t xml:space="preserve"> 2024/25, 36600-VII, nr. 129) heeft</w:t>
      </w:r>
      <w:r w:rsidRPr="003E539B">
        <w:rPr>
          <w:sz w:val="16"/>
          <w:szCs w:val="16"/>
        </w:rPr>
        <w:t xml:space="preserve"> het kabinet aangekondigd een voorstel te zullen doen voor de instelling van een grondwettelijk hof en te laten onderzoeken of onder andere de taak om verkiezingsgeschillen te toetsen passend is bij het grondwettelijk hof. Voor nu gaat het kabinet in het traject geschilbeslechting in het verkiezingsproces uit van de huidige institutionele situatie.</w:t>
      </w:r>
    </w:p>
  </w:footnote>
  <w:footnote w:id="8">
    <w:p w:rsidR="009A7FD5" w:rsidRPr="009A7FD5" w14:paraId="6F5D86EA" w14:textId="77777777">
      <w:pPr>
        <w:pStyle w:val="FootnoteText"/>
        <w:rPr>
          <w:sz w:val="16"/>
          <w:szCs w:val="16"/>
        </w:rPr>
      </w:pPr>
      <w:r w:rsidRPr="009A7FD5">
        <w:rPr>
          <w:rStyle w:val="FootnoteReference"/>
          <w:sz w:val="16"/>
          <w:szCs w:val="16"/>
        </w:rPr>
        <w:footnoteRef/>
      </w:r>
      <w:r w:rsidRPr="009A7FD5">
        <w:rPr>
          <w:sz w:val="16"/>
          <w:szCs w:val="16"/>
        </w:rPr>
        <w:t xml:space="preserve"> Deze mogelijkheid blijft ongewijzigd bestaan. Hiermee wordt een deel van de onregelmatigheden afgevangen, maar zoals werd opgemerkt in de brief van 17 januari 2024 geldt dat regelmatig niet herleidbaar is hoe deze bezwaren worden beoordeeld en gewogen.</w:t>
      </w:r>
      <w:r w:rsidR="00370279">
        <w:rPr>
          <w:sz w:val="16"/>
          <w:szCs w:val="16"/>
        </w:rPr>
        <w:t xml:space="preserve"> </w:t>
      </w:r>
    </w:p>
  </w:footnote>
  <w:footnote w:id="9">
    <w:p w:rsidR="0086081E" w:rsidRPr="0086081E" w14:paraId="720DBA7D" w14:textId="77777777">
      <w:pPr>
        <w:pStyle w:val="FootnoteText"/>
        <w:rPr>
          <w:sz w:val="16"/>
          <w:szCs w:val="16"/>
        </w:rPr>
      </w:pPr>
      <w:r w:rsidRPr="0086081E">
        <w:rPr>
          <w:rStyle w:val="FootnoteReference"/>
          <w:sz w:val="16"/>
          <w:szCs w:val="16"/>
        </w:rPr>
        <w:footnoteRef/>
      </w:r>
      <w:r w:rsidRPr="0086081E">
        <w:rPr>
          <w:sz w:val="16"/>
          <w:szCs w:val="16"/>
        </w:rPr>
        <w:t xml:space="preserve"> </w:t>
      </w:r>
      <w:r w:rsidRPr="0086081E">
        <w:rPr>
          <w:i/>
          <w:iCs/>
          <w:sz w:val="16"/>
          <w:szCs w:val="16"/>
        </w:rPr>
        <w:t>Kamerstukken</w:t>
      </w:r>
      <w:r w:rsidRPr="0086081E">
        <w:rPr>
          <w:sz w:val="16"/>
          <w:szCs w:val="16"/>
        </w:rPr>
        <w:t>,</w:t>
      </w:r>
      <w:r w:rsidRPr="0086081E">
        <w:rPr>
          <w:i/>
          <w:iCs/>
          <w:sz w:val="16"/>
          <w:szCs w:val="16"/>
        </w:rPr>
        <w:t xml:space="preserve"> </w:t>
      </w:r>
      <w:r w:rsidRPr="0086081E">
        <w:rPr>
          <w:sz w:val="16"/>
          <w:szCs w:val="16"/>
        </w:rPr>
        <w:t>36552.</w:t>
      </w:r>
    </w:p>
  </w:footnote>
  <w:footnote w:id="10">
    <w:p w:rsidR="00D830F7" w:rsidRPr="00A2296D" w14:paraId="13B83471" w14:textId="77777777">
      <w:pPr>
        <w:pStyle w:val="FootnoteText"/>
        <w:rPr>
          <w:sz w:val="16"/>
          <w:szCs w:val="16"/>
        </w:rPr>
      </w:pPr>
      <w:r w:rsidRPr="00A2296D">
        <w:rPr>
          <w:rStyle w:val="FootnoteReference"/>
          <w:sz w:val="16"/>
          <w:szCs w:val="16"/>
        </w:rPr>
        <w:footnoteRef/>
      </w:r>
      <w:r w:rsidRPr="00A2296D">
        <w:rPr>
          <w:sz w:val="16"/>
          <w:szCs w:val="16"/>
        </w:rPr>
        <w:t xml:space="preserve"> </w:t>
      </w:r>
      <w:r w:rsidRPr="00A2296D">
        <w:rPr>
          <w:i/>
          <w:iCs/>
          <w:sz w:val="16"/>
          <w:szCs w:val="16"/>
        </w:rPr>
        <w:t>Kamerstukken</w:t>
      </w:r>
      <w:r w:rsidRPr="00A2296D">
        <w:rPr>
          <w:sz w:val="16"/>
          <w:szCs w:val="16"/>
        </w:rPr>
        <w:t>, 35489.</w:t>
      </w:r>
    </w:p>
  </w:footnote>
  <w:footnote w:id="11">
    <w:p w:rsidR="00A2296D" w14:paraId="1CC07D3D" w14:textId="77777777">
      <w:pPr>
        <w:pStyle w:val="FootnoteText"/>
      </w:pPr>
      <w:r w:rsidRPr="00BA7E02">
        <w:rPr>
          <w:rStyle w:val="FootnoteReference"/>
          <w:sz w:val="16"/>
          <w:szCs w:val="16"/>
        </w:rPr>
        <w:footnoteRef/>
      </w:r>
      <w:r w:rsidRPr="00BA7E02">
        <w:rPr>
          <w:sz w:val="16"/>
          <w:szCs w:val="16"/>
        </w:rPr>
        <w:t xml:space="preserve"> </w:t>
      </w:r>
      <w:r w:rsidRPr="00BA7E02">
        <w:rPr>
          <w:i/>
          <w:iCs/>
          <w:sz w:val="16"/>
          <w:szCs w:val="16"/>
        </w:rPr>
        <w:t>Kamerstukken II</w:t>
      </w:r>
      <w:r w:rsidRPr="00BA7E02">
        <w:rPr>
          <w:sz w:val="16"/>
          <w:szCs w:val="16"/>
        </w:rPr>
        <w:t>, 35165, nr.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DC3" w14:paraId="154520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F89" w14:paraId="0D3050C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Tekstvak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D425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ekstvak 1"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8D4255" w14:paraId="23ED8D6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Tekstvak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13F89" w14:textId="77777777">
                          <w:pPr>
                            <w:pStyle w:val="Referentiegegevensbold"/>
                          </w:pPr>
                          <w:r>
                            <w:t xml:space="preserve">DG Openbaar Bestuur &amp; </w:t>
                          </w:r>
                          <w:r>
                            <w:t>Democr</w:t>
                          </w:r>
                          <w:r>
                            <w:t xml:space="preserve"> Rechtsstaat</w:t>
                          </w:r>
                        </w:p>
                        <w:p w:rsidR="00A13F89" w14:textId="77777777">
                          <w:pPr>
                            <w:pStyle w:val="Referentiegegevens"/>
                          </w:pPr>
                          <w:r>
                            <w:t>DGOBDR-CZW/CZ</w:t>
                          </w:r>
                        </w:p>
                        <w:p w:rsidR="00A13F89" w14:textId="77777777">
                          <w:pPr>
                            <w:pStyle w:val="WitregelW2"/>
                          </w:pPr>
                        </w:p>
                        <w:p w:rsidR="000B5A44" w14:textId="77777777">
                          <w:pPr>
                            <w:pStyle w:val="Referentiegegevens"/>
                          </w:pPr>
                        </w:p>
                        <w:p w:rsidR="00A13F89" w14:textId="77777777">
                          <w:pPr>
                            <w:pStyle w:val="WitregelW1"/>
                          </w:pPr>
                        </w:p>
                        <w:p w:rsidR="00A13F89" w14:textId="77777777">
                          <w:pPr>
                            <w:pStyle w:val="Referentiegegevensbold"/>
                          </w:pPr>
                          <w:r>
                            <w:t>Onze referentie</w:t>
                          </w:r>
                        </w:p>
                        <w:p w:rsidR="008D4255" w14:textId="77777777">
                          <w:pPr>
                            <w:pStyle w:val="Referentiegegevens"/>
                          </w:pPr>
                          <w:r>
                            <w:fldChar w:fldCharType="begin"/>
                          </w:r>
                          <w:r>
                            <w:instrText xml:space="preserve"> DOCPROPERTY  "Kenmerk"  \* MERGEFORMAT </w:instrText>
                          </w:r>
                          <w:r>
                            <w:fldChar w:fldCharType="separate"/>
                          </w:r>
                          <w:r w:rsidR="00AA1174">
                            <w:t>2025-0000671162</w:t>
                          </w:r>
                          <w:r w:rsidR="00AA1174">
                            <w:fldChar w:fldCharType="end"/>
                          </w:r>
                        </w:p>
                      </w:txbxContent>
                    </wps:txbx>
                    <wps:bodyPr vert="horz" wrap="square" lIns="0" tIns="0" rIns="0" bIns="0" anchor="t" anchorCtr="0"/>
                  </wps:wsp>
                </a:graphicData>
              </a:graphic>
            </wp:anchor>
          </w:drawing>
        </mc:Choice>
        <mc:Fallback>
          <w:pict>
            <v:shape id="Tekstvak 2"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A13F89" w14:paraId="161A2229" w14:textId="77777777">
                    <w:pPr>
                      <w:pStyle w:val="Referentiegegevensbold"/>
                    </w:pPr>
                    <w:r>
                      <w:t xml:space="preserve">DG Openbaar Bestuur &amp; </w:t>
                    </w:r>
                    <w:r>
                      <w:t>Democr</w:t>
                    </w:r>
                    <w:r>
                      <w:t xml:space="preserve"> Rechtsstaat</w:t>
                    </w:r>
                  </w:p>
                  <w:p w:rsidR="00A13F89" w14:paraId="039D3BAA" w14:textId="77777777">
                    <w:pPr>
                      <w:pStyle w:val="Referentiegegevens"/>
                    </w:pPr>
                    <w:r>
                      <w:t>DGOBDR-CZW/CZ</w:t>
                    </w:r>
                  </w:p>
                  <w:p w:rsidR="00A13F89" w14:paraId="4206A826" w14:textId="77777777">
                    <w:pPr>
                      <w:pStyle w:val="WitregelW2"/>
                    </w:pPr>
                  </w:p>
                  <w:p w:rsidR="000B5A44" w14:paraId="48DD4899" w14:textId="77777777">
                    <w:pPr>
                      <w:pStyle w:val="Referentiegegevens"/>
                    </w:pPr>
                  </w:p>
                  <w:p w:rsidR="00A13F89" w14:paraId="6C36F902" w14:textId="77777777">
                    <w:pPr>
                      <w:pStyle w:val="WitregelW1"/>
                    </w:pPr>
                  </w:p>
                  <w:p w:rsidR="00A13F89" w14:paraId="13FBC35B" w14:textId="77777777">
                    <w:pPr>
                      <w:pStyle w:val="Referentiegegevensbold"/>
                    </w:pPr>
                    <w:r>
                      <w:t>Onze referentie</w:t>
                    </w:r>
                  </w:p>
                  <w:p w:rsidR="008D4255" w14:paraId="3C8236D3" w14:textId="77777777">
                    <w:pPr>
                      <w:pStyle w:val="Referentiegegevens"/>
                    </w:pPr>
                    <w:r>
                      <w:fldChar w:fldCharType="begin"/>
                    </w:r>
                    <w:r>
                      <w:instrText xml:space="preserve"> DOCPROPERTY  "Kenmerk"  \* MERGEFORMAT </w:instrText>
                    </w:r>
                    <w:r>
                      <w:fldChar w:fldCharType="separate"/>
                    </w:r>
                    <w:r w:rsidR="00AA1174">
                      <w:t>2025-0000671162</w:t>
                    </w:r>
                    <w:r w:rsidR="00AA117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Tekstvak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D425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Tekstvak 3"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8D4255" w14:paraId="03FABCE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Tekstvak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D425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Tekstvak 4"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8D4255" w14:paraId="6A75EC4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F89" w14:paraId="28EC10B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Tekstvak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A13F89" w14:textId="77777777">
                          <w:pPr>
                            <w:spacing w:line="240" w:lineRule="auto"/>
                          </w:pPr>
                          <w:r>
                            <w:rPr>
                              <w:noProof/>
                            </w:rPr>
                            <w:drawing>
                              <wp:inline distT="0" distB="0" distL="0" distR="0">
                                <wp:extent cx="467995" cy="1583865"/>
                                <wp:effectExtent l="0" t="0" r="0" b="0"/>
                                <wp:docPr id="1339595726" name="Afbeelding 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3959572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ekstvak 5"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A13F89" w14:paraId="4BC2DDC7" w14:textId="77777777">
                    <w:pPr>
                      <w:spacing w:line="240" w:lineRule="auto"/>
                    </w:pPr>
                    <w:drawing>
                      <wp:inline distT="0" distB="0" distL="0" distR="0">
                        <wp:extent cx="467995" cy="1583865"/>
                        <wp:effectExtent l="0" t="0" r="0" b="0"/>
                        <wp:docPr id="6" name="Afbeelding 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Tekstvak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13F89" w14:textId="77777777">
                          <w:pPr>
                            <w:spacing w:line="240" w:lineRule="auto"/>
                          </w:pPr>
                          <w:r>
                            <w:rPr>
                              <w:noProof/>
                            </w:rPr>
                            <w:drawing>
                              <wp:inline distT="0" distB="0" distL="0" distR="0">
                                <wp:extent cx="2339975" cy="1582834"/>
                                <wp:effectExtent l="0" t="0" r="0" b="0"/>
                                <wp:docPr id="502925610" name="Afbeelding 8"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0292561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Tekstvak 7"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A13F89" w14:paraId="0AF54E85" w14:textId="77777777">
                    <w:pPr>
                      <w:spacing w:line="240" w:lineRule="auto"/>
                    </w:pPr>
                    <w:drawing>
                      <wp:inline distT="0" distB="0" distL="0" distR="0">
                        <wp:extent cx="2339975" cy="1582834"/>
                        <wp:effectExtent l="0" t="0" r="0" b="0"/>
                        <wp:docPr id="8" name="Afbeelding 8"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Tekstvak 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13F89" w14:textId="0936D0C1">
                          <w:pPr>
                            <w:pStyle w:val="Referentiegegevens"/>
                          </w:pPr>
                        </w:p>
                      </w:txbxContent>
                    </wps:txbx>
                    <wps:bodyPr vert="horz" wrap="square" lIns="0" tIns="0" rIns="0" bIns="0" anchor="t" anchorCtr="0"/>
                  </wps:wsp>
                </a:graphicData>
              </a:graphic>
            </wp:anchor>
          </w:drawing>
        </mc:Choice>
        <mc:Fallback>
          <w:pict>
            <v:shape id="Tekstvak 9"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A13F89" w14:paraId="34781FCA" w14:textId="0936D0C1">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Tekstvak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D425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13F89" w14:textId="77777777">
                          <w:r>
                            <w:t>Tweede Kamer der Staten Generaal</w:t>
                          </w:r>
                        </w:p>
                        <w:p w:rsidR="00A13F89" w14:textId="77777777">
                          <w:r>
                            <w:t xml:space="preserve">Postbus 20018 </w:t>
                          </w:r>
                        </w:p>
                        <w:p w:rsidR="00A13F89" w14:textId="77777777">
                          <w:r>
                            <w:t>2500 EA Den Haag</w:t>
                          </w:r>
                        </w:p>
                      </w:txbxContent>
                    </wps:txbx>
                    <wps:bodyPr vert="horz" wrap="square" lIns="0" tIns="0" rIns="0" bIns="0" anchor="t" anchorCtr="0"/>
                  </wps:wsp>
                </a:graphicData>
              </a:graphic>
            </wp:anchor>
          </w:drawing>
        </mc:Choice>
        <mc:Fallback>
          <w:pict>
            <v:shape id="Tekstvak 10"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8D4255" w14:paraId="6333AEE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13F89" w14:paraId="50C8BE49" w14:textId="77777777">
                    <w:r>
                      <w:t>Tweede Kamer der Staten Generaal</w:t>
                    </w:r>
                  </w:p>
                  <w:p w:rsidR="00A13F89" w14:paraId="4038DA79" w14:textId="77777777">
                    <w:r>
                      <w:t xml:space="preserve">Postbus 20018 </w:t>
                    </w:r>
                  </w:p>
                  <w:p w:rsidR="00A13F89" w14:paraId="602239A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504825"/>
              <wp:effectExtent l="0" t="0" r="0" b="0"/>
              <wp:wrapNone/>
              <wp:docPr id="11" name="Tekstvak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04825"/>
                      </a:xfrm>
                      <a:prstGeom prst="rect">
                        <a:avLst/>
                      </a:prstGeom>
                      <a:noFill/>
                    </wps:spPr>
                    <wps:txbx>
                      <w:txbxContent>
                        <w:tbl>
                          <w:tblPr>
                            <w:tblW w:w="0" w:type="auto"/>
                            <w:tblLayout w:type="fixed"/>
                            <w:tblLook w:val="07E0"/>
                          </w:tblPr>
                          <w:tblGrid>
                            <w:gridCol w:w="1140"/>
                            <w:gridCol w:w="5918"/>
                          </w:tblGrid>
                          <w:tr w14:paraId="336DB28D" w14:textId="77777777">
                            <w:tblPrEx>
                              <w:tblW w:w="0" w:type="auto"/>
                              <w:tblLayout w:type="fixed"/>
                              <w:tblLook w:val="07E0"/>
                            </w:tblPrEx>
                            <w:trPr>
                              <w:trHeight w:val="240"/>
                            </w:trPr>
                            <w:tc>
                              <w:tcPr>
                                <w:tcW w:w="1140" w:type="dxa"/>
                              </w:tcPr>
                              <w:p w:rsidR="00A13F89" w14:textId="77777777">
                                <w:r>
                                  <w:t>Datum</w:t>
                                </w:r>
                              </w:p>
                            </w:tc>
                            <w:tc>
                              <w:tcPr>
                                <w:tcW w:w="5918" w:type="dxa"/>
                              </w:tcPr>
                              <w:p w:rsidR="00A13F89" w14:textId="0BF9CCE9">
                                <w:r>
                                  <w:t>5 december 2025</w:t>
                                </w:r>
                              </w:p>
                            </w:tc>
                          </w:tr>
                          <w:tr w14:paraId="2E8C9CFF" w14:textId="77777777">
                            <w:tblPrEx>
                              <w:tblW w:w="0" w:type="auto"/>
                              <w:tblLayout w:type="fixed"/>
                              <w:tblLook w:val="07E0"/>
                            </w:tblPrEx>
                            <w:trPr>
                              <w:trHeight w:val="240"/>
                            </w:trPr>
                            <w:tc>
                              <w:tcPr>
                                <w:tcW w:w="1140" w:type="dxa"/>
                              </w:tcPr>
                              <w:p w:rsidR="00A13F89" w14:textId="77777777">
                                <w:r>
                                  <w:t>Betreft</w:t>
                                </w:r>
                              </w:p>
                            </w:tc>
                            <w:tc>
                              <w:tcPr>
                                <w:tcW w:w="5918" w:type="dxa"/>
                              </w:tcPr>
                              <w:p w:rsidR="008D4255" w14:textId="77777777">
                                <w:r>
                                  <w:fldChar w:fldCharType="begin"/>
                                </w:r>
                                <w:r>
                                  <w:instrText xml:space="preserve"> DOCPROPERTY  "Onderwerp"  \* MERGEFORMAT </w:instrText>
                                </w:r>
                                <w:r>
                                  <w:fldChar w:fldCharType="separate"/>
                                </w:r>
                                <w:r w:rsidR="00AA1174">
                                  <w:t>Kabinetsreactie voorlichting RvS geschilbeslechting in het verkiezingsproces</w:t>
                                </w:r>
                                <w:r w:rsidR="00AA1174">
                                  <w:fldChar w:fldCharType="end"/>
                                </w:r>
                              </w:p>
                            </w:tc>
                          </w:tr>
                        </w:tbl>
                        <w:p w:rsidR="00767246" w14:textId="77777777"/>
                      </w:txbxContent>
                    </wps:txbx>
                    <wps:bodyPr vert="horz" wrap="square" lIns="0" tIns="0" rIns="0" bIns="0" anchor="t" anchorCtr="0"/>
                  </wps:wsp>
                </a:graphicData>
              </a:graphic>
              <wp14:sizeRelV relativeFrom="margin">
                <wp14:pctHeight>0</wp14:pctHeight>
              </wp14:sizeRelV>
            </wp:anchor>
          </w:drawing>
        </mc:Choice>
        <mc:Fallback>
          <w:pict>
            <v:shape id="Tekstvak 11" o:spid="_x0000_s2057" type="#_x0000_t202" style="width:375.75pt;height:39.75pt;margin-top:263.2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336DB28C" w14:textId="77777777">
                      <w:tblPrEx>
                        <w:tblW w:w="0" w:type="auto"/>
                        <w:tblLayout w:type="fixed"/>
                        <w:tblLook w:val="07E0"/>
                      </w:tblPrEx>
                      <w:trPr>
                        <w:trHeight w:val="240"/>
                      </w:trPr>
                      <w:tc>
                        <w:tcPr>
                          <w:tcW w:w="1140" w:type="dxa"/>
                        </w:tcPr>
                        <w:p w:rsidR="00A13F89" w14:paraId="432378C5" w14:textId="77777777">
                          <w:r>
                            <w:t>Datum</w:t>
                          </w:r>
                        </w:p>
                      </w:tc>
                      <w:tc>
                        <w:tcPr>
                          <w:tcW w:w="5918" w:type="dxa"/>
                        </w:tcPr>
                        <w:p w:rsidR="00A13F89" w14:paraId="42DD009F" w14:textId="0BF9CCE9">
                          <w:r>
                            <w:t>5 december 2025</w:t>
                          </w:r>
                        </w:p>
                      </w:tc>
                    </w:tr>
                    <w:tr w14:paraId="2E8C9CFE" w14:textId="77777777">
                      <w:tblPrEx>
                        <w:tblW w:w="0" w:type="auto"/>
                        <w:tblLayout w:type="fixed"/>
                        <w:tblLook w:val="07E0"/>
                      </w:tblPrEx>
                      <w:trPr>
                        <w:trHeight w:val="240"/>
                      </w:trPr>
                      <w:tc>
                        <w:tcPr>
                          <w:tcW w:w="1140" w:type="dxa"/>
                        </w:tcPr>
                        <w:p w:rsidR="00A13F89" w14:paraId="12677616" w14:textId="77777777">
                          <w:r>
                            <w:t>Betreft</w:t>
                          </w:r>
                        </w:p>
                      </w:tc>
                      <w:tc>
                        <w:tcPr>
                          <w:tcW w:w="5918" w:type="dxa"/>
                        </w:tcPr>
                        <w:p w:rsidR="008D4255" w14:paraId="2629D993" w14:textId="77777777">
                          <w:r>
                            <w:fldChar w:fldCharType="begin"/>
                          </w:r>
                          <w:r>
                            <w:instrText xml:space="preserve"> DOCPROPERTY  "Onderwerp"  \* MERGEFORMAT </w:instrText>
                          </w:r>
                          <w:r>
                            <w:fldChar w:fldCharType="separate"/>
                          </w:r>
                          <w:r w:rsidR="00AA1174">
                            <w:t>Kabinetsreactie voorlichting RvS geschilbeslechting in het verkiezingsproces</w:t>
                          </w:r>
                          <w:r w:rsidR="00AA1174">
                            <w:fldChar w:fldCharType="end"/>
                          </w:r>
                        </w:p>
                      </w:tc>
                    </w:tr>
                  </w:tbl>
                  <w:p w:rsidR="00767246" w14:paraId="636F85C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Tekstvak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13F89" w14:textId="77777777">
                          <w:pPr>
                            <w:pStyle w:val="Referentiegegevensbold"/>
                          </w:pPr>
                          <w:r>
                            <w:t xml:space="preserve">DG Openbaar Bestuur &amp; </w:t>
                          </w:r>
                          <w:r>
                            <w:t>Democr</w:t>
                          </w:r>
                          <w:r>
                            <w:t xml:space="preserve"> Rechtsstaat</w:t>
                          </w:r>
                        </w:p>
                        <w:p w:rsidR="00A13F89" w14:textId="77777777">
                          <w:pPr>
                            <w:pStyle w:val="Referentiegegevens"/>
                          </w:pPr>
                          <w:r>
                            <w:t>DGOBDR-CZW/CZ</w:t>
                          </w:r>
                        </w:p>
                        <w:p w:rsidR="00A13F89" w14:textId="77777777">
                          <w:pPr>
                            <w:pStyle w:val="WitregelW1"/>
                          </w:pPr>
                        </w:p>
                        <w:p w:rsidR="00A13F89" w14:textId="77777777">
                          <w:pPr>
                            <w:pStyle w:val="Referentiegegevens"/>
                          </w:pPr>
                          <w:r>
                            <w:t>Turfmarkt 147</w:t>
                          </w:r>
                        </w:p>
                        <w:p w:rsidR="00A13F89" w14:textId="77777777">
                          <w:pPr>
                            <w:pStyle w:val="Referentiegegevens"/>
                          </w:pPr>
                          <w:r>
                            <w:t>2511 DP</w:t>
                          </w:r>
                          <w:r w:rsidR="00696ED9">
                            <w:t xml:space="preserve"> </w:t>
                          </w:r>
                          <w:r>
                            <w:t>Den Haag</w:t>
                          </w:r>
                        </w:p>
                        <w:p w:rsidR="00A13F89" w14:textId="77777777">
                          <w:pPr>
                            <w:pStyle w:val="WitregelW1"/>
                          </w:pPr>
                        </w:p>
                        <w:p w:rsidR="00A13F89" w:rsidRPr="00AA6DC3" w14:textId="77777777">
                          <w:pPr>
                            <w:pStyle w:val="WitregelW2"/>
                          </w:pPr>
                        </w:p>
                        <w:p w:rsidR="00A13F89" w:rsidRPr="00AA6DC3" w14:textId="77777777">
                          <w:pPr>
                            <w:pStyle w:val="Referentiegegevensbold"/>
                          </w:pPr>
                          <w:r w:rsidRPr="00AA6DC3">
                            <w:t>Onze referentie</w:t>
                          </w:r>
                        </w:p>
                        <w:p w:rsidR="008D4255" w14:textId="77777777">
                          <w:pPr>
                            <w:pStyle w:val="Referentiegegevens"/>
                          </w:pPr>
                          <w:r>
                            <w:fldChar w:fldCharType="begin"/>
                          </w:r>
                          <w:r>
                            <w:instrText xml:space="preserve"> DOCPROPERTY  "Kenmerk"  \* MERGEFORMAT </w:instrText>
                          </w:r>
                          <w:r>
                            <w:fldChar w:fldCharType="separate"/>
                          </w:r>
                          <w:r w:rsidR="00AA1174">
                            <w:t>2025-0000671162</w:t>
                          </w:r>
                          <w:r w:rsidR="00AA1174">
                            <w:fldChar w:fldCharType="end"/>
                          </w:r>
                        </w:p>
                        <w:p w:rsidR="00A13F89" w14:textId="77777777">
                          <w:pPr>
                            <w:pStyle w:val="WitregelW1"/>
                          </w:pPr>
                        </w:p>
                        <w:p w:rsidR="00A13F89" w14:textId="77777777">
                          <w:pPr>
                            <w:pStyle w:val="Referentiegegevensbold"/>
                          </w:pPr>
                          <w:r>
                            <w:t>Uw referentie</w:t>
                          </w:r>
                        </w:p>
                        <w:p w:rsidR="008D4255"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Tekstvak 12"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A13F89" w14:paraId="72F1A67A" w14:textId="77777777">
                    <w:pPr>
                      <w:pStyle w:val="Referentiegegevensbold"/>
                    </w:pPr>
                    <w:r>
                      <w:t xml:space="preserve">DG Openbaar Bestuur &amp; </w:t>
                    </w:r>
                    <w:r>
                      <w:t>Democr</w:t>
                    </w:r>
                    <w:r>
                      <w:t xml:space="preserve"> Rechtsstaat</w:t>
                    </w:r>
                  </w:p>
                  <w:p w:rsidR="00A13F89" w14:paraId="3B8C85F7" w14:textId="77777777">
                    <w:pPr>
                      <w:pStyle w:val="Referentiegegevens"/>
                    </w:pPr>
                    <w:r>
                      <w:t>DGOBDR-CZW/CZ</w:t>
                    </w:r>
                  </w:p>
                  <w:p w:rsidR="00A13F89" w14:paraId="18FC2116" w14:textId="77777777">
                    <w:pPr>
                      <w:pStyle w:val="WitregelW1"/>
                    </w:pPr>
                  </w:p>
                  <w:p w:rsidR="00A13F89" w14:paraId="1B8DFFFE" w14:textId="77777777">
                    <w:pPr>
                      <w:pStyle w:val="Referentiegegevens"/>
                    </w:pPr>
                    <w:r>
                      <w:t>Turfmarkt 147</w:t>
                    </w:r>
                  </w:p>
                  <w:p w:rsidR="00A13F89" w14:paraId="31A27330" w14:textId="77777777">
                    <w:pPr>
                      <w:pStyle w:val="Referentiegegevens"/>
                    </w:pPr>
                    <w:r>
                      <w:t>2511 DP</w:t>
                    </w:r>
                    <w:r w:rsidR="00696ED9">
                      <w:t xml:space="preserve"> </w:t>
                    </w:r>
                    <w:r>
                      <w:t>Den Haag</w:t>
                    </w:r>
                  </w:p>
                  <w:p w:rsidR="00A13F89" w14:paraId="4029CFF4" w14:textId="77777777">
                    <w:pPr>
                      <w:pStyle w:val="WitregelW1"/>
                    </w:pPr>
                  </w:p>
                  <w:p w:rsidR="00A13F89" w:rsidRPr="00AA6DC3" w14:paraId="1F1BA37A" w14:textId="77777777">
                    <w:pPr>
                      <w:pStyle w:val="WitregelW2"/>
                    </w:pPr>
                  </w:p>
                  <w:p w:rsidR="00A13F89" w:rsidRPr="00AA6DC3" w14:paraId="025B3F03" w14:textId="77777777">
                    <w:pPr>
                      <w:pStyle w:val="Referentiegegevensbold"/>
                    </w:pPr>
                    <w:r w:rsidRPr="00AA6DC3">
                      <w:t>Onze referentie</w:t>
                    </w:r>
                  </w:p>
                  <w:p w:rsidR="008D4255" w14:paraId="018D18B5" w14:textId="77777777">
                    <w:pPr>
                      <w:pStyle w:val="Referentiegegevens"/>
                    </w:pPr>
                    <w:r>
                      <w:fldChar w:fldCharType="begin"/>
                    </w:r>
                    <w:r>
                      <w:instrText xml:space="preserve"> DOCPROPERTY  "Kenmerk"  \* MERGEFORMAT </w:instrText>
                    </w:r>
                    <w:r>
                      <w:fldChar w:fldCharType="separate"/>
                    </w:r>
                    <w:r w:rsidR="00AA1174">
                      <w:t>2025-0000671162</w:t>
                    </w:r>
                    <w:r w:rsidR="00AA1174">
                      <w:fldChar w:fldCharType="end"/>
                    </w:r>
                  </w:p>
                  <w:p w:rsidR="00A13F89" w14:paraId="1CF9773B" w14:textId="77777777">
                    <w:pPr>
                      <w:pStyle w:val="WitregelW1"/>
                    </w:pPr>
                  </w:p>
                  <w:p w:rsidR="00A13F89" w14:paraId="295FC1A2" w14:textId="77777777">
                    <w:pPr>
                      <w:pStyle w:val="Referentiegegevensbold"/>
                    </w:pPr>
                    <w:r>
                      <w:t>Uw referentie</w:t>
                    </w:r>
                  </w:p>
                  <w:p w:rsidR="008D4255" w14:paraId="59943B2E"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Tekstvak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D425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Tekstvak 13"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8D4255" w14:paraId="2A9CCE8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Tekstvak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67246" w14:textId="77777777"/>
                      </w:txbxContent>
                    </wps:txbx>
                    <wps:bodyPr vert="horz" wrap="square" lIns="0" tIns="0" rIns="0" bIns="0" anchor="t" anchorCtr="0"/>
                  </wps:wsp>
                </a:graphicData>
              </a:graphic>
            </wp:anchor>
          </w:drawing>
        </mc:Choice>
        <mc:Fallback>
          <w:pict>
            <v:shape id="Tekstvak 1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767246" w14:paraId="66E3E94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D723BD"/>
    <w:multiLevelType w:val="multilevel"/>
    <w:tmpl w:val="3F03BE8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D571E08"/>
    <w:multiLevelType w:val="multilevel"/>
    <w:tmpl w:val="3E439BC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DBC4199"/>
    <w:multiLevelType w:val="multilevel"/>
    <w:tmpl w:val="C457F1C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7B43A58"/>
    <w:multiLevelType w:val="hybridMultilevel"/>
    <w:tmpl w:val="C6068994"/>
    <w:lvl w:ilvl="0">
      <w:start w:val="4"/>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053589"/>
    <w:multiLevelType w:val="hybridMultilevel"/>
    <w:tmpl w:val="3D08AE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95D3749"/>
    <w:multiLevelType w:val="hybridMultilevel"/>
    <w:tmpl w:val="33F0D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3F08EE"/>
    <w:multiLevelType w:val="hybridMultilevel"/>
    <w:tmpl w:val="55921D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9491A9B"/>
    <w:multiLevelType w:val="hybridMultilevel"/>
    <w:tmpl w:val="2FA2C488"/>
    <w:lvl w:ilvl="0">
      <w:start w:val="1"/>
      <w:numFmt w:val="lowerRoman"/>
      <w:lvlText w:val="(%1)"/>
      <w:lvlJc w:val="left"/>
      <w:pPr>
        <w:ind w:left="1004" w:hanging="72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8">
    <w:nsid w:val="2F3A7299"/>
    <w:multiLevelType w:val="hybridMultilevel"/>
    <w:tmpl w:val="CF96489E"/>
    <w:lvl w:ilvl="0">
      <w:start w:val="1"/>
      <w:numFmt w:val="bullet"/>
      <w:lvlText w:val=""/>
      <w:lvlJc w:val="left"/>
      <w:pPr>
        <w:ind w:left="720" w:hanging="72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411396C"/>
    <w:multiLevelType w:val="hybridMultilevel"/>
    <w:tmpl w:val="6D8040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E087BF1"/>
    <w:multiLevelType w:val="hybridMultilevel"/>
    <w:tmpl w:val="2FF415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FD16A07"/>
    <w:multiLevelType w:val="hybridMultilevel"/>
    <w:tmpl w:val="4EF2251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B8EEA7"/>
    <w:multiLevelType w:val="multilevel"/>
    <w:tmpl w:val="33D9E22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nsid w:val="5377441D"/>
    <w:multiLevelType w:val="hybridMultilevel"/>
    <w:tmpl w:val="A2C85DD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548D7F38"/>
    <w:multiLevelType w:val="hybridMultilevel"/>
    <w:tmpl w:val="AC6E882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4F1479"/>
    <w:multiLevelType w:val="hybridMultilevel"/>
    <w:tmpl w:val="480C8820"/>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4A8552A"/>
    <w:multiLevelType w:val="multilevel"/>
    <w:tmpl w:val="EAD9B7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nsid w:val="651B0CED"/>
    <w:multiLevelType w:val="hybridMultilevel"/>
    <w:tmpl w:val="4642D2C8"/>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8">
    <w:nsid w:val="6AC00CF3"/>
    <w:multiLevelType w:val="multilevel"/>
    <w:tmpl w:val="DDFA6302"/>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rPr>
        <w:b w:val="0"/>
        <w:bCs w:val="0"/>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183F05"/>
    <w:multiLevelType w:val="hybridMultilevel"/>
    <w:tmpl w:val="E5A45BC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2562444">
    <w:abstractNumId w:val="1"/>
  </w:num>
  <w:num w:numId="2" w16cid:durableId="55706119">
    <w:abstractNumId w:val="12"/>
  </w:num>
  <w:num w:numId="3" w16cid:durableId="433329314">
    <w:abstractNumId w:val="2"/>
  </w:num>
  <w:num w:numId="4" w16cid:durableId="684526443">
    <w:abstractNumId w:val="0"/>
  </w:num>
  <w:num w:numId="5" w16cid:durableId="483352647">
    <w:abstractNumId w:val="16"/>
  </w:num>
  <w:num w:numId="6" w16cid:durableId="1033070118">
    <w:abstractNumId w:val="4"/>
  </w:num>
  <w:num w:numId="7" w16cid:durableId="1160778612">
    <w:abstractNumId w:val="3"/>
  </w:num>
  <w:num w:numId="8" w16cid:durableId="828249730">
    <w:abstractNumId w:val="6"/>
  </w:num>
  <w:num w:numId="9" w16cid:durableId="898394456">
    <w:abstractNumId w:val="9"/>
  </w:num>
  <w:num w:numId="10" w16cid:durableId="397825906">
    <w:abstractNumId w:val="7"/>
  </w:num>
  <w:num w:numId="11" w16cid:durableId="1353265532">
    <w:abstractNumId w:val="5"/>
  </w:num>
  <w:num w:numId="12" w16cid:durableId="10643532">
    <w:abstractNumId w:val="15"/>
  </w:num>
  <w:num w:numId="13" w16cid:durableId="1362588799">
    <w:abstractNumId w:val="8"/>
  </w:num>
  <w:num w:numId="14" w16cid:durableId="193273830">
    <w:abstractNumId w:val="11"/>
  </w:num>
  <w:num w:numId="15" w16cid:durableId="402945120">
    <w:abstractNumId w:val="14"/>
  </w:num>
  <w:num w:numId="16" w16cid:durableId="767164461">
    <w:abstractNumId w:val="17"/>
  </w:num>
  <w:num w:numId="17" w16cid:durableId="2104494826">
    <w:abstractNumId w:val="19"/>
  </w:num>
  <w:num w:numId="18" w16cid:durableId="1197237638">
    <w:abstractNumId w:val="18"/>
  </w:num>
  <w:num w:numId="19" w16cid:durableId="1658924272">
    <w:abstractNumId w:val="10"/>
  </w:num>
  <w:num w:numId="20" w16cid:durableId="1608152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F89"/>
    <w:rsid w:val="00002851"/>
    <w:rsid w:val="00003027"/>
    <w:rsid w:val="0000457F"/>
    <w:rsid w:val="000058D2"/>
    <w:rsid w:val="00006DD5"/>
    <w:rsid w:val="00007DBF"/>
    <w:rsid w:val="00011858"/>
    <w:rsid w:val="000125E2"/>
    <w:rsid w:val="00015501"/>
    <w:rsid w:val="00015756"/>
    <w:rsid w:val="0001637D"/>
    <w:rsid w:val="00016969"/>
    <w:rsid w:val="00020358"/>
    <w:rsid w:val="000238C2"/>
    <w:rsid w:val="00024821"/>
    <w:rsid w:val="0002576C"/>
    <w:rsid w:val="00025F37"/>
    <w:rsid w:val="000317EA"/>
    <w:rsid w:val="00031D77"/>
    <w:rsid w:val="00035265"/>
    <w:rsid w:val="0003539B"/>
    <w:rsid w:val="00035A41"/>
    <w:rsid w:val="00042CBE"/>
    <w:rsid w:val="00050705"/>
    <w:rsid w:val="000527C0"/>
    <w:rsid w:val="00053F4B"/>
    <w:rsid w:val="0005549E"/>
    <w:rsid w:val="00056935"/>
    <w:rsid w:val="0006127B"/>
    <w:rsid w:val="0007122D"/>
    <w:rsid w:val="00072624"/>
    <w:rsid w:val="00074AC8"/>
    <w:rsid w:val="000770EB"/>
    <w:rsid w:val="00086AE8"/>
    <w:rsid w:val="0009240F"/>
    <w:rsid w:val="00094B05"/>
    <w:rsid w:val="00094BA2"/>
    <w:rsid w:val="0009665C"/>
    <w:rsid w:val="000979DD"/>
    <w:rsid w:val="000A414E"/>
    <w:rsid w:val="000A60FB"/>
    <w:rsid w:val="000A67C2"/>
    <w:rsid w:val="000A7531"/>
    <w:rsid w:val="000B2B3C"/>
    <w:rsid w:val="000B5A44"/>
    <w:rsid w:val="000C1FB8"/>
    <w:rsid w:val="000C7A80"/>
    <w:rsid w:val="000D1941"/>
    <w:rsid w:val="000D2365"/>
    <w:rsid w:val="000D5F53"/>
    <w:rsid w:val="000E4098"/>
    <w:rsid w:val="000E50A3"/>
    <w:rsid w:val="000E5F1F"/>
    <w:rsid w:val="000F55C7"/>
    <w:rsid w:val="001030C8"/>
    <w:rsid w:val="0010643A"/>
    <w:rsid w:val="00107D9E"/>
    <w:rsid w:val="00111B71"/>
    <w:rsid w:val="00112BE1"/>
    <w:rsid w:val="001140F3"/>
    <w:rsid w:val="00116673"/>
    <w:rsid w:val="00122D96"/>
    <w:rsid w:val="00126272"/>
    <w:rsid w:val="00130FC3"/>
    <w:rsid w:val="001331ED"/>
    <w:rsid w:val="001332BC"/>
    <w:rsid w:val="001334E9"/>
    <w:rsid w:val="001362CB"/>
    <w:rsid w:val="00142094"/>
    <w:rsid w:val="001439AA"/>
    <w:rsid w:val="0014472F"/>
    <w:rsid w:val="00144B8B"/>
    <w:rsid w:val="00145C13"/>
    <w:rsid w:val="00155356"/>
    <w:rsid w:val="0015694E"/>
    <w:rsid w:val="00166085"/>
    <w:rsid w:val="001725EC"/>
    <w:rsid w:val="00177B5E"/>
    <w:rsid w:val="0018323B"/>
    <w:rsid w:val="0018330E"/>
    <w:rsid w:val="00184BC7"/>
    <w:rsid w:val="0019118C"/>
    <w:rsid w:val="00191AC9"/>
    <w:rsid w:val="00193CE4"/>
    <w:rsid w:val="00196997"/>
    <w:rsid w:val="001A0200"/>
    <w:rsid w:val="001B2D81"/>
    <w:rsid w:val="001B59E9"/>
    <w:rsid w:val="001C0B92"/>
    <w:rsid w:val="001C373D"/>
    <w:rsid w:val="001C5AF8"/>
    <w:rsid w:val="001D1167"/>
    <w:rsid w:val="001D25ED"/>
    <w:rsid w:val="001D57E6"/>
    <w:rsid w:val="001E2D32"/>
    <w:rsid w:val="001E477C"/>
    <w:rsid w:val="001E4F9B"/>
    <w:rsid w:val="001E578B"/>
    <w:rsid w:val="001E678E"/>
    <w:rsid w:val="001E6E6D"/>
    <w:rsid w:val="001F0CF0"/>
    <w:rsid w:val="001F2409"/>
    <w:rsid w:val="001F2AF4"/>
    <w:rsid w:val="001F4CCA"/>
    <w:rsid w:val="001F5367"/>
    <w:rsid w:val="001F5E1C"/>
    <w:rsid w:val="002038C4"/>
    <w:rsid w:val="00204764"/>
    <w:rsid w:val="0020787E"/>
    <w:rsid w:val="00207EFB"/>
    <w:rsid w:val="002117A2"/>
    <w:rsid w:val="00212B66"/>
    <w:rsid w:val="0021598B"/>
    <w:rsid w:val="00222C5A"/>
    <w:rsid w:val="00224BB7"/>
    <w:rsid w:val="00226C45"/>
    <w:rsid w:val="0023635D"/>
    <w:rsid w:val="002367BF"/>
    <w:rsid w:val="002376DA"/>
    <w:rsid w:val="00237A89"/>
    <w:rsid w:val="002461FA"/>
    <w:rsid w:val="00252866"/>
    <w:rsid w:val="00255105"/>
    <w:rsid w:val="00256A1F"/>
    <w:rsid w:val="0026105D"/>
    <w:rsid w:val="002613C0"/>
    <w:rsid w:val="002644D9"/>
    <w:rsid w:val="002645B6"/>
    <w:rsid w:val="002667A1"/>
    <w:rsid w:val="002722C3"/>
    <w:rsid w:val="00286F37"/>
    <w:rsid w:val="00291413"/>
    <w:rsid w:val="00291DCB"/>
    <w:rsid w:val="002B16FE"/>
    <w:rsid w:val="002B2C64"/>
    <w:rsid w:val="002B6B07"/>
    <w:rsid w:val="002B773E"/>
    <w:rsid w:val="002C0729"/>
    <w:rsid w:val="002C0E71"/>
    <w:rsid w:val="002C1A30"/>
    <w:rsid w:val="002C3BB2"/>
    <w:rsid w:val="002D0E30"/>
    <w:rsid w:val="002D1CA2"/>
    <w:rsid w:val="002D6646"/>
    <w:rsid w:val="002E02B8"/>
    <w:rsid w:val="002E0384"/>
    <w:rsid w:val="002E1C79"/>
    <w:rsid w:val="002F039E"/>
    <w:rsid w:val="002F07A2"/>
    <w:rsid w:val="002F0B51"/>
    <w:rsid w:val="002F4FDB"/>
    <w:rsid w:val="002F5095"/>
    <w:rsid w:val="002F7473"/>
    <w:rsid w:val="003011E3"/>
    <w:rsid w:val="003025A5"/>
    <w:rsid w:val="00302802"/>
    <w:rsid w:val="00303C37"/>
    <w:rsid w:val="00304607"/>
    <w:rsid w:val="00305B95"/>
    <w:rsid w:val="00307187"/>
    <w:rsid w:val="00311A80"/>
    <w:rsid w:val="0031632D"/>
    <w:rsid w:val="003163FB"/>
    <w:rsid w:val="00316557"/>
    <w:rsid w:val="003205B6"/>
    <w:rsid w:val="00321D90"/>
    <w:rsid w:val="003221C5"/>
    <w:rsid w:val="0032332F"/>
    <w:rsid w:val="00332B0E"/>
    <w:rsid w:val="003470F4"/>
    <w:rsid w:val="003559E8"/>
    <w:rsid w:val="00366EA0"/>
    <w:rsid w:val="003670BB"/>
    <w:rsid w:val="00370279"/>
    <w:rsid w:val="003716DE"/>
    <w:rsid w:val="003723D9"/>
    <w:rsid w:val="00374885"/>
    <w:rsid w:val="00376139"/>
    <w:rsid w:val="003775CF"/>
    <w:rsid w:val="00382F75"/>
    <w:rsid w:val="00386FCC"/>
    <w:rsid w:val="003A0971"/>
    <w:rsid w:val="003A39C7"/>
    <w:rsid w:val="003A52D0"/>
    <w:rsid w:val="003B3461"/>
    <w:rsid w:val="003C1D5A"/>
    <w:rsid w:val="003C1F1F"/>
    <w:rsid w:val="003C7749"/>
    <w:rsid w:val="003D219E"/>
    <w:rsid w:val="003D6D22"/>
    <w:rsid w:val="003E0B30"/>
    <w:rsid w:val="003E539B"/>
    <w:rsid w:val="003E5449"/>
    <w:rsid w:val="003E55D0"/>
    <w:rsid w:val="003F23B5"/>
    <w:rsid w:val="003F2554"/>
    <w:rsid w:val="003F7AD3"/>
    <w:rsid w:val="0040288E"/>
    <w:rsid w:val="0040635A"/>
    <w:rsid w:val="00406F90"/>
    <w:rsid w:val="00410532"/>
    <w:rsid w:val="0041239B"/>
    <w:rsid w:val="0041449C"/>
    <w:rsid w:val="004172FB"/>
    <w:rsid w:val="00417E3D"/>
    <w:rsid w:val="00422C3F"/>
    <w:rsid w:val="0042582E"/>
    <w:rsid w:val="0042750E"/>
    <w:rsid w:val="00431018"/>
    <w:rsid w:val="0043760C"/>
    <w:rsid w:val="00441802"/>
    <w:rsid w:val="00441FBD"/>
    <w:rsid w:val="00444FD8"/>
    <w:rsid w:val="00445544"/>
    <w:rsid w:val="004463E6"/>
    <w:rsid w:val="004522A8"/>
    <w:rsid w:val="00455A37"/>
    <w:rsid w:val="00457EF4"/>
    <w:rsid w:val="004631C2"/>
    <w:rsid w:val="0047313A"/>
    <w:rsid w:val="00481771"/>
    <w:rsid w:val="004831F0"/>
    <w:rsid w:val="00483EAF"/>
    <w:rsid w:val="004875B5"/>
    <w:rsid w:val="004940F2"/>
    <w:rsid w:val="00497117"/>
    <w:rsid w:val="004A1398"/>
    <w:rsid w:val="004A3DFC"/>
    <w:rsid w:val="004A4676"/>
    <w:rsid w:val="004A5D30"/>
    <w:rsid w:val="004B4368"/>
    <w:rsid w:val="004C170D"/>
    <w:rsid w:val="004C17FD"/>
    <w:rsid w:val="004C2DC8"/>
    <w:rsid w:val="004C3630"/>
    <w:rsid w:val="004C3841"/>
    <w:rsid w:val="004C565C"/>
    <w:rsid w:val="004C56A4"/>
    <w:rsid w:val="004D2EDE"/>
    <w:rsid w:val="004D4982"/>
    <w:rsid w:val="004D5A70"/>
    <w:rsid w:val="004E2939"/>
    <w:rsid w:val="004E2F54"/>
    <w:rsid w:val="004E3ED4"/>
    <w:rsid w:val="004E4BBA"/>
    <w:rsid w:val="004F3092"/>
    <w:rsid w:val="004F329D"/>
    <w:rsid w:val="004F720B"/>
    <w:rsid w:val="00500638"/>
    <w:rsid w:val="005038B1"/>
    <w:rsid w:val="005038DE"/>
    <w:rsid w:val="00512368"/>
    <w:rsid w:val="005161A4"/>
    <w:rsid w:val="00517D44"/>
    <w:rsid w:val="005242F7"/>
    <w:rsid w:val="0052456C"/>
    <w:rsid w:val="00531BBD"/>
    <w:rsid w:val="0053219E"/>
    <w:rsid w:val="00536AFE"/>
    <w:rsid w:val="005373FE"/>
    <w:rsid w:val="005427DD"/>
    <w:rsid w:val="00544DF2"/>
    <w:rsid w:val="00547609"/>
    <w:rsid w:val="00551D14"/>
    <w:rsid w:val="00552E7A"/>
    <w:rsid w:val="005546DA"/>
    <w:rsid w:val="00554D6D"/>
    <w:rsid w:val="00555C9A"/>
    <w:rsid w:val="005563A2"/>
    <w:rsid w:val="00557D5C"/>
    <w:rsid w:val="0056083E"/>
    <w:rsid w:val="00560CA6"/>
    <w:rsid w:val="00564445"/>
    <w:rsid w:val="00564DBB"/>
    <w:rsid w:val="00566A93"/>
    <w:rsid w:val="0057252E"/>
    <w:rsid w:val="00573EF7"/>
    <w:rsid w:val="00575469"/>
    <w:rsid w:val="00576F50"/>
    <w:rsid w:val="00582164"/>
    <w:rsid w:val="005825AF"/>
    <w:rsid w:val="0058264C"/>
    <w:rsid w:val="00583DA6"/>
    <w:rsid w:val="00584F9B"/>
    <w:rsid w:val="00585827"/>
    <w:rsid w:val="00585DAD"/>
    <w:rsid w:val="005904EF"/>
    <w:rsid w:val="00593E20"/>
    <w:rsid w:val="0059428E"/>
    <w:rsid w:val="005A11D6"/>
    <w:rsid w:val="005A74B0"/>
    <w:rsid w:val="005B3F1B"/>
    <w:rsid w:val="005B6523"/>
    <w:rsid w:val="005C1935"/>
    <w:rsid w:val="005C2CFB"/>
    <w:rsid w:val="005D76A3"/>
    <w:rsid w:val="005E1E5A"/>
    <w:rsid w:val="005E2492"/>
    <w:rsid w:val="005E3C05"/>
    <w:rsid w:val="005E3D33"/>
    <w:rsid w:val="005E4608"/>
    <w:rsid w:val="005E49C1"/>
    <w:rsid w:val="005F1995"/>
    <w:rsid w:val="005F6D91"/>
    <w:rsid w:val="00615731"/>
    <w:rsid w:val="00620CB9"/>
    <w:rsid w:val="00623F0E"/>
    <w:rsid w:val="006253F6"/>
    <w:rsid w:val="00626F40"/>
    <w:rsid w:val="0063106A"/>
    <w:rsid w:val="0063590C"/>
    <w:rsid w:val="00642D73"/>
    <w:rsid w:val="00656031"/>
    <w:rsid w:val="00662EF6"/>
    <w:rsid w:val="0066741B"/>
    <w:rsid w:val="006676AB"/>
    <w:rsid w:val="00671631"/>
    <w:rsid w:val="00672EAF"/>
    <w:rsid w:val="00673F8F"/>
    <w:rsid w:val="0067431D"/>
    <w:rsid w:val="00676EB7"/>
    <w:rsid w:val="006770C1"/>
    <w:rsid w:val="00687017"/>
    <w:rsid w:val="006926B0"/>
    <w:rsid w:val="00696ED9"/>
    <w:rsid w:val="00697124"/>
    <w:rsid w:val="006A1B84"/>
    <w:rsid w:val="006A1ECA"/>
    <w:rsid w:val="006A2A56"/>
    <w:rsid w:val="006A48AB"/>
    <w:rsid w:val="006A4A93"/>
    <w:rsid w:val="006B0CA6"/>
    <w:rsid w:val="006C0C15"/>
    <w:rsid w:val="006C3DD4"/>
    <w:rsid w:val="006C5B91"/>
    <w:rsid w:val="006C7AD9"/>
    <w:rsid w:val="006D431D"/>
    <w:rsid w:val="006D5EB6"/>
    <w:rsid w:val="006E4911"/>
    <w:rsid w:val="006F18B1"/>
    <w:rsid w:val="006F3406"/>
    <w:rsid w:val="006F37A0"/>
    <w:rsid w:val="006F6BB6"/>
    <w:rsid w:val="006F71FB"/>
    <w:rsid w:val="006F7464"/>
    <w:rsid w:val="007001DC"/>
    <w:rsid w:val="00701071"/>
    <w:rsid w:val="007078F8"/>
    <w:rsid w:val="00707D9D"/>
    <w:rsid w:val="0071264D"/>
    <w:rsid w:val="00713270"/>
    <w:rsid w:val="007150B9"/>
    <w:rsid w:val="0071527C"/>
    <w:rsid w:val="007154E8"/>
    <w:rsid w:val="00722574"/>
    <w:rsid w:val="00725A72"/>
    <w:rsid w:val="00725F08"/>
    <w:rsid w:val="007313CD"/>
    <w:rsid w:val="00747007"/>
    <w:rsid w:val="00751A7E"/>
    <w:rsid w:val="0075264C"/>
    <w:rsid w:val="00755291"/>
    <w:rsid w:val="00757C40"/>
    <w:rsid w:val="00767246"/>
    <w:rsid w:val="00770028"/>
    <w:rsid w:val="007765A9"/>
    <w:rsid w:val="007813B3"/>
    <w:rsid w:val="00782C9D"/>
    <w:rsid w:val="00787864"/>
    <w:rsid w:val="00787C02"/>
    <w:rsid w:val="007910DB"/>
    <w:rsid w:val="007916DA"/>
    <w:rsid w:val="00792D81"/>
    <w:rsid w:val="007975CC"/>
    <w:rsid w:val="007A0258"/>
    <w:rsid w:val="007A32E9"/>
    <w:rsid w:val="007A6B84"/>
    <w:rsid w:val="007A77CA"/>
    <w:rsid w:val="007A7C83"/>
    <w:rsid w:val="007B25D4"/>
    <w:rsid w:val="007C186B"/>
    <w:rsid w:val="007C2D29"/>
    <w:rsid w:val="007C4070"/>
    <w:rsid w:val="007D0369"/>
    <w:rsid w:val="007D2554"/>
    <w:rsid w:val="007D2F39"/>
    <w:rsid w:val="007D5101"/>
    <w:rsid w:val="007D5603"/>
    <w:rsid w:val="007D6213"/>
    <w:rsid w:val="007E45B5"/>
    <w:rsid w:val="007E6E11"/>
    <w:rsid w:val="007F27C1"/>
    <w:rsid w:val="007F2B74"/>
    <w:rsid w:val="007F5491"/>
    <w:rsid w:val="007F5910"/>
    <w:rsid w:val="00801F0E"/>
    <w:rsid w:val="0080522D"/>
    <w:rsid w:val="008124BD"/>
    <w:rsid w:val="00822B6C"/>
    <w:rsid w:val="00823D93"/>
    <w:rsid w:val="0082767A"/>
    <w:rsid w:val="00831C94"/>
    <w:rsid w:val="00840309"/>
    <w:rsid w:val="00841CBB"/>
    <w:rsid w:val="008431D8"/>
    <w:rsid w:val="00852A17"/>
    <w:rsid w:val="0085578C"/>
    <w:rsid w:val="008579D9"/>
    <w:rsid w:val="0086081E"/>
    <w:rsid w:val="00862DB1"/>
    <w:rsid w:val="00872F04"/>
    <w:rsid w:val="00872F09"/>
    <w:rsid w:val="008808D1"/>
    <w:rsid w:val="00883C68"/>
    <w:rsid w:val="00887644"/>
    <w:rsid w:val="008905DF"/>
    <w:rsid w:val="00896B13"/>
    <w:rsid w:val="008A36ED"/>
    <w:rsid w:val="008A370B"/>
    <w:rsid w:val="008A52DA"/>
    <w:rsid w:val="008A548C"/>
    <w:rsid w:val="008A6565"/>
    <w:rsid w:val="008B34FA"/>
    <w:rsid w:val="008B7275"/>
    <w:rsid w:val="008C072C"/>
    <w:rsid w:val="008C2191"/>
    <w:rsid w:val="008C2A9F"/>
    <w:rsid w:val="008C3B2E"/>
    <w:rsid w:val="008C3F1D"/>
    <w:rsid w:val="008C52D4"/>
    <w:rsid w:val="008C5D0E"/>
    <w:rsid w:val="008D1C0D"/>
    <w:rsid w:val="008D4255"/>
    <w:rsid w:val="008E0A94"/>
    <w:rsid w:val="008E2079"/>
    <w:rsid w:val="008E3697"/>
    <w:rsid w:val="008E3A19"/>
    <w:rsid w:val="008E3F00"/>
    <w:rsid w:val="008F05E4"/>
    <w:rsid w:val="008F0DA3"/>
    <w:rsid w:val="008F1076"/>
    <w:rsid w:val="008F1ADC"/>
    <w:rsid w:val="008F2983"/>
    <w:rsid w:val="008F3DA4"/>
    <w:rsid w:val="009001F5"/>
    <w:rsid w:val="0090303F"/>
    <w:rsid w:val="00903609"/>
    <w:rsid w:val="00903C2E"/>
    <w:rsid w:val="0091232F"/>
    <w:rsid w:val="00915DCD"/>
    <w:rsid w:val="009163E9"/>
    <w:rsid w:val="009232B6"/>
    <w:rsid w:val="0092454E"/>
    <w:rsid w:val="00925713"/>
    <w:rsid w:val="00925E63"/>
    <w:rsid w:val="0092688C"/>
    <w:rsid w:val="009270BF"/>
    <w:rsid w:val="0093125D"/>
    <w:rsid w:val="00936106"/>
    <w:rsid w:val="00936CE8"/>
    <w:rsid w:val="009433AE"/>
    <w:rsid w:val="0094447D"/>
    <w:rsid w:val="00946344"/>
    <w:rsid w:val="00946FEA"/>
    <w:rsid w:val="00952AF8"/>
    <w:rsid w:val="00953C57"/>
    <w:rsid w:val="00955B79"/>
    <w:rsid w:val="0095756E"/>
    <w:rsid w:val="0096162A"/>
    <w:rsid w:val="00963E07"/>
    <w:rsid w:val="00964A53"/>
    <w:rsid w:val="009670EC"/>
    <w:rsid w:val="009739DA"/>
    <w:rsid w:val="00973ACC"/>
    <w:rsid w:val="00976341"/>
    <w:rsid w:val="0097787F"/>
    <w:rsid w:val="009839CA"/>
    <w:rsid w:val="00995F49"/>
    <w:rsid w:val="00997476"/>
    <w:rsid w:val="009A59AA"/>
    <w:rsid w:val="009A5CE0"/>
    <w:rsid w:val="009A7FD5"/>
    <w:rsid w:val="009C0D0F"/>
    <w:rsid w:val="009D6E86"/>
    <w:rsid w:val="009D7B93"/>
    <w:rsid w:val="009E36FE"/>
    <w:rsid w:val="009E3B66"/>
    <w:rsid w:val="009F0BF7"/>
    <w:rsid w:val="009F18A5"/>
    <w:rsid w:val="009F1F64"/>
    <w:rsid w:val="009F2EE1"/>
    <w:rsid w:val="009F3786"/>
    <w:rsid w:val="009F509C"/>
    <w:rsid w:val="00A001A7"/>
    <w:rsid w:val="00A0573C"/>
    <w:rsid w:val="00A058BA"/>
    <w:rsid w:val="00A05BF9"/>
    <w:rsid w:val="00A05BFB"/>
    <w:rsid w:val="00A06BF2"/>
    <w:rsid w:val="00A114DA"/>
    <w:rsid w:val="00A129F8"/>
    <w:rsid w:val="00A13F89"/>
    <w:rsid w:val="00A201DD"/>
    <w:rsid w:val="00A22793"/>
    <w:rsid w:val="00A2296D"/>
    <w:rsid w:val="00A23E84"/>
    <w:rsid w:val="00A23EBE"/>
    <w:rsid w:val="00A3286C"/>
    <w:rsid w:val="00A403DB"/>
    <w:rsid w:val="00A40A58"/>
    <w:rsid w:val="00A43EC9"/>
    <w:rsid w:val="00A44818"/>
    <w:rsid w:val="00A47858"/>
    <w:rsid w:val="00A55F50"/>
    <w:rsid w:val="00A564ED"/>
    <w:rsid w:val="00A65D6D"/>
    <w:rsid w:val="00A660B2"/>
    <w:rsid w:val="00A701D5"/>
    <w:rsid w:val="00A71B1F"/>
    <w:rsid w:val="00A818B8"/>
    <w:rsid w:val="00A854F5"/>
    <w:rsid w:val="00A85882"/>
    <w:rsid w:val="00A85DCF"/>
    <w:rsid w:val="00A872B8"/>
    <w:rsid w:val="00A8771E"/>
    <w:rsid w:val="00A87997"/>
    <w:rsid w:val="00A90D41"/>
    <w:rsid w:val="00A972C9"/>
    <w:rsid w:val="00A97CB4"/>
    <w:rsid w:val="00AA1174"/>
    <w:rsid w:val="00AA475F"/>
    <w:rsid w:val="00AA4AB9"/>
    <w:rsid w:val="00AA6DC3"/>
    <w:rsid w:val="00AB01CC"/>
    <w:rsid w:val="00AB13F9"/>
    <w:rsid w:val="00AB2ABE"/>
    <w:rsid w:val="00AB4364"/>
    <w:rsid w:val="00AC379B"/>
    <w:rsid w:val="00AC5866"/>
    <w:rsid w:val="00AC6D77"/>
    <w:rsid w:val="00AD10E4"/>
    <w:rsid w:val="00AD1A9A"/>
    <w:rsid w:val="00AD3B6B"/>
    <w:rsid w:val="00AD6E0F"/>
    <w:rsid w:val="00AE00D9"/>
    <w:rsid w:val="00AE05EE"/>
    <w:rsid w:val="00AE39E0"/>
    <w:rsid w:val="00AE77C6"/>
    <w:rsid w:val="00AE7F3B"/>
    <w:rsid w:val="00AF56A9"/>
    <w:rsid w:val="00AF5BCF"/>
    <w:rsid w:val="00AF6FD8"/>
    <w:rsid w:val="00AF765B"/>
    <w:rsid w:val="00AF7F5E"/>
    <w:rsid w:val="00B00FBE"/>
    <w:rsid w:val="00B03DE5"/>
    <w:rsid w:val="00B03FC0"/>
    <w:rsid w:val="00B0424F"/>
    <w:rsid w:val="00B0523B"/>
    <w:rsid w:val="00B06052"/>
    <w:rsid w:val="00B10364"/>
    <w:rsid w:val="00B1178D"/>
    <w:rsid w:val="00B138CF"/>
    <w:rsid w:val="00B20127"/>
    <w:rsid w:val="00B20D4F"/>
    <w:rsid w:val="00B22C96"/>
    <w:rsid w:val="00B237F5"/>
    <w:rsid w:val="00B24532"/>
    <w:rsid w:val="00B30FAE"/>
    <w:rsid w:val="00B32B9A"/>
    <w:rsid w:val="00B37CAC"/>
    <w:rsid w:val="00B5679C"/>
    <w:rsid w:val="00B57D48"/>
    <w:rsid w:val="00B60D9E"/>
    <w:rsid w:val="00B629AB"/>
    <w:rsid w:val="00B63359"/>
    <w:rsid w:val="00B70D99"/>
    <w:rsid w:val="00B7406B"/>
    <w:rsid w:val="00B75AA3"/>
    <w:rsid w:val="00B76C21"/>
    <w:rsid w:val="00B81B62"/>
    <w:rsid w:val="00B82308"/>
    <w:rsid w:val="00B8668F"/>
    <w:rsid w:val="00B87B21"/>
    <w:rsid w:val="00B92C7A"/>
    <w:rsid w:val="00B948EE"/>
    <w:rsid w:val="00B967A5"/>
    <w:rsid w:val="00B96FE9"/>
    <w:rsid w:val="00B978F0"/>
    <w:rsid w:val="00BA055B"/>
    <w:rsid w:val="00BA6220"/>
    <w:rsid w:val="00BA7E02"/>
    <w:rsid w:val="00BB088B"/>
    <w:rsid w:val="00BB0F28"/>
    <w:rsid w:val="00BB1B8F"/>
    <w:rsid w:val="00BB6597"/>
    <w:rsid w:val="00BC2400"/>
    <w:rsid w:val="00BD0E36"/>
    <w:rsid w:val="00BD527D"/>
    <w:rsid w:val="00BE2A0C"/>
    <w:rsid w:val="00BE5C98"/>
    <w:rsid w:val="00BF112B"/>
    <w:rsid w:val="00BF448B"/>
    <w:rsid w:val="00BF640E"/>
    <w:rsid w:val="00BF6A07"/>
    <w:rsid w:val="00BF7AFF"/>
    <w:rsid w:val="00C0062F"/>
    <w:rsid w:val="00C01974"/>
    <w:rsid w:val="00C046ED"/>
    <w:rsid w:val="00C06B25"/>
    <w:rsid w:val="00C06CEB"/>
    <w:rsid w:val="00C072F1"/>
    <w:rsid w:val="00C075D6"/>
    <w:rsid w:val="00C11647"/>
    <w:rsid w:val="00C148D7"/>
    <w:rsid w:val="00C206C4"/>
    <w:rsid w:val="00C20F2A"/>
    <w:rsid w:val="00C22C77"/>
    <w:rsid w:val="00C25026"/>
    <w:rsid w:val="00C26E66"/>
    <w:rsid w:val="00C30653"/>
    <w:rsid w:val="00C30FE6"/>
    <w:rsid w:val="00C32EBF"/>
    <w:rsid w:val="00C354B2"/>
    <w:rsid w:val="00C35A78"/>
    <w:rsid w:val="00C35C11"/>
    <w:rsid w:val="00C374A6"/>
    <w:rsid w:val="00C44729"/>
    <w:rsid w:val="00C447FC"/>
    <w:rsid w:val="00C476B1"/>
    <w:rsid w:val="00C51023"/>
    <w:rsid w:val="00C53EBE"/>
    <w:rsid w:val="00C54318"/>
    <w:rsid w:val="00C60BF4"/>
    <w:rsid w:val="00C60D8E"/>
    <w:rsid w:val="00C60F0D"/>
    <w:rsid w:val="00C61B4A"/>
    <w:rsid w:val="00C66F7C"/>
    <w:rsid w:val="00C70004"/>
    <w:rsid w:val="00C70EAE"/>
    <w:rsid w:val="00C74973"/>
    <w:rsid w:val="00C76A89"/>
    <w:rsid w:val="00C77048"/>
    <w:rsid w:val="00C777B6"/>
    <w:rsid w:val="00C80030"/>
    <w:rsid w:val="00C82121"/>
    <w:rsid w:val="00C83253"/>
    <w:rsid w:val="00C8492C"/>
    <w:rsid w:val="00C86863"/>
    <w:rsid w:val="00C86BB1"/>
    <w:rsid w:val="00C906CC"/>
    <w:rsid w:val="00C93393"/>
    <w:rsid w:val="00CA3531"/>
    <w:rsid w:val="00CA60D2"/>
    <w:rsid w:val="00CB07C1"/>
    <w:rsid w:val="00CB2877"/>
    <w:rsid w:val="00CB2F00"/>
    <w:rsid w:val="00CB331A"/>
    <w:rsid w:val="00CC0955"/>
    <w:rsid w:val="00CC1DFC"/>
    <w:rsid w:val="00CC3CF4"/>
    <w:rsid w:val="00CC6217"/>
    <w:rsid w:val="00CD3513"/>
    <w:rsid w:val="00CD4CB2"/>
    <w:rsid w:val="00CD564D"/>
    <w:rsid w:val="00CE2CB3"/>
    <w:rsid w:val="00CE3CD8"/>
    <w:rsid w:val="00CE5A61"/>
    <w:rsid w:val="00CE5FCE"/>
    <w:rsid w:val="00CF27F0"/>
    <w:rsid w:val="00CF7B0A"/>
    <w:rsid w:val="00D064FF"/>
    <w:rsid w:val="00D07ED1"/>
    <w:rsid w:val="00D1013B"/>
    <w:rsid w:val="00D157DA"/>
    <w:rsid w:val="00D15BEA"/>
    <w:rsid w:val="00D15DA1"/>
    <w:rsid w:val="00D173F7"/>
    <w:rsid w:val="00D175F2"/>
    <w:rsid w:val="00D17919"/>
    <w:rsid w:val="00D20045"/>
    <w:rsid w:val="00D215FF"/>
    <w:rsid w:val="00D21672"/>
    <w:rsid w:val="00D24729"/>
    <w:rsid w:val="00D24F6C"/>
    <w:rsid w:val="00D26A67"/>
    <w:rsid w:val="00D3281A"/>
    <w:rsid w:val="00D33062"/>
    <w:rsid w:val="00D35B2E"/>
    <w:rsid w:val="00D42845"/>
    <w:rsid w:val="00D44C8B"/>
    <w:rsid w:val="00D45D4D"/>
    <w:rsid w:val="00D54689"/>
    <w:rsid w:val="00D54B95"/>
    <w:rsid w:val="00D57182"/>
    <w:rsid w:val="00D57707"/>
    <w:rsid w:val="00D60067"/>
    <w:rsid w:val="00D613EF"/>
    <w:rsid w:val="00D64DAA"/>
    <w:rsid w:val="00D65F14"/>
    <w:rsid w:val="00D7270E"/>
    <w:rsid w:val="00D77FE2"/>
    <w:rsid w:val="00D830F7"/>
    <w:rsid w:val="00D8315F"/>
    <w:rsid w:val="00D8424E"/>
    <w:rsid w:val="00D850FD"/>
    <w:rsid w:val="00D857D0"/>
    <w:rsid w:val="00D87590"/>
    <w:rsid w:val="00D93DA3"/>
    <w:rsid w:val="00DB08A5"/>
    <w:rsid w:val="00DB5BDA"/>
    <w:rsid w:val="00DC175E"/>
    <w:rsid w:val="00DC21D2"/>
    <w:rsid w:val="00DC4D08"/>
    <w:rsid w:val="00DC65A3"/>
    <w:rsid w:val="00DC739E"/>
    <w:rsid w:val="00DC7552"/>
    <w:rsid w:val="00DC77B1"/>
    <w:rsid w:val="00DD3672"/>
    <w:rsid w:val="00DD5904"/>
    <w:rsid w:val="00DE3BB3"/>
    <w:rsid w:val="00DE6624"/>
    <w:rsid w:val="00DF1026"/>
    <w:rsid w:val="00DF2307"/>
    <w:rsid w:val="00DF3D8B"/>
    <w:rsid w:val="00DF4551"/>
    <w:rsid w:val="00DF6307"/>
    <w:rsid w:val="00DF7706"/>
    <w:rsid w:val="00E015DD"/>
    <w:rsid w:val="00E02CC9"/>
    <w:rsid w:val="00E1033B"/>
    <w:rsid w:val="00E13656"/>
    <w:rsid w:val="00E1787A"/>
    <w:rsid w:val="00E1793B"/>
    <w:rsid w:val="00E2116D"/>
    <w:rsid w:val="00E23EFF"/>
    <w:rsid w:val="00E2590F"/>
    <w:rsid w:val="00E337C0"/>
    <w:rsid w:val="00E33B62"/>
    <w:rsid w:val="00E36200"/>
    <w:rsid w:val="00E36AF3"/>
    <w:rsid w:val="00E41C8A"/>
    <w:rsid w:val="00E43FAF"/>
    <w:rsid w:val="00E4476A"/>
    <w:rsid w:val="00E50506"/>
    <w:rsid w:val="00E5341A"/>
    <w:rsid w:val="00E54051"/>
    <w:rsid w:val="00E541BB"/>
    <w:rsid w:val="00E54B53"/>
    <w:rsid w:val="00E62F5F"/>
    <w:rsid w:val="00E650DE"/>
    <w:rsid w:val="00E70471"/>
    <w:rsid w:val="00E70606"/>
    <w:rsid w:val="00E71576"/>
    <w:rsid w:val="00E72D9D"/>
    <w:rsid w:val="00E74448"/>
    <w:rsid w:val="00E74BAB"/>
    <w:rsid w:val="00E751E5"/>
    <w:rsid w:val="00E8024D"/>
    <w:rsid w:val="00E83DED"/>
    <w:rsid w:val="00E84A25"/>
    <w:rsid w:val="00E85079"/>
    <w:rsid w:val="00E855B2"/>
    <w:rsid w:val="00E87810"/>
    <w:rsid w:val="00E87D1D"/>
    <w:rsid w:val="00E90689"/>
    <w:rsid w:val="00E91F02"/>
    <w:rsid w:val="00E93648"/>
    <w:rsid w:val="00E94922"/>
    <w:rsid w:val="00E96967"/>
    <w:rsid w:val="00EC13E4"/>
    <w:rsid w:val="00EC1815"/>
    <w:rsid w:val="00EC1C20"/>
    <w:rsid w:val="00EC6299"/>
    <w:rsid w:val="00ED5F6A"/>
    <w:rsid w:val="00EE1AB3"/>
    <w:rsid w:val="00EE1F81"/>
    <w:rsid w:val="00EE3FED"/>
    <w:rsid w:val="00EE6A43"/>
    <w:rsid w:val="00EF092D"/>
    <w:rsid w:val="00EF375B"/>
    <w:rsid w:val="00EF395E"/>
    <w:rsid w:val="00EF7A28"/>
    <w:rsid w:val="00EF7AD3"/>
    <w:rsid w:val="00F03222"/>
    <w:rsid w:val="00F04F46"/>
    <w:rsid w:val="00F06D21"/>
    <w:rsid w:val="00F07068"/>
    <w:rsid w:val="00F12E6C"/>
    <w:rsid w:val="00F16B8E"/>
    <w:rsid w:val="00F20725"/>
    <w:rsid w:val="00F25AE3"/>
    <w:rsid w:val="00F27FEA"/>
    <w:rsid w:val="00F36E29"/>
    <w:rsid w:val="00F42492"/>
    <w:rsid w:val="00F464DF"/>
    <w:rsid w:val="00F54D02"/>
    <w:rsid w:val="00F54FA9"/>
    <w:rsid w:val="00F560A3"/>
    <w:rsid w:val="00F60C83"/>
    <w:rsid w:val="00F61B89"/>
    <w:rsid w:val="00F66475"/>
    <w:rsid w:val="00F70EF6"/>
    <w:rsid w:val="00F72327"/>
    <w:rsid w:val="00F744F7"/>
    <w:rsid w:val="00F748B6"/>
    <w:rsid w:val="00F76D59"/>
    <w:rsid w:val="00F8070F"/>
    <w:rsid w:val="00F81F5D"/>
    <w:rsid w:val="00F82592"/>
    <w:rsid w:val="00F864DB"/>
    <w:rsid w:val="00F91054"/>
    <w:rsid w:val="00F922FD"/>
    <w:rsid w:val="00F928E6"/>
    <w:rsid w:val="00F93FC2"/>
    <w:rsid w:val="00F94EA7"/>
    <w:rsid w:val="00F970AC"/>
    <w:rsid w:val="00F97611"/>
    <w:rsid w:val="00FA1181"/>
    <w:rsid w:val="00FA32B9"/>
    <w:rsid w:val="00FA6AC7"/>
    <w:rsid w:val="00FA73C3"/>
    <w:rsid w:val="00FA7A7D"/>
    <w:rsid w:val="00FB74DC"/>
    <w:rsid w:val="00FC040E"/>
    <w:rsid w:val="00FC0883"/>
    <w:rsid w:val="00FC1263"/>
    <w:rsid w:val="00FC32E0"/>
    <w:rsid w:val="00FD096F"/>
    <w:rsid w:val="00FD76D8"/>
    <w:rsid w:val="00FE12E7"/>
    <w:rsid w:val="00FE24AB"/>
    <w:rsid w:val="00FE4689"/>
    <w:rsid w:val="00FE6319"/>
    <w:rsid w:val="00FE735E"/>
    <w:rsid w:val="00FF0597"/>
    <w:rsid w:val="00FF09CB"/>
    <w:rsid w:val="00FF5AF9"/>
    <w:rsid w:val="00FF6FD5"/>
    <w:rsid w:val="00FF72C1"/>
    <w:rsid w:val="00FF7AB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4C24323"/>
  <w15:docId w15:val="{7EE81EB2-D380-45B3-95A4-138A1290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D02"/>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uiPriority w:val="39"/>
    <w:pPr>
      <w:spacing w:line="240" w:lineRule="exact"/>
    </w:pPr>
  </w:style>
  <w:style w:type="paragraph" w:styleId="TOC2">
    <w:name w:val="toc 2"/>
    <w:basedOn w:val="TOC1"/>
    <w:next w:val="Normal"/>
    <w:uiPriority w:val="39"/>
  </w:style>
  <w:style w:type="paragraph" w:styleId="TOC3">
    <w:name w:val="toc 3"/>
    <w:basedOn w:val="TOC2"/>
    <w:next w:val="Normal"/>
    <w:uiPriority w:val="39"/>
  </w:style>
  <w:style w:type="paragraph" w:styleId="TOC4">
    <w:name w:val="toc 4"/>
    <w:basedOn w:val="TOC3"/>
    <w:next w:val="Normal"/>
    <w:uiPriority w:val="39"/>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872B8"/>
    <w:pPr>
      <w:tabs>
        <w:tab w:val="center" w:pos="4536"/>
        <w:tab w:val="right" w:pos="9072"/>
      </w:tabs>
      <w:spacing w:line="240" w:lineRule="auto"/>
    </w:pPr>
  </w:style>
  <w:style w:type="character" w:customStyle="1" w:styleId="KoptekstChar">
    <w:name w:val="Koptekst Char"/>
    <w:basedOn w:val="DefaultParagraphFont"/>
    <w:link w:val="Header"/>
    <w:uiPriority w:val="99"/>
    <w:rsid w:val="00A872B8"/>
    <w:rPr>
      <w:rFonts w:ascii="Verdana" w:hAnsi="Verdana"/>
      <w:color w:val="000000"/>
      <w:sz w:val="18"/>
      <w:szCs w:val="18"/>
    </w:rPr>
  </w:style>
  <w:style w:type="paragraph" w:styleId="Footer">
    <w:name w:val="footer"/>
    <w:basedOn w:val="Normal"/>
    <w:link w:val="VoettekstChar"/>
    <w:uiPriority w:val="99"/>
    <w:unhideWhenUsed/>
    <w:rsid w:val="00A872B8"/>
    <w:pPr>
      <w:tabs>
        <w:tab w:val="center" w:pos="4536"/>
        <w:tab w:val="right" w:pos="9072"/>
      </w:tabs>
      <w:spacing w:line="240" w:lineRule="auto"/>
    </w:pPr>
  </w:style>
  <w:style w:type="character" w:customStyle="1" w:styleId="VoettekstChar">
    <w:name w:val="Voettekst Char"/>
    <w:basedOn w:val="DefaultParagraphFont"/>
    <w:link w:val="Footer"/>
    <w:uiPriority w:val="99"/>
    <w:rsid w:val="00A872B8"/>
    <w:rPr>
      <w:rFonts w:ascii="Verdana" w:hAnsi="Verdana"/>
      <w:color w:val="000000"/>
      <w:sz w:val="18"/>
      <w:szCs w:val="18"/>
    </w:rPr>
  </w:style>
  <w:style w:type="paragraph" w:styleId="ListParagraph">
    <w:name w:val="List Paragraph"/>
    <w:basedOn w:val="Normal"/>
    <w:uiPriority w:val="34"/>
    <w:rsid w:val="008F1ADC"/>
    <w:pPr>
      <w:ind w:left="720"/>
      <w:contextualSpacing/>
    </w:pPr>
  </w:style>
  <w:style w:type="paragraph" w:styleId="FootnoteText">
    <w:name w:val="footnote text"/>
    <w:basedOn w:val="Normal"/>
    <w:link w:val="VoetnoottekstChar"/>
    <w:uiPriority w:val="99"/>
    <w:unhideWhenUsed/>
    <w:rsid w:val="000B2B3C"/>
    <w:pPr>
      <w:spacing w:line="240" w:lineRule="auto"/>
    </w:pPr>
    <w:rPr>
      <w:sz w:val="20"/>
      <w:szCs w:val="20"/>
    </w:rPr>
  </w:style>
  <w:style w:type="character" w:customStyle="1" w:styleId="VoetnoottekstChar">
    <w:name w:val="Voetnoottekst Char"/>
    <w:basedOn w:val="DefaultParagraphFont"/>
    <w:link w:val="FootnoteText"/>
    <w:uiPriority w:val="99"/>
    <w:rsid w:val="000B2B3C"/>
    <w:rPr>
      <w:rFonts w:ascii="Verdana" w:hAnsi="Verdana"/>
      <w:color w:val="000000"/>
    </w:rPr>
  </w:style>
  <w:style w:type="character" w:styleId="FootnoteReference">
    <w:name w:val="footnote reference"/>
    <w:basedOn w:val="DefaultParagraphFont"/>
    <w:uiPriority w:val="99"/>
    <w:semiHidden/>
    <w:unhideWhenUsed/>
    <w:rsid w:val="000B2B3C"/>
    <w:rPr>
      <w:vertAlign w:val="superscript"/>
    </w:rPr>
  </w:style>
  <w:style w:type="character" w:styleId="CommentReference">
    <w:name w:val="annotation reference"/>
    <w:basedOn w:val="DefaultParagraphFont"/>
    <w:uiPriority w:val="99"/>
    <w:semiHidden/>
    <w:unhideWhenUsed/>
    <w:rsid w:val="00BB0F28"/>
    <w:rPr>
      <w:sz w:val="16"/>
      <w:szCs w:val="16"/>
    </w:rPr>
  </w:style>
  <w:style w:type="paragraph" w:styleId="CommentText">
    <w:name w:val="annotation text"/>
    <w:basedOn w:val="Normal"/>
    <w:link w:val="TekstopmerkingChar"/>
    <w:uiPriority w:val="99"/>
    <w:unhideWhenUsed/>
    <w:rsid w:val="00BB0F28"/>
    <w:pPr>
      <w:spacing w:line="240" w:lineRule="auto"/>
    </w:pPr>
    <w:rPr>
      <w:sz w:val="20"/>
      <w:szCs w:val="20"/>
    </w:rPr>
  </w:style>
  <w:style w:type="character" w:customStyle="1" w:styleId="TekstopmerkingChar">
    <w:name w:val="Tekst opmerking Char"/>
    <w:basedOn w:val="DefaultParagraphFont"/>
    <w:link w:val="CommentText"/>
    <w:uiPriority w:val="99"/>
    <w:rsid w:val="00BB0F2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B0F28"/>
    <w:rPr>
      <w:b/>
      <w:bCs/>
    </w:rPr>
  </w:style>
  <w:style w:type="character" w:customStyle="1" w:styleId="OnderwerpvanopmerkingChar">
    <w:name w:val="Onderwerp van opmerking Char"/>
    <w:basedOn w:val="TekstopmerkingChar"/>
    <w:link w:val="CommentSubject"/>
    <w:uiPriority w:val="99"/>
    <w:semiHidden/>
    <w:rsid w:val="00BB0F28"/>
    <w:rPr>
      <w:rFonts w:ascii="Verdana" w:hAnsi="Verdana"/>
      <w:b/>
      <w:bCs/>
      <w:color w:val="000000"/>
    </w:rPr>
  </w:style>
  <w:style w:type="paragraph" w:styleId="Revision">
    <w:name w:val="Revision"/>
    <w:hidden/>
    <w:uiPriority w:val="99"/>
    <w:semiHidden/>
    <w:rsid w:val="00D17919"/>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E8024D"/>
    <w:rPr>
      <w:color w:val="605E5C"/>
      <w:shd w:val="clear" w:color="auto" w:fill="E1DFDD"/>
    </w:rPr>
  </w:style>
  <w:style w:type="paragraph" w:styleId="TOCHeading">
    <w:name w:val="TOC Heading"/>
    <w:basedOn w:val="Heading1"/>
    <w:next w:val="Normal"/>
    <w:uiPriority w:val="39"/>
    <w:unhideWhenUsed/>
    <w:qFormat/>
    <w:rsid w:val="00872F04"/>
    <w:pPr>
      <w:keepNext/>
      <w:keepLines/>
      <w:tabs>
        <w:tab w:val="clear" w:pos="0"/>
      </w:tabs>
      <w:autoSpaceDN/>
      <w:spacing w:line="259" w:lineRule="auto"/>
      <w:textAlignment w:val="auto"/>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5161</ap:Words>
  <ap:Characters>28389</ap:Characters>
  <ap:DocSecurity>0</ap:DocSecurity>
  <ap:Lines>236</ap:Lines>
  <ap:Paragraphs>66</ap:Paragraphs>
  <ap:ScaleCrop>false</ap:ScaleCrop>
  <ap:HeadingPairs>
    <vt:vector baseType="variant" size="2">
      <vt:variant>
        <vt:lpstr>Titel</vt:lpstr>
      </vt:variant>
      <vt:variant>
        <vt:i4>1</vt:i4>
      </vt:variant>
    </vt:vector>
  </ap:HeadingPairs>
  <ap:TitlesOfParts>
    <vt:vector baseType="lpstr" size="1">
      <vt:lpstr>Brief - Kabinetsreactie voorlichting RvS geschilbeslechting in het verkiezingsproces</vt:lpstr>
    </vt:vector>
  </ap:TitlesOfParts>
  <ap:LinksUpToDate>false</ap:LinksUpToDate>
  <ap:CharactersWithSpaces>33484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2025-12-05T13:24:00.0000000Z</dcterms:created>
  <dcterms:modified xsi:type="dcterms:W3CDTF">2025-12-05T13:25:00.0000000Z</dcterms:modified>
  <dc:creator/>
  <lastModifiedBy/>
  <dc:description>------------------------</dc:description>
  <dc:subject/>
  <keywords/>
  <version/>
  <category/>
</coreProperties>
</file>