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1A6F" w:rsidR="00530C15" w:rsidP="00781A6F" w:rsidRDefault="00530C15" w14:paraId="7A106887" w14:textId="725A92E7">
      <w:pPr>
        <w:spacing w:after="0" w:line="240" w:lineRule="auto"/>
        <w:rPr>
          <w:rFonts w:ascii="Verdana" w:hAnsi="Verdana"/>
          <w:b/>
          <w:i/>
          <w:sz w:val="18"/>
          <w:szCs w:val="18"/>
        </w:rPr>
      </w:pPr>
      <w:r w:rsidRPr="00781A6F">
        <w:rPr>
          <w:rFonts w:ascii="Verdana" w:hAnsi="Verdana"/>
          <w:b/>
          <w:bCs/>
          <w:i/>
          <w:iCs/>
          <w:sz w:val="18"/>
          <w:szCs w:val="18"/>
        </w:rPr>
        <w:t xml:space="preserve">Kabinetsappreciatie </w:t>
      </w:r>
      <w:r w:rsidRPr="00781A6F" w:rsidR="001444E8">
        <w:rPr>
          <w:rFonts w:ascii="Verdana" w:hAnsi="Verdana"/>
          <w:b/>
          <w:bCs/>
          <w:i/>
          <w:iCs/>
          <w:sz w:val="18"/>
          <w:szCs w:val="18"/>
        </w:rPr>
        <w:t>Nieuw</w:t>
      </w:r>
      <w:r w:rsidRPr="00781A6F" w:rsidR="005F0911">
        <w:rPr>
          <w:rFonts w:ascii="Verdana" w:hAnsi="Verdana"/>
          <w:b/>
          <w:bCs/>
          <w:i/>
          <w:iCs/>
          <w:sz w:val="18"/>
          <w:szCs w:val="18"/>
        </w:rPr>
        <w:t>e</w:t>
      </w:r>
      <w:r w:rsidRPr="00781A6F" w:rsidR="001444E8">
        <w:rPr>
          <w:rFonts w:ascii="Verdana" w:hAnsi="Verdana"/>
          <w:b/>
          <w:bCs/>
          <w:i/>
          <w:iCs/>
          <w:sz w:val="18"/>
          <w:szCs w:val="18"/>
        </w:rPr>
        <w:t xml:space="preserve"> Initiatieven</w:t>
      </w:r>
    </w:p>
    <w:p w:rsidRPr="00781A6F" w:rsidR="00530C15" w:rsidP="00781A6F" w:rsidRDefault="00530C15" w14:paraId="2B466D5D" w14:textId="2DE716EC">
      <w:pPr>
        <w:spacing w:after="0" w:line="240" w:lineRule="auto"/>
        <w:rPr>
          <w:rFonts w:ascii="Verdana" w:hAnsi="Verdana"/>
          <w:b/>
          <w:bCs/>
          <w:sz w:val="18"/>
          <w:szCs w:val="18"/>
        </w:rPr>
      </w:pPr>
      <w:r w:rsidRPr="00781A6F">
        <w:rPr>
          <w:rFonts w:ascii="Verdana" w:hAnsi="Verdana"/>
          <w:b/>
          <w:bCs/>
          <w:sz w:val="18"/>
          <w:szCs w:val="18"/>
        </w:rPr>
        <w:t>Commissie Werkprogramma 202</w:t>
      </w:r>
      <w:r w:rsidRPr="00781A6F" w:rsidR="00E76746">
        <w:rPr>
          <w:rFonts w:ascii="Verdana" w:hAnsi="Verdana"/>
          <w:b/>
          <w:bCs/>
          <w:sz w:val="18"/>
          <w:szCs w:val="18"/>
        </w:rPr>
        <w:t>6</w:t>
      </w:r>
    </w:p>
    <w:p w:rsidRPr="00781A6F" w:rsidR="00530C15" w:rsidP="00781A6F" w:rsidRDefault="00530C15" w14:paraId="1B1329E6" w14:textId="708F5498">
      <w:pPr>
        <w:pStyle w:val="NormalWeb"/>
        <w:rPr>
          <w:rFonts w:ascii="Verdana" w:hAnsi="Verdana" w:eastAsiaTheme="minorEastAsia" w:cstheme="minorBidi"/>
          <w:b/>
          <w:bCs/>
          <w:sz w:val="18"/>
          <w:szCs w:val="18"/>
          <w:lang w:eastAsia="en-US"/>
        </w:rPr>
      </w:pPr>
      <w:r w:rsidRPr="00781A6F">
        <w:rPr>
          <w:rFonts w:ascii="Verdana" w:hAnsi="Verdana" w:eastAsiaTheme="minorEastAsia" w:cstheme="minorBidi"/>
          <w:b/>
          <w:bCs/>
          <w:sz w:val="18"/>
          <w:szCs w:val="18"/>
          <w:lang w:eastAsia="en-US"/>
        </w:rPr>
        <w:t xml:space="preserve">Prioriteit 1: </w:t>
      </w:r>
      <w:r w:rsidRPr="00781A6F" w:rsidR="00BC4B31">
        <w:rPr>
          <w:rFonts w:ascii="Verdana" w:hAnsi="Verdana" w:eastAsiaTheme="minorEastAsia" w:cstheme="minorBidi"/>
          <w:b/>
          <w:bCs/>
          <w:sz w:val="18"/>
          <w:szCs w:val="18"/>
          <w:lang w:eastAsia="en-US"/>
        </w:rPr>
        <w:t>Een nieuw plan voor duurzame welvaart en concurrentievermogen in Europa</w:t>
      </w:r>
    </w:p>
    <w:tbl>
      <w:tblPr>
        <w:tblStyle w:val="TableGrid"/>
        <w:tblW w:w="15593" w:type="dxa"/>
        <w:tblInd w:w="-5" w:type="dxa"/>
        <w:tblLayout w:type="fixed"/>
        <w:tblLook w:val="04A0" w:firstRow="1" w:lastRow="0" w:firstColumn="1" w:lastColumn="0" w:noHBand="0" w:noVBand="1"/>
      </w:tblPr>
      <w:tblGrid>
        <w:gridCol w:w="567"/>
        <w:gridCol w:w="2694"/>
        <w:gridCol w:w="4394"/>
        <w:gridCol w:w="5953"/>
        <w:gridCol w:w="1985"/>
      </w:tblGrid>
      <w:tr w:rsidRPr="00781A6F" w:rsidR="00F51073" w:rsidTr="007766E6" w14:paraId="6B5EC5DC" w14:textId="48326EEF">
        <w:trPr>
          <w:trHeight w:val="634"/>
        </w:trPr>
        <w:tc>
          <w:tcPr>
            <w:tcW w:w="567" w:type="dxa"/>
            <w:tcBorders>
              <w:top w:val="single" w:color="auto" w:sz="4" w:space="0"/>
              <w:left w:val="single" w:color="auto" w:sz="4" w:space="0"/>
              <w:bottom w:val="single" w:color="auto" w:sz="4" w:space="0"/>
              <w:right w:val="single" w:color="auto" w:sz="4" w:space="0"/>
            </w:tcBorders>
          </w:tcPr>
          <w:p w:rsidRPr="00781A6F" w:rsidR="00F51073" w:rsidP="00781A6F" w:rsidRDefault="00F51073" w14:paraId="44ADA635" w14:textId="6F1109F8">
            <w:pPr>
              <w:rPr>
                <w:rFonts w:ascii="Verdana" w:hAnsi="Verdana" w:cstheme="minorBidi"/>
                <w:b/>
                <w:sz w:val="18"/>
                <w:szCs w:val="18"/>
              </w:rPr>
            </w:pPr>
            <w:r w:rsidRPr="00781A6F">
              <w:rPr>
                <w:rFonts w:ascii="Verdana" w:hAnsi="Verdana"/>
                <w:b/>
                <w:sz w:val="18"/>
                <w:szCs w:val="18"/>
              </w:rPr>
              <w:t>No.</w:t>
            </w:r>
          </w:p>
        </w:tc>
        <w:tc>
          <w:tcPr>
            <w:tcW w:w="2694" w:type="dxa"/>
            <w:tcBorders>
              <w:top w:val="single" w:color="auto" w:sz="4" w:space="0"/>
              <w:left w:val="single" w:color="auto" w:sz="4" w:space="0"/>
              <w:bottom w:val="single" w:color="auto" w:sz="4" w:space="0"/>
              <w:right w:val="single" w:color="auto" w:sz="4" w:space="0"/>
            </w:tcBorders>
            <w:hideMark/>
          </w:tcPr>
          <w:p w:rsidRPr="00781A6F" w:rsidR="00F51073" w:rsidP="00781A6F" w:rsidRDefault="00F51073" w14:paraId="493B0FF5" w14:textId="674106C5">
            <w:pPr>
              <w:rPr>
                <w:rFonts w:ascii="Verdana" w:hAnsi="Verdana" w:cstheme="minorBidi"/>
                <w:b/>
                <w:sz w:val="18"/>
                <w:szCs w:val="18"/>
              </w:rPr>
            </w:pPr>
            <w:r w:rsidRPr="00781A6F">
              <w:rPr>
                <w:rFonts w:ascii="Verdana" w:hAnsi="Verdana"/>
                <w:b/>
                <w:sz w:val="18"/>
                <w:szCs w:val="18"/>
              </w:rPr>
              <w:t>Titel (publicatiedatum)</w:t>
            </w:r>
          </w:p>
        </w:tc>
        <w:tc>
          <w:tcPr>
            <w:tcW w:w="4394" w:type="dxa"/>
            <w:tcBorders>
              <w:top w:val="single" w:color="auto" w:sz="4" w:space="0"/>
              <w:left w:val="single" w:color="auto" w:sz="4" w:space="0"/>
              <w:bottom w:val="single" w:color="auto" w:sz="4" w:space="0"/>
              <w:right w:val="single" w:color="auto" w:sz="4" w:space="0"/>
            </w:tcBorders>
            <w:hideMark/>
          </w:tcPr>
          <w:p w:rsidRPr="00781A6F" w:rsidR="00F51073" w:rsidP="00781A6F" w:rsidRDefault="00F51073" w14:paraId="1FBBA144" w14:textId="77777777">
            <w:pPr>
              <w:rPr>
                <w:rFonts w:ascii="Verdana" w:hAnsi="Verdana" w:cstheme="minorBidi"/>
                <w:b/>
                <w:sz w:val="18"/>
                <w:szCs w:val="18"/>
              </w:rPr>
            </w:pPr>
            <w:r w:rsidRPr="00781A6F">
              <w:rPr>
                <w:rFonts w:ascii="Verdana" w:hAnsi="Verdana"/>
                <w:b/>
                <w:sz w:val="18"/>
                <w:szCs w:val="18"/>
              </w:rPr>
              <w:t>Korte beschrijving</w:t>
            </w:r>
          </w:p>
        </w:tc>
        <w:tc>
          <w:tcPr>
            <w:tcW w:w="5953" w:type="dxa"/>
            <w:tcBorders>
              <w:top w:val="single" w:color="auto" w:sz="4" w:space="0"/>
              <w:left w:val="single" w:color="auto" w:sz="4" w:space="0"/>
              <w:bottom w:val="single" w:color="auto" w:sz="4" w:space="0"/>
              <w:right w:val="single" w:color="auto" w:sz="4" w:space="0"/>
            </w:tcBorders>
            <w:hideMark/>
          </w:tcPr>
          <w:p w:rsidRPr="00781A6F" w:rsidR="00F51073" w:rsidP="00781A6F" w:rsidRDefault="00F51073" w14:paraId="7C267B8D" w14:textId="0551289B">
            <w:pPr>
              <w:rPr>
                <w:rFonts w:ascii="Verdana" w:hAnsi="Verdana" w:cstheme="minorBidi"/>
                <w:b/>
                <w:sz w:val="18"/>
                <w:szCs w:val="18"/>
              </w:rPr>
            </w:pPr>
            <w:r w:rsidRPr="00781A6F">
              <w:rPr>
                <w:rFonts w:ascii="Verdana" w:hAnsi="Verdana"/>
                <w:b/>
                <w:sz w:val="18"/>
                <w:szCs w:val="18"/>
              </w:rPr>
              <w:t>Kabinetsappreciatie</w:t>
            </w:r>
          </w:p>
        </w:tc>
        <w:tc>
          <w:tcPr>
            <w:tcW w:w="1985" w:type="dxa"/>
            <w:tcBorders>
              <w:top w:val="single" w:color="auto" w:sz="4" w:space="0"/>
              <w:left w:val="single" w:color="auto" w:sz="4" w:space="0"/>
              <w:bottom w:val="single" w:color="auto" w:sz="4" w:space="0"/>
              <w:right w:val="single" w:color="auto" w:sz="4" w:space="0"/>
            </w:tcBorders>
          </w:tcPr>
          <w:p w:rsidRPr="00781A6F" w:rsidR="00F51073" w:rsidP="00781A6F" w:rsidRDefault="00F51073" w14:paraId="51D6A95B" w14:textId="7E114609">
            <w:pPr>
              <w:rPr>
                <w:rFonts w:ascii="Verdana" w:hAnsi="Verdana" w:cstheme="minorBidi"/>
                <w:b/>
                <w:sz w:val="18"/>
                <w:szCs w:val="18"/>
              </w:rPr>
            </w:pPr>
            <w:r w:rsidRPr="00781A6F">
              <w:rPr>
                <w:rFonts w:ascii="Verdana" w:hAnsi="Verdana"/>
                <w:b/>
                <w:sz w:val="18"/>
                <w:szCs w:val="18"/>
              </w:rPr>
              <w:t>Wetgevend/niet-Wetgevend</w:t>
            </w:r>
          </w:p>
        </w:tc>
      </w:tr>
      <w:tr w:rsidRPr="00781A6F" w:rsidR="00F51073" w:rsidTr="007766E6" w14:paraId="6C841B1F" w14:textId="332BDC6E">
        <w:trPr>
          <w:trHeight w:val="983"/>
        </w:trPr>
        <w:tc>
          <w:tcPr>
            <w:tcW w:w="567" w:type="dxa"/>
            <w:tcBorders>
              <w:top w:val="single" w:color="auto" w:sz="4" w:space="0"/>
              <w:left w:val="single" w:color="auto" w:sz="4" w:space="0"/>
              <w:bottom w:val="single" w:color="auto" w:sz="4" w:space="0"/>
              <w:right w:val="single" w:color="auto" w:sz="4" w:space="0"/>
            </w:tcBorders>
          </w:tcPr>
          <w:p w:rsidRPr="00781A6F" w:rsidR="00F51073" w:rsidP="00781A6F" w:rsidRDefault="00F51073" w14:paraId="01214558" w14:textId="1857EBE4">
            <w:pPr>
              <w:rPr>
                <w:rFonts w:ascii="Verdana" w:hAnsi="Verdana" w:cstheme="minorBidi"/>
                <w:sz w:val="18"/>
                <w:szCs w:val="18"/>
              </w:rPr>
            </w:pPr>
            <w:r w:rsidRPr="00781A6F">
              <w:rPr>
                <w:rFonts w:ascii="Verdana" w:hAnsi="Verdana"/>
                <w:sz w:val="18"/>
                <w:szCs w:val="18"/>
              </w:rPr>
              <w:t>1.</w:t>
            </w:r>
          </w:p>
        </w:tc>
        <w:tc>
          <w:tcPr>
            <w:tcW w:w="2694" w:type="dxa"/>
            <w:tcBorders>
              <w:top w:val="single" w:color="auto" w:sz="4" w:space="0"/>
              <w:left w:val="single" w:color="auto" w:sz="4" w:space="0"/>
              <w:bottom w:val="single" w:color="auto" w:sz="4" w:space="0"/>
              <w:right w:val="single" w:color="auto" w:sz="4" w:space="0"/>
            </w:tcBorders>
            <w:hideMark/>
          </w:tcPr>
          <w:p w:rsidRPr="00781A6F" w:rsidR="00F51073" w:rsidP="00781A6F" w:rsidRDefault="001274D0" w14:paraId="2DD969A8" w14:textId="62C76457">
            <w:pPr>
              <w:rPr>
                <w:rFonts w:ascii="Verdana" w:hAnsi="Verdana" w:cstheme="minorBidi"/>
                <w:sz w:val="18"/>
                <w:szCs w:val="18"/>
              </w:rPr>
            </w:pPr>
            <w:r w:rsidRPr="00781A6F">
              <w:rPr>
                <w:rFonts w:ascii="Verdana" w:hAnsi="Verdana"/>
                <w:sz w:val="18"/>
                <w:szCs w:val="18"/>
              </w:rPr>
              <w:t>28e r</w:t>
            </w:r>
            <w:r w:rsidRPr="00781A6F" w:rsidR="798C028F">
              <w:rPr>
                <w:rFonts w:ascii="Verdana" w:hAnsi="Verdana"/>
                <w:sz w:val="18"/>
                <w:szCs w:val="18"/>
              </w:rPr>
              <w:t xml:space="preserve">egime </w:t>
            </w:r>
            <w:r w:rsidRPr="00781A6F">
              <w:rPr>
                <w:rFonts w:ascii="Verdana" w:hAnsi="Verdana"/>
                <w:sz w:val="18"/>
                <w:szCs w:val="18"/>
              </w:rPr>
              <w:t xml:space="preserve">voor innovatieve bedrijven </w:t>
            </w:r>
            <w:r w:rsidRPr="00781A6F" w:rsidR="00F51073">
              <w:rPr>
                <w:rFonts w:ascii="Verdana" w:hAnsi="Verdana"/>
                <w:color w:val="000000"/>
                <w:sz w:val="18"/>
                <w:szCs w:val="18"/>
              </w:rPr>
              <w:t>(Q1 202</w:t>
            </w:r>
            <w:r w:rsidRPr="00781A6F" w:rsidR="00E76746">
              <w:rPr>
                <w:rFonts w:ascii="Verdana" w:hAnsi="Verdana"/>
                <w:color w:val="000000"/>
                <w:sz w:val="18"/>
                <w:szCs w:val="18"/>
              </w:rPr>
              <w:t>6</w:t>
            </w:r>
            <w:r w:rsidRPr="00781A6F" w:rsidR="00F51073">
              <w:rPr>
                <w:rFonts w:ascii="Verdana" w:hAnsi="Verdana"/>
                <w:color w:val="000000"/>
                <w:sz w:val="18"/>
                <w:szCs w:val="18"/>
              </w:rPr>
              <w:t>)</w:t>
            </w:r>
          </w:p>
        </w:tc>
        <w:tc>
          <w:tcPr>
            <w:tcW w:w="4394" w:type="dxa"/>
            <w:tcBorders>
              <w:top w:val="single" w:color="auto" w:sz="4" w:space="0"/>
              <w:left w:val="single" w:color="auto" w:sz="4" w:space="0"/>
              <w:bottom w:val="single" w:color="auto" w:sz="4" w:space="0"/>
              <w:right w:val="single" w:color="auto" w:sz="4" w:space="0"/>
            </w:tcBorders>
            <w:hideMark/>
          </w:tcPr>
          <w:p w:rsidRPr="00781A6F" w:rsidR="00F51073" w:rsidP="00781A6F" w:rsidRDefault="00D967E5" w14:paraId="733AFCCA" w14:textId="1E1C6906">
            <w:pPr>
              <w:rPr>
                <w:rFonts w:ascii="Verdana" w:hAnsi="Verdana" w:cstheme="minorBidi"/>
                <w:sz w:val="18"/>
                <w:szCs w:val="18"/>
              </w:rPr>
            </w:pPr>
            <w:r w:rsidRPr="00781A6F">
              <w:rPr>
                <w:rFonts w:ascii="Verdana" w:hAnsi="Verdana"/>
                <w:sz w:val="18"/>
                <w:szCs w:val="18"/>
              </w:rPr>
              <w:t xml:space="preserve">Het </w:t>
            </w:r>
            <w:r w:rsidRPr="00781A6F" w:rsidR="001274D0">
              <w:rPr>
                <w:rFonts w:ascii="Verdana" w:hAnsi="Verdana"/>
                <w:sz w:val="18"/>
                <w:szCs w:val="18"/>
              </w:rPr>
              <w:t>28e r</w:t>
            </w:r>
            <w:r w:rsidRPr="00781A6F" w:rsidR="798C028F">
              <w:rPr>
                <w:rFonts w:ascii="Verdana" w:hAnsi="Verdana"/>
                <w:sz w:val="18"/>
                <w:szCs w:val="18"/>
              </w:rPr>
              <w:t xml:space="preserve">egime </w:t>
            </w:r>
            <w:r w:rsidRPr="00781A6F" w:rsidR="001274D0">
              <w:rPr>
                <w:rFonts w:ascii="Verdana" w:hAnsi="Verdana"/>
                <w:sz w:val="18"/>
                <w:szCs w:val="18"/>
              </w:rPr>
              <w:t>voor innovatieve bedrijven</w:t>
            </w:r>
            <w:r w:rsidRPr="00781A6F">
              <w:rPr>
                <w:rFonts w:ascii="Verdana" w:hAnsi="Verdana"/>
                <w:sz w:val="18"/>
                <w:szCs w:val="18"/>
              </w:rPr>
              <w:t xml:space="preserve"> is een additioneel en optioneel juridisch EU-raamwerk dat het makkelijker moet maken voor ondernemingen om zich in de gehele EU te vestigen en te groeien</w:t>
            </w:r>
            <w:r w:rsidRPr="00781A6F" w:rsidR="00C515FB">
              <w:rPr>
                <w:rFonts w:ascii="Verdana" w:hAnsi="Verdana"/>
                <w:sz w:val="18"/>
                <w:szCs w:val="18"/>
              </w:rPr>
              <w:t>,</w:t>
            </w:r>
            <w:r w:rsidRPr="00781A6F">
              <w:rPr>
                <w:rFonts w:ascii="Verdana" w:hAnsi="Verdana"/>
                <w:sz w:val="18"/>
                <w:szCs w:val="18"/>
              </w:rPr>
              <w:t xml:space="preserve"> en de toegang tot financiering moet faciliteren. Het initiatief omvat naar verwachting in ieder geval een ondernemingsrechtelijk voorstel voor een nieuwe optionele Europese rechtsvorm. Dit zal een aanvulling zijn op bestaande nationale en internationale rechtsvormen, zoals de Nederlandse BV en de Europese SE.</w:t>
            </w:r>
          </w:p>
        </w:tc>
        <w:tc>
          <w:tcPr>
            <w:tcW w:w="5953" w:type="dxa"/>
            <w:tcBorders>
              <w:top w:val="single" w:color="auto" w:sz="4" w:space="0"/>
              <w:left w:val="single" w:color="auto" w:sz="4" w:space="0"/>
              <w:bottom w:val="single" w:color="auto" w:sz="4" w:space="0"/>
              <w:right w:val="single" w:color="auto" w:sz="4" w:space="0"/>
            </w:tcBorders>
            <w:hideMark/>
          </w:tcPr>
          <w:p w:rsidRPr="00781A6F" w:rsidR="00F51073" w:rsidP="00781A6F" w:rsidRDefault="005B76CB" w14:paraId="3900BDF4" w14:textId="26B3A1A3">
            <w:pPr>
              <w:rPr>
                <w:rFonts w:ascii="Verdana" w:hAnsi="Verdana" w:cstheme="minorBidi"/>
                <w:color w:val="000000" w:themeColor="text1"/>
                <w:sz w:val="18"/>
                <w:szCs w:val="18"/>
              </w:rPr>
            </w:pPr>
            <w:r w:rsidRPr="00781A6F">
              <w:rPr>
                <w:rFonts w:ascii="Verdana" w:hAnsi="Verdana"/>
                <w:sz w:val="18"/>
                <w:szCs w:val="18"/>
              </w:rPr>
              <w:t>Het kabinet is voorstander van de ontwikkeling van een 28ste regime dat daadwerkelijk tegemoet komt aan de behoeften van belanghebbenden, zoals bedrijven en werknemers binnen de EU, en dat bijdraagt aan de versterking van de concurrentiepositie van bedrijven in de EU. Volgens het kabinet kan een aanvullend EU-raamwerk in het algemeen een kans bieden om voortgang te maken op terreinen waar nationale regelgeving in het kader van de kapitaalmarkten lastig te harmoniseren is. Een goed onderbouwde effectbeoordeling is voor het kabinet noodzakelijk om te beoordelen of de nieuwe optionele EU-rechtsvorm daadwerkelijk de belemmeringen voor het oprichten en opschalen van ondernemingen weg kan nemen en hen helpt bij het aantrekken van investeringen. In de effectbeoordeling moet daarnaast worden onderzocht of dit doel ook kan worden bereikt door reeds bestaande Europese regelgeving op het terrein van het ondernemingsrecht aan te passen of te vereenvoudigen. Uw Kamer is in maart en september jl. geïnformeerd over de Nederlandse positie.</w:t>
            </w:r>
            <w:r w:rsidRPr="00781A6F">
              <w:rPr>
                <w:rStyle w:val="FootnoteReference"/>
                <w:rFonts w:ascii="Verdana" w:hAnsi="Verdana"/>
                <w:sz w:val="18"/>
                <w:szCs w:val="18"/>
              </w:rPr>
              <w:footnoteReference w:id="2"/>
            </w:r>
          </w:p>
        </w:tc>
        <w:tc>
          <w:tcPr>
            <w:tcW w:w="1985" w:type="dxa"/>
            <w:tcBorders>
              <w:top w:val="single" w:color="auto" w:sz="4" w:space="0"/>
              <w:left w:val="single" w:color="auto" w:sz="4" w:space="0"/>
              <w:bottom w:val="single" w:color="auto" w:sz="4" w:space="0"/>
              <w:right w:val="single" w:color="auto" w:sz="4" w:space="0"/>
            </w:tcBorders>
          </w:tcPr>
          <w:p w:rsidRPr="00781A6F" w:rsidR="00F51073" w:rsidP="00781A6F" w:rsidRDefault="00E76746" w14:paraId="34B42FAB" w14:textId="4819CA11">
            <w:pPr>
              <w:rPr>
                <w:rFonts w:ascii="Verdana" w:hAnsi="Verdana" w:cstheme="minorBidi"/>
                <w:color w:val="000000"/>
                <w:sz w:val="18"/>
                <w:szCs w:val="18"/>
              </w:rPr>
            </w:pPr>
            <w:r w:rsidRPr="00781A6F">
              <w:rPr>
                <w:rFonts w:ascii="Verdana" w:hAnsi="Verdana"/>
                <w:color w:val="000000"/>
                <w:sz w:val="18"/>
                <w:szCs w:val="18"/>
              </w:rPr>
              <w:t>W</w:t>
            </w:r>
            <w:r w:rsidRPr="00781A6F" w:rsidR="00F51073">
              <w:rPr>
                <w:rFonts w:ascii="Verdana" w:hAnsi="Verdana"/>
                <w:color w:val="000000"/>
                <w:sz w:val="18"/>
                <w:szCs w:val="18"/>
              </w:rPr>
              <w:t xml:space="preserve">etgevend </w:t>
            </w:r>
          </w:p>
        </w:tc>
      </w:tr>
      <w:tr w:rsidRPr="00781A6F" w:rsidR="008D7270" w:rsidTr="007766E6" w14:paraId="6111325B" w14:textId="7F958670">
        <w:trPr>
          <w:trHeight w:val="979"/>
        </w:trPr>
        <w:tc>
          <w:tcPr>
            <w:tcW w:w="567" w:type="dxa"/>
            <w:tcBorders>
              <w:top w:val="single" w:color="auto" w:sz="4" w:space="0"/>
              <w:left w:val="single" w:color="auto" w:sz="4" w:space="0"/>
              <w:bottom w:val="single" w:color="auto" w:sz="4" w:space="0"/>
              <w:right w:val="single" w:color="auto" w:sz="4" w:space="0"/>
            </w:tcBorders>
          </w:tcPr>
          <w:p w:rsidRPr="00781A6F" w:rsidR="008D7270" w:rsidP="00781A6F" w:rsidRDefault="008D7270" w14:paraId="38E00FBE" w14:textId="636282F7">
            <w:pPr>
              <w:rPr>
                <w:rFonts w:ascii="Verdana" w:hAnsi="Verdana" w:cstheme="minorBidi"/>
                <w:sz w:val="18"/>
                <w:szCs w:val="18"/>
              </w:rPr>
            </w:pPr>
            <w:r w:rsidRPr="00781A6F">
              <w:rPr>
                <w:rFonts w:ascii="Verdana" w:hAnsi="Verdana"/>
                <w:sz w:val="18"/>
                <w:szCs w:val="18"/>
              </w:rPr>
              <w:t>2.</w:t>
            </w:r>
          </w:p>
        </w:tc>
        <w:tc>
          <w:tcPr>
            <w:tcW w:w="2694" w:type="dxa"/>
            <w:tcBorders>
              <w:top w:val="single" w:color="auto" w:sz="4" w:space="0"/>
              <w:left w:val="single" w:color="auto" w:sz="4" w:space="0"/>
              <w:bottom w:val="single" w:color="auto" w:sz="4" w:space="0"/>
              <w:right w:val="single" w:color="auto" w:sz="4" w:space="0"/>
            </w:tcBorders>
          </w:tcPr>
          <w:p w:rsidRPr="00781A6F" w:rsidR="008D7270" w:rsidP="00781A6F" w:rsidRDefault="001274D0" w14:paraId="09B4ABDD" w14:textId="70687A3A">
            <w:pPr>
              <w:rPr>
                <w:rFonts w:ascii="Verdana" w:hAnsi="Verdana" w:cstheme="minorBidi"/>
                <w:sz w:val="18"/>
                <w:szCs w:val="18"/>
              </w:rPr>
            </w:pPr>
            <w:bookmarkStart w:name="_Hlk149562612" w:id="0"/>
            <w:r w:rsidRPr="00781A6F">
              <w:rPr>
                <w:rFonts w:ascii="Verdana" w:hAnsi="Verdana"/>
                <w:sz w:val="18"/>
                <w:szCs w:val="18"/>
              </w:rPr>
              <w:t xml:space="preserve">Europese innovatiewet </w:t>
            </w:r>
            <w:r w:rsidRPr="00781A6F" w:rsidR="008D7270">
              <w:rPr>
                <w:rFonts w:ascii="Verdana" w:hAnsi="Verdana"/>
                <w:sz w:val="18"/>
                <w:szCs w:val="18"/>
              </w:rPr>
              <w:t>(Q1 2026)</w:t>
            </w:r>
            <w:bookmarkEnd w:id="0"/>
          </w:p>
        </w:tc>
        <w:tc>
          <w:tcPr>
            <w:tcW w:w="4394" w:type="dxa"/>
            <w:tcBorders>
              <w:top w:val="single" w:color="auto" w:sz="4" w:space="0"/>
              <w:left w:val="single" w:color="auto" w:sz="4" w:space="0"/>
              <w:bottom w:val="single" w:color="auto" w:sz="4" w:space="0"/>
              <w:right w:val="single" w:color="auto" w:sz="4" w:space="0"/>
            </w:tcBorders>
          </w:tcPr>
          <w:p w:rsidRPr="00781A6F" w:rsidR="008D7270" w:rsidP="00781A6F" w:rsidRDefault="008D7270" w14:paraId="5E897387" w14:textId="6DFBCC90">
            <w:pPr>
              <w:rPr>
                <w:rFonts w:ascii="Verdana" w:hAnsi="Verdana" w:cstheme="minorBidi"/>
                <w:color w:val="000000"/>
                <w:sz w:val="18"/>
                <w:szCs w:val="18"/>
              </w:rPr>
            </w:pPr>
            <w:r w:rsidRPr="00781A6F">
              <w:rPr>
                <w:rFonts w:ascii="Verdana" w:hAnsi="Verdana" w:eastAsia="Aptos" w:cs="Aptos"/>
                <w:sz w:val="18"/>
                <w:szCs w:val="18"/>
              </w:rPr>
              <w:t xml:space="preserve">De </w:t>
            </w:r>
            <w:r w:rsidRPr="00781A6F" w:rsidR="001274D0">
              <w:rPr>
                <w:rFonts w:ascii="Verdana" w:hAnsi="Verdana"/>
                <w:sz w:val="18"/>
                <w:szCs w:val="18"/>
              </w:rPr>
              <w:t>Europese innovatiewet</w:t>
            </w:r>
            <w:r w:rsidRPr="00781A6F">
              <w:rPr>
                <w:rFonts w:ascii="Verdana" w:hAnsi="Verdana"/>
                <w:sz w:val="18"/>
                <w:szCs w:val="18"/>
              </w:rPr>
              <w:t xml:space="preserve"> </w:t>
            </w:r>
            <w:r w:rsidRPr="00781A6F">
              <w:rPr>
                <w:rFonts w:ascii="Verdana" w:hAnsi="Verdana" w:eastAsia="Aptos" w:cs="Aptos"/>
                <w:sz w:val="18"/>
                <w:szCs w:val="18"/>
              </w:rPr>
              <w:t>heeft tot doel de commercialisering van kennis en innovatieve ideeën te versterken, onder meer via gecontroleerde omgevingen waar innovatieve bedrijven nieuwe technologieën of diensten kunnen testen voordat ze volledig op de markt worden gebracht (</w:t>
            </w:r>
            <w:proofErr w:type="spellStart"/>
            <w:r w:rsidRPr="00781A6F">
              <w:rPr>
                <w:rFonts w:ascii="Verdana" w:hAnsi="Verdana" w:eastAsia="Aptos" w:cs="Aptos"/>
                <w:i/>
                <w:iCs/>
                <w:sz w:val="18"/>
                <w:szCs w:val="18"/>
              </w:rPr>
              <w:t>regulatory</w:t>
            </w:r>
            <w:proofErr w:type="spellEnd"/>
            <w:r w:rsidRPr="00781A6F">
              <w:rPr>
                <w:rFonts w:ascii="Verdana" w:hAnsi="Verdana" w:eastAsia="Aptos" w:cs="Aptos"/>
                <w:i/>
                <w:iCs/>
                <w:sz w:val="18"/>
                <w:szCs w:val="18"/>
              </w:rPr>
              <w:t xml:space="preserve"> </w:t>
            </w:r>
            <w:proofErr w:type="spellStart"/>
            <w:r w:rsidRPr="00781A6F">
              <w:rPr>
                <w:rFonts w:ascii="Verdana" w:hAnsi="Verdana" w:eastAsia="Aptos" w:cs="Aptos"/>
                <w:i/>
                <w:iCs/>
                <w:sz w:val="18"/>
                <w:szCs w:val="18"/>
              </w:rPr>
              <w:t>sandboxes</w:t>
            </w:r>
            <w:proofErr w:type="spellEnd"/>
            <w:r w:rsidRPr="00781A6F">
              <w:rPr>
                <w:rFonts w:ascii="Verdana" w:hAnsi="Verdana" w:eastAsia="Aptos" w:cs="Aptos"/>
                <w:sz w:val="18"/>
                <w:szCs w:val="18"/>
              </w:rPr>
              <w:t xml:space="preserve">). </w:t>
            </w:r>
            <w:r w:rsidRPr="00781A6F" w:rsidR="00C515FB">
              <w:rPr>
                <w:rFonts w:ascii="Verdana" w:hAnsi="Verdana" w:eastAsia="Aptos" w:cs="Aptos"/>
                <w:sz w:val="18"/>
                <w:szCs w:val="18"/>
              </w:rPr>
              <w:t xml:space="preserve">De </w:t>
            </w:r>
            <w:r w:rsidRPr="00781A6F" w:rsidR="009524EF">
              <w:rPr>
                <w:rFonts w:ascii="Verdana" w:hAnsi="Verdana" w:eastAsia="Aptos" w:cs="Aptos"/>
                <w:sz w:val="18"/>
                <w:szCs w:val="18"/>
              </w:rPr>
              <w:t xml:space="preserve">Europese innovatiewet </w:t>
            </w:r>
            <w:r w:rsidRPr="00781A6F">
              <w:rPr>
                <w:rFonts w:ascii="Verdana" w:hAnsi="Verdana" w:eastAsia="Aptos" w:cs="Aptos"/>
                <w:sz w:val="18"/>
                <w:szCs w:val="18"/>
              </w:rPr>
              <w:t>geeft hiermee verdere invulling aan de start- en scale-up</w:t>
            </w:r>
            <w:r w:rsidRPr="00781A6F" w:rsidR="00C515FB">
              <w:rPr>
                <w:rFonts w:ascii="Verdana" w:hAnsi="Verdana" w:eastAsia="Aptos" w:cs="Aptos"/>
                <w:sz w:val="18"/>
                <w:szCs w:val="18"/>
              </w:rPr>
              <w:t xml:space="preserve"> </w:t>
            </w:r>
            <w:r w:rsidRPr="00781A6F">
              <w:rPr>
                <w:rFonts w:ascii="Verdana" w:hAnsi="Verdana" w:eastAsia="Aptos" w:cs="Aptos"/>
                <w:sz w:val="18"/>
                <w:szCs w:val="18"/>
              </w:rPr>
              <w:t>strategie.</w:t>
            </w:r>
          </w:p>
        </w:tc>
        <w:tc>
          <w:tcPr>
            <w:tcW w:w="5953" w:type="dxa"/>
            <w:tcBorders>
              <w:top w:val="single" w:color="auto" w:sz="4" w:space="0"/>
              <w:left w:val="single" w:color="auto" w:sz="4" w:space="0"/>
              <w:bottom w:val="single" w:color="auto" w:sz="4" w:space="0"/>
              <w:right w:val="single" w:color="auto" w:sz="4" w:space="0"/>
            </w:tcBorders>
          </w:tcPr>
          <w:p w:rsidRPr="00781A6F" w:rsidR="008D7270" w:rsidP="00781A6F" w:rsidRDefault="006B0323" w14:paraId="17128F40" w14:textId="2BE382BF">
            <w:pPr>
              <w:rPr>
                <w:rFonts w:ascii="Verdana" w:hAnsi="Verdana" w:eastAsia="Calibri" w:cs="Calibri"/>
                <w:sz w:val="18"/>
                <w:szCs w:val="18"/>
              </w:rPr>
            </w:pPr>
            <w:r w:rsidRPr="00781A6F">
              <w:rPr>
                <w:rFonts w:ascii="Verdana" w:hAnsi="Verdana" w:eastAsia="Aptos" w:cs="Aptos"/>
                <w:sz w:val="18"/>
                <w:szCs w:val="18"/>
              </w:rPr>
              <w:t xml:space="preserve">Innovatie is essentieel voor het Europese- en Nederlandse concurrentievermogen. </w:t>
            </w:r>
            <w:r w:rsidRPr="00781A6F" w:rsidR="008D7270">
              <w:rPr>
                <w:rFonts w:ascii="Verdana" w:hAnsi="Verdana" w:eastAsia="Aptos" w:cs="Aptos"/>
                <w:sz w:val="18"/>
                <w:szCs w:val="18"/>
              </w:rPr>
              <w:t xml:space="preserve">Het kabinet </w:t>
            </w:r>
            <w:r w:rsidRPr="00781A6F" w:rsidR="00702608">
              <w:rPr>
                <w:rFonts w:ascii="Verdana" w:hAnsi="Verdana" w:eastAsia="Aptos" w:cs="Aptos"/>
                <w:sz w:val="18"/>
                <w:szCs w:val="18"/>
              </w:rPr>
              <w:t xml:space="preserve">kijkt </w:t>
            </w:r>
            <w:r w:rsidRPr="00781A6F">
              <w:rPr>
                <w:rFonts w:ascii="Verdana" w:hAnsi="Verdana" w:eastAsia="Aptos" w:cs="Aptos"/>
                <w:sz w:val="18"/>
                <w:szCs w:val="18"/>
              </w:rPr>
              <w:t xml:space="preserve">daarom </w:t>
            </w:r>
            <w:r w:rsidRPr="00781A6F" w:rsidR="00702608">
              <w:rPr>
                <w:rFonts w:ascii="Verdana" w:hAnsi="Verdana" w:eastAsia="Aptos" w:cs="Aptos"/>
                <w:sz w:val="18"/>
                <w:szCs w:val="18"/>
              </w:rPr>
              <w:t xml:space="preserve">uit naar </w:t>
            </w:r>
            <w:r w:rsidRPr="00781A6F" w:rsidR="008D7270">
              <w:rPr>
                <w:rFonts w:ascii="Verdana" w:hAnsi="Verdana" w:eastAsia="Aptos" w:cs="Aptos"/>
                <w:sz w:val="18"/>
                <w:szCs w:val="18"/>
              </w:rPr>
              <w:t>de</w:t>
            </w:r>
            <w:r w:rsidRPr="00781A6F" w:rsidR="005871B2">
              <w:rPr>
                <w:rFonts w:ascii="Verdana" w:hAnsi="Verdana" w:eastAsia="Aptos" w:cs="Aptos"/>
                <w:sz w:val="18"/>
                <w:szCs w:val="18"/>
              </w:rPr>
              <w:t xml:space="preserve"> IA</w:t>
            </w:r>
            <w:r w:rsidRPr="00781A6F" w:rsidR="008D7270">
              <w:rPr>
                <w:rFonts w:ascii="Verdana" w:hAnsi="Verdana" w:eastAsia="Aptos" w:cs="Aptos"/>
                <w:sz w:val="18"/>
                <w:szCs w:val="18"/>
              </w:rPr>
              <w:t xml:space="preserve"> en specifiek voorstellen o</w:t>
            </w:r>
            <w:r w:rsidRPr="00781A6F" w:rsidR="00C515FB">
              <w:rPr>
                <w:rFonts w:ascii="Verdana" w:hAnsi="Verdana" w:eastAsia="Aptos" w:cs="Aptos"/>
                <w:sz w:val="18"/>
                <w:szCs w:val="18"/>
              </w:rPr>
              <w:t xml:space="preserve">m, in plaats van </w:t>
            </w:r>
            <w:r w:rsidRPr="00781A6F" w:rsidR="008D7270">
              <w:rPr>
                <w:rFonts w:ascii="Verdana" w:hAnsi="Verdana" w:eastAsia="Aptos" w:cs="Aptos"/>
                <w:sz w:val="18"/>
                <w:szCs w:val="18"/>
              </w:rPr>
              <w:t>sectoraal</w:t>
            </w:r>
            <w:r w:rsidRPr="00781A6F" w:rsidR="00C515FB">
              <w:rPr>
                <w:rFonts w:ascii="Verdana" w:hAnsi="Verdana" w:eastAsia="Aptos" w:cs="Aptos"/>
                <w:sz w:val="18"/>
                <w:szCs w:val="18"/>
              </w:rPr>
              <w:t>,</w:t>
            </w:r>
            <w:r w:rsidRPr="00781A6F" w:rsidR="008D7270">
              <w:rPr>
                <w:rFonts w:ascii="Verdana" w:hAnsi="Verdana" w:eastAsia="Aptos" w:cs="Aptos"/>
                <w:sz w:val="18"/>
                <w:szCs w:val="18"/>
              </w:rPr>
              <w:t xml:space="preserve"> horizontale wettelijke kaders te scheppen voor experimenteerruimtes en </w:t>
            </w:r>
            <w:proofErr w:type="spellStart"/>
            <w:r w:rsidRPr="00781A6F" w:rsidR="008D7270">
              <w:rPr>
                <w:rFonts w:ascii="Verdana" w:hAnsi="Verdana" w:eastAsia="Aptos" w:cs="Aptos"/>
                <w:i/>
                <w:iCs/>
                <w:sz w:val="18"/>
                <w:szCs w:val="18"/>
              </w:rPr>
              <w:t>regulatory</w:t>
            </w:r>
            <w:proofErr w:type="spellEnd"/>
            <w:r w:rsidRPr="00781A6F" w:rsidR="008D7270">
              <w:rPr>
                <w:rFonts w:ascii="Verdana" w:hAnsi="Verdana" w:eastAsia="Aptos" w:cs="Aptos"/>
                <w:i/>
                <w:iCs/>
                <w:sz w:val="18"/>
                <w:szCs w:val="18"/>
              </w:rPr>
              <w:t xml:space="preserve"> </w:t>
            </w:r>
            <w:proofErr w:type="spellStart"/>
            <w:r w:rsidRPr="00781A6F" w:rsidR="008D7270">
              <w:rPr>
                <w:rFonts w:ascii="Verdana" w:hAnsi="Verdana" w:eastAsia="Aptos" w:cs="Aptos"/>
                <w:i/>
                <w:iCs/>
                <w:sz w:val="18"/>
                <w:szCs w:val="18"/>
              </w:rPr>
              <w:t>sandboxes</w:t>
            </w:r>
            <w:proofErr w:type="spellEnd"/>
            <w:r w:rsidRPr="00781A6F" w:rsidR="008D7270">
              <w:rPr>
                <w:rFonts w:ascii="Verdana" w:hAnsi="Verdana" w:eastAsia="Aptos" w:cs="Aptos"/>
                <w:i/>
                <w:iCs/>
                <w:sz w:val="18"/>
                <w:szCs w:val="18"/>
              </w:rPr>
              <w:t>.</w:t>
            </w:r>
            <w:r w:rsidRPr="00781A6F" w:rsidR="6AE08EC4">
              <w:rPr>
                <w:rFonts w:ascii="Verdana" w:hAnsi="Verdana" w:eastAsia="Aptos" w:cs="Aptos"/>
                <w:i/>
                <w:iCs/>
                <w:sz w:val="18"/>
                <w:szCs w:val="18"/>
              </w:rPr>
              <w:t xml:space="preserve"> </w:t>
            </w:r>
            <w:r w:rsidRPr="00781A6F" w:rsidR="6100BDCC">
              <w:rPr>
                <w:rFonts w:ascii="Verdana" w:hAnsi="Verdana" w:eastAsia="Aptos" w:cs="Aptos"/>
                <w:sz w:val="18"/>
                <w:szCs w:val="18"/>
              </w:rPr>
              <w:t>Belangrijk</w:t>
            </w:r>
            <w:r w:rsidRPr="00781A6F" w:rsidR="6100BDCC">
              <w:rPr>
                <w:rFonts w:ascii="Verdana" w:hAnsi="Verdana" w:eastAsia="Verdana" w:cs="Verdana"/>
                <w:sz w:val="18"/>
                <w:szCs w:val="18"/>
              </w:rPr>
              <w:t xml:space="preserve"> is </w:t>
            </w:r>
            <w:r w:rsidRPr="00781A6F" w:rsidR="00E55D7E">
              <w:rPr>
                <w:rFonts w:ascii="Verdana" w:hAnsi="Verdana" w:eastAsia="Verdana" w:cs="Verdana"/>
                <w:sz w:val="18"/>
                <w:szCs w:val="18"/>
              </w:rPr>
              <w:t xml:space="preserve">om </w:t>
            </w:r>
            <w:r w:rsidRPr="00781A6F" w:rsidR="6100BDCC">
              <w:rPr>
                <w:rFonts w:ascii="Verdana" w:hAnsi="Verdana" w:eastAsia="Verdana" w:cs="Verdana"/>
                <w:sz w:val="18"/>
                <w:szCs w:val="18"/>
              </w:rPr>
              <w:t xml:space="preserve">de ruimte voor overheden om innovatie in sectoren met wezenlijke veiligheidsbelangen te beschermen en mogelijkheden te bieden voor participatie. </w:t>
            </w:r>
          </w:p>
          <w:p w:rsidRPr="00781A6F" w:rsidR="008D7270" w:rsidP="00781A6F" w:rsidRDefault="008D7270" w14:paraId="5A21E313" w14:textId="2233FBB0">
            <w:pPr>
              <w:rPr>
                <w:rFonts w:ascii="Verdana" w:hAnsi="Verdana" w:cstheme="minorBidi"/>
                <w:color w:val="000000"/>
                <w:sz w:val="18"/>
                <w:szCs w:val="18"/>
              </w:rPr>
            </w:pPr>
          </w:p>
        </w:tc>
        <w:tc>
          <w:tcPr>
            <w:tcW w:w="1985" w:type="dxa"/>
            <w:tcBorders>
              <w:top w:val="single" w:color="auto" w:sz="4" w:space="0"/>
              <w:left w:val="single" w:color="auto" w:sz="4" w:space="0"/>
              <w:bottom w:val="single" w:color="auto" w:sz="4" w:space="0"/>
              <w:right w:val="single" w:color="auto" w:sz="4" w:space="0"/>
            </w:tcBorders>
          </w:tcPr>
          <w:p w:rsidRPr="00781A6F" w:rsidR="008D7270" w:rsidP="00781A6F" w:rsidRDefault="008D7270" w14:paraId="72ADAAD1" w14:textId="4F4C1EDE">
            <w:pPr>
              <w:rPr>
                <w:rFonts w:ascii="Verdana" w:hAnsi="Verdana" w:cstheme="minorBidi"/>
                <w:color w:val="000000"/>
                <w:sz w:val="18"/>
                <w:szCs w:val="18"/>
              </w:rPr>
            </w:pPr>
            <w:r w:rsidRPr="00781A6F">
              <w:rPr>
                <w:rFonts w:ascii="Verdana" w:hAnsi="Verdana"/>
                <w:color w:val="000000"/>
                <w:sz w:val="18"/>
                <w:szCs w:val="18"/>
              </w:rPr>
              <w:t xml:space="preserve">Wetgevend </w:t>
            </w:r>
          </w:p>
          <w:p w:rsidRPr="00781A6F" w:rsidR="008D7270" w:rsidP="00781A6F" w:rsidRDefault="008D7270" w14:paraId="2653764B" w14:textId="37B2EAA9">
            <w:pPr>
              <w:rPr>
                <w:rFonts w:ascii="Verdana" w:hAnsi="Verdana" w:cstheme="minorHAnsi"/>
                <w:color w:val="000000"/>
                <w:sz w:val="18"/>
                <w:szCs w:val="18"/>
              </w:rPr>
            </w:pPr>
          </w:p>
        </w:tc>
      </w:tr>
      <w:tr w:rsidRPr="00781A6F" w:rsidR="008D7270" w:rsidTr="007766E6" w14:paraId="5CD13E9B" w14:textId="77777777">
        <w:trPr>
          <w:trHeight w:val="979"/>
        </w:trPr>
        <w:tc>
          <w:tcPr>
            <w:tcW w:w="567" w:type="dxa"/>
            <w:tcBorders>
              <w:top w:val="single" w:color="auto" w:sz="4" w:space="0"/>
              <w:left w:val="single" w:color="auto" w:sz="4" w:space="0"/>
              <w:bottom w:val="single" w:color="auto" w:sz="4" w:space="0"/>
              <w:right w:val="single" w:color="auto" w:sz="4" w:space="0"/>
            </w:tcBorders>
          </w:tcPr>
          <w:p w:rsidRPr="00781A6F" w:rsidR="008D7270" w:rsidP="00781A6F" w:rsidRDefault="008D7270" w14:paraId="6041769C" w14:textId="42F23708">
            <w:pPr>
              <w:rPr>
                <w:rFonts w:ascii="Verdana" w:hAnsi="Verdana" w:cstheme="minorBidi"/>
                <w:sz w:val="18"/>
                <w:szCs w:val="18"/>
              </w:rPr>
            </w:pPr>
            <w:r w:rsidRPr="00781A6F">
              <w:rPr>
                <w:rFonts w:ascii="Verdana" w:hAnsi="Verdana"/>
                <w:sz w:val="18"/>
                <w:szCs w:val="18"/>
              </w:rPr>
              <w:t>3.</w:t>
            </w:r>
          </w:p>
        </w:tc>
        <w:tc>
          <w:tcPr>
            <w:tcW w:w="2694" w:type="dxa"/>
            <w:tcBorders>
              <w:top w:val="single" w:color="auto" w:sz="4" w:space="0"/>
              <w:left w:val="single" w:color="auto" w:sz="4" w:space="0"/>
              <w:bottom w:val="single" w:color="auto" w:sz="4" w:space="0"/>
              <w:right w:val="single" w:color="auto" w:sz="4" w:space="0"/>
            </w:tcBorders>
          </w:tcPr>
          <w:p w:rsidRPr="00781A6F" w:rsidR="008D7270" w:rsidP="00781A6F" w:rsidRDefault="001274D0" w14:paraId="3767CD45" w14:textId="5706EAF2">
            <w:pPr>
              <w:rPr>
                <w:rFonts w:ascii="Verdana" w:hAnsi="Verdana" w:cstheme="minorBidi"/>
                <w:sz w:val="18"/>
                <w:szCs w:val="18"/>
                <w:lang w:val="en-US"/>
              </w:rPr>
            </w:pPr>
            <w:proofErr w:type="spellStart"/>
            <w:r w:rsidRPr="00781A6F">
              <w:rPr>
                <w:rFonts w:ascii="Verdana" w:hAnsi="Verdana"/>
                <w:sz w:val="18"/>
                <w:szCs w:val="18"/>
                <w:lang w:val="en-US"/>
              </w:rPr>
              <w:t>Wetgevingshandeling</w:t>
            </w:r>
            <w:proofErr w:type="spellEnd"/>
            <w:r w:rsidRPr="00781A6F">
              <w:rPr>
                <w:rFonts w:ascii="Verdana" w:hAnsi="Verdana"/>
                <w:sz w:val="18"/>
                <w:szCs w:val="18"/>
                <w:lang w:val="en-US"/>
              </w:rPr>
              <w:t xml:space="preserve"> over </w:t>
            </w:r>
            <w:proofErr w:type="spellStart"/>
            <w:r w:rsidRPr="00781A6F">
              <w:rPr>
                <w:rFonts w:ascii="Verdana" w:hAnsi="Verdana"/>
                <w:sz w:val="18"/>
                <w:szCs w:val="18"/>
                <w:lang w:val="en-US"/>
              </w:rPr>
              <w:t>overheidsopdrachten</w:t>
            </w:r>
            <w:proofErr w:type="spellEnd"/>
            <w:r w:rsidRPr="00781A6F">
              <w:rPr>
                <w:rFonts w:ascii="Verdana" w:hAnsi="Verdana"/>
                <w:sz w:val="18"/>
                <w:szCs w:val="18"/>
                <w:lang w:val="en-US"/>
              </w:rPr>
              <w:t xml:space="preserve"> </w:t>
            </w:r>
            <w:r w:rsidRPr="00781A6F" w:rsidR="008D7270">
              <w:rPr>
                <w:rFonts w:ascii="Verdana" w:hAnsi="Verdana"/>
                <w:sz w:val="18"/>
                <w:szCs w:val="18"/>
                <w:lang w:val="en-US"/>
              </w:rPr>
              <w:t>(Q2 2026)</w:t>
            </w:r>
          </w:p>
        </w:tc>
        <w:tc>
          <w:tcPr>
            <w:tcW w:w="4394" w:type="dxa"/>
            <w:tcBorders>
              <w:top w:val="single" w:color="auto" w:sz="4" w:space="0"/>
              <w:left w:val="single" w:color="auto" w:sz="4" w:space="0"/>
              <w:bottom w:val="single" w:color="auto" w:sz="4" w:space="0"/>
              <w:right w:val="single" w:color="auto" w:sz="4" w:space="0"/>
            </w:tcBorders>
          </w:tcPr>
          <w:p w:rsidRPr="00781A6F" w:rsidR="008D7270" w:rsidP="00781A6F" w:rsidRDefault="008D7270" w14:paraId="243AA483" w14:textId="0B34EC1E">
            <w:pPr>
              <w:rPr>
                <w:rFonts w:ascii="Verdana" w:hAnsi="Verdana" w:cstheme="minorBidi"/>
                <w:color w:val="000000"/>
                <w:sz w:val="18"/>
                <w:szCs w:val="18"/>
              </w:rPr>
            </w:pPr>
            <w:r w:rsidRPr="00781A6F">
              <w:rPr>
                <w:rFonts w:ascii="Verdana" w:hAnsi="Verdana"/>
                <w:color w:val="000000"/>
                <w:sz w:val="18"/>
                <w:szCs w:val="18"/>
              </w:rPr>
              <w:t xml:space="preserve">De aanbestedingsregels worden aangepast van </w:t>
            </w:r>
            <w:r w:rsidRPr="00781A6F" w:rsidR="00C515FB">
              <w:rPr>
                <w:rFonts w:ascii="Verdana" w:hAnsi="Verdana"/>
                <w:color w:val="000000"/>
                <w:sz w:val="18"/>
                <w:szCs w:val="18"/>
              </w:rPr>
              <w:t>drie</w:t>
            </w:r>
            <w:r w:rsidRPr="00781A6F">
              <w:rPr>
                <w:rFonts w:ascii="Verdana" w:hAnsi="Verdana"/>
                <w:color w:val="000000"/>
                <w:sz w:val="18"/>
                <w:szCs w:val="18"/>
              </w:rPr>
              <w:t xml:space="preserve"> </w:t>
            </w:r>
            <w:r w:rsidRPr="00781A6F" w:rsidR="001274D0">
              <w:rPr>
                <w:rFonts w:ascii="Verdana" w:hAnsi="Verdana"/>
                <w:color w:val="000000"/>
                <w:sz w:val="18"/>
                <w:szCs w:val="18"/>
              </w:rPr>
              <w:t>r</w:t>
            </w:r>
            <w:r w:rsidRPr="00781A6F">
              <w:rPr>
                <w:rFonts w:ascii="Verdana" w:hAnsi="Verdana"/>
                <w:color w:val="000000"/>
                <w:sz w:val="18"/>
                <w:szCs w:val="18"/>
              </w:rPr>
              <w:t xml:space="preserve">ichtlijnen naar </w:t>
            </w:r>
            <w:r w:rsidRPr="00781A6F" w:rsidR="00C515FB">
              <w:rPr>
                <w:rFonts w:ascii="Verdana" w:hAnsi="Verdana"/>
                <w:color w:val="000000"/>
                <w:sz w:val="18"/>
                <w:szCs w:val="18"/>
              </w:rPr>
              <w:t>één</w:t>
            </w:r>
            <w:r w:rsidRPr="00781A6F">
              <w:rPr>
                <w:rFonts w:ascii="Verdana" w:hAnsi="Verdana"/>
                <w:color w:val="000000"/>
                <w:sz w:val="18"/>
                <w:szCs w:val="18"/>
              </w:rPr>
              <w:t xml:space="preserve"> </w:t>
            </w:r>
            <w:r w:rsidRPr="00781A6F" w:rsidR="001274D0">
              <w:rPr>
                <w:rFonts w:ascii="Verdana" w:hAnsi="Verdana"/>
                <w:color w:val="000000"/>
                <w:sz w:val="18"/>
                <w:szCs w:val="18"/>
              </w:rPr>
              <w:t>v</w:t>
            </w:r>
            <w:r w:rsidRPr="00781A6F">
              <w:rPr>
                <w:rFonts w:ascii="Verdana" w:hAnsi="Verdana"/>
                <w:color w:val="000000"/>
                <w:sz w:val="18"/>
                <w:szCs w:val="18"/>
              </w:rPr>
              <w:t>erordening. Doel is om procedures te vereenvoudigen, kwaliteit, duurzaamheid en innovatie sterker mee te wegen in aanbestedingen</w:t>
            </w:r>
            <w:r w:rsidRPr="00781A6F" w:rsidR="00C515FB">
              <w:rPr>
                <w:rFonts w:ascii="Verdana" w:hAnsi="Verdana"/>
                <w:color w:val="000000"/>
                <w:sz w:val="18"/>
                <w:szCs w:val="18"/>
              </w:rPr>
              <w:t>,</w:t>
            </w:r>
            <w:r w:rsidRPr="00781A6F">
              <w:rPr>
                <w:rFonts w:ascii="Verdana" w:hAnsi="Verdana"/>
                <w:color w:val="000000"/>
                <w:sz w:val="18"/>
                <w:szCs w:val="18"/>
              </w:rPr>
              <w:t xml:space="preserve"> en kleinere </w:t>
            </w:r>
            <w:r w:rsidRPr="00781A6F">
              <w:rPr>
                <w:rFonts w:ascii="Verdana" w:hAnsi="Verdana"/>
                <w:color w:val="000000"/>
                <w:sz w:val="18"/>
                <w:szCs w:val="18"/>
              </w:rPr>
              <w:lastRenderedPageBreak/>
              <w:t xml:space="preserve">ondernemingen (zoals </w:t>
            </w:r>
            <w:r w:rsidRPr="00781A6F" w:rsidR="00C515FB">
              <w:rPr>
                <w:rFonts w:ascii="Verdana" w:hAnsi="Verdana"/>
                <w:i/>
                <w:iCs/>
                <w:color w:val="000000"/>
                <w:sz w:val="18"/>
                <w:szCs w:val="18"/>
              </w:rPr>
              <w:t>startups</w:t>
            </w:r>
            <w:r w:rsidRPr="00781A6F">
              <w:rPr>
                <w:rFonts w:ascii="Verdana" w:hAnsi="Verdana"/>
                <w:color w:val="000000"/>
                <w:sz w:val="18"/>
                <w:szCs w:val="18"/>
              </w:rPr>
              <w:t>) beter toegang te geven tot publieke contracten.</w:t>
            </w:r>
          </w:p>
        </w:tc>
        <w:tc>
          <w:tcPr>
            <w:tcW w:w="5953" w:type="dxa"/>
            <w:tcBorders>
              <w:top w:val="single" w:color="auto" w:sz="4" w:space="0"/>
              <w:left w:val="single" w:color="auto" w:sz="4" w:space="0"/>
              <w:bottom w:val="single" w:color="auto" w:sz="4" w:space="0"/>
              <w:right w:val="single" w:color="auto" w:sz="4" w:space="0"/>
            </w:tcBorders>
          </w:tcPr>
          <w:p w:rsidRPr="00781A6F" w:rsidR="008D7270" w:rsidP="00781A6F" w:rsidRDefault="008D7270" w14:paraId="78C60443" w14:textId="62781EC7">
            <w:pPr>
              <w:rPr>
                <w:rFonts w:ascii="Verdana" w:hAnsi="Verdana" w:cstheme="minorBidi"/>
                <w:color w:val="000000" w:themeColor="text1"/>
                <w:sz w:val="18"/>
                <w:szCs w:val="18"/>
              </w:rPr>
            </w:pPr>
            <w:r w:rsidRPr="00781A6F">
              <w:rPr>
                <w:rFonts w:ascii="Verdana" w:hAnsi="Verdana"/>
                <w:sz w:val="18"/>
                <w:szCs w:val="18"/>
              </w:rPr>
              <w:lastRenderedPageBreak/>
              <w:t xml:space="preserve">Het kabinet </w:t>
            </w:r>
            <w:r w:rsidRPr="00781A6F" w:rsidR="00702608">
              <w:rPr>
                <w:rFonts w:ascii="Verdana" w:hAnsi="Verdana" w:eastAsia="Aptos" w:cs="Aptos"/>
                <w:sz w:val="18"/>
                <w:szCs w:val="18"/>
              </w:rPr>
              <w:t xml:space="preserve">kijkt uit naar </w:t>
            </w:r>
            <w:r w:rsidRPr="00781A6F">
              <w:rPr>
                <w:rFonts w:ascii="Verdana" w:hAnsi="Verdana"/>
                <w:sz w:val="18"/>
                <w:szCs w:val="18"/>
              </w:rPr>
              <w:t>de</w:t>
            </w:r>
            <w:r w:rsidRPr="00781A6F" w:rsidR="00C515FB">
              <w:rPr>
                <w:rFonts w:ascii="Verdana" w:hAnsi="Verdana"/>
                <w:sz w:val="18"/>
                <w:szCs w:val="18"/>
              </w:rPr>
              <w:t xml:space="preserve"> aangekondigde</w:t>
            </w:r>
            <w:r w:rsidRPr="00781A6F">
              <w:rPr>
                <w:rFonts w:ascii="Verdana" w:hAnsi="Verdana"/>
                <w:sz w:val="18"/>
                <w:szCs w:val="18"/>
              </w:rPr>
              <w:t xml:space="preserve"> herziening en vindt het belangrijk om het EU-kader voor overheidsaanbestedingen te moderniseren om geopolitieke, economische en duurzaamheid gerelateerde kwesties effectief aan te pakken. Daarbij is het belangrijk om de </w:t>
            </w:r>
            <w:r w:rsidRPr="00781A6F">
              <w:rPr>
                <w:rFonts w:ascii="Verdana" w:hAnsi="Verdana"/>
                <w:sz w:val="18"/>
                <w:szCs w:val="18"/>
              </w:rPr>
              <w:lastRenderedPageBreak/>
              <w:t xml:space="preserve">concurrentievoordelen op de interne markt te behouden. Dit kan worden bereikt door een grondige herziening van de richtlijnen, met een focus op </w:t>
            </w:r>
            <w:r w:rsidRPr="00781A6F" w:rsidR="00715E1F">
              <w:rPr>
                <w:rFonts w:ascii="Verdana" w:hAnsi="Verdana"/>
                <w:sz w:val="18"/>
                <w:szCs w:val="18"/>
              </w:rPr>
              <w:t>verminderen administratieve lasten</w:t>
            </w:r>
            <w:r w:rsidRPr="00781A6F">
              <w:rPr>
                <w:rFonts w:ascii="Verdana" w:hAnsi="Verdana"/>
                <w:sz w:val="18"/>
                <w:szCs w:val="18"/>
              </w:rPr>
              <w:t>en flexibiliteit.</w:t>
            </w:r>
          </w:p>
        </w:tc>
        <w:tc>
          <w:tcPr>
            <w:tcW w:w="1985" w:type="dxa"/>
            <w:tcBorders>
              <w:top w:val="single" w:color="auto" w:sz="4" w:space="0"/>
              <w:left w:val="single" w:color="auto" w:sz="4" w:space="0"/>
              <w:bottom w:val="single" w:color="auto" w:sz="4" w:space="0"/>
              <w:right w:val="single" w:color="auto" w:sz="4" w:space="0"/>
            </w:tcBorders>
          </w:tcPr>
          <w:p w:rsidRPr="00781A6F" w:rsidR="008D7270" w:rsidP="00781A6F" w:rsidRDefault="008D7270" w14:paraId="5F9E73E7" w14:textId="59FAA322">
            <w:pPr>
              <w:rPr>
                <w:rFonts w:ascii="Verdana" w:hAnsi="Verdana" w:cstheme="minorBidi"/>
                <w:color w:val="000000"/>
                <w:sz w:val="18"/>
                <w:szCs w:val="18"/>
              </w:rPr>
            </w:pPr>
            <w:r w:rsidRPr="00781A6F">
              <w:rPr>
                <w:rFonts w:ascii="Verdana" w:hAnsi="Verdana"/>
                <w:color w:val="000000"/>
                <w:sz w:val="18"/>
                <w:szCs w:val="18"/>
              </w:rPr>
              <w:lastRenderedPageBreak/>
              <w:t>Wetgevend</w:t>
            </w:r>
          </w:p>
        </w:tc>
      </w:tr>
      <w:tr w:rsidRPr="00781A6F" w:rsidR="008D7270" w:rsidTr="007766E6" w14:paraId="5A8D7C1C" w14:textId="77777777">
        <w:trPr>
          <w:trHeight w:val="979"/>
        </w:trPr>
        <w:tc>
          <w:tcPr>
            <w:tcW w:w="567" w:type="dxa"/>
            <w:tcBorders>
              <w:top w:val="single" w:color="auto" w:sz="4" w:space="0"/>
              <w:left w:val="single" w:color="auto" w:sz="4" w:space="0"/>
              <w:bottom w:val="single" w:color="auto" w:sz="4" w:space="0"/>
              <w:right w:val="single" w:color="auto" w:sz="4" w:space="0"/>
            </w:tcBorders>
          </w:tcPr>
          <w:p w:rsidRPr="00781A6F" w:rsidR="008D7270" w:rsidP="00781A6F" w:rsidRDefault="008D7270" w14:paraId="677F1278" w14:textId="58601EE6">
            <w:pPr>
              <w:rPr>
                <w:rFonts w:ascii="Verdana" w:hAnsi="Verdana" w:cstheme="minorBidi"/>
                <w:sz w:val="18"/>
                <w:szCs w:val="18"/>
              </w:rPr>
            </w:pPr>
            <w:r w:rsidRPr="00781A6F">
              <w:rPr>
                <w:rFonts w:ascii="Verdana" w:hAnsi="Verdana"/>
                <w:sz w:val="18"/>
                <w:szCs w:val="18"/>
              </w:rPr>
              <w:t>4.</w:t>
            </w:r>
          </w:p>
        </w:tc>
        <w:tc>
          <w:tcPr>
            <w:tcW w:w="2694" w:type="dxa"/>
            <w:tcBorders>
              <w:top w:val="single" w:color="auto" w:sz="4" w:space="0"/>
              <w:left w:val="single" w:color="auto" w:sz="4" w:space="0"/>
              <w:bottom w:val="single" w:color="auto" w:sz="4" w:space="0"/>
              <w:right w:val="single" w:color="auto" w:sz="4" w:space="0"/>
            </w:tcBorders>
          </w:tcPr>
          <w:p w:rsidRPr="00781A6F" w:rsidR="008D7270" w:rsidP="00781A6F" w:rsidRDefault="001274D0" w14:paraId="10F466B4" w14:textId="37BF95F7">
            <w:pPr>
              <w:rPr>
                <w:rFonts w:ascii="Verdana" w:hAnsi="Verdana" w:cstheme="minorBidi"/>
                <w:sz w:val="18"/>
                <w:szCs w:val="18"/>
              </w:rPr>
            </w:pPr>
            <w:r w:rsidRPr="00781A6F">
              <w:rPr>
                <w:rFonts w:ascii="Verdana" w:hAnsi="Verdana"/>
                <w:sz w:val="18"/>
                <w:szCs w:val="18"/>
              </w:rPr>
              <w:t xml:space="preserve">Wetgevingshandeling over geavanceerde materialen </w:t>
            </w:r>
            <w:r w:rsidRPr="00781A6F" w:rsidR="008D7270">
              <w:rPr>
                <w:rFonts w:ascii="Verdana" w:hAnsi="Verdana"/>
                <w:sz w:val="18"/>
                <w:szCs w:val="18"/>
              </w:rPr>
              <w:t>(Q4 2026)</w:t>
            </w:r>
          </w:p>
        </w:tc>
        <w:tc>
          <w:tcPr>
            <w:tcW w:w="4394" w:type="dxa"/>
            <w:tcBorders>
              <w:top w:val="single" w:color="auto" w:sz="4" w:space="0"/>
              <w:left w:val="single" w:color="auto" w:sz="4" w:space="0"/>
              <w:bottom w:val="single" w:color="auto" w:sz="4" w:space="0"/>
              <w:right w:val="single" w:color="auto" w:sz="4" w:space="0"/>
            </w:tcBorders>
          </w:tcPr>
          <w:p w:rsidRPr="00781A6F" w:rsidR="008D7270" w:rsidP="00781A6F" w:rsidRDefault="00C515FB" w14:paraId="0B14CA74" w14:textId="78525ACC">
            <w:pPr>
              <w:rPr>
                <w:rFonts w:ascii="Verdana" w:hAnsi="Verdana"/>
                <w:sz w:val="18"/>
                <w:szCs w:val="18"/>
              </w:rPr>
            </w:pPr>
            <w:r w:rsidRPr="00781A6F">
              <w:rPr>
                <w:rFonts w:ascii="Verdana" w:hAnsi="Verdana" w:eastAsia="Verdana" w:cs="Verdana"/>
                <w:color w:val="000000" w:themeColor="text1"/>
                <w:sz w:val="18"/>
                <w:szCs w:val="18"/>
              </w:rPr>
              <w:t xml:space="preserve">De aangekondigde </w:t>
            </w:r>
            <w:r w:rsidRPr="00781A6F" w:rsidR="001274D0">
              <w:rPr>
                <w:rFonts w:ascii="Verdana" w:hAnsi="Verdana"/>
                <w:sz w:val="18"/>
                <w:szCs w:val="18"/>
              </w:rPr>
              <w:t>Wetgevingshandeling over geavanceerde materialen</w:t>
            </w:r>
            <w:r w:rsidRPr="00781A6F">
              <w:rPr>
                <w:rFonts w:ascii="Verdana" w:hAnsi="Verdana"/>
                <w:i/>
                <w:sz w:val="18"/>
                <w:szCs w:val="18"/>
              </w:rPr>
              <w:t xml:space="preserve"> </w:t>
            </w:r>
            <w:r w:rsidRPr="00781A6F" w:rsidR="008D7270">
              <w:rPr>
                <w:rFonts w:ascii="Verdana" w:hAnsi="Verdana" w:eastAsia="Verdana" w:cs="Verdana"/>
                <w:color w:val="000000" w:themeColor="text1"/>
                <w:sz w:val="18"/>
                <w:szCs w:val="18"/>
              </w:rPr>
              <w:t>zal het kader vormen voor de gehele levenscyclus van geavanceerde materialen, van onderzoek en productie tot marktintroductie, met het doel om Europa minder afhankelijk te maken van buitenlandse toeleveringsketens</w:t>
            </w:r>
            <w:r w:rsidRPr="00781A6F" w:rsidR="008D7270">
              <w:rPr>
                <w:rFonts w:ascii="Verdana" w:hAnsi="Verdana" w:eastAsia="Calibri" w:cs="Calibri"/>
                <w:sz w:val="18"/>
                <w:szCs w:val="18"/>
              </w:rPr>
              <w:t xml:space="preserve">. </w:t>
            </w:r>
          </w:p>
        </w:tc>
        <w:tc>
          <w:tcPr>
            <w:tcW w:w="5953" w:type="dxa"/>
            <w:tcBorders>
              <w:top w:val="single" w:color="auto" w:sz="4" w:space="0"/>
              <w:left w:val="single" w:color="auto" w:sz="4" w:space="0"/>
              <w:bottom w:val="single" w:color="auto" w:sz="4" w:space="0"/>
              <w:right w:val="single" w:color="auto" w:sz="4" w:space="0"/>
            </w:tcBorders>
          </w:tcPr>
          <w:p w:rsidRPr="00781A6F" w:rsidR="008D7270" w:rsidP="00781A6F" w:rsidRDefault="008D7270" w14:paraId="5342F342" w14:textId="38E8EABE">
            <w:pPr>
              <w:rPr>
                <w:rFonts w:ascii="Verdana" w:hAnsi="Verdana"/>
                <w:sz w:val="18"/>
                <w:szCs w:val="18"/>
              </w:rPr>
            </w:pPr>
            <w:r w:rsidRPr="00781A6F">
              <w:rPr>
                <w:rFonts w:ascii="Verdana" w:hAnsi="Verdana"/>
                <w:sz w:val="18"/>
                <w:szCs w:val="18"/>
              </w:rPr>
              <w:t>Het kabinet erkent de rol die geavanceerde materialen kunnen spelen in de digitale en groene transities, en ziet de meerwaarde van een voortrekkersrol op het gebied van geavanceerde materialen voor de economische veiligheid</w:t>
            </w:r>
            <w:r w:rsidRPr="00781A6F" w:rsidR="3E6B872F">
              <w:rPr>
                <w:rFonts w:ascii="Verdana" w:hAnsi="Verdana"/>
                <w:sz w:val="18"/>
                <w:szCs w:val="18"/>
              </w:rPr>
              <w:t>, defensie</w:t>
            </w:r>
            <w:r w:rsidRPr="00781A6F">
              <w:rPr>
                <w:rFonts w:ascii="Verdana" w:hAnsi="Verdana"/>
                <w:sz w:val="18"/>
                <w:szCs w:val="18"/>
              </w:rPr>
              <w:t xml:space="preserve"> en weerbaarheid van Europa. Het kabinet ondersteunt het bevorderen van een ecosysteem rondom geavanceerde materialen en het stimuleren van private investeringen via het bevorderen van markttoepassingen en valorisatie</w:t>
            </w:r>
            <w:r w:rsidRPr="00781A6F" w:rsidR="00E55D7E">
              <w:rPr>
                <w:rFonts w:ascii="Verdana" w:hAnsi="Verdana"/>
                <w:sz w:val="18"/>
                <w:szCs w:val="18"/>
              </w:rPr>
              <w:t>.</w:t>
            </w:r>
          </w:p>
          <w:p w:rsidRPr="00781A6F" w:rsidR="008D7270" w:rsidP="00781A6F" w:rsidRDefault="008D7270" w14:paraId="37A78D6C" w14:textId="4A7B1513">
            <w:pPr>
              <w:rPr>
                <w:rFonts w:ascii="Verdana" w:hAnsi="Verdana"/>
                <w:sz w:val="18"/>
                <w:szCs w:val="18"/>
              </w:rPr>
            </w:pPr>
            <w:r w:rsidRPr="00781A6F">
              <w:rPr>
                <w:rFonts w:ascii="Verdana" w:hAnsi="Verdana"/>
                <w:sz w:val="18"/>
                <w:szCs w:val="18"/>
              </w:rPr>
              <w:t xml:space="preserve"> </w:t>
            </w:r>
          </w:p>
        </w:tc>
        <w:tc>
          <w:tcPr>
            <w:tcW w:w="1985" w:type="dxa"/>
            <w:tcBorders>
              <w:top w:val="single" w:color="auto" w:sz="4" w:space="0"/>
              <w:left w:val="single" w:color="auto" w:sz="4" w:space="0"/>
              <w:bottom w:val="single" w:color="auto" w:sz="4" w:space="0"/>
              <w:right w:val="single" w:color="auto" w:sz="4" w:space="0"/>
            </w:tcBorders>
          </w:tcPr>
          <w:p w:rsidRPr="00781A6F" w:rsidR="008D7270" w:rsidP="00781A6F" w:rsidRDefault="008D7270" w14:paraId="31E93470" w14:textId="18904CD5">
            <w:pPr>
              <w:rPr>
                <w:rFonts w:ascii="Verdana" w:hAnsi="Verdana" w:cstheme="minorBidi"/>
                <w:color w:val="000000"/>
                <w:sz w:val="18"/>
                <w:szCs w:val="18"/>
              </w:rPr>
            </w:pPr>
            <w:r w:rsidRPr="00781A6F">
              <w:rPr>
                <w:rFonts w:ascii="Verdana" w:hAnsi="Verdana"/>
                <w:color w:val="000000"/>
                <w:sz w:val="18"/>
                <w:szCs w:val="18"/>
              </w:rPr>
              <w:t>Wetgevend</w:t>
            </w:r>
          </w:p>
        </w:tc>
      </w:tr>
      <w:tr w:rsidRPr="00781A6F" w:rsidR="008D7270" w:rsidTr="007766E6" w14:paraId="21BAF80F" w14:textId="77777777">
        <w:trPr>
          <w:trHeight w:val="979"/>
        </w:trPr>
        <w:tc>
          <w:tcPr>
            <w:tcW w:w="567" w:type="dxa"/>
            <w:tcBorders>
              <w:top w:val="single" w:color="auto" w:sz="4" w:space="0"/>
              <w:left w:val="single" w:color="auto" w:sz="4" w:space="0"/>
              <w:bottom w:val="single" w:color="auto" w:sz="4" w:space="0"/>
              <w:right w:val="single" w:color="auto" w:sz="4" w:space="0"/>
            </w:tcBorders>
          </w:tcPr>
          <w:p w:rsidRPr="00781A6F" w:rsidR="008D7270" w:rsidP="00781A6F" w:rsidRDefault="008D7270" w14:paraId="4E4CADA9" w14:textId="31B4EBF2">
            <w:pPr>
              <w:rPr>
                <w:rFonts w:ascii="Verdana" w:hAnsi="Verdana" w:cstheme="minorBidi"/>
                <w:sz w:val="18"/>
                <w:szCs w:val="18"/>
              </w:rPr>
            </w:pPr>
            <w:r w:rsidRPr="00781A6F">
              <w:rPr>
                <w:rFonts w:ascii="Verdana" w:hAnsi="Verdana" w:eastAsia="Times New Roman"/>
                <w:sz w:val="18"/>
                <w:szCs w:val="18"/>
              </w:rPr>
              <w:t>5.</w:t>
            </w:r>
          </w:p>
        </w:tc>
        <w:tc>
          <w:tcPr>
            <w:tcW w:w="2694" w:type="dxa"/>
            <w:tcBorders>
              <w:top w:val="single" w:color="auto" w:sz="4" w:space="0"/>
              <w:left w:val="single" w:color="auto" w:sz="4" w:space="0"/>
              <w:bottom w:val="single" w:color="auto" w:sz="4" w:space="0"/>
              <w:right w:val="single" w:color="auto" w:sz="4" w:space="0"/>
            </w:tcBorders>
          </w:tcPr>
          <w:p w:rsidRPr="00781A6F" w:rsidR="008D7270" w:rsidP="00781A6F" w:rsidRDefault="001274D0" w14:paraId="6EAF0E40" w14:textId="30EC660C">
            <w:pPr>
              <w:rPr>
                <w:rFonts w:ascii="Verdana" w:hAnsi="Verdana" w:cstheme="minorBidi"/>
                <w:sz w:val="18"/>
                <w:szCs w:val="18"/>
              </w:rPr>
            </w:pPr>
            <w:r w:rsidRPr="00781A6F">
              <w:rPr>
                <w:rFonts w:ascii="Verdana" w:hAnsi="Verdana" w:eastAsia="Times New Roman"/>
                <w:sz w:val="18"/>
                <w:szCs w:val="18"/>
              </w:rPr>
              <w:t xml:space="preserve">Wetgevingshandeling over </w:t>
            </w:r>
            <w:r w:rsidRPr="00781A6F" w:rsidR="00E13CB4">
              <w:rPr>
                <w:rFonts w:ascii="Verdana" w:hAnsi="Verdana" w:eastAsia="Times New Roman"/>
                <w:sz w:val="18"/>
                <w:szCs w:val="18"/>
              </w:rPr>
              <w:t>C</w:t>
            </w:r>
            <w:r w:rsidRPr="00781A6F">
              <w:rPr>
                <w:rFonts w:ascii="Verdana" w:hAnsi="Verdana" w:eastAsia="Times New Roman"/>
                <w:sz w:val="18"/>
                <w:szCs w:val="18"/>
              </w:rPr>
              <w:t xml:space="preserve">loud- en AI-ontwikkeling </w:t>
            </w:r>
            <w:r w:rsidRPr="00781A6F" w:rsidR="008D7270">
              <w:rPr>
                <w:rFonts w:ascii="Verdana" w:hAnsi="Verdana" w:eastAsia="Times New Roman"/>
                <w:sz w:val="18"/>
                <w:szCs w:val="18"/>
              </w:rPr>
              <w:t>(Q1 2026)</w:t>
            </w:r>
          </w:p>
        </w:tc>
        <w:tc>
          <w:tcPr>
            <w:tcW w:w="4394" w:type="dxa"/>
            <w:tcBorders>
              <w:top w:val="single" w:color="auto" w:sz="4" w:space="0"/>
              <w:left w:val="single" w:color="auto" w:sz="4" w:space="0"/>
              <w:bottom w:val="single" w:color="auto" w:sz="4" w:space="0"/>
              <w:right w:val="single" w:color="auto" w:sz="4" w:space="0"/>
            </w:tcBorders>
          </w:tcPr>
          <w:p w:rsidRPr="00781A6F" w:rsidR="008D7270" w:rsidP="00781A6F" w:rsidRDefault="006B0323" w14:paraId="4CC28FA1" w14:textId="073D4CAD">
            <w:pPr>
              <w:rPr>
                <w:rFonts w:ascii="Verdana" w:hAnsi="Verdana"/>
                <w:sz w:val="18"/>
                <w:szCs w:val="18"/>
              </w:rPr>
            </w:pPr>
            <w:r w:rsidRPr="00781A6F">
              <w:rPr>
                <w:rFonts w:ascii="Verdana" w:hAnsi="Verdana"/>
                <w:sz w:val="18"/>
                <w:szCs w:val="18"/>
              </w:rPr>
              <w:t>Met d</w:t>
            </w:r>
            <w:r w:rsidRPr="00781A6F" w:rsidR="008D7270">
              <w:rPr>
                <w:rFonts w:ascii="Verdana" w:hAnsi="Verdana"/>
                <w:sz w:val="18"/>
                <w:szCs w:val="18"/>
              </w:rPr>
              <w:t>e</w:t>
            </w:r>
            <w:r w:rsidRPr="00781A6F">
              <w:rPr>
                <w:rFonts w:ascii="Verdana" w:hAnsi="Verdana"/>
                <w:sz w:val="18"/>
                <w:szCs w:val="18"/>
              </w:rPr>
              <w:t xml:space="preserve"> voorgesteld</w:t>
            </w:r>
            <w:r w:rsidRPr="00781A6F" w:rsidR="002334C1">
              <w:rPr>
                <w:rFonts w:ascii="Verdana" w:hAnsi="Verdana"/>
                <w:sz w:val="18"/>
                <w:szCs w:val="18"/>
              </w:rPr>
              <w:t>e</w:t>
            </w:r>
            <w:r w:rsidRPr="00781A6F" w:rsidR="008D7270">
              <w:rPr>
                <w:rFonts w:ascii="Verdana" w:hAnsi="Verdana"/>
                <w:sz w:val="18"/>
                <w:szCs w:val="18"/>
              </w:rPr>
              <w:t xml:space="preserve"> </w:t>
            </w:r>
            <w:r w:rsidRPr="00781A6F" w:rsidR="00FF1D6B">
              <w:rPr>
                <w:rFonts w:ascii="Verdana" w:hAnsi="Verdana"/>
                <w:color w:val="000000"/>
                <w:sz w:val="18"/>
                <w:szCs w:val="18"/>
              </w:rPr>
              <w:t>Verordening</w:t>
            </w:r>
            <w:r w:rsidRPr="00781A6F" w:rsidR="008D7270">
              <w:rPr>
                <w:rFonts w:ascii="Verdana" w:hAnsi="Verdana"/>
                <w:sz w:val="18"/>
                <w:szCs w:val="18"/>
              </w:rPr>
              <w:t xml:space="preserve"> Cloud en AI Ontwikkeling (CADA) </w:t>
            </w:r>
            <w:r w:rsidRPr="00781A6F">
              <w:rPr>
                <w:rFonts w:ascii="Verdana" w:hAnsi="Verdana"/>
                <w:sz w:val="18"/>
                <w:szCs w:val="18"/>
              </w:rPr>
              <w:t xml:space="preserve">wil de Europese Commissie </w:t>
            </w:r>
            <w:r w:rsidRPr="00781A6F" w:rsidR="005871B2">
              <w:rPr>
                <w:rFonts w:ascii="Verdana" w:hAnsi="Verdana"/>
                <w:sz w:val="18"/>
                <w:szCs w:val="18"/>
              </w:rPr>
              <w:t xml:space="preserve">de </w:t>
            </w:r>
            <w:r w:rsidRPr="00781A6F" w:rsidR="008D7270">
              <w:rPr>
                <w:rFonts w:ascii="Verdana" w:hAnsi="Verdana"/>
                <w:sz w:val="18"/>
                <w:szCs w:val="18"/>
              </w:rPr>
              <w:t xml:space="preserve">ontwikkeling van </w:t>
            </w:r>
            <w:r w:rsidRPr="00781A6F" w:rsidR="00C515FB">
              <w:rPr>
                <w:rFonts w:ascii="Verdana" w:hAnsi="Verdana"/>
                <w:sz w:val="18"/>
                <w:szCs w:val="18"/>
              </w:rPr>
              <w:t xml:space="preserve">de </w:t>
            </w:r>
            <w:r w:rsidRPr="00781A6F" w:rsidR="00320138">
              <w:rPr>
                <w:rFonts w:ascii="Verdana" w:hAnsi="Verdana"/>
                <w:sz w:val="18"/>
                <w:szCs w:val="18"/>
              </w:rPr>
              <w:t xml:space="preserve">Europese </w:t>
            </w:r>
            <w:r w:rsidRPr="00781A6F" w:rsidR="00FF1D6B">
              <w:rPr>
                <w:rFonts w:ascii="Verdana" w:hAnsi="Verdana"/>
                <w:sz w:val="18"/>
                <w:szCs w:val="18"/>
              </w:rPr>
              <w:t>Cloud</w:t>
            </w:r>
            <w:r w:rsidRPr="00781A6F" w:rsidR="00320138">
              <w:rPr>
                <w:rFonts w:ascii="Verdana" w:hAnsi="Verdana"/>
                <w:sz w:val="18"/>
                <w:szCs w:val="18"/>
              </w:rPr>
              <w:t xml:space="preserve"> infrastructuur</w:t>
            </w:r>
            <w:r w:rsidRPr="00781A6F" w:rsidR="008D7270">
              <w:rPr>
                <w:rFonts w:ascii="Verdana" w:hAnsi="Verdana"/>
                <w:sz w:val="18"/>
                <w:szCs w:val="18"/>
              </w:rPr>
              <w:t xml:space="preserve"> een impuls geven. De CADA zal zich richten op vergroten van hoogwaardige en duurzame datacentercapaciteit, strategische inzet van datacenters </w:t>
            </w:r>
            <w:r w:rsidRPr="00781A6F" w:rsidR="00320138">
              <w:rPr>
                <w:rFonts w:ascii="Verdana" w:hAnsi="Verdana"/>
                <w:sz w:val="18"/>
                <w:szCs w:val="18"/>
              </w:rPr>
              <w:t xml:space="preserve">en mogelijk </w:t>
            </w:r>
            <w:r w:rsidRPr="00781A6F" w:rsidR="009F3379">
              <w:rPr>
                <w:rFonts w:ascii="Verdana" w:hAnsi="Verdana"/>
                <w:sz w:val="18"/>
                <w:szCs w:val="18"/>
              </w:rPr>
              <w:t>definities</w:t>
            </w:r>
            <w:r w:rsidRPr="00781A6F" w:rsidR="00320138">
              <w:rPr>
                <w:rFonts w:ascii="Verdana" w:hAnsi="Verdana"/>
                <w:sz w:val="18"/>
                <w:szCs w:val="18"/>
              </w:rPr>
              <w:t xml:space="preserve"> voor commerciële soevereine </w:t>
            </w:r>
            <w:r w:rsidRPr="00781A6F" w:rsidR="00E13CB4">
              <w:rPr>
                <w:rFonts w:ascii="Verdana" w:hAnsi="Verdana"/>
                <w:sz w:val="18"/>
                <w:szCs w:val="18"/>
              </w:rPr>
              <w:t>Cloud</w:t>
            </w:r>
            <w:r w:rsidRPr="00781A6F" w:rsidR="00320138">
              <w:rPr>
                <w:rFonts w:ascii="Verdana" w:hAnsi="Verdana"/>
                <w:sz w:val="18"/>
                <w:szCs w:val="18"/>
              </w:rPr>
              <w:t xml:space="preserve"> proposities</w:t>
            </w:r>
            <w:r w:rsidRPr="00781A6F" w:rsidR="008D7270">
              <w:rPr>
                <w:rFonts w:ascii="Verdana" w:hAnsi="Verdana"/>
                <w:sz w:val="18"/>
                <w:szCs w:val="18"/>
              </w:rPr>
              <w:t>.</w:t>
            </w:r>
          </w:p>
        </w:tc>
        <w:tc>
          <w:tcPr>
            <w:tcW w:w="5953" w:type="dxa"/>
            <w:tcBorders>
              <w:top w:val="single" w:color="auto" w:sz="4" w:space="0"/>
              <w:left w:val="single" w:color="auto" w:sz="4" w:space="0"/>
              <w:bottom w:val="single" w:color="auto" w:sz="4" w:space="0"/>
              <w:right w:val="single" w:color="auto" w:sz="4" w:space="0"/>
            </w:tcBorders>
          </w:tcPr>
          <w:p w:rsidRPr="00781A6F" w:rsidR="008D7270" w:rsidP="00781A6F" w:rsidRDefault="008D7270" w14:paraId="5F0D005C" w14:textId="24F2DEE1">
            <w:pPr>
              <w:rPr>
                <w:rFonts w:ascii="Verdana" w:hAnsi="Verdana"/>
                <w:sz w:val="18"/>
                <w:szCs w:val="18"/>
              </w:rPr>
            </w:pPr>
            <w:r w:rsidRPr="00781A6F">
              <w:rPr>
                <w:rFonts w:ascii="Verdana" w:hAnsi="Verdana"/>
                <w:sz w:val="18"/>
                <w:szCs w:val="18"/>
              </w:rPr>
              <w:t xml:space="preserve">Het kabinet verwelkomt de inspanningen van de </w:t>
            </w:r>
            <w:r w:rsidRPr="00781A6F" w:rsidR="00C515FB">
              <w:rPr>
                <w:rFonts w:ascii="Verdana" w:hAnsi="Verdana"/>
                <w:sz w:val="18"/>
                <w:szCs w:val="18"/>
              </w:rPr>
              <w:t>Commissie rondom Cloud</w:t>
            </w:r>
            <w:r w:rsidRPr="00781A6F" w:rsidR="00E55D7E">
              <w:rPr>
                <w:rFonts w:ascii="Verdana" w:hAnsi="Verdana"/>
                <w:sz w:val="18"/>
                <w:szCs w:val="18"/>
              </w:rPr>
              <w:t>-</w:t>
            </w:r>
            <w:r w:rsidRPr="00781A6F" w:rsidR="00C515FB">
              <w:rPr>
                <w:rFonts w:ascii="Verdana" w:hAnsi="Verdana"/>
                <w:sz w:val="18"/>
                <w:szCs w:val="18"/>
              </w:rPr>
              <w:t>ontwikkeling</w:t>
            </w:r>
            <w:r w:rsidRPr="00781A6F" w:rsidR="00BA5605">
              <w:rPr>
                <w:rFonts w:ascii="Verdana" w:hAnsi="Verdana"/>
                <w:sz w:val="18"/>
                <w:szCs w:val="18"/>
              </w:rPr>
              <w:t xml:space="preserve"> en is</w:t>
            </w:r>
            <w:r w:rsidRPr="00781A6F">
              <w:rPr>
                <w:rFonts w:ascii="Verdana" w:hAnsi="Verdana"/>
                <w:sz w:val="18"/>
                <w:szCs w:val="18"/>
              </w:rPr>
              <w:t xml:space="preserve"> van mening dat de CADA </w:t>
            </w:r>
            <w:r w:rsidRPr="00781A6F" w:rsidR="00320138">
              <w:rPr>
                <w:rFonts w:ascii="Verdana" w:hAnsi="Verdana"/>
                <w:sz w:val="18"/>
                <w:szCs w:val="18"/>
              </w:rPr>
              <w:t>moet bijdragen aan voldoende duurzame datacentercapaciteit in Europa, zonder de rol van Nederland als datacenterknooppunt te schaden</w:t>
            </w:r>
            <w:r w:rsidRPr="00781A6F">
              <w:rPr>
                <w:rFonts w:ascii="Verdana" w:hAnsi="Verdana"/>
                <w:sz w:val="18"/>
                <w:szCs w:val="18"/>
              </w:rPr>
              <w:t xml:space="preserve">. De CADA zou daartoe uniforme Europese standaarden voor duurzame datacenters ontwikkelen. </w:t>
            </w:r>
            <w:r w:rsidRPr="00781A6F" w:rsidR="00320138">
              <w:rPr>
                <w:rFonts w:ascii="Verdana" w:hAnsi="Verdana"/>
                <w:sz w:val="18"/>
                <w:szCs w:val="18"/>
              </w:rPr>
              <w:t xml:space="preserve">Ook moet de CADA bijdragen aan een goedwerkende </w:t>
            </w:r>
            <w:r w:rsidRPr="00781A6F" w:rsidR="00E13CB4">
              <w:rPr>
                <w:rFonts w:ascii="Verdana" w:hAnsi="Verdana"/>
                <w:sz w:val="18"/>
                <w:szCs w:val="18"/>
              </w:rPr>
              <w:t>Cloud markt</w:t>
            </w:r>
            <w:r w:rsidRPr="00781A6F" w:rsidR="00320138">
              <w:rPr>
                <w:rFonts w:ascii="Verdana" w:hAnsi="Verdana"/>
                <w:sz w:val="18"/>
                <w:szCs w:val="18"/>
              </w:rPr>
              <w:t xml:space="preserve">, o.a. door het stimuleren van federatieve Europese </w:t>
            </w:r>
            <w:r w:rsidRPr="00781A6F" w:rsidR="00E13CB4">
              <w:rPr>
                <w:rFonts w:ascii="Verdana" w:hAnsi="Verdana"/>
                <w:sz w:val="18"/>
                <w:szCs w:val="18"/>
              </w:rPr>
              <w:t>Cloud alternatieven</w:t>
            </w:r>
            <w:r w:rsidRPr="00781A6F" w:rsidR="00320138">
              <w:rPr>
                <w:rFonts w:ascii="Verdana" w:hAnsi="Verdana"/>
                <w:sz w:val="18"/>
                <w:szCs w:val="18"/>
              </w:rPr>
              <w:t xml:space="preserve"> </w:t>
            </w:r>
            <w:r w:rsidRPr="00781A6F">
              <w:rPr>
                <w:rFonts w:ascii="Verdana" w:hAnsi="Verdana"/>
                <w:sz w:val="18"/>
                <w:szCs w:val="18"/>
              </w:rPr>
              <w:t>die integratie van diverse aanbieders bevorder</w:t>
            </w:r>
            <w:r w:rsidRPr="00781A6F" w:rsidR="00CB2050">
              <w:rPr>
                <w:rFonts w:ascii="Verdana" w:hAnsi="Verdana"/>
                <w:sz w:val="18"/>
                <w:szCs w:val="18"/>
              </w:rPr>
              <w:t>en</w:t>
            </w:r>
            <w:r w:rsidRPr="00781A6F">
              <w:rPr>
                <w:rFonts w:ascii="Verdana" w:hAnsi="Verdana"/>
                <w:sz w:val="18"/>
                <w:szCs w:val="18"/>
              </w:rPr>
              <w:t xml:space="preserve">. Ten slotte </w:t>
            </w:r>
            <w:r w:rsidRPr="00781A6F" w:rsidR="00BA5605">
              <w:rPr>
                <w:rFonts w:ascii="Verdana" w:hAnsi="Verdana"/>
                <w:sz w:val="18"/>
                <w:szCs w:val="18"/>
              </w:rPr>
              <w:t xml:space="preserve">moeten </w:t>
            </w:r>
            <w:r w:rsidRPr="00781A6F">
              <w:rPr>
                <w:rFonts w:ascii="Verdana" w:hAnsi="Verdana"/>
                <w:sz w:val="18"/>
                <w:szCs w:val="18"/>
              </w:rPr>
              <w:t xml:space="preserve">er duidelijke definities </w:t>
            </w:r>
            <w:r w:rsidRPr="00781A6F" w:rsidR="00320138">
              <w:rPr>
                <w:rFonts w:ascii="Verdana" w:hAnsi="Verdana"/>
                <w:sz w:val="18"/>
                <w:szCs w:val="18"/>
              </w:rPr>
              <w:t xml:space="preserve">en principes komen voor soevereine </w:t>
            </w:r>
            <w:r w:rsidRPr="00781A6F" w:rsidR="009F3379">
              <w:rPr>
                <w:rFonts w:ascii="Verdana" w:hAnsi="Verdana"/>
                <w:sz w:val="18"/>
                <w:szCs w:val="18"/>
              </w:rPr>
              <w:t>Cloud</w:t>
            </w:r>
            <w:r w:rsidRPr="00781A6F" w:rsidR="00320138">
              <w:rPr>
                <w:rFonts w:ascii="Verdana" w:hAnsi="Verdana"/>
                <w:sz w:val="18"/>
                <w:szCs w:val="18"/>
              </w:rPr>
              <w:t xml:space="preserve"> proposities van commerciële </w:t>
            </w:r>
            <w:r w:rsidRPr="00781A6F" w:rsidR="00E13CB4">
              <w:rPr>
                <w:rFonts w:ascii="Verdana" w:hAnsi="Verdana"/>
                <w:sz w:val="18"/>
                <w:szCs w:val="18"/>
              </w:rPr>
              <w:t>Cloud providers</w:t>
            </w:r>
            <w:r w:rsidRPr="00781A6F">
              <w:rPr>
                <w:rFonts w:ascii="Verdana" w:hAnsi="Verdana"/>
                <w:sz w:val="18"/>
                <w:szCs w:val="18"/>
              </w:rPr>
              <w:t xml:space="preserve"> en ‘</w:t>
            </w:r>
            <w:proofErr w:type="spellStart"/>
            <w:r w:rsidRPr="00781A6F">
              <w:rPr>
                <w:rFonts w:ascii="Verdana" w:hAnsi="Verdana"/>
                <w:i/>
                <w:iCs/>
                <w:sz w:val="18"/>
                <w:szCs w:val="18"/>
              </w:rPr>
              <w:t>highly</w:t>
            </w:r>
            <w:proofErr w:type="spellEnd"/>
            <w:r w:rsidRPr="00781A6F">
              <w:rPr>
                <w:rFonts w:ascii="Verdana" w:hAnsi="Verdana"/>
                <w:i/>
                <w:iCs/>
                <w:sz w:val="18"/>
                <w:szCs w:val="18"/>
              </w:rPr>
              <w:t xml:space="preserve"> </w:t>
            </w:r>
            <w:proofErr w:type="spellStart"/>
            <w:r w:rsidRPr="00781A6F">
              <w:rPr>
                <w:rFonts w:ascii="Verdana" w:hAnsi="Verdana"/>
                <w:i/>
                <w:iCs/>
                <w:sz w:val="18"/>
                <w:szCs w:val="18"/>
              </w:rPr>
              <w:t>critical</w:t>
            </w:r>
            <w:proofErr w:type="spellEnd"/>
            <w:r w:rsidRPr="00781A6F">
              <w:rPr>
                <w:rFonts w:ascii="Verdana" w:hAnsi="Verdana"/>
                <w:i/>
                <w:iCs/>
                <w:sz w:val="18"/>
                <w:szCs w:val="18"/>
              </w:rPr>
              <w:t xml:space="preserve"> use cases</w:t>
            </w:r>
            <w:r w:rsidRPr="00781A6F">
              <w:rPr>
                <w:rFonts w:ascii="Verdana" w:hAnsi="Verdana"/>
                <w:sz w:val="18"/>
                <w:szCs w:val="18"/>
              </w:rPr>
              <w:t xml:space="preserve">’ </w:t>
            </w:r>
            <w:r w:rsidRPr="00781A6F" w:rsidR="00BA5605">
              <w:rPr>
                <w:rFonts w:ascii="Verdana" w:hAnsi="Verdana"/>
                <w:sz w:val="18"/>
                <w:szCs w:val="18"/>
              </w:rPr>
              <w:t xml:space="preserve">voor clouddiensten </w:t>
            </w:r>
            <w:r w:rsidRPr="00781A6F">
              <w:rPr>
                <w:rFonts w:ascii="Verdana" w:hAnsi="Verdana"/>
                <w:sz w:val="18"/>
                <w:szCs w:val="18"/>
              </w:rPr>
              <w:t>worden vastgesteld.</w:t>
            </w:r>
          </w:p>
        </w:tc>
        <w:tc>
          <w:tcPr>
            <w:tcW w:w="1985" w:type="dxa"/>
            <w:tcBorders>
              <w:top w:val="single" w:color="auto" w:sz="4" w:space="0"/>
              <w:left w:val="single" w:color="auto" w:sz="4" w:space="0"/>
              <w:bottom w:val="single" w:color="auto" w:sz="4" w:space="0"/>
              <w:right w:val="single" w:color="auto" w:sz="4" w:space="0"/>
            </w:tcBorders>
          </w:tcPr>
          <w:p w:rsidRPr="00781A6F" w:rsidR="008D7270" w:rsidP="00781A6F" w:rsidRDefault="008D7270" w14:paraId="10D3A058" w14:textId="3D7443A6">
            <w:pPr>
              <w:rPr>
                <w:rFonts w:ascii="Verdana" w:hAnsi="Verdana" w:cstheme="minorBidi"/>
                <w:color w:val="000000"/>
                <w:sz w:val="18"/>
                <w:szCs w:val="18"/>
              </w:rPr>
            </w:pPr>
            <w:r w:rsidRPr="00781A6F">
              <w:rPr>
                <w:rFonts w:ascii="Verdana" w:hAnsi="Verdana"/>
                <w:color w:val="000000"/>
                <w:sz w:val="18"/>
                <w:szCs w:val="18"/>
              </w:rPr>
              <w:t>Wetgevend</w:t>
            </w:r>
          </w:p>
        </w:tc>
      </w:tr>
      <w:tr w:rsidRPr="00781A6F" w:rsidR="008D7270" w:rsidTr="007766E6" w14:paraId="65687645" w14:textId="77777777">
        <w:trPr>
          <w:trHeight w:val="979"/>
        </w:trPr>
        <w:tc>
          <w:tcPr>
            <w:tcW w:w="567" w:type="dxa"/>
            <w:tcBorders>
              <w:top w:val="single" w:color="auto" w:sz="4" w:space="0"/>
              <w:left w:val="single" w:color="auto" w:sz="4" w:space="0"/>
              <w:bottom w:val="single" w:color="auto" w:sz="4" w:space="0"/>
              <w:right w:val="single" w:color="auto" w:sz="4" w:space="0"/>
            </w:tcBorders>
          </w:tcPr>
          <w:p w:rsidRPr="00781A6F" w:rsidR="008D7270" w:rsidP="00781A6F" w:rsidRDefault="008D7270" w14:paraId="03F84FCC" w14:textId="14467C0B">
            <w:pPr>
              <w:rPr>
                <w:rFonts w:ascii="Verdana" w:hAnsi="Verdana" w:eastAsia="Times New Roman"/>
                <w:sz w:val="18"/>
                <w:szCs w:val="18"/>
              </w:rPr>
            </w:pPr>
            <w:r w:rsidRPr="00781A6F">
              <w:rPr>
                <w:rFonts w:ascii="Verdana" w:hAnsi="Verdana" w:eastAsia="Times New Roman"/>
                <w:sz w:val="18"/>
                <w:szCs w:val="18"/>
              </w:rPr>
              <w:t>6.</w:t>
            </w:r>
          </w:p>
        </w:tc>
        <w:tc>
          <w:tcPr>
            <w:tcW w:w="2694" w:type="dxa"/>
            <w:tcBorders>
              <w:top w:val="single" w:color="auto" w:sz="4" w:space="0"/>
              <w:left w:val="single" w:color="auto" w:sz="4" w:space="0"/>
              <w:bottom w:val="single" w:color="auto" w:sz="4" w:space="0"/>
              <w:right w:val="single" w:color="auto" w:sz="4" w:space="0"/>
            </w:tcBorders>
          </w:tcPr>
          <w:p w:rsidRPr="00781A6F" w:rsidR="008D7270" w:rsidP="00781A6F" w:rsidRDefault="001274D0" w14:paraId="6819F284" w14:textId="0117DCB9">
            <w:pPr>
              <w:rPr>
                <w:rFonts w:ascii="Verdana" w:hAnsi="Verdana" w:eastAsia="Times New Roman"/>
                <w:sz w:val="18"/>
                <w:szCs w:val="18"/>
                <w:lang w:val="en-US"/>
              </w:rPr>
            </w:pPr>
            <w:proofErr w:type="spellStart"/>
            <w:r w:rsidRPr="00781A6F">
              <w:rPr>
                <w:rFonts w:ascii="Verdana" w:hAnsi="Verdana" w:eastAsia="Times New Roman"/>
                <w:sz w:val="18"/>
                <w:szCs w:val="18"/>
              </w:rPr>
              <w:t>Chipsverordening</w:t>
            </w:r>
            <w:proofErr w:type="spellEnd"/>
            <w:r w:rsidRPr="00781A6F">
              <w:rPr>
                <w:rFonts w:ascii="Verdana" w:hAnsi="Verdana" w:eastAsia="Times New Roman"/>
                <w:sz w:val="18"/>
                <w:szCs w:val="18"/>
              </w:rPr>
              <w:t xml:space="preserve"> </w:t>
            </w:r>
            <w:r w:rsidRPr="00781A6F" w:rsidR="008D7270">
              <w:rPr>
                <w:rFonts w:ascii="Verdana" w:hAnsi="Verdana" w:eastAsia="Times New Roman"/>
                <w:sz w:val="18"/>
                <w:szCs w:val="18"/>
                <w:lang w:val="en-US"/>
              </w:rPr>
              <w:t>(Q1 2026)</w:t>
            </w:r>
          </w:p>
        </w:tc>
        <w:tc>
          <w:tcPr>
            <w:tcW w:w="4394" w:type="dxa"/>
            <w:tcBorders>
              <w:top w:val="single" w:color="auto" w:sz="4" w:space="0"/>
              <w:left w:val="single" w:color="auto" w:sz="4" w:space="0"/>
              <w:bottom w:val="single" w:color="auto" w:sz="4" w:space="0"/>
              <w:right w:val="single" w:color="auto" w:sz="4" w:space="0"/>
            </w:tcBorders>
          </w:tcPr>
          <w:p w:rsidRPr="00781A6F" w:rsidR="008D7270" w:rsidP="00781A6F" w:rsidRDefault="00BA5605" w14:paraId="46798EA4" w14:textId="2A918541">
            <w:pPr>
              <w:rPr>
                <w:rFonts w:ascii="Verdana" w:hAnsi="Verdana"/>
                <w:sz w:val="18"/>
                <w:szCs w:val="18"/>
              </w:rPr>
            </w:pPr>
            <w:r w:rsidRPr="00781A6F">
              <w:rPr>
                <w:rFonts w:ascii="Verdana" w:hAnsi="Verdana" w:eastAsia="Aptos" w:cs="Aptos"/>
                <w:sz w:val="18"/>
                <w:szCs w:val="18"/>
              </w:rPr>
              <w:t xml:space="preserve">De aangekondigde </w:t>
            </w:r>
            <w:proofErr w:type="spellStart"/>
            <w:r w:rsidRPr="00781A6F" w:rsidR="001274D0">
              <w:rPr>
                <w:rFonts w:ascii="Verdana" w:hAnsi="Verdana" w:eastAsia="Times New Roman"/>
                <w:sz w:val="18"/>
                <w:szCs w:val="18"/>
              </w:rPr>
              <w:t>Chipsverordening</w:t>
            </w:r>
            <w:proofErr w:type="spellEnd"/>
            <w:r w:rsidRPr="00781A6F" w:rsidR="008D7270">
              <w:rPr>
                <w:rFonts w:ascii="Verdana" w:hAnsi="Verdana" w:eastAsia="Aptos" w:cs="Aptos"/>
                <w:sz w:val="18"/>
                <w:szCs w:val="18"/>
              </w:rPr>
              <w:t xml:space="preserve"> </w:t>
            </w:r>
            <w:r w:rsidRPr="00781A6F">
              <w:rPr>
                <w:rFonts w:ascii="Verdana" w:hAnsi="Verdana" w:eastAsia="Aptos" w:cs="Aptos"/>
                <w:sz w:val="18"/>
                <w:szCs w:val="18"/>
              </w:rPr>
              <w:t>zal specifiek</w:t>
            </w:r>
            <w:r w:rsidRPr="00781A6F" w:rsidR="008D7270">
              <w:rPr>
                <w:rFonts w:ascii="Verdana" w:hAnsi="Verdana" w:eastAsia="Aptos" w:cs="Aptos"/>
                <w:sz w:val="18"/>
                <w:szCs w:val="18"/>
              </w:rPr>
              <w:t xml:space="preserve"> aandacht </w:t>
            </w:r>
            <w:r w:rsidRPr="00781A6F">
              <w:rPr>
                <w:rFonts w:ascii="Verdana" w:hAnsi="Verdana" w:eastAsia="Aptos" w:cs="Aptos"/>
                <w:sz w:val="18"/>
                <w:szCs w:val="18"/>
              </w:rPr>
              <w:t xml:space="preserve">hebben </w:t>
            </w:r>
            <w:r w:rsidRPr="00781A6F" w:rsidR="008D7270">
              <w:rPr>
                <w:rFonts w:ascii="Verdana" w:hAnsi="Verdana" w:eastAsia="Aptos" w:cs="Aptos"/>
                <w:sz w:val="18"/>
                <w:szCs w:val="18"/>
              </w:rPr>
              <w:t xml:space="preserve">voor </w:t>
            </w:r>
            <w:r w:rsidRPr="00781A6F">
              <w:rPr>
                <w:rFonts w:ascii="Verdana" w:hAnsi="Verdana" w:eastAsia="Aptos" w:cs="Aptos"/>
                <w:sz w:val="18"/>
                <w:szCs w:val="18"/>
              </w:rPr>
              <w:t xml:space="preserve">onderwerpen als </w:t>
            </w:r>
            <w:r w:rsidRPr="00781A6F" w:rsidR="008D7270">
              <w:rPr>
                <w:rFonts w:ascii="Verdana" w:hAnsi="Verdana" w:eastAsia="Aptos" w:cs="Aptos"/>
                <w:sz w:val="18"/>
                <w:szCs w:val="18"/>
              </w:rPr>
              <w:t>investeringen, weerbaarheid, talent, en ondersteuning voor de gehele waardeketen.</w:t>
            </w:r>
          </w:p>
        </w:tc>
        <w:tc>
          <w:tcPr>
            <w:tcW w:w="5953" w:type="dxa"/>
            <w:tcBorders>
              <w:top w:val="single" w:color="auto" w:sz="4" w:space="0"/>
              <w:left w:val="single" w:color="auto" w:sz="4" w:space="0"/>
              <w:bottom w:val="single" w:color="auto" w:sz="4" w:space="0"/>
              <w:right w:val="single" w:color="auto" w:sz="4" w:space="0"/>
            </w:tcBorders>
          </w:tcPr>
          <w:p w:rsidRPr="00781A6F" w:rsidR="008D7270" w:rsidP="00781A6F" w:rsidRDefault="008D7270" w14:paraId="4061F781" w14:textId="000C6689">
            <w:pPr>
              <w:rPr>
                <w:rFonts w:ascii="Verdana" w:hAnsi="Verdana"/>
                <w:sz w:val="18"/>
                <w:szCs w:val="18"/>
              </w:rPr>
            </w:pPr>
            <w:r w:rsidRPr="00781A6F">
              <w:rPr>
                <w:rFonts w:ascii="Verdana" w:hAnsi="Verdana"/>
                <w:sz w:val="18"/>
                <w:szCs w:val="18"/>
              </w:rPr>
              <w:t xml:space="preserve">Het kabinet </w:t>
            </w:r>
            <w:r w:rsidRPr="00781A6F" w:rsidR="00702608">
              <w:rPr>
                <w:rFonts w:ascii="Verdana" w:hAnsi="Verdana" w:eastAsia="Aptos" w:cs="Aptos"/>
                <w:sz w:val="18"/>
                <w:szCs w:val="18"/>
              </w:rPr>
              <w:t>kijkt uit naar</w:t>
            </w:r>
            <w:r w:rsidRPr="00781A6F">
              <w:rPr>
                <w:rFonts w:ascii="Verdana" w:hAnsi="Verdana"/>
                <w:sz w:val="18"/>
                <w:szCs w:val="18"/>
              </w:rPr>
              <w:t xml:space="preserve"> de herziening van de </w:t>
            </w:r>
            <w:proofErr w:type="spellStart"/>
            <w:r w:rsidRPr="00781A6F" w:rsidR="001274D0">
              <w:rPr>
                <w:rFonts w:ascii="Verdana" w:hAnsi="Verdana" w:eastAsia="Times New Roman"/>
                <w:sz w:val="18"/>
                <w:szCs w:val="18"/>
              </w:rPr>
              <w:t>Chipsverordening</w:t>
            </w:r>
            <w:proofErr w:type="spellEnd"/>
            <w:r w:rsidRPr="00781A6F">
              <w:rPr>
                <w:rFonts w:ascii="Verdana" w:hAnsi="Verdana"/>
                <w:sz w:val="18"/>
                <w:szCs w:val="18"/>
              </w:rPr>
              <w:t>,</w:t>
            </w:r>
            <w:r w:rsidRPr="00781A6F" w:rsidR="00BA5605">
              <w:rPr>
                <w:rStyle w:val="FootnoteReference"/>
                <w:rFonts w:ascii="Verdana" w:hAnsi="Verdana"/>
                <w:sz w:val="18"/>
                <w:szCs w:val="18"/>
              </w:rPr>
              <w:footnoteReference w:id="3"/>
            </w:r>
            <w:r w:rsidRPr="00781A6F">
              <w:rPr>
                <w:rFonts w:ascii="Verdana" w:hAnsi="Verdana"/>
                <w:sz w:val="18"/>
                <w:szCs w:val="18"/>
              </w:rPr>
              <w:t xml:space="preserve"> waar </w:t>
            </w:r>
            <w:r w:rsidRPr="00781A6F" w:rsidR="006B0323">
              <w:rPr>
                <w:rFonts w:ascii="Verdana" w:hAnsi="Verdana"/>
                <w:sz w:val="18"/>
                <w:szCs w:val="18"/>
              </w:rPr>
              <w:t xml:space="preserve">de </w:t>
            </w:r>
            <w:r w:rsidRPr="00781A6F">
              <w:rPr>
                <w:rFonts w:ascii="Verdana" w:hAnsi="Verdana"/>
                <w:sz w:val="18"/>
                <w:szCs w:val="18"/>
              </w:rPr>
              <w:t xml:space="preserve">aanbevelingen </w:t>
            </w:r>
            <w:r w:rsidRPr="00781A6F" w:rsidR="006B0323">
              <w:rPr>
                <w:rFonts w:ascii="Verdana" w:hAnsi="Verdana"/>
                <w:sz w:val="18"/>
                <w:szCs w:val="18"/>
              </w:rPr>
              <w:t>uit het Draghi rapport</w:t>
            </w:r>
            <w:r w:rsidRPr="00781A6F" w:rsidR="006B0323">
              <w:rPr>
                <w:rStyle w:val="FootnoteReference"/>
                <w:rFonts w:ascii="Verdana" w:hAnsi="Verdana"/>
                <w:sz w:val="18"/>
                <w:szCs w:val="18"/>
              </w:rPr>
              <w:footnoteReference w:id="4"/>
            </w:r>
            <w:r w:rsidRPr="00781A6F" w:rsidR="006B0323">
              <w:rPr>
                <w:rFonts w:ascii="Verdana" w:hAnsi="Verdana"/>
                <w:sz w:val="18"/>
                <w:szCs w:val="18"/>
              </w:rPr>
              <w:t xml:space="preserve"> </w:t>
            </w:r>
            <w:r w:rsidRPr="00781A6F">
              <w:rPr>
                <w:rFonts w:ascii="Verdana" w:hAnsi="Verdana"/>
                <w:sz w:val="18"/>
                <w:szCs w:val="18"/>
              </w:rPr>
              <w:t xml:space="preserve">in kunnen worden meegenomen. Wat het kabinet betreft moet een nieuwe </w:t>
            </w:r>
            <w:proofErr w:type="spellStart"/>
            <w:r w:rsidRPr="00781A6F" w:rsidR="001274D0">
              <w:rPr>
                <w:rFonts w:ascii="Verdana" w:hAnsi="Verdana" w:eastAsia="Times New Roman"/>
                <w:sz w:val="18"/>
                <w:szCs w:val="18"/>
              </w:rPr>
              <w:t>Chipsverordening</w:t>
            </w:r>
            <w:proofErr w:type="spellEnd"/>
            <w:r w:rsidRPr="00781A6F">
              <w:rPr>
                <w:rFonts w:ascii="Verdana" w:hAnsi="Verdana"/>
                <w:sz w:val="18"/>
                <w:szCs w:val="18"/>
              </w:rPr>
              <w:t xml:space="preserve"> Europa’s huidige kwetsbaarheden adresseren, effectief reageren op geopolitieke, technologische, en duurzaamheidsuitdagingen en huidige en aankomende marktkansen benutten.</w:t>
            </w:r>
          </w:p>
        </w:tc>
        <w:tc>
          <w:tcPr>
            <w:tcW w:w="1985" w:type="dxa"/>
            <w:tcBorders>
              <w:top w:val="single" w:color="auto" w:sz="4" w:space="0"/>
              <w:left w:val="single" w:color="auto" w:sz="4" w:space="0"/>
              <w:bottom w:val="single" w:color="auto" w:sz="4" w:space="0"/>
              <w:right w:val="single" w:color="auto" w:sz="4" w:space="0"/>
            </w:tcBorders>
          </w:tcPr>
          <w:p w:rsidRPr="00781A6F" w:rsidR="008D7270" w:rsidP="00781A6F" w:rsidRDefault="008D7270" w14:paraId="0960E61C" w14:textId="7CCC784D">
            <w:pPr>
              <w:rPr>
                <w:rFonts w:ascii="Verdana" w:hAnsi="Verdana" w:cstheme="minorBidi"/>
                <w:color w:val="000000"/>
                <w:sz w:val="18"/>
                <w:szCs w:val="18"/>
              </w:rPr>
            </w:pPr>
            <w:r w:rsidRPr="00781A6F">
              <w:rPr>
                <w:rFonts w:ascii="Verdana" w:hAnsi="Verdana"/>
                <w:color w:val="000000"/>
                <w:sz w:val="18"/>
                <w:szCs w:val="18"/>
              </w:rPr>
              <w:t>Wetgevend</w:t>
            </w:r>
          </w:p>
        </w:tc>
      </w:tr>
      <w:tr w:rsidRPr="00781A6F" w:rsidR="008D7270" w:rsidTr="007766E6" w14:paraId="04DE1E65" w14:textId="77777777">
        <w:trPr>
          <w:trHeight w:val="979"/>
        </w:trPr>
        <w:tc>
          <w:tcPr>
            <w:tcW w:w="567" w:type="dxa"/>
            <w:tcBorders>
              <w:top w:val="single" w:color="auto" w:sz="4" w:space="0"/>
              <w:left w:val="single" w:color="auto" w:sz="4" w:space="0"/>
              <w:bottom w:val="single" w:color="auto" w:sz="4" w:space="0"/>
              <w:right w:val="single" w:color="auto" w:sz="4" w:space="0"/>
            </w:tcBorders>
          </w:tcPr>
          <w:p w:rsidRPr="00781A6F" w:rsidR="008D7270" w:rsidP="00781A6F" w:rsidRDefault="008D7270" w14:paraId="0D7C9048" w14:textId="7EFD4962">
            <w:pPr>
              <w:rPr>
                <w:rFonts w:ascii="Verdana" w:hAnsi="Verdana" w:eastAsia="Times New Roman"/>
                <w:sz w:val="18"/>
                <w:szCs w:val="18"/>
              </w:rPr>
            </w:pPr>
            <w:r w:rsidRPr="00781A6F">
              <w:rPr>
                <w:rFonts w:ascii="Verdana" w:hAnsi="Verdana" w:eastAsia="Times New Roman"/>
                <w:sz w:val="18"/>
                <w:szCs w:val="18"/>
              </w:rPr>
              <w:t>7.</w:t>
            </w:r>
          </w:p>
        </w:tc>
        <w:tc>
          <w:tcPr>
            <w:tcW w:w="2694" w:type="dxa"/>
            <w:tcBorders>
              <w:top w:val="single" w:color="auto" w:sz="4" w:space="0"/>
              <w:left w:val="single" w:color="auto" w:sz="4" w:space="0"/>
              <w:bottom w:val="single" w:color="auto" w:sz="4" w:space="0"/>
              <w:right w:val="single" w:color="auto" w:sz="4" w:space="0"/>
            </w:tcBorders>
          </w:tcPr>
          <w:p w:rsidRPr="00781A6F" w:rsidR="008D7270" w:rsidP="00781A6F" w:rsidRDefault="001274D0" w14:paraId="7EB7D785" w14:textId="0E773E23">
            <w:pPr>
              <w:rPr>
                <w:rFonts w:ascii="Verdana" w:hAnsi="Verdana" w:eastAsia="Times New Roman"/>
                <w:sz w:val="18"/>
                <w:szCs w:val="18"/>
              </w:rPr>
            </w:pPr>
            <w:r w:rsidRPr="00781A6F">
              <w:rPr>
                <w:rFonts w:ascii="Verdana" w:hAnsi="Verdana" w:eastAsia="Times New Roman"/>
                <w:sz w:val="18"/>
                <w:szCs w:val="18"/>
              </w:rPr>
              <w:t xml:space="preserve">Centrum voor kritieke grondstoffen </w:t>
            </w:r>
            <w:r w:rsidRPr="00781A6F" w:rsidR="008D7270">
              <w:rPr>
                <w:rFonts w:ascii="Verdana" w:hAnsi="Verdana" w:eastAsia="Times New Roman"/>
                <w:sz w:val="18"/>
                <w:szCs w:val="18"/>
              </w:rPr>
              <w:t>(Q2 2026)</w:t>
            </w:r>
          </w:p>
        </w:tc>
        <w:tc>
          <w:tcPr>
            <w:tcW w:w="4394" w:type="dxa"/>
            <w:tcBorders>
              <w:top w:val="single" w:color="auto" w:sz="4" w:space="0"/>
              <w:left w:val="single" w:color="auto" w:sz="4" w:space="0"/>
              <w:bottom w:val="single" w:color="auto" w:sz="4" w:space="0"/>
              <w:right w:val="single" w:color="auto" w:sz="4" w:space="0"/>
            </w:tcBorders>
          </w:tcPr>
          <w:p w:rsidRPr="00781A6F" w:rsidR="008D7270" w:rsidP="00781A6F" w:rsidRDefault="008D7270" w14:paraId="6DD40073" w14:textId="629ED7D7">
            <w:pPr>
              <w:rPr>
                <w:rFonts w:ascii="Verdana" w:hAnsi="Verdana"/>
                <w:sz w:val="18"/>
                <w:szCs w:val="18"/>
              </w:rPr>
            </w:pPr>
            <w:r w:rsidRPr="00781A6F">
              <w:rPr>
                <w:rFonts w:ascii="Verdana" w:hAnsi="Verdana"/>
                <w:sz w:val="18"/>
                <w:szCs w:val="18"/>
              </w:rPr>
              <w:t xml:space="preserve">Om de leveringszekerheid van kritieke grondstoffen te versterken, doet de </w:t>
            </w:r>
            <w:r w:rsidRPr="00781A6F" w:rsidR="006B0323">
              <w:rPr>
                <w:rFonts w:ascii="Verdana" w:hAnsi="Verdana"/>
                <w:sz w:val="18"/>
                <w:szCs w:val="18"/>
              </w:rPr>
              <w:t>Commissie</w:t>
            </w:r>
            <w:r w:rsidRPr="00781A6F">
              <w:rPr>
                <w:rFonts w:ascii="Verdana" w:hAnsi="Verdana"/>
                <w:sz w:val="18"/>
                <w:szCs w:val="18"/>
              </w:rPr>
              <w:t xml:space="preserve"> </w:t>
            </w:r>
            <w:r w:rsidRPr="00781A6F" w:rsidR="00BA5605">
              <w:rPr>
                <w:rFonts w:ascii="Verdana" w:hAnsi="Verdana"/>
                <w:sz w:val="18"/>
                <w:szCs w:val="18"/>
              </w:rPr>
              <w:t xml:space="preserve">een </w:t>
            </w:r>
            <w:r w:rsidRPr="00781A6F">
              <w:rPr>
                <w:rFonts w:ascii="Verdana" w:hAnsi="Verdana"/>
                <w:sz w:val="18"/>
                <w:szCs w:val="18"/>
              </w:rPr>
              <w:t xml:space="preserve">voorstel voor </w:t>
            </w:r>
            <w:r w:rsidRPr="00781A6F" w:rsidR="00BA5605">
              <w:rPr>
                <w:rFonts w:ascii="Verdana" w:hAnsi="Verdana"/>
                <w:sz w:val="18"/>
                <w:szCs w:val="18"/>
              </w:rPr>
              <w:t xml:space="preserve">de </w:t>
            </w:r>
            <w:r w:rsidRPr="00781A6F">
              <w:rPr>
                <w:rFonts w:ascii="Verdana" w:hAnsi="Verdana"/>
                <w:sz w:val="18"/>
                <w:szCs w:val="18"/>
              </w:rPr>
              <w:t xml:space="preserve">opzet van een centrum waarin gezamenlijke inkoop, voorraadvorming, kennisvorming &amp; </w:t>
            </w:r>
            <w:r w:rsidRPr="00781A6F">
              <w:rPr>
                <w:rFonts w:ascii="Verdana" w:hAnsi="Verdana"/>
                <w:sz w:val="18"/>
                <w:szCs w:val="18"/>
              </w:rPr>
              <w:lastRenderedPageBreak/>
              <w:t>financiering van grondstoffen worden gefaciliteerd.</w:t>
            </w:r>
          </w:p>
        </w:tc>
        <w:tc>
          <w:tcPr>
            <w:tcW w:w="5953" w:type="dxa"/>
            <w:tcBorders>
              <w:top w:val="single" w:color="auto" w:sz="4" w:space="0"/>
              <w:left w:val="single" w:color="auto" w:sz="4" w:space="0"/>
              <w:bottom w:val="single" w:color="auto" w:sz="4" w:space="0"/>
              <w:right w:val="single" w:color="auto" w:sz="4" w:space="0"/>
            </w:tcBorders>
          </w:tcPr>
          <w:p w:rsidRPr="00781A6F" w:rsidR="008D7270" w:rsidP="00781A6F" w:rsidRDefault="008D7270" w14:paraId="792234C9" w14:textId="499EB988">
            <w:pPr>
              <w:rPr>
                <w:rFonts w:ascii="Verdana" w:hAnsi="Verdana"/>
                <w:sz w:val="18"/>
                <w:szCs w:val="18"/>
              </w:rPr>
            </w:pPr>
            <w:r w:rsidRPr="00781A6F">
              <w:rPr>
                <w:rFonts w:ascii="Verdana" w:hAnsi="Verdana"/>
                <w:sz w:val="18"/>
                <w:szCs w:val="18"/>
              </w:rPr>
              <w:lastRenderedPageBreak/>
              <w:t xml:space="preserve">Het kabinet acht het versterken van de leveringszekerheid van kritieke grondstoffen van belang, zoals ook blijkt uit de </w:t>
            </w:r>
            <w:r w:rsidRPr="00781A6F" w:rsidR="00BA5605">
              <w:rPr>
                <w:rFonts w:ascii="Verdana" w:hAnsi="Verdana"/>
                <w:sz w:val="18"/>
                <w:szCs w:val="18"/>
              </w:rPr>
              <w:t>N</w:t>
            </w:r>
            <w:r w:rsidRPr="00781A6F">
              <w:rPr>
                <w:rFonts w:ascii="Verdana" w:hAnsi="Verdana"/>
                <w:sz w:val="18"/>
                <w:szCs w:val="18"/>
              </w:rPr>
              <w:t xml:space="preserve">ationale </w:t>
            </w:r>
            <w:r w:rsidRPr="00781A6F" w:rsidR="00BA5605">
              <w:rPr>
                <w:rFonts w:ascii="Verdana" w:hAnsi="Verdana"/>
                <w:sz w:val="18"/>
                <w:szCs w:val="18"/>
              </w:rPr>
              <w:t>G</w:t>
            </w:r>
            <w:r w:rsidRPr="00781A6F">
              <w:rPr>
                <w:rFonts w:ascii="Verdana" w:hAnsi="Verdana"/>
                <w:sz w:val="18"/>
                <w:szCs w:val="18"/>
              </w:rPr>
              <w:t>rondstoffenstrategie.</w:t>
            </w:r>
            <w:r w:rsidRPr="00781A6F" w:rsidR="00BA5605">
              <w:rPr>
                <w:rStyle w:val="FootnoteReference"/>
                <w:rFonts w:ascii="Verdana" w:hAnsi="Verdana"/>
                <w:sz w:val="18"/>
                <w:szCs w:val="18"/>
              </w:rPr>
              <w:footnoteReference w:id="5"/>
            </w:r>
            <w:r w:rsidRPr="00781A6F">
              <w:rPr>
                <w:rFonts w:ascii="Verdana" w:hAnsi="Verdana"/>
                <w:sz w:val="18"/>
                <w:szCs w:val="18"/>
              </w:rPr>
              <w:t xml:space="preserve"> De inspanningen van de </w:t>
            </w:r>
            <w:r w:rsidRPr="00781A6F" w:rsidR="006B0323">
              <w:rPr>
                <w:rFonts w:ascii="Verdana" w:hAnsi="Verdana"/>
                <w:sz w:val="18"/>
                <w:szCs w:val="18"/>
              </w:rPr>
              <w:t>Commissie</w:t>
            </w:r>
            <w:r w:rsidRPr="00781A6F">
              <w:rPr>
                <w:rFonts w:ascii="Verdana" w:hAnsi="Verdana"/>
                <w:sz w:val="18"/>
                <w:szCs w:val="18"/>
              </w:rPr>
              <w:t xml:space="preserve"> om de leveringszekerheid te vergroten, zijn daarbij welkom. </w:t>
            </w:r>
          </w:p>
        </w:tc>
        <w:tc>
          <w:tcPr>
            <w:tcW w:w="1985" w:type="dxa"/>
            <w:tcBorders>
              <w:top w:val="single" w:color="auto" w:sz="4" w:space="0"/>
              <w:left w:val="single" w:color="auto" w:sz="4" w:space="0"/>
              <w:bottom w:val="single" w:color="auto" w:sz="4" w:space="0"/>
              <w:right w:val="single" w:color="auto" w:sz="4" w:space="0"/>
            </w:tcBorders>
          </w:tcPr>
          <w:p w:rsidRPr="00781A6F" w:rsidR="008D7270" w:rsidP="00781A6F" w:rsidRDefault="008D7270" w14:paraId="304FEA59" w14:textId="044C5DB0">
            <w:pPr>
              <w:rPr>
                <w:rFonts w:ascii="Verdana" w:hAnsi="Verdana" w:cstheme="minorBidi"/>
                <w:color w:val="000000"/>
                <w:sz w:val="18"/>
                <w:szCs w:val="18"/>
                <w:lang w:val="en-US"/>
              </w:rPr>
            </w:pPr>
            <w:r w:rsidRPr="00781A6F">
              <w:rPr>
                <w:rFonts w:ascii="Verdana" w:hAnsi="Verdana"/>
                <w:color w:val="000000"/>
                <w:sz w:val="18"/>
                <w:szCs w:val="18"/>
              </w:rPr>
              <w:t>Wetgevend</w:t>
            </w:r>
          </w:p>
        </w:tc>
      </w:tr>
      <w:tr w:rsidRPr="00781A6F" w:rsidR="00CD13E4" w:rsidTr="007766E6" w14:paraId="0FCA852B" w14:textId="6AEDDB9B">
        <w:trPr>
          <w:trHeight w:val="597"/>
        </w:trPr>
        <w:tc>
          <w:tcPr>
            <w:tcW w:w="567" w:type="dxa"/>
            <w:tcBorders>
              <w:top w:val="single" w:color="auto" w:sz="4" w:space="0"/>
              <w:left w:val="single" w:color="auto" w:sz="4" w:space="0"/>
              <w:bottom w:val="single" w:color="auto" w:sz="4" w:space="0"/>
              <w:right w:val="single" w:color="auto" w:sz="4" w:space="0"/>
            </w:tcBorders>
          </w:tcPr>
          <w:p w:rsidRPr="00781A6F" w:rsidR="00CD13E4" w:rsidP="00781A6F" w:rsidRDefault="00CD13E4" w14:paraId="4BADD123" w14:textId="0B0F0D0E">
            <w:pPr>
              <w:rPr>
                <w:rFonts w:ascii="Verdana" w:hAnsi="Verdana" w:cstheme="minorBidi"/>
                <w:sz w:val="18"/>
                <w:szCs w:val="18"/>
              </w:rPr>
            </w:pPr>
            <w:r w:rsidRPr="00781A6F">
              <w:rPr>
                <w:rFonts w:ascii="Verdana" w:hAnsi="Verdana"/>
                <w:sz w:val="18"/>
                <w:szCs w:val="18"/>
              </w:rPr>
              <w:t>8.</w:t>
            </w:r>
          </w:p>
        </w:tc>
        <w:tc>
          <w:tcPr>
            <w:tcW w:w="2694" w:type="dxa"/>
            <w:tcBorders>
              <w:top w:val="single" w:color="auto" w:sz="4" w:space="0"/>
              <w:left w:val="single" w:color="auto" w:sz="4" w:space="0"/>
              <w:bottom w:val="single" w:color="auto" w:sz="4" w:space="0"/>
              <w:right w:val="single" w:color="auto" w:sz="4" w:space="0"/>
            </w:tcBorders>
          </w:tcPr>
          <w:p w:rsidRPr="00781A6F" w:rsidR="00CD13E4" w:rsidP="00781A6F" w:rsidRDefault="001274D0" w14:paraId="7C517A4E" w14:textId="2D98EE94">
            <w:pPr>
              <w:rPr>
                <w:rFonts w:ascii="Verdana" w:hAnsi="Verdana" w:cstheme="minorBidi"/>
                <w:sz w:val="18"/>
                <w:szCs w:val="18"/>
              </w:rPr>
            </w:pPr>
            <w:r w:rsidRPr="00781A6F">
              <w:rPr>
                <w:rFonts w:ascii="Verdana" w:hAnsi="Verdana"/>
                <w:sz w:val="18"/>
                <w:szCs w:val="18"/>
              </w:rPr>
              <w:t xml:space="preserve">Wetgevingshandeling over de Europese onderzoeksruimte </w:t>
            </w:r>
            <w:r w:rsidRPr="00781A6F" w:rsidR="00CD13E4">
              <w:rPr>
                <w:rFonts w:ascii="Verdana" w:hAnsi="Verdana"/>
                <w:sz w:val="18"/>
                <w:szCs w:val="18"/>
              </w:rPr>
              <w:t>(Q3 2026)</w:t>
            </w:r>
          </w:p>
        </w:tc>
        <w:tc>
          <w:tcPr>
            <w:tcW w:w="4394" w:type="dxa"/>
            <w:tcBorders>
              <w:top w:val="single" w:color="auto" w:sz="4" w:space="0"/>
              <w:left w:val="single" w:color="auto" w:sz="4" w:space="0"/>
              <w:bottom w:val="single" w:color="auto" w:sz="4" w:space="0"/>
              <w:right w:val="single" w:color="auto" w:sz="4" w:space="0"/>
            </w:tcBorders>
          </w:tcPr>
          <w:p w:rsidRPr="00781A6F" w:rsidR="00CD13E4" w:rsidP="00781A6F" w:rsidRDefault="00CD13E4" w14:paraId="64FF6891" w14:textId="1631F25B">
            <w:pPr>
              <w:rPr>
                <w:rFonts w:ascii="Verdana" w:hAnsi="Verdana" w:cstheme="minorBidi"/>
                <w:color w:val="000000"/>
                <w:sz w:val="18"/>
                <w:szCs w:val="18"/>
              </w:rPr>
            </w:pPr>
            <w:r w:rsidRPr="00781A6F">
              <w:rPr>
                <w:rFonts w:ascii="Verdana" w:hAnsi="Verdana"/>
                <w:sz w:val="18"/>
                <w:szCs w:val="18"/>
              </w:rPr>
              <w:t xml:space="preserve">De </w:t>
            </w:r>
            <w:r w:rsidRPr="00781A6F" w:rsidR="001274D0">
              <w:rPr>
                <w:rFonts w:ascii="Verdana" w:hAnsi="Verdana"/>
                <w:sz w:val="18"/>
                <w:szCs w:val="18"/>
              </w:rPr>
              <w:t>Wetgevingshandeling over de Europese onderzoeksruimte</w:t>
            </w:r>
            <w:r w:rsidRPr="00781A6F">
              <w:rPr>
                <w:rFonts w:ascii="Verdana" w:hAnsi="Verdana"/>
                <w:sz w:val="18"/>
                <w:szCs w:val="18"/>
              </w:rPr>
              <w:t xml:space="preserve"> beoogt het vrije verkeer van kennis en innovatie binnen de EU (de ‘vijfde vrijheid’) te bewerkstelligen door de versnipperde regelgeving, ongelijke investeringen in onderzoek en innovatie</w:t>
            </w:r>
            <w:r w:rsidRPr="00781A6F" w:rsidR="00BA5605">
              <w:rPr>
                <w:rFonts w:ascii="Verdana" w:hAnsi="Verdana"/>
                <w:sz w:val="18"/>
                <w:szCs w:val="18"/>
              </w:rPr>
              <w:t>,</w:t>
            </w:r>
            <w:r w:rsidRPr="00781A6F">
              <w:rPr>
                <w:rFonts w:ascii="Verdana" w:hAnsi="Verdana"/>
                <w:sz w:val="18"/>
                <w:szCs w:val="18"/>
              </w:rPr>
              <w:t xml:space="preserve"> en verdere belemmeringen voor het delen van kennis tegen te gaan. </w:t>
            </w:r>
          </w:p>
        </w:tc>
        <w:tc>
          <w:tcPr>
            <w:tcW w:w="5953" w:type="dxa"/>
            <w:tcBorders>
              <w:top w:val="single" w:color="auto" w:sz="4" w:space="0"/>
              <w:left w:val="single" w:color="auto" w:sz="4" w:space="0"/>
              <w:bottom w:val="single" w:color="auto" w:sz="4" w:space="0"/>
              <w:right w:val="single" w:color="auto" w:sz="4" w:space="0"/>
            </w:tcBorders>
          </w:tcPr>
          <w:p w:rsidRPr="00781A6F" w:rsidR="00CD13E4" w:rsidP="00781A6F" w:rsidRDefault="00CD13E4" w14:paraId="355B6F53" w14:textId="65936038">
            <w:pPr>
              <w:rPr>
                <w:rFonts w:ascii="Verdana" w:hAnsi="Verdana" w:cstheme="minorBidi"/>
                <w:color w:val="000000"/>
                <w:sz w:val="18"/>
                <w:szCs w:val="18"/>
              </w:rPr>
            </w:pPr>
            <w:r w:rsidRPr="00781A6F">
              <w:rPr>
                <w:rFonts w:ascii="Verdana" w:hAnsi="Verdana"/>
                <w:sz w:val="18"/>
                <w:szCs w:val="18"/>
              </w:rPr>
              <w:t xml:space="preserve">Het kabinet verwelkomt de ambitie om fragmentatie tussen verschillende onderzoeks- en innovatiesystemen te verminderen. Er zijn nog steeds significante obstakels voor o.a. bi- en multilaterale samenwerking, mobiliteit van onderzoekers, en toegang tot data en infrastructuur. De wetgeving inzake de Europese Onderzoeksruimte is </w:t>
            </w:r>
            <w:r w:rsidRPr="00781A6F" w:rsidR="00D064A0">
              <w:rPr>
                <w:rFonts w:ascii="Verdana" w:hAnsi="Verdana"/>
                <w:sz w:val="18"/>
                <w:szCs w:val="18"/>
              </w:rPr>
              <w:t xml:space="preserve">daarbij een </w:t>
            </w:r>
            <w:r w:rsidRPr="00781A6F">
              <w:rPr>
                <w:rFonts w:ascii="Verdana" w:hAnsi="Verdana"/>
                <w:sz w:val="18"/>
                <w:szCs w:val="18"/>
              </w:rPr>
              <w:t xml:space="preserve">goed instrument om de uitdagingen aan te pakken. Het kabinet zal zich in het bijzonder inzetten voor de bescherming van academische vrijheid in de wetgeving. </w:t>
            </w:r>
          </w:p>
        </w:tc>
        <w:tc>
          <w:tcPr>
            <w:tcW w:w="1985" w:type="dxa"/>
            <w:tcBorders>
              <w:top w:val="single" w:color="auto" w:sz="4" w:space="0"/>
              <w:left w:val="single" w:color="auto" w:sz="4" w:space="0"/>
              <w:bottom w:val="single" w:color="auto" w:sz="4" w:space="0"/>
              <w:right w:val="single" w:color="auto" w:sz="4" w:space="0"/>
            </w:tcBorders>
          </w:tcPr>
          <w:p w:rsidRPr="00781A6F" w:rsidR="00CD13E4" w:rsidP="00781A6F" w:rsidRDefault="00CD13E4" w14:paraId="420ECAA3" w14:textId="620103A7">
            <w:pPr>
              <w:rPr>
                <w:rFonts w:ascii="Verdana" w:hAnsi="Verdana" w:cstheme="minorBidi"/>
                <w:color w:val="000000"/>
                <w:sz w:val="18"/>
                <w:szCs w:val="18"/>
              </w:rPr>
            </w:pPr>
            <w:r w:rsidRPr="00781A6F">
              <w:rPr>
                <w:rFonts w:ascii="Verdana" w:hAnsi="Verdana"/>
                <w:color w:val="000000"/>
                <w:sz w:val="18"/>
                <w:szCs w:val="18"/>
              </w:rPr>
              <w:t>Wetgevend</w:t>
            </w:r>
          </w:p>
        </w:tc>
      </w:tr>
      <w:tr w:rsidRPr="00781A6F" w:rsidR="001D461C" w:rsidTr="007766E6" w14:paraId="2D7C8F74" w14:textId="77777777">
        <w:trPr>
          <w:trHeight w:val="895"/>
        </w:trPr>
        <w:tc>
          <w:tcPr>
            <w:tcW w:w="567" w:type="dxa"/>
          </w:tcPr>
          <w:p w:rsidRPr="00781A6F" w:rsidR="001D461C" w:rsidP="00781A6F" w:rsidRDefault="001D461C" w14:paraId="4FB4571E" w14:textId="5B748111">
            <w:pPr>
              <w:rPr>
                <w:rFonts w:ascii="Verdana" w:hAnsi="Verdana" w:cstheme="minorBidi"/>
                <w:sz w:val="18"/>
                <w:szCs w:val="18"/>
              </w:rPr>
            </w:pPr>
            <w:r w:rsidRPr="00781A6F">
              <w:rPr>
                <w:rFonts w:ascii="Verdana" w:hAnsi="Verdana"/>
                <w:sz w:val="18"/>
                <w:szCs w:val="18"/>
              </w:rPr>
              <w:t>9.</w:t>
            </w:r>
          </w:p>
        </w:tc>
        <w:tc>
          <w:tcPr>
            <w:tcW w:w="2694" w:type="dxa"/>
          </w:tcPr>
          <w:p w:rsidRPr="00781A6F" w:rsidR="001D461C" w:rsidP="00781A6F" w:rsidRDefault="001274D0" w14:paraId="76D1D580" w14:textId="57F719F2">
            <w:pPr>
              <w:rPr>
                <w:rFonts w:ascii="Verdana" w:hAnsi="Verdana" w:cstheme="minorBidi"/>
                <w:sz w:val="18"/>
                <w:szCs w:val="18"/>
              </w:rPr>
            </w:pPr>
            <w:r w:rsidRPr="00781A6F">
              <w:rPr>
                <w:rFonts w:ascii="Verdana" w:hAnsi="Verdana" w:eastAsia="Times New Roman"/>
                <w:sz w:val="18"/>
                <w:szCs w:val="18"/>
              </w:rPr>
              <w:t xml:space="preserve">Wetgevingshandeling over biotechnologie II </w:t>
            </w:r>
            <w:r w:rsidRPr="00781A6F" w:rsidR="001D461C">
              <w:rPr>
                <w:rFonts w:ascii="Verdana" w:hAnsi="Verdana" w:eastAsia="Times New Roman"/>
                <w:sz w:val="18"/>
                <w:szCs w:val="18"/>
              </w:rPr>
              <w:t>(Q3 2026)</w:t>
            </w:r>
          </w:p>
        </w:tc>
        <w:tc>
          <w:tcPr>
            <w:tcW w:w="4394" w:type="dxa"/>
          </w:tcPr>
          <w:p w:rsidRPr="00781A6F" w:rsidR="001D461C" w:rsidP="00781A6F" w:rsidRDefault="00CD13E4" w14:paraId="6AF899E4" w14:textId="1637DA5A">
            <w:pPr>
              <w:rPr>
                <w:rFonts w:ascii="Verdana" w:hAnsi="Verdana" w:cstheme="minorBidi"/>
                <w:color w:val="000000"/>
                <w:sz w:val="18"/>
                <w:szCs w:val="18"/>
              </w:rPr>
            </w:pPr>
            <w:r w:rsidRPr="00781A6F">
              <w:rPr>
                <w:rFonts w:ascii="Verdana" w:hAnsi="Verdana"/>
                <w:sz w:val="18"/>
                <w:szCs w:val="18"/>
              </w:rPr>
              <w:t xml:space="preserve">De toekomstige </w:t>
            </w:r>
            <w:r w:rsidRPr="00781A6F" w:rsidR="001274D0">
              <w:rPr>
                <w:rFonts w:ascii="Verdana" w:hAnsi="Verdana"/>
                <w:sz w:val="18"/>
                <w:szCs w:val="18"/>
              </w:rPr>
              <w:t>Wetgevingshandeling over biotechnologie II</w:t>
            </w:r>
            <w:r w:rsidRPr="00781A6F">
              <w:rPr>
                <w:rFonts w:ascii="Verdana" w:hAnsi="Verdana"/>
                <w:sz w:val="18"/>
                <w:szCs w:val="18"/>
              </w:rPr>
              <w:t xml:space="preserve"> zal naar waarschijnlijkheid een reeks maatregelen bevatten om een gunstig klimaat te creëren voor een versnelde transitie van biotechnologische producten van het laboratorium naar de markt. Tegelijkertijd is er oog voor het handhaven van veiligheidsnormen ter bescherming van het milieu en de bevolking.</w:t>
            </w:r>
          </w:p>
        </w:tc>
        <w:tc>
          <w:tcPr>
            <w:tcW w:w="5953" w:type="dxa"/>
          </w:tcPr>
          <w:p w:rsidRPr="00781A6F" w:rsidR="001D461C" w:rsidP="00781A6F" w:rsidRDefault="008D7270" w14:paraId="5E34AC8C" w14:textId="6D24CC74">
            <w:pPr>
              <w:rPr>
                <w:rFonts w:ascii="Verdana" w:hAnsi="Verdana" w:eastAsia="Calibri" w:cs="Calibri"/>
                <w:color w:val="000000" w:themeColor="text1"/>
                <w:sz w:val="18"/>
                <w:szCs w:val="18"/>
              </w:rPr>
            </w:pPr>
            <w:r w:rsidRPr="00781A6F">
              <w:rPr>
                <w:rFonts w:ascii="Verdana" w:hAnsi="Verdana" w:eastAsia="Calibri" w:cs="Calibri"/>
                <w:color w:val="000000" w:themeColor="text1"/>
                <w:sz w:val="18"/>
                <w:szCs w:val="18"/>
              </w:rPr>
              <w:t xml:space="preserve">Het kabinet kijkt uit naar de opkomende </w:t>
            </w:r>
            <w:r w:rsidRPr="00781A6F" w:rsidR="001274D0">
              <w:rPr>
                <w:rFonts w:ascii="Verdana" w:hAnsi="Verdana" w:eastAsia="Calibri" w:cs="Calibri"/>
                <w:color w:val="000000" w:themeColor="text1"/>
                <w:sz w:val="18"/>
                <w:szCs w:val="18"/>
              </w:rPr>
              <w:t>Wetgevingshandeling over biotechnologie II</w:t>
            </w:r>
            <w:r w:rsidRPr="00781A6F">
              <w:rPr>
                <w:rFonts w:ascii="Verdana" w:hAnsi="Verdana" w:eastAsia="Calibri" w:cs="Calibri"/>
                <w:color w:val="000000" w:themeColor="text1"/>
                <w:sz w:val="18"/>
                <w:szCs w:val="18"/>
              </w:rPr>
              <w:t xml:space="preserve">. </w:t>
            </w:r>
            <w:r w:rsidRPr="00781A6F" w:rsidR="00320B91">
              <w:rPr>
                <w:rFonts w:ascii="Verdana" w:hAnsi="Verdana"/>
                <w:color w:val="000000"/>
                <w:sz w:val="18"/>
                <w:szCs w:val="18"/>
              </w:rPr>
              <w:t>Het kabinet</w:t>
            </w:r>
            <w:r w:rsidRPr="00781A6F">
              <w:rPr>
                <w:rFonts w:ascii="Verdana" w:hAnsi="Verdana" w:eastAsia="Calibri" w:cs="Calibri"/>
                <w:color w:val="000000" w:themeColor="text1"/>
                <w:sz w:val="18"/>
                <w:szCs w:val="18"/>
              </w:rPr>
              <w:t xml:space="preserve"> pleit voor een brede reikwijdte </w:t>
            </w:r>
            <w:r w:rsidRPr="00781A6F" w:rsidR="00D064A0">
              <w:rPr>
                <w:rFonts w:ascii="Verdana" w:hAnsi="Verdana" w:eastAsia="Calibri" w:cs="Calibri"/>
                <w:color w:val="000000" w:themeColor="text1"/>
                <w:sz w:val="18"/>
                <w:szCs w:val="18"/>
              </w:rPr>
              <w:t xml:space="preserve">en </w:t>
            </w:r>
            <w:r w:rsidRPr="00781A6F">
              <w:rPr>
                <w:rFonts w:ascii="Verdana" w:hAnsi="Verdana" w:eastAsia="Calibri" w:cs="Calibri"/>
                <w:color w:val="000000" w:themeColor="text1"/>
                <w:sz w:val="18"/>
                <w:szCs w:val="18"/>
              </w:rPr>
              <w:t xml:space="preserve">een </w:t>
            </w:r>
            <w:r w:rsidRPr="00781A6F" w:rsidR="00D064A0">
              <w:rPr>
                <w:rFonts w:ascii="Verdana" w:hAnsi="Verdana" w:eastAsia="Calibri" w:cs="Calibri"/>
                <w:color w:val="000000" w:themeColor="text1"/>
                <w:sz w:val="18"/>
                <w:szCs w:val="18"/>
              </w:rPr>
              <w:t>integrale</w:t>
            </w:r>
            <w:r w:rsidRPr="00781A6F">
              <w:rPr>
                <w:rFonts w:ascii="Verdana" w:hAnsi="Verdana" w:eastAsia="Calibri" w:cs="Calibri"/>
                <w:color w:val="000000" w:themeColor="text1"/>
                <w:sz w:val="18"/>
                <w:szCs w:val="18"/>
              </w:rPr>
              <w:t xml:space="preserve"> benadering, waarbij onder meer de medische en farmaceutische, </w:t>
            </w:r>
            <w:proofErr w:type="spellStart"/>
            <w:r w:rsidRPr="00781A6F">
              <w:rPr>
                <w:rFonts w:ascii="Verdana" w:hAnsi="Verdana" w:eastAsia="Calibri" w:cs="Calibri"/>
                <w:color w:val="000000" w:themeColor="text1"/>
                <w:sz w:val="18"/>
                <w:szCs w:val="18"/>
              </w:rPr>
              <w:t>agri</w:t>
            </w:r>
            <w:proofErr w:type="spellEnd"/>
            <w:r w:rsidRPr="00781A6F">
              <w:rPr>
                <w:rFonts w:ascii="Verdana" w:hAnsi="Verdana" w:eastAsia="Calibri" w:cs="Calibri"/>
                <w:color w:val="000000" w:themeColor="text1"/>
                <w:sz w:val="18"/>
                <w:szCs w:val="18"/>
              </w:rPr>
              <w:t xml:space="preserve">-food, industriële toepassingen en dwarsdoorsnijdende thema’s zoals concurrentiekracht, veiligheid en kennisontwikkeling </w:t>
            </w:r>
            <w:r w:rsidRPr="00781A6F" w:rsidR="00D064A0">
              <w:rPr>
                <w:rFonts w:ascii="Verdana" w:hAnsi="Verdana" w:eastAsia="Calibri" w:cs="Calibri"/>
                <w:color w:val="000000" w:themeColor="text1"/>
                <w:sz w:val="18"/>
                <w:szCs w:val="18"/>
              </w:rPr>
              <w:t xml:space="preserve">in </w:t>
            </w:r>
            <w:r w:rsidRPr="00781A6F">
              <w:rPr>
                <w:rFonts w:ascii="Verdana" w:hAnsi="Verdana" w:eastAsia="Calibri" w:cs="Calibri"/>
                <w:color w:val="000000" w:themeColor="text1"/>
                <w:sz w:val="18"/>
                <w:szCs w:val="18"/>
              </w:rPr>
              <w:t>samen</w:t>
            </w:r>
            <w:r w:rsidRPr="00781A6F" w:rsidR="00D064A0">
              <w:rPr>
                <w:rFonts w:ascii="Verdana" w:hAnsi="Verdana" w:eastAsia="Calibri" w:cs="Calibri"/>
                <w:color w:val="000000" w:themeColor="text1"/>
                <w:sz w:val="18"/>
                <w:szCs w:val="18"/>
              </w:rPr>
              <w:t>hang</w:t>
            </w:r>
            <w:r w:rsidRPr="00781A6F">
              <w:rPr>
                <w:rFonts w:ascii="Verdana" w:hAnsi="Verdana" w:eastAsia="Calibri" w:cs="Calibri"/>
                <w:color w:val="000000" w:themeColor="text1"/>
                <w:sz w:val="18"/>
                <w:szCs w:val="18"/>
              </w:rPr>
              <w:t xml:space="preserve"> worden bekeken en aangepakt. Daarnaast zet </w:t>
            </w:r>
            <w:r w:rsidRPr="00781A6F" w:rsidR="00320B91">
              <w:rPr>
                <w:rFonts w:ascii="Verdana" w:hAnsi="Verdana"/>
                <w:color w:val="000000"/>
                <w:sz w:val="18"/>
                <w:szCs w:val="18"/>
              </w:rPr>
              <w:t>het kabinet</w:t>
            </w:r>
            <w:r w:rsidRPr="00781A6F">
              <w:rPr>
                <w:rFonts w:ascii="Verdana" w:hAnsi="Verdana" w:eastAsia="Calibri" w:cs="Calibri"/>
                <w:color w:val="000000" w:themeColor="text1"/>
                <w:sz w:val="18"/>
                <w:szCs w:val="18"/>
              </w:rPr>
              <w:t xml:space="preserve"> in op het versterken van concurrentiekracht en een toekomstgericht en veerkrachtig regelgevend kader binnen </w:t>
            </w:r>
            <w:r w:rsidRPr="00781A6F" w:rsidR="00D064A0">
              <w:rPr>
                <w:rFonts w:ascii="Verdana" w:hAnsi="Verdana" w:eastAsia="Calibri" w:cs="Calibri"/>
                <w:color w:val="000000" w:themeColor="text1"/>
                <w:sz w:val="18"/>
                <w:szCs w:val="18"/>
              </w:rPr>
              <w:t>de EU</w:t>
            </w:r>
            <w:r w:rsidRPr="00781A6F">
              <w:rPr>
                <w:rFonts w:ascii="Verdana" w:hAnsi="Verdana" w:eastAsia="Calibri" w:cs="Calibri"/>
                <w:color w:val="000000" w:themeColor="text1"/>
                <w:sz w:val="18"/>
                <w:szCs w:val="18"/>
              </w:rPr>
              <w:t>.</w:t>
            </w:r>
          </w:p>
        </w:tc>
        <w:tc>
          <w:tcPr>
            <w:tcW w:w="1985" w:type="dxa"/>
          </w:tcPr>
          <w:p w:rsidRPr="00781A6F" w:rsidR="001D461C" w:rsidP="00781A6F" w:rsidRDefault="001D461C" w14:paraId="25CC6648" w14:textId="11AC0A0B">
            <w:pPr>
              <w:rPr>
                <w:rFonts w:ascii="Verdana" w:hAnsi="Verdana" w:cstheme="minorBidi"/>
                <w:color w:val="000000"/>
                <w:sz w:val="18"/>
                <w:szCs w:val="18"/>
              </w:rPr>
            </w:pPr>
            <w:r w:rsidRPr="00781A6F">
              <w:rPr>
                <w:rFonts w:ascii="Verdana" w:hAnsi="Verdana"/>
                <w:color w:val="000000"/>
                <w:sz w:val="18"/>
                <w:szCs w:val="18"/>
              </w:rPr>
              <w:t>Wetgevend</w:t>
            </w:r>
          </w:p>
        </w:tc>
      </w:tr>
      <w:tr w:rsidRPr="00781A6F" w:rsidR="008D7270" w:rsidTr="007766E6" w14:paraId="7C54617B" w14:textId="77777777">
        <w:trPr>
          <w:trHeight w:val="895"/>
        </w:trPr>
        <w:tc>
          <w:tcPr>
            <w:tcW w:w="567" w:type="dxa"/>
          </w:tcPr>
          <w:p w:rsidRPr="00781A6F" w:rsidR="008D7270" w:rsidP="00781A6F" w:rsidRDefault="008D7270" w14:paraId="030A479A" w14:textId="100A0AE9">
            <w:pPr>
              <w:rPr>
                <w:rFonts w:ascii="Verdana" w:hAnsi="Verdana" w:eastAsia="Times New Roman"/>
                <w:sz w:val="18"/>
                <w:szCs w:val="18"/>
              </w:rPr>
            </w:pPr>
            <w:r w:rsidRPr="00781A6F">
              <w:rPr>
                <w:rFonts w:ascii="Verdana" w:hAnsi="Verdana" w:eastAsia="Times New Roman"/>
                <w:sz w:val="18"/>
                <w:szCs w:val="18"/>
              </w:rPr>
              <w:t>10.</w:t>
            </w:r>
          </w:p>
        </w:tc>
        <w:tc>
          <w:tcPr>
            <w:tcW w:w="2694" w:type="dxa"/>
          </w:tcPr>
          <w:p w:rsidRPr="00781A6F" w:rsidR="008D7270" w:rsidP="00781A6F" w:rsidRDefault="001274D0" w14:paraId="3C698E9A" w14:textId="31B3A865">
            <w:pPr>
              <w:rPr>
                <w:rFonts w:ascii="Verdana" w:hAnsi="Verdana" w:eastAsia="Times New Roman"/>
                <w:sz w:val="18"/>
                <w:szCs w:val="18"/>
                <w:lang w:val="en-US"/>
              </w:rPr>
            </w:pPr>
            <w:proofErr w:type="spellStart"/>
            <w:r w:rsidRPr="00781A6F">
              <w:rPr>
                <w:rFonts w:ascii="Verdana" w:hAnsi="Verdana" w:eastAsia="Times New Roman"/>
                <w:sz w:val="18"/>
                <w:szCs w:val="18"/>
                <w:lang w:val="en-US"/>
              </w:rPr>
              <w:t>Wetgevingshandeling</w:t>
            </w:r>
            <w:proofErr w:type="spellEnd"/>
            <w:r w:rsidRPr="00781A6F">
              <w:rPr>
                <w:rFonts w:ascii="Verdana" w:hAnsi="Verdana" w:eastAsia="Times New Roman"/>
                <w:sz w:val="18"/>
                <w:szCs w:val="18"/>
                <w:lang w:val="en-US"/>
              </w:rPr>
              <w:t xml:space="preserve"> over </w:t>
            </w:r>
            <w:proofErr w:type="spellStart"/>
            <w:r w:rsidRPr="00781A6F">
              <w:rPr>
                <w:rFonts w:ascii="Verdana" w:hAnsi="Verdana" w:eastAsia="Times New Roman"/>
                <w:sz w:val="18"/>
                <w:szCs w:val="18"/>
                <w:lang w:val="en-US"/>
              </w:rPr>
              <w:t>kwantumcomputing</w:t>
            </w:r>
            <w:proofErr w:type="spellEnd"/>
            <w:r w:rsidRPr="00781A6F">
              <w:rPr>
                <w:rFonts w:ascii="Verdana" w:hAnsi="Verdana" w:eastAsia="Times New Roman"/>
                <w:sz w:val="18"/>
                <w:szCs w:val="18"/>
                <w:lang w:val="en-US"/>
              </w:rPr>
              <w:t xml:space="preserve"> </w:t>
            </w:r>
            <w:r w:rsidRPr="00781A6F" w:rsidR="008D7270">
              <w:rPr>
                <w:rFonts w:ascii="Verdana" w:hAnsi="Verdana" w:eastAsia="Times New Roman"/>
                <w:sz w:val="18"/>
                <w:szCs w:val="18"/>
                <w:lang w:val="en-US"/>
              </w:rPr>
              <w:t>(Q2 2026)</w:t>
            </w:r>
          </w:p>
        </w:tc>
        <w:tc>
          <w:tcPr>
            <w:tcW w:w="4394" w:type="dxa"/>
          </w:tcPr>
          <w:p w:rsidRPr="00781A6F" w:rsidR="008D7270" w:rsidP="00781A6F" w:rsidRDefault="008D7270" w14:paraId="38907181" w14:textId="4BA38209">
            <w:pPr>
              <w:rPr>
                <w:rFonts w:ascii="Verdana" w:hAnsi="Verdana"/>
                <w:sz w:val="18"/>
                <w:szCs w:val="18"/>
              </w:rPr>
            </w:pPr>
            <w:r w:rsidRPr="00781A6F">
              <w:rPr>
                <w:rFonts w:ascii="Verdana" w:hAnsi="Verdana"/>
                <w:sz w:val="18"/>
                <w:szCs w:val="18"/>
              </w:rPr>
              <w:t xml:space="preserve">Om de strategische, technologische en economische positie van </w:t>
            </w:r>
            <w:r w:rsidRPr="00781A6F" w:rsidR="00D064A0">
              <w:rPr>
                <w:rFonts w:ascii="Verdana" w:hAnsi="Verdana"/>
                <w:sz w:val="18"/>
                <w:szCs w:val="18"/>
              </w:rPr>
              <w:t>kwantum</w:t>
            </w:r>
            <w:r w:rsidRPr="00781A6F">
              <w:rPr>
                <w:rFonts w:ascii="Verdana" w:hAnsi="Verdana"/>
                <w:sz w:val="18"/>
                <w:szCs w:val="18"/>
              </w:rPr>
              <w:t xml:space="preserve">technologie te versterken, presenteert de </w:t>
            </w:r>
            <w:r w:rsidRPr="00781A6F" w:rsidR="006B0323">
              <w:rPr>
                <w:rFonts w:ascii="Verdana" w:hAnsi="Verdana"/>
                <w:sz w:val="18"/>
                <w:szCs w:val="18"/>
              </w:rPr>
              <w:t>Commissie</w:t>
            </w:r>
            <w:r w:rsidRPr="00781A6F">
              <w:rPr>
                <w:rFonts w:ascii="Verdana" w:hAnsi="Verdana"/>
                <w:sz w:val="18"/>
                <w:szCs w:val="18"/>
              </w:rPr>
              <w:t xml:space="preserve"> een </w:t>
            </w:r>
            <w:r w:rsidRPr="00781A6F" w:rsidR="001274D0">
              <w:rPr>
                <w:rFonts w:ascii="Verdana" w:hAnsi="Verdana"/>
                <w:sz w:val="18"/>
                <w:szCs w:val="18"/>
              </w:rPr>
              <w:t>Wetgevingshandeling over kwantumcomputing</w:t>
            </w:r>
            <w:r w:rsidRPr="00781A6F">
              <w:rPr>
                <w:rFonts w:ascii="Verdana" w:hAnsi="Verdana"/>
                <w:sz w:val="18"/>
                <w:szCs w:val="18"/>
              </w:rPr>
              <w:t xml:space="preserve">. De </w:t>
            </w:r>
            <w:r w:rsidRPr="00781A6F" w:rsidR="001274D0">
              <w:rPr>
                <w:rFonts w:ascii="Verdana" w:hAnsi="Verdana"/>
                <w:sz w:val="18"/>
                <w:szCs w:val="18"/>
              </w:rPr>
              <w:t>wetgevingshandeling</w:t>
            </w:r>
            <w:r w:rsidRPr="00781A6F">
              <w:rPr>
                <w:rFonts w:ascii="Verdana" w:hAnsi="Verdana"/>
                <w:sz w:val="18"/>
                <w:szCs w:val="18"/>
              </w:rPr>
              <w:t xml:space="preserve"> moet gerichte maatregelen ter stimulering van </w:t>
            </w:r>
            <w:r w:rsidRPr="00781A6F" w:rsidR="00D064A0">
              <w:rPr>
                <w:rFonts w:ascii="Verdana" w:hAnsi="Verdana"/>
                <w:sz w:val="18"/>
                <w:szCs w:val="18"/>
              </w:rPr>
              <w:t>kwantum</w:t>
            </w:r>
            <w:r w:rsidRPr="00781A6F">
              <w:rPr>
                <w:rFonts w:ascii="Verdana" w:hAnsi="Verdana"/>
                <w:sz w:val="18"/>
                <w:szCs w:val="18"/>
              </w:rPr>
              <w:t xml:space="preserve"> presenteren, </w:t>
            </w:r>
            <w:r w:rsidRPr="00781A6F">
              <w:rPr>
                <w:rFonts w:ascii="Verdana" w:hAnsi="Verdana" w:eastAsia="Calibri" w:cs="Arial"/>
                <w:sz w:val="18"/>
                <w:szCs w:val="18"/>
              </w:rPr>
              <w:t>met aandacht voor investeringen, weerbaarheid, talent, en ondersteuning voor de gehele waardeketen.</w:t>
            </w:r>
          </w:p>
        </w:tc>
        <w:tc>
          <w:tcPr>
            <w:tcW w:w="5953" w:type="dxa"/>
          </w:tcPr>
          <w:p w:rsidRPr="00781A6F" w:rsidR="008D7270" w:rsidP="00781A6F" w:rsidRDefault="008D7270" w14:paraId="185F3E41" w14:textId="761C9BCC">
            <w:pPr>
              <w:rPr>
                <w:rFonts w:ascii="Verdana" w:hAnsi="Verdana"/>
                <w:sz w:val="18"/>
                <w:szCs w:val="18"/>
              </w:rPr>
            </w:pPr>
            <w:r w:rsidRPr="00781A6F">
              <w:rPr>
                <w:rFonts w:ascii="Verdana" w:hAnsi="Verdana"/>
                <w:sz w:val="18"/>
                <w:szCs w:val="18"/>
              </w:rPr>
              <w:t xml:space="preserve">Het kabinet </w:t>
            </w:r>
            <w:r w:rsidRPr="00781A6F" w:rsidR="00702608">
              <w:rPr>
                <w:rFonts w:ascii="Verdana" w:hAnsi="Verdana" w:eastAsia="Aptos" w:cs="Aptos"/>
                <w:sz w:val="18"/>
                <w:szCs w:val="18"/>
              </w:rPr>
              <w:t xml:space="preserve">kijkt uit naar </w:t>
            </w:r>
            <w:r w:rsidRPr="00781A6F">
              <w:rPr>
                <w:rFonts w:ascii="Verdana" w:hAnsi="Verdana"/>
                <w:sz w:val="18"/>
                <w:szCs w:val="18"/>
              </w:rPr>
              <w:t xml:space="preserve">de </w:t>
            </w:r>
            <w:r w:rsidRPr="00781A6F" w:rsidR="001274D0">
              <w:rPr>
                <w:rFonts w:ascii="Verdana" w:hAnsi="Verdana"/>
                <w:sz w:val="18"/>
                <w:szCs w:val="18"/>
              </w:rPr>
              <w:t>Wetgevingshandeling over kwantumcomputing</w:t>
            </w:r>
            <w:r w:rsidRPr="00781A6F">
              <w:rPr>
                <w:rFonts w:ascii="Verdana" w:hAnsi="Verdana"/>
                <w:sz w:val="18"/>
                <w:szCs w:val="18"/>
              </w:rPr>
              <w:t xml:space="preserve">. </w:t>
            </w:r>
            <w:r w:rsidRPr="00781A6F" w:rsidR="00D064A0">
              <w:rPr>
                <w:rFonts w:ascii="Verdana" w:hAnsi="Verdana"/>
                <w:sz w:val="18"/>
                <w:szCs w:val="18"/>
              </w:rPr>
              <w:t>H</w:t>
            </w:r>
            <w:r w:rsidRPr="00781A6F">
              <w:rPr>
                <w:rFonts w:ascii="Verdana" w:hAnsi="Verdana"/>
                <w:sz w:val="18"/>
                <w:szCs w:val="18"/>
              </w:rPr>
              <w:t xml:space="preserve">et kabinet </w:t>
            </w:r>
            <w:r w:rsidRPr="00781A6F" w:rsidR="00D064A0">
              <w:rPr>
                <w:rFonts w:ascii="Verdana" w:hAnsi="Verdana"/>
                <w:sz w:val="18"/>
                <w:szCs w:val="18"/>
              </w:rPr>
              <w:t xml:space="preserve">is van mening dat </w:t>
            </w:r>
            <w:r w:rsidRPr="00781A6F">
              <w:rPr>
                <w:rFonts w:ascii="Verdana" w:hAnsi="Verdana"/>
                <w:sz w:val="18"/>
                <w:szCs w:val="18"/>
              </w:rPr>
              <w:t xml:space="preserve">een nieuwe </w:t>
            </w:r>
            <w:r w:rsidRPr="00781A6F" w:rsidR="001274D0">
              <w:rPr>
                <w:rFonts w:ascii="Verdana" w:hAnsi="Verdana"/>
                <w:sz w:val="18"/>
                <w:szCs w:val="18"/>
              </w:rPr>
              <w:t xml:space="preserve">Wetgevingshandeling over kwantumcomputing </w:t>
            </w:r>
            <w:r w:rsidRPr="00781A6F" w:rsidR="00D064A0">
              <w:rPr>
                <w:rFonts w:ascii="Verdana" w:hAnsi="Verdana"/>
                <w:sz w:val="18"/>
                <w:szCs w:val="18"/>
              </w:rPr>
              <w:t xml:space="preserve">de </w:t>
            </w:r>
            <w:r w:rsidRPr="00781A6F">
              <w:rPr>
                <w:rFonts w:ascii="Verdana" w:hAnsi="Verdana"/>
                <w:sz w:val="18"/>
                <w:szCs w:val="18"/>
              </w:rPr>
              <w:t xml:space="preserve">huidige kwetsbaarheden </w:t>
            </w:r>
            <w:r w:rsidRPr="00781A6F" w:rsidR="00D064A0">
              <w:rPr>
                <w:rFonts w:ascii="Verdana" w:hAnsi="Verdana"/>
                <w:sz w:val="18"/>
                <w:szCs w:val="18"/>
              </w:rPr>
              <w:t>van Europa moet adresseren</w:t>
            </w:r>
            <w:r w:rsidRPr="00781A6F">
              <w:rPr>
                <w:rFonts w:ascii="Verdana" w:hAnsi="Verdana"/>
                <w:sz w:val="18"/>
                <w:szCs w:val="18"/>
              </w:rPr>
              <w:t xml:space="preserve">, effectief </w:t>
            </w:r>
            <w:r w:rsidRPr="00781A6F" w:rsidR="00D064A0">
              <w:rPr>
                <w:rFonts w:ascii="Verdana" w:hAnsi="Verdana"/>
                <w:sz w:val="18"/>
                <w:szCs w:val="18"/>
              </w:rPr>
              <w:t xml:space="preserve">moet </w:t>
            </w:r>
            <w:r w:rsidRPr="00781A6F">
              <w:rPr>
                <w:rFonts w:ascii="Verdana" w:hAnsi="Verdana"/>
                <w:sz w:val="18"/>
                <w:szCs w:val="18"/>
              </w:rPr>
              <w:t xml:space="preserve">reageren op geopolitieke, technologische, en duurzaamheidsuitdagingen en huidige en aankomende marktkansen </w:t>
            </w:r>
            <w:r w:rsidRPr="00781A6F" w:rsidR="00D064A0">
              <w:rPr>
                <w:rFonts w:ascii="Verdana" w:hAnsi="Verdana"/>
                <w:sz w:val="18"/>
                <w:szCs w:val="18"/>
              </w:rPr>
              <w:t xml:space="preserve">moet </w:t>
            </w:r>
            <w:r w:rsidRPr="00781A6F">
              <w:rPr>
                <w:rFonts w:ascii="Verdana" w:hAnsi="Verdana"/>
                <w:sz w:val="18"/>
                <w:szCs w:val="18"/>
              </w:rPr>
              <w:t>benutten.</w:t>
            </w:r>
          </w:p>
        </w:tc>
        <w:tc>
          <w:tcPr>
            <w:tcW w:w="1985" w:type="dxa"/>
          </w:tcPr>
          <w:p w:rsidRPr="00781A6F" w:rsidR="008D7270" w:rsidP="00781A6F" w:rsidRDefault="008D7270" w14:paraId="18E3F5AB" w14:textId="3D0B6AA9">
            <w:pPr>
              <w:rPr>
                <w:rFonts w:ascii="Verdana" w:hAnsi="Verdana" w:cstheme="minorBidi"/>
                <w:color w:val="000000"/>
                <w:sz w:val="18"/>
                <w:szCs w:val="18"/>
              </w:rPr>
            </w:pPr>
            <w:r w:rsidRPr="00781A6F">
              <w:rPr>
                <w:rFonts w:ascii="Verdana" w:hAnsi="Verdana"/>
                <w:color w:val="000000"/>
                <w:sz w:val="18"/>
                <w:szCs w:val="18"/>
              </w:rPr>
              <w:t>Wetgevend</w:t>
            </w:r>
          </w:p>
        </w:tc>
      </w:tr>
      <w:tr w:rsidRPr="00781A6F" w:rsidR="0023156F" w:rsidTr="007766E6" w14:paraId="0CA59EF8" w14:textId="77777777">
        <w:trPr>
          <w:trHeight w:val="895"/>
        </w:trPr>
        <w:tc>
          <w:tcPr>
            <w:tcW w:w="567" w:type="dxa"/>
          </w:tcPr>
          <w:p w:rsidRPr="00781A6F" w:rsidR="0023156F" w:rsidP="00781A6F" w:rsidRDefault="0023156F" w14:paraId="72642C58" w14:textId="6C5147FC">
            <w:pPr>
              <w:rPr>
                <w:rFonts w:ascii="Verdana" w:hAnsi="Verdana" w:eastAsia="Times New Roman"/>
                <w:sz w:val="18"/>
                <w:szCs w:val="18"/>
              </w:rPr>
            </w:pPr>
            <w:r w:rsidRPr="00781A6F">
              <w:rPr>
                <w:rFonts w:ascii="Verdana" w:hAnsi="Verdana" w:eastAsia="Times New Roman"/>
                <w:sz w:val="18"/>
                <w:szCs w:val="18"/>
              </w:rPr>
              <w:t>11.</w:t>
            </w:r>
          </w:p>
        </w:tc>
        <w:tc>
          <w:tcPr>
            <w:tcW w:w="2694" w:type="dxa"/>
          </w:tcPr>
          <w:p w:rsidRPr="00781A6F" w:rsidR="0023156F" w:rsidP="00781A6F" w:rsidRDefault="001274D0" w14:paraId="08060E34" w14:textId="3111DB18">
            <w:pPr>
              <w:rPr>
                <w:rFonts w:ascii="Verdana" w:hAnsi="Verdana" w:eastAsia="Times New Roman"/>
                <w:sz w:val="18"/>
                <w:szCs w:val="18"/>
              </w:rPr>
            </w:pPr>
            <w:r w:rsidRPr="00781A6F">
              <w:rPr>
                <w:rFonts w:ascii="Verdana" w:hAnsi="Verdana" w:eastAsia="Times New Roman"/>
                <w:sz w:val="18"/>
                <w:szCs w:val="18"/>
              </w:rPr>
              <w:t xml:space="preserve">Wetgevingshandeling over circulaire economie </w:t>
            </w:r>
            <w:r w:rsidRPr="00781A6F" w:rsidR="0023156F">
              <w:rPr>
                <w:rFonts w:ascii="Verdana" w:hAnsi="Verdana" w:eastAsia="Times New Roman"/>
                <w:sz w:val="18"/>
                <w:szCs w:val="18"/>
              </w:rPr>
              <w:t>(Q3 2026)</w:t>
            </w:r>
          </w:p>
        </w:tc>
        <w:tc>
          <w:tcPr>
            <w:tcW w:w="4394" w:type="dxa"/>
          </w:tcPr>
          <w:p w:rsidRPr="00781A6F" w:rsidR="0023156F" w:rsidP="00781A6F" w:rsidRDefault="0023156F" w14:paraId="6B5B9976" w14:textId="7A46E913">
            <w:pPr>
              <w:rPr>
                <w:rFonts w:ascii="Verdana" w:hAnsi="Verdana"/>
                <w:sz w:val="18"/>
                <w:szCs w:val="18"/>
              </w:rPr>
            </w:pPr>
            <w:r w:rsidRPr="00781A6F">
              <w:rPr>
                <w:rFonts w:ascii="Verdana" w:hAnsi="Verdana"/>
                <w:sz w:val="18"/>
                <w:szCs w:val="18"/>
              </w:rPr>
              <w:t xml:space="preserve">De </w:t>
            </w:r>
            <w:r w:rsidRPr="00781A6F" w:rsidR="001274D0">
              <w:rPr>
                <w:rFonts w:ascii="Verdana" w:hAnsi="Verdana" w:eastAsia="Times New Roman"/>
                <w:sz w:val="18"/>
                <w:szCs w:val="18"/>
              </w:rPr>
              <w:t xml:space="preserve">Wetgevingshandeling over circulaire economie </w:t>
            </w:r>
            <w:r w:rsidRPr="00781A6F">
              <w:rPr>
                <w:rFonts w:ascii="Verdana" w:hAnsi="Verdana"/>
                <w:sz w:val="18"/>
                <w:szCs w:val="18"/>
              </w:rPr>
              <w:t xml:space="preserve">moet de vraag en aanbod van circulaire, duurzame, producten vergroten en afhankelijkheden van derde landen verkleinen. De </w:t>
            </w:r>
            <w:r w:rsidRPr="00781A6F" w:rsidR="001274D0">
              <w:rPr>
                <w:rFonts w:ascii="Verdana" w:hAnsi="Verdana"/>
                <w:sz w:val="18"/>
                <w:szCs w:val="18"/>
              </w:rPr>
              <w:t>wetgevingshandeling</w:t>
            </w:r>
            <w:r w:rsidRPr="00781A6F">
              <w:rPr>
                <w:rFonts w:ascii="Verdana" w:hAnsi="Verdana"/>
                <w:sz w:val="18"/>
                <w:szCs w:val="18"/>
              </w:rPr>
              <w:t xml:space="preserve"> gaat naar verwachting samen met enkele herzieningen van wetgeving, zoals de Kaderrichtlijn Afvalstoffen en de </w:t>
            </w:r>
            <w:r w:rsidRPr="00781A6F" w:rsidR="00D064A0">
              <w:rPr>
                <w:rFonts w:ascii="Verdana" w:hAnsi="Verdana"/>
                <w:sz w:val="18"/>
                <w:szCs w:val="18"/>
              </w:rPr>
              <w:t>afgedankte elektrische en elektronische apparatuur (</w:t>
            </w:r>
            <w:r w:rsidRPr="00781A6F">
              <w:rPr>
                <w:rFonts w:ascii="Verdana" w:hAnsi="Verdana"/>
                <w:sz w:val="18"/>
                <w:szCs w:val="18"/>
              </w:rPr>
              <w:t>AEEA</w:t>
            </w:r>
            <w:r w:rsidRPr="00781A6F" w:rsidR="00D064A0">
              <w:rPr>
                <w:rFonts w:ascii="Verdana" w:hAnsi="Verdana"/>
                <w:sz w:val="18"/>
                <w:szCs w:val="18"/>
              </w:rPr>
              <w:t>)</w:t>
            </w:r>
            <w:r w:rsidRPr="00781A6F">
              <w:rPr>
                <w:rFonts w:ascii="Verdana" w:hAnsi="Verdana"/>
                <w:sz w:val="18"/>
                <w:szCs w:val="18"/>
              </w:rPr>
              <w:t>-</w:t>
            </w:r>
            <w:r w:rsidRPr="00781A6F" w:rsidR="001274D0">
              <w:rPr>
                <w:rFonts w:ascii="Verdana" w:hAnsi="Verdana"/>
                <w:sz w:val="18"/>
                <w:szCs w:val="18"/>
              </w:rPr>
              <w:t>R</w:t>
            </w:r>
            <w:r w:rsidRPr="00781A6F">
              <w:rPr>
                <w:rFonts w:ascii="Verdana" w:hAnsi="Verdana"/>
                <w:sz w:val="18"/>
                <w:szCs w:val="18"/>
              </w:rPr>
              <w:t xml:space="preserve">ichtlijn. </w:t>
            </w:r>
            <w:r w:rsidRPr="00781A6F" w:rsidR="00D064A0">
              <w:rPr>
                <w:rFonts w:ascii="Verdana" w:hAnsi="Verdana"/>
                <w:sz w:val="18"/>
                <w:szCs w:val="18"/>
              </w:rPr>
              <w:t xml:space="preserve">Met deze </w:t>
            </w:r>
            <w:r w:rsidRPr="00781A6F" w:rsidR="001274D0">
              <w:rPr>
                <w:rFonts w:ascii="Verdana" w:hAnsi="Verdana"/>
                <w:sz w:val="18"/>
                <w:szCs w:val="18"/>
              </w:rPr>
              <w:t xml:space="preserve">wetgevingshandeling </w:t>
            </w:r>
            <w:r w:rsidRPr="00781A6F" w:rsidR="00D064A0">
              <w:rPr>
                <w:rFonts w:ascii="Verdana" w:hAnsi="Verdana"/>
                <w:sz w:val="18"/>
                <w:szCs w:val="18"/>
              </w:rPr>
              <w:t xml:space="preserve">wil de </w:t>
            </w:r>
            <w:r w:rsidRPr="00781A6F" w:rsidR="006B0323">
              <w:rPr>
                <w:rFonts w:ascii="Verdana" w:hAnsi="Verdana"/>
                <w:sz w:val="18"/>
                <w:szCs w:val="18"/>
              </w:rPr>
              <w:t>Commissie</w:t>
            </w:r>
            <w:r w:rsidRPr="00781A6F" w:rsidR="00D064A0">
              <w:rPr>
                <w:rFonts w:ascii="Verdana" w:hAnsi="Verdana"/>
                <w:sz w:val="18"/>
                <w:szCs w:val="18"/>
              </w:rPr>
              <w:t xml:space="preserve"> de EU positioneren als wereldleider in de circulaire </w:t>
            </w:r>
            <w:r w:rsidRPr="00781A6F" w:rsidR="00D064A0">
              <w:rPr>
                <w:rFonts w:ascii="Verdana" w:hAnsi="Verdana"/>
                <w:sz w:val="18"/>
                <w:szCs w:val="18"/>
              </w:rPr>
              <w:lastRenderedPageBreak/>
              <w:t xml:space="preserve">economie in 2030. De </w:t>
            </w:r>
            <w:r w:rsidRPr="00781A6F" w:rsidR="001274D0">
              <w:rPr>
                <w:rFonts w:ascii="Verdana" w:hAnsi="Verdana"/>
                <w:sz w:val="18"/>
                <w:szCs w:val="18"/>
              </w:rPr>
              <w:t>Wetgevingshandeling over circulaire economie</w:t>
            </w:r>
            <w:r w:rsidRPr="00781A6F" w:rsidR="00D064A0">
              <w:rPr>
                <w:rFonts w:ascii="Verdana" w:hAnsi="Verdana"/>
                <w:sz w:val="18"/>
                <w:szCs w:val="18"/>
              </w:rPr>
              <w:t xml:space="preserve"> werd eerder aangekondigd in de Clean Industrial Deal (CID).</w:t>
            </w:r>
          </w:p>
        </w:tc>
        <w:tc>
          <w:tcPr>
            <w:tcW w:w="5953" w:type="dxa"/>
          </w:tcPr>
          <w:p w:rsidRPr="00781A6F" w:rsidR="0023156F" w:rsidP="00781A6F" w:rsidRDefault="0023156F" w14:paraId="341B2307" w14:textId="49C6DDF2">
            <w:pPr>
              <w:rPr>
                <w:rFonts w:ascii="Verdana" w:hAnsi="Verdana"/>
                <w:sz w:val="18"/>
                <w:szCs w:val="18"/>
              </w:rPr>
            </w:pPr>
            <w:r w:rsidRPr="00781A6F">
              <w:rPr>
                <w:rFonts w:ascii="Verdana" w:hAnsi="Verdana"/>
                <w:sz w:val="18"/>
                <w:szCs w:val="18"/>
              </w:rPr>
              <w:lastRenderedPageBreak/>
              <w:t xml:space="preserve">Het kabinet steunt de inzet voor een </w:t>
            </w:r>
            <w:r w:rsidRPr="00781A6F" w:rsidR="001274D0">
              <w:rPr>
                <w:rFonts w:ascii="Verdana" w:hAnsi="Verdana" w:eastAsia="Times New Roman"/>
                <w:sz w:val="18"/>
                <w:szCs w:val="18"/>
              </w:rPr>
              <w:t>Wetgevingshandeling over circulaire economie</w:t>
            </w:r>
            <w:r w:rsidRPr="00781A6F">
              <w:rPr>
                <w:rFonts w:ascii="Verdana" w:hAnsi="Verdana"/>
                <w:sz w:val="18"/>
                <w:szCs w:val="18"/>
              </w:rPr>
              <w:t xml:space="preserve">. Met het beter hergebruiken en recyclen van grondstoffen en het creëren van een interne markt voor secundaire grondstoffen, incl. kritieke materialen, wordt Europa schoner en duurzamer en kunnen bijvoorbeeld belangrijke grondstoffen in Europa worden verwerkt en hergebruikt. Het kabinet zal daarom inzetten op een sterke en effectieve </w:t>
            </w:r>
            <w:r w:rsidRPr="00781A6F" w:rsidR="001274D0">
              <w:rPr>
                <w:rFonts w:ascii="Verdana" w:hAnsi="Verdana" w:eastAsia="Times New Roman"/>
                <w:sz w:val="18"/>
                <w:szCs w:val="18"/>
              </w:rPr>
              <w:t xml:space="preserve">Wetgevingshandeling over circulaire economie </w:t>
            </w:r>
            <w:r w:rsidRPr="00781A6F">
              <w:rPr>
                <w:rFonts w:ascii="Verdana" w:hAnsi="Verdana"/>
                <w:sz w:val="18"/>
                <w:szCs w:val="18"/>
              </w:rPr>
              <w:t>en gerelateerde voorstellen, die passen bij een eerlijk mondiaal speelveld en de daarbij horende internationale afspraken</w:t>
            </w:r>
            <w:r w:rsidRPr="00781A6F" w:rsidR="00D064A0">
              <w:rPr>
                <w:rFonts w:ascii="Verdana" w:hAnsi="Verdana"/>
                <w:sz w:val="18"/>
                <w:szCs w:val="18"/>
              </w:rPr>
              <w:t xml:space="preserve">. </w:t>
            </w:r>
            <w:r w:rsidRPr="00781A6F">
              <w:rPr>
                <w:rFonts w:ascii="Verdana" w:hAnsi="Verdana"/>
                <w:sz w:val="18"/>
                <w:szCs w:val="18"/>
              </w:rPr>
              <w:t xml:space="preserve">Hiermee komen we ook tegemoet aan de wensen van Nederlandse bedrijven om daadwerkelijk één Europese interne </w:t>
            </w:r>
            <w:r w:rsidRPr="00781A6F">
              <w:rPr>
                <w:rFonts w:ascii="Verdana" w:hAnsi="Verdana"/>
                <w:sz w:val="18"/>
                <w:szCs w:val="18"/>
              </w:rPr>
              <w:lastRenderedPageBreak/>
              <w:t>markt te creëren voor de circulaire economie en te werken naar een toekomstbestendige en duurzame economie.</w:t>
            </w:r>
          </w:p>
        </w:tc>
        <w:tc>
          <w:tcPr>
            <w:tcW w:w="1985" w:type="dxa"/>
          </w:tcPr>
          <w:p w:rsidRPr="00781A6F" w:rsidR="0023156F" w:rsidP="00781A6F" w:rsidRDefault="0023156F" w14:paraId="101B9166" w14:textId="6813F016">
            <w:pPr>
              <w:rPr>
                <w:rFonts w:ascii="Verdana" w:hAnsi="Verdana" w:cstheme="minorBidi"/>
                <w:color w:val="000000"/>
                <w:sz w:val="18"/>
                <w:szCs w:val="18"/>
                <w:lang w:val="en-US"/>
              </w:rPr>
            </w:pPr>
            <w:r w:rsidRPr="00781A6F">
              <w:rPr>
                <w:rFonts w:ascii="Verdana" w:hAnsi="Verdana"/>
                <w:color w:val="000000"/>
                <w:sz w:val="18"/>
                <w:szCs w:val="18"/>
              </w:rPr>
              <w:lastRenderedPageBreak/>
              <w:t>Wetgevend</w:t>
            </w:r>
            <w:r w:rsidRPr="00781A6F">
              <w:rPr>
                <w:rFonts w:ascii="Verdana" w:hAnsi="Verdana"/>
                <w:color w:val="000000"/>
                <w:sz w:val="18"/>
                <w:szCs w:val="18"/>
                <w:lang w:val="en-US"/>
              </w:rPr>
              <w:t xml:space="preserve"> </w:t>
            </w:r>
          </w:p>
        </w:tc>
      </w:tr>
      <w:tr w:rsidRPr="00781A6F" w:rsidR="00FA665F" w:rsidTr="007766E6" w14:paraId="6526D678" w14:textId="77777777">
        <w:trPr>
          <w:trHeight w:val="441"/>
        </w:trPr>
        <w:tc>
          <w:tcPr>
            <w:tcW w:w="15593" w:type="dxa"/>
            <w:gridSpan w:val="5"/>
          </w:tcPr>
          <w:p w:rsidRPr="00781A6F" w:rsidR="00FA665F" w:rsidP="00781A6F" w:rsidRDefault="00781A6F" w14:paraId="651B58B4" w14:textId="2C3E2B23">
            <w:pPr>
              <w:rPr>
                <w:rFonts w:ascii="Verdana" w:hAnsi="Verdana" w:cstheme="minorBidi"/>
                <w:color w:val="000000"/>
                <w:sz w:val="18"/>
                <w:szCs w:val="18"/>
              </w:rPr>
            </w:pPr>
            <w:r w:rsidRPr="00781A6F">
              <w:rPr>
                <w:rFonts w:ascii="Verdana" w:hAnsi="Verdana"/>
                <w:color w:val="000000"/>
                <w:sz w:val="18"/>
                <w:szCs w:val="18"/>
              </w:rPr>
              <w:t xml:space="preserve">12. </w:t>
            </w:r>
            <w:r w:rsidRPr="00781A6F" w:rsidR="001274D0">
              <w:rPr>
                <w:rFonts w:ascii="Verdana" w:hAnsi="Verdana"/>
                <w:color w:val="000000"/>
                <w:sz w:val="18"/>
                <w:szCs w:val="18"/>
              </w:rPr>
              <w:t>Europese productwetgeving</w:t>
            </w:r>
          </w:p>
        </w:tc>
      </w:tr>
      <w:tr w:rsidRPr="00781A6F" w:rsidR="008D7270" w:rsidTr="007766E6" w14:paraId="1F1E2499" w14:textId="77777777">
        <w:trPr>
          <w:trHeight w:val="441"/>
        </w:trPr>
        <w:tc>
          <w:tcPr>
            <w:tcW w:w="567" w:type="dxa"/>
          </w:tcPr>
          <w:p w:rsidRPr="00781A6F" w:rsidR="008D7270" w:rsidP="00781A6F" w:rsidRDefault="008D7270" w14:paraId="6EB7C8A0" w14:textId="54A618DB">
            <w:pPr>
              <w:rPr>
                <w:rFonts w:ascii="Verdana" w:hAnsi="Verdana" w:eastAsia="Times New Roman"/>
                <w:sz w:val="18"/>
                <w:szCs w:val="18"/>
              </w:rPr>
            </w:pPr>
            <w:r w:rsidRPr="00781A6F">
              <w:rPr>
                <w:rFonts w:ascii="Verdana" w:hAnsi="Verdana" w:eastAsia="Times New Roman"/>
                <w:sz w:val="18"/>
                <w:szCs w:val="18"/>
              </w:rPr>
              <w:t>12</w:t>
            </w:r>
            <w:r w:rsidRPr="00781A6F" w:rsidR="00781A6F">
              <w:rPr>
                <w:rFonts w:ascii="Verdana" w:hAnsi="Verdana" w:eastAsia="Times New Roman"/>
                <w:sz w:val="18"/>
                <w:szCs w:val="18"/>
              </w:rPr>
              <w:t>a</w:t>
            </w:r>
          </w:p>
        </w:tc>
        <w:tc>
          <w:tcPr>
            <w:tcW w:w="2694" w:type="dxa"/>
          </w:tcPr>
          <w:p w:rsidRPr="00781A6F" w:rsidR="008D7270" w:rsidP="00781A6F" w:rsidRDefault="001274D0" w14:paraId="1B9881A9" w14:textId="5AB402B7">
            <w:pPr>
              <w:rPr>
                <w:rFonts w:ascii="Verdana" w:hAnsi="Verdana" w:eastAsia="Times New Roman"/>
                <w:sz w:val="18"/>
                <w:szCs w:val="18"/>
              </w:rPr>
            </w:pPr>
            <w:r w:rsidRPr="00781A6F">
              <w:rPr>
                <w:rFonts w:ascii="Verdana" w:hAnsi="Verdana" w:eastAsia="Times New Roman"/>
                <w:sz w:val="18"/>
                <w:szCs w:val="18"/>
              </w:rPr>
              <w:t xml:space="preserve">Actualisering van het nieuwe wetgevingskader voor productvoorschriften </w:t>
            </w:r>
            <w:r w:rsidRPr="00781A6F" w:rsidR="008D7270">
              <w:rPr>
                <w:rFonts w:ascii="Verdana" w:hAnsi="Verdana" w:eastAsia="Times New Roman"/>
                <w:sz w:val="18"/>
                <w:szCs w:val="18"/>
              </w:rPr>
              <w:t>(Q3 2026)</w:t>
            </w:r>
          </w:p>
        </w:tc>
        <w:tc>
          <w:tcPr>
            <w:tcW w:w="4394" w:type="dxa"/>
          </w:tcPr>
          <w:p w:rsidRPr="00781A6F" w:rsidR="008D7270" w:rsidP="00781A6F" w:rsidRDefault="008D7270" w14:paraId="44B2FAA6" w14:textId="485040FD">
            <w:pPr>
              <w:rPr>
                <w:rFonts w:ascii="Verdana" w:hAnsi="Verdana"/>
                <w:sz w:val="18"/>
                <w:szCs w:val="18"/>
              </w:rPr>
            </w:pPr>
            <w:r w:rsidRPr="00781A6F">
              <w:rPr>
                <w:rFonts w:ascii="Verdana" w:hAnsi="Verdana"/>
                <w:sz w:val="18"/>
                <w:szCs w:val="18"/>
              </w:rPr>
              <w:t xml:space="preserve">Met het voorstel voor nieuwe </w:t>
            </w:r>
            <w:r w:rsidRPr="00781A6F" w:rsidR="00320B91">
              <w:rPr>
                <w:rFonts w:ascii="Verdana" w:hAnsi="Verdana"/>
                <w:color w:val="000000"/>
                <w:sz w:val="18"/>
                <w:szCs w:val="18"/>
              </w:rPr>
              <w:t>Europese productwetgeving</w:t>
            </w:r>
            <w:r w:rsidRPr="00781A6F" w:rsidDel="00320B91" w:rsidR="00320B91">
              <w:rPr>
                <w:rFonts w:ascii="Verdana" w:hAnsi="Verdana"/>
                <w:i/>
                <w:iCs/>
                <w:sz w:val="18"/>
                <w:szCs w:val="18"/>
              </w:rPr>
              <w:t xml:space="preserve"> </w:t>
            </w:r>
            <w:r w:rsidRPr="00781A6F">
              <w:rPr>
                <w:rFonts w:ascii="Verdana" w:hAnsi="Verdana"/>
                <w:sz w:val="18"/>
                <w:szCs w:val="18"/>
              </w:rPr>
              <w:t xml:space="preserve">wil de </w:t>
            </w:r>
            <w:r w:rsidRPr="00781A6F" w:rsidR="006B0323">
              <w:rPr>
                <w:rFonts w:ascii="Verdana" w:hAnsi="Verdana"/>
                <w:sz w:val="18"/>
                <w:szCs w:val="18"/>
              </w:rPr>
              <w:t>Commissie</w:t>
            </w:r>
            <w:r w:rsidRPr="00781A6F">
              <w:rPr>
                <w:rFonts w:ascii="Verdana" w:hAnsi="Verdana"/>
                <w:sz w:val="18"/>
                <w:szCs w:val="18"/>
              </w:rPr>
              <w:t xml:space="preserve"> het Europese raamwerk voor regels over de veiligheid en kwaliteit van producten moderniseren en samenvoegen. De </w:t>
            </w:r>
            <w:r w:rsidRPr="00781A6F" w:rsidR="00320B91">
              <w:rPr>
                <w:rFonts w:ascii="Verdana" w:hAnsi="Verdana"/>
                <w:color w:val="000000"/>
                <w:sz w:val="18"/>
                <w:szCs w:val="18"/>
              </w:rPr>
              <w:t>Europese productwetgeving</w:t>
            </w:r>
            <w:r w:rsidRPr="00781A6F">
              <w:rPr>
                <w:rFonts w:ascii="Verdana" w:hAnsi="Verdana"/>
                <w:sz w:val="18"/>
                <w:szCs w:val="18"/>
              </w:rPr>
              <w:t xml:space="preserve"> bundelt bestaande regels over normalisatie, conformiteitsbeoordeling (CE-markering), accreditatie en markttoezicht. Het doel van het voorstel is het toekomstbestendig maken van de Europese productregels en het aanpakken van een aantal uitdagingen, zoals de toename van niet-conforme producten uit derde landen en de lange doorlooptijden bij het ontwikkelen van Europees geharmoniseerde nomen.</w:t>
            </w:r>
          </w:p>
        </w:tc>
        <w:tc>
          <w:tcPr>
            <w:tcW w:w="5953" w:type="dxa"/>
          </w:tcPr>
          <w:p w:rsidRPr="00781A6F" w:rsidR="008D7270" w:rsidP="00781A6F" w:rsidRDefault="008D7270" w14:paraId="21468C5F" w14:textId="366A035B">
            <w:pPr>
              <w:rPr>
                <w:rFonts w:ascii="Verdana" w:hAnsi="Verdana"/>
                <w:sz w:val="18"/>
                <w:szCs w:val="18"/>
              </w:rPr>
            </w:pPr>
            <w:r w:rsidRPr="00781A6F">
              <w:rPr>
                <w:rFonts w:ascii="Verdana" w:hAnsi="Verdana"/>
                <w:sz w:val="18"/>
                <w:szCs w:val="18"/>
              </w:rPr>
              <w:t>Het kabinet verwelkomt de modernisering van de EU-regels over producten en vindt het positief dat de</w:t>
            </w:r>
            <w:r w:rsidRPr="00781A6F" w:rsidR="00233CDF">
              <w:rPr>
                <w:rFonts w:ascii="Verdana" w:hAnsi="Verdana"/>
                <w:sz w:val="18"/>
                <w:szCs w:val="18"/>
              </w:rPr>
              <w:t xml:space="preserve"> </w:t>
            </w:r>
            <w:r w:rsidRPr="00781A6F" w:rsidR="006B0323">
              <w:rPr>
                <w:rFonts w:ascii="Verdana" w:hAnsi="Verdana"/>
                <w:sz w:val="18"/>
                <w:szCs w:val="18"/>
              </w:rPr>
              <w:t>Commissie</w:t>
            </w:r>
            <w:r w:rsidRPr="00781A6F">
              <w:rPr>
                <w:rFonts w:ascii="Verdana" w:hAnsi="Verdana"/>
                <w:sz w:val="18"/>
                <w:szCs w:val="18"/>
              </w:rPr>
              <w:t xml:space="preserve"> aandacht heeft voor de samenhang tussen de verschillende wetgevende kaders. De nieuwe </w:t>
            </w:r>
            <w:r w:rsidRPr="00781A6F" w:rsidR="00320B91">
              <w:rPr>
                <w:rFonts w:ascii="Verdana" w:hAnsi="Verdana"/>
                <w:color w:val="000000"/>
                <w:sz w:val="18"/>
                <w:szCs w:val="18"/>
              </w:rPr>
              <w:t>Europese productwetgeving</w:t>
            </w:r>
            <w:r w:rsidRPr="00781A6F">
              <w:rPr>
                <w:rFonts w:ascii="Verdana" w:hAnsi="Verdana"/>
                <w:i/>
                <w:sz w:val="18"/>
                <w:szCs w:val="18"/>
              </w:rPr>
              <w:t xml:space="preserve"> </w:t>
            </w:r>
            <w:r w:rsidRPr="00781A6F">
              <w:rPr>
                <w:rFonts w:ascii="Verdana" w:hAnsi="Verdana"/>
                <w:sz w:val="18"/>
                <w:szCs w:val="18"/>
              </w:rPr>
              <w:t>moet zorgen voor een gelijker speelveld voor Europese bedrijven en een betere bescherming van consumenten. Het kabinet zal er ook op toezien dat dit leidt tot een verdere versimpeling van de productregelgeving</w:t>
            </w:r>
            <w:r w:rsidRPr="00781A6F" w:rsidR="009A5E82">
              <w:rPr>
                <w:rFonts w:ascii="Verdana" w:hAnsi="Verdana"/>
                <w:sz w:val="18"/>
                <w:szCs w:val="18"/>
              </w:rPr>
              <w:t>, met behoud van de doelen op productveiligheid en verduurzaming,</w:t>
            </w:r>
            <w:r w:rsidRPr="00781A6F">
              <w:rPr>
                <w:rFonts w:ascii="Verdana" w:hAnsi="Verdana"/>
                <w:sz w:val="18"/>
                <w:szCs w:val="18"/>
              </w:rPr>
              <w:t xml:space="preserve"> en dat de regels uniform worden toepast op de interne markt.</w:t>
            </w:r>
          </w:p>
        </w:tc>
        <w:tc>
          <w:tcPr>
            <w:tcW w:w="1985" w:type="dxa"/>
          </w:tcPr>
          <w:p w:rsidRPr="00781A6F" w:rsidR="008D7270" w:rsidP="00781A6F" w:rsidRDefault="008D7270" w14:paraId="2A83D8BA" w14:textId="3E36E02C">
            <w:pPr>
              <w:rPr>
                <w:rFonts w:ascii="Verdana" w:hAnsi="Verdana" w:cstheme="minorBidi"/>
                <w:color w:val="000000"/>
                <w:sz w:val="18"/>
                <w:szCs w:val="18"/>
                <w:lang w:val="en-US"/>
              </w:rPr>
            </w:pPr>
            <w:proofErr w:type="spellStart"/>
            <w:r w:rsidRPr="00781A6F">
              <w:rPr>
                <w:rFonts w:ascii="Verdana" w:hAnsi="Verdana"/>
                <w:color w:val="000000"/>
                <w:sz w:val="18"/>
                <w:szCs w:val="18"/>
                <w:lang w:val="en-US"/>
              </w:rPr>
              <w:t>Wetgevend</w:t>
            </w:r>
            <w:proofErr w:type="spellEnd"/>
            <w:r w:rsidRPr="00781A6F">
              <w:rPr>
                <w:rFonts w:ascii="Verdana" w:hAnsi="Verdana"/>
                <w:color w:val="000000"/>
                <w:sz w:val="18"/>
                <w:szCs w:val="18"/>
                <w:lang w:val="en-US"/>
              </w:rPr>
              <w:t xml:space="preserve"> </w:t>
            </w:r>
          </w:p>
        </w:tc>
      </w:tr>
      <w:tr w:rsidRPr="00781A6F" w:rsidR="008D7270" w:rsidTr="007766E6" w14:paraId="3861A1C6" w14:textId="77777777">
        <w:trPr>
          <w:trHeight w:val="895"/>
        </w:trPr>
        <w:tc>
          <w:tcPr>
            <w:tcW w:w="567" w:type="dxa"/>
          </w:tcPr>
          <w:p w:rsidRPr="00781A6F" w:rsidR="008D7270" w:rsidDel="001D461C" w:rsidP="00781A6F" w:rsidRDefault="00781A6F" w14:paraId="1A158260" w14:textId="2B7DE140">
            <w:pPr>
              <w:rPr>
                <w:rFonts w:ascii="Verdana" w:hAnsi="Verdana" w:eastAsia="Times New Roman"/>
                <w:sz w:val="18"/>
                <w:szCs w:val="18"/>
              </w:rPr>
            </w:pPr>
            <w:r w:rsidRPr="00781A6F">
              <w:rPr>
                <w:rFonts w:ascii="Verdana" w:hAnsi="Verdana" w:eastAsia="Times New Roman"/>
                <w:sz w:val="18"/>
                <w:szCs w:val="18"/>
              </w:rPr>
              <w:t>12b</w:t>
            </w:r>
          </w:p>
        </w:tc>
        <w:tc>
          <w:tcPr>
            <w:tcW w:w="2694" w:type="dxa"/>
          </w:tcPr>
          <w:p w:rsidRPr="00781A6F" w:rsidR="008D7270" w:rsidP="00781A6F" w:rsidRDefault="00320B91" w14:paraId="46376E52" w14:textId="719716ED">
            <w:pPr>
              <w:rPr>
                <w:rFonts w:ascii="Verdana" w:hAnsi="Verdana" w:eastAsia="Times New Roman"/>
                <w:sz w:val="18"/>
                <w:szCs w:val="18"/>
              </w:rPr>
            </w:pPr>
            <w:r w:rsidRPr="00781A6F">
              <w:rPr>
                <w:rFonts w:ascii="Verdana" w:hAnsi="Verdana" w:eastAsia="Times New Roman"/>
                <w:sz w:val="18"/>
                <w:szCs w:val="18"/>
              </w:rPr>
              <w:t xml:space="preserve">Actualisering van de regels inzake markttoezicht en conformiteit van producten </w:t>
            </w:r>
            <w:r w:rsidRPr="00781A6F" w:rsidR="008D7270">
              <w:rPr>
                <w:rFonts w:ascii="Verdana" w:hAnsi="Verdana" w:eastAsia="Times New Roman"/>
                <w:sz w:val="18"/>
                <w:szCs w:val="18"/>
              </w:rPr>
              <w:t>(Q3 2026)</w:t>
            </w:r>
          </w:p>
        </w:tc>
        <w:tc>
          <w:tcPr>
            <w:tcW w:w="4394" w:type="dxa"/>
          </w:tcPr>
          <w:p w:rsidRPr="00781A6F" w:rsidR="008D7270" w:rsidP="00781A6F" w:rsidRDefault="008D7270" w14:paraId="57902AA3" w14:textId="114061FA">
            <w:pPr>
              <w:rPr>
                <w:rFonts w:ascii="Verdana" w:hAnsi="Verdana"/>
                <w:sz w:val="18"/>
                <w:szCs w:val="18"/>
              </w:rPr>
            </w:pPr>
            <w:r w:rsidRPr="00781A6F">
              <w:rPr>
                <w:rFonts w:ascii="Verdana" w:hAnsi="Verdana"/>
                <w:i/>
                <w:iCs/>
                <w:sz w:val="18"/>
                <w:szCs w:val="18"/>
              </w:rPr>
              <w:t>European Product Act</w:t>
            </w:r>
            <w:r w:rsidRPr="00781A6F">
              <w:rPr>
                <w:rFonts w:ascii="Verdana" w:hAnsi="Verdana"/>
                <w:sz w:val="18"/>
                <w:szCs w:val="18"/>
              </w:rPr>
              <w:t xml:space="preserve"> is samengevoegd, zie nr. 12 </w:t>
            </w:r>
          </w:p>
        </w:tc>
        <w:tc>
          <w:tcPr>
            <w:tcW w:w="5953" w:type="dxa"/>
          </w:tcPr>
          <w:p w:rsidRPr="00781A6F" w:rsidR="008D7270" w:rsidP="00781A6F" w:rsidRDefault="008D7270" w14:paraId="50C089CD" w14:textId="29D6CA85">
            <w:pPr>
              <w:rPr>
                <w:rFonts w:ascii="Verdana" w:hAnsi="Verdana"/>
                <w:sz w:val="18"/>
                <w:szCs w:val="18"/>
              </w:rPr>
            </w:pPr>
            <w:r w:rsidRPr="00781A6F">
              <w:rPr>
                <w:rFonts w:ascii="Verdana" w:hAnsi="Verdana"/>
                <w:i/>
                <w:iCs/>
                <w:sz w:val="18"/>
                <w:szCs w:val="18"/>
              </w:rPr>
              <w:t>European Product Act</w:t>
            </w:r>
            <w:r w:rsidRPr="00781A6F">
              <w:rPr>
                <w:rFonts w:ascii="Verdana" w:hAnsi="Verdana"/>
                <w:sz w:val="18"/>
                <w:szCs w:val="18"/>
              </w:rPr>
              <w:t xml:space="preserve"> is samengevoegd, zie nr. 12</w:t>
            </w:r>
          </w:p>
        </w:tc>
        <w:tc>
          <w:tcPr>
            <w:tcW w:w="1985" w:type="dxa"/>
          </w:tcPr>
          <w:p w:rsidRPr="00781A6F" w:rsidR="008D7270" w:rsidP="00781A6F" w:rsidRDefault="008D7270" w14:paraId="59E7EF0E" w14:textId="77777777">
            <w:pPr>
              <w:rPr>
                <w:rFonts w:ascii="Verdana" w:hAnsi="Verdana" w:cstheme="minorBidi"/>
                <w:color w:val="000000"/>
                <w:sz w:val="18"/>
                <w:szCs w:val="18"/>
              </w:rPr>
            </w:pPr>
            <w:r w:rsidRPr="00781A6F">
              <w:rPr>
                <w:rFonts w:ascii="Verdana" w:hAnsi="Verdana"/>
                <w:color w:val="000000"/>
                <w:sz w:val="18"/>
                <w:szCs w:val="18"/>
              </w:rPr>
              <w:t xml:space="preserve">Niet-wetgevend </w:t>
            </w:r>
          </w:p>
          <w:p w:rsidRPr="00781A6F" w:rsidR="008D7270" w:rsidP="00781A6F" w:rsidRDefault="008D7270" w14:paraId="05736E78" w14:textId="77777777">
            <w:pPr>
              <w:rPr>
                <w:rFonts w:ascii="Verdana" w:hAnsi="Verdana" w:cstheme="minorHAnsi"/>
                <w:color w:val="000000"/>
                <w:sz w:val="18"/>
                <w:szCs w:val="18"/>
              </w:rPr>
            </w:pPr>
          </w:p>
        </w:tc>
      </w:tr>
      <w:tr w:rsidRPr="00781A6F" w:rsidR="008D7270" w:rsidTr="007766E6" w14:paraId="753F5D8D" w14:textId="77777777">
        <w:trPr>
          <w:trHeight w:val="895"/>
        </w:trPr>
        <w:tc>
          <w:tcPr>
            <w:tcW w:w="567" w:type="dxa"/>
          </w:tcPr>
          <w:p w:rsidRPr="00781A6F" w:rsidR="008D7270" w:rsidP="00781A6F" w:rsidRDefault="008D7270" w14:paraId="1ED07D52" w14:textId="5726ED29">
            <w:pPr>
              <w:rPr>
                <w:rFonts w:ascii="Verdana" w:hAnsi="Verdana" w:eastAsia="Times New Roman"/>
                <w:sz w:val="18"/>
                <w:szCs w:val="18"/>
              </w:rPr>
            </w:pPr>
            <w:r w:rsidRPr="00781A6F">
              <w:rPr>
                <w:rFonts w:ascii="Verdana" w:hAnsi="Verdana" w:eastAsia="Times New Roman"/>
                <w:sz w:val="18"/>
                <w:szCs w:val="18"/>
              </w:rPr>
              <w:t>1</w:t>
            </w:r>
            <w:r w:rsidRPr="00781A6F" w:rsidR="00781A6F">
              <w:rPr>
                <w:rFonts w:ascii="Verdana" w:hAnsi="Verdana" w:eastAsia="Times New Roman"/>
                <w:sz w:val="18"/>
                <w:szCs w:val="18"/>
              </w:rPr>
              <w:t>2c</w:t>
            </w:r>
          </w:p>
        </w:tc>
        <w:tc>
          <w:tcPr>
            <w:tcW w:w="2694" w:type="dxa"/>
          </w:tcPr>
          <w:p w:rsidRPr="00781A6F" w:rsidR="008D7270" w:rsidP="00781A6F" w:rsidRDefault="00320B91" w14:paraId="3F647015" w14:textId="3E70CB45">
            <w:pPr>
              <w:rPr>
                <w:rFonts w:ascii="Verdana" w:hAnsi="Verdana" w:eastAsia="Times New Roman"/>
                <w:sz w:val="18"/>
                <w:szCs w:val="18"/>
              </w:rPr>
            </w:pPr>
            <w:r w:rsidRPr="00781A6F">
              <w:rPr>
                <w:rFonts w:ascii="Verdana" w:hAnsi="Verdana" w:eastAsia="Times New Roman"/>
                <w:sz w:val="18"/>
                <w:szCs w:val="18"/>
              </w:rPr>
              <w:t xml:space="preserve">Actualisering van de regels inzake standaardisering </w:t>
            </w:r>
            <w:r w:rsidRPr="00781A6F" w:rsidR="008D7270">
              <w:rPr>
                <w:rFonts w:ascii="Verdana" w:hAnsi="Verdana" w:eastAsia="Times New Roman"/>
                <w:sz w:val="18"/>
                <w:szCs w:val="18"/>
              </w:rPr>
              <w:t xml:space="preserve">(Q3 2026) </w:t>
            </w:r>
          </w:p>
        </w:tc>
        <w:tc>
          <w:tcPr>
            <w:tcW w:w="4394" w:type="dxa"/>
          </w:tcPr>
          <w:p w:rsidRPr="00781A6F" w:rsidR="008D7270" w:rsidP="00781A6F" w:rsidRDefault="008D7270" w14:paraId="0B2C9F70" w14:textId="52FE6C0F">
            <w:pPr>
              <w:rPr>
                <w:rFonts w:ascii="Verdana" w:hAnsi="Verdana"/>
                <w:sz w:val="18"/>
                <w:szCs w:val="18"/>
              </w:rPr>
            </w:pPr>
            <w:r w:rsidRPr="00781A6F">
              <w:rPr>
                <w:rFonts w:ascii="Verdana" w:hAnsi="Verdana"/>
                <w:i/>
                <w:iCs/>
                <w:sz w:val="18"/>
                <w:szCs w:val="18"/>
              </w:rPr>
              <w:t>European Product Act</w:t>
            </w:r>
            <w:r w:rsidRPr="00781A6F">
              <w:rPr>
                <w:rFonts w:ascii="Verdana" w:hAnsi="Verdana"/>
                <w:sz w:val="18"/>
                <w:szCs w:val="18"/>
              </w:rPr>
              <w:t xml:space="preserve"> is samengevoegd, zie nr. 12</w:t>
            </w:r>
          </w:p>
        </w:tc>
        <w:tc>
          <w:tcPr>
            <w:tcW w:w="5953" w:type="dxa"/>
          </w:tcPr>
          <w:p w:rsidRPr="00781A6F" w:rsidR="008D7270" w:rsidP="00781A6F" w:rsidRDefault="008D7270" w14:paraId="49ED3BF1" w14:textId="366C25EC">
            <w:pPr>
              <w:rPr>
                <w:rFonts w:ascii="Verdana" w:hAnsi="Verdana"/>
                <w:sz w:val="18"/>
                <w:szCs w:val="18"/>
              </w:rPr>
            </w:pPr>
            <w:r w:rsidRPr="00781A6F">
              <w:rPr>
                <w:rFonts w:ascii="Verdana" w:hAnsi="Verdana"/>
                <w:i/>
                <w:iCs/>
                <w:sz w:val="18"/>
                <w:szCs w:val="18"/>
              </w:rPr>
              <w:t xml:space="preserve">European Product Act </w:t>
            </w:r>
            <w:r w:rsidRPr="00781A6F">
              <w:rPr>
                <w:rFonts w:ascii="Verdana" w:hAnsi="Verdana"/>
                <w:sz w:val="18"/>
                <w:szCs w:val="18"/>
              </w:rPr>
              <w:t>is samengevoegd, zie nr. 12</w:t>
            </w:r>
          </w:p>
        </w:tc>
        <w:tc>
          <w:tcPr>
            <w:tcW w:w="1985" w:type="dxa"/>
          </w:tcPr>
          <w:p w:rsidRPr="00781A6F" w:rsidR="008D7270" w:rsidP="00781A6F" w:rsidRDefault="008D7270" w14:paraId="2D21657E" w14:textId="54DFF7C4">
            <w:pPr>
              <w:rPr>
                <w:rFonts w:ascii="Verdana" w:hAnsi="Verdana" w:cstheme="minorBidi"/>
                <w:color w:val="000000"/>
                <w:sz w:val="18"/>
                <w:szCs w:val="18"/>
              </w:rPr>
            </w:pPr>
            <w:r w:rsidRPr="00781A6F">
              <w:rPr>
                <w:rFonts w:ascii="Verdana" w:hAnsi="Verdana"/>
                <w:color w:val="000000"/>
                <w:sz w:val="18"/>
                <w:szCs w:val="18"/>
              </w:rPr>
              <w:t>Wetgevend</w:t>
            </w:r>
          </w:p>
        </w:tc>
      </w:tr>
      <w:tr w:rsidRPr="00781A6F" w:rsidR="008D7270" w:rsidTr="007766E6" w14:paraId="2CC5AC00" w14:textId="77777777">
        <w:trPr>
          <w:trHeight w:val="895"/>
        </w:trPr>
        <w:tc>
          <w:tcPr>
            <w:tcW w:w="567" w:type="dxa"/>
          </w:tcPr>
          <w:p w:rsidRPr="00781A6F" w:rsidR="008D7270" w:rsidP="00781A6F" w:rsidRDefault="00781A6F" w14:paraId="3DB9C695" w14:textId="72C27B66">
            <w:pPr>
              <w:rPr>
                <w:rFonts w:ascii="Verdana" w:hAnsi="Verdana" w:eastAsia="Times New Roman"/>
                <w:sz w:val="18"/>
                <w:szCs w:val="18"/>
              </w:rPr>
            </w:pPr>
            <w:r w:rsidRPr="00781A6F">
              <w:rPr>
                <w:rFonts w:ascii="Verdana" w:hAnsi="Verdana" w:eastAsia="Times New Roman"/>
                <w:sz w:val="18"/>
                <w:szCs w:val="18"/>
              </w:rPr>
              <w:t>13</w:t>
            </w:r>
            <w:r w:rsidRPr="00781A6F" w:rsidR="008D7270">
              <w:rPr>
                <w:rFonts w:ascii="Verdana" w:hAnsi="Verdana" w:eastAsia="Times New Roman"/>
                <w:sz w:val="18"/>
                <w:szCs w:val="18"/>
              </w:rPr>
              <w:t>.</w:t>
            </w:r>
          </w:p>
        </w:tc>
        <w:tc>
          <w:tcPr>
            <w:tcW w:w="2694" w:type="dxa"/>
          </w:tcPr>
          <w:p w:rsidRPr="00781A6F" w:rsidR="008D7270" w:rsidP="00781A6F" w:rsidRDefault="00320B91" w14:paraId="1B04294F" w14:textId="0FCE35AE">
            <w:pPr>
              <w:rPr>
                <w:rFonts w:ascii="Verdana" w:hAnsi="Verdana" w:eastAsia="Times New Roman"/>
                <w:sz w:val="18"/>
                <w:szCs w:val="18"/>
              </w:rPr>
            </w:pPr>
            <w:r w:rsidRPr="00781A6F">
              <w:rPr>
                <w:rFonts w:ascii="Verdana" w:hAnsi="Verdana"/>
                <w:sz w:val="18"/>
                <w:szCs w:val="18"/>
              </w:rPr>
              <w:t xml:space="preserve">EU-wetgevingshandeling over bezorgdiensten – geactualiseerde regels inzake postdiensten </w:t>
            </w:r>
            <w:r w:rsidRPr="00781A6F" w:rsidR="008D7270">
              <w:rPr>
                <w:rFonts w:ascii="Verdana" w:hAnsi="Verdana"/>
                <w:sz w:val="18"/>
                <w:szCs w:val="18"/>
              </w:rPr>
              <w:t>(Q3 2026)</w:t>
            </w:r>
          </w:p>
        </w:tc>
        <w:tc>
          <w:tcPr>
            <w:tcW w:w="4394" w:type="dxa"/>
          </w:tcPr>
          <w:p w:rsidRPr="00781A6F" w:rsidR="008D7270" w:rsidP="00781A6F" w:rsidRDefault="00233CDF" w14:paraId="09B173C0" w14:textId="63015EFB">
            <w:pPr>
              <w:rPr>
                <w:rFonts w:ascii="Verdana" w:hAnsi="Verdana"/>
                <w:sz w:val="18"/>
                <w:szCs w:val="18"/>
              </w:rPr>
            </w:pPr>
            <w:r w:rsidRPr="00781A6F">
              <w:rPr>
                <w:rFonts w:ascii="Verdana" w:hAnsi="Verdana"/>
                <w:sz w:val="18"/>
                <w:szCs w:val="18"/>
              </w:rPr>
              <w:t>De</w:t>
            </w:r>
            <w:r w:rsidRPr="00781A6F">
              <w:rPr>
                <w:rFonts w:ascii="Verdana" w:hAnsi="Verdana"/>
                <w:i/>
                <w:iCs/>
                <w:sz w:val="18"/>
                <w:szCs w:val="18"/>
              </w:rPr>
              <w:t xml:space="preserve"> </w:t>
            </w:r>
            <w:r w:rsidRPr="00781A6F">
              <w:rPr>
                <w:rFonts w:ascii="Verdana" w:hAnsi="Verdana"/>
                <w:sz w:val="18"/>
                <w:szCs w:val="18"/>
              </w:rPr>
              <w:t>EU</w:t>
            </w:r>
            <w:r w:rsidRPr="00781A6F" w:rsidR="00320B91">
              <w:rPr>
                <w:rFonts w:ascii="Verdana" w:hAnsi="Verdana"/>
                <w:sz w:val="18"/>
                <w:szCs w:val="18"/>
              </w:rPr>
              <w:t xml:space="preserve">-wetgevingshandeling over bezorgdiensten </w:t>
            </w:r>
            <w:r w:rsidRPr="00781A6F">
              <w:rPr>
                <w:rFonts w:ascii="Verdana" w:hAnsi="Verdana"/>
                <w:sz w:val="18"/>
                <w:szCs w:val="18"/>
              </w:rPr>
              <w:t xml:space="preserve">betreft </w:t>
            </w:r>
            <w:r w:rsidRPr="00781A6F" w:rsidR="00320B91">
              <w:rPr>
                <w:rFonts w:ascii="Verdana" w:hAnsi="Verdana"/>
                <w:sz w:val="18"/>
                <w:szCs w:val="18"/>
              </w:rPr>
              <w:t xml:space="preserve">een </w:t>
            </w:r>
            <w:r w:rsidRPr="00781A6F" w:rsidR="008D7270">
              <w:rPr>
                <w:rFonts w:ascii="Verdana" w:hAnsi="Verdana"/>
                <w:sz w:val="18"/>
                <w:szCs w:val="18"/>
              </w:rPr>
              <w:t xml:space="preserve">herziening </w:t>
            </w:r>
            <w:r w:rsidRPr="00781A6F">
              <w:rPr>
                <w:rFonts w:ascii="Verdana" w:hAnsi="Verdana"/>
                <w:sz w:val="18"/>
                <w:szCs w:val="18"/>
              </w:rPr>
              <w:t xml:space="preserve">van wetgeving met </w:t>
            </w:r>
            <w:r w:rsidRPr="00781A6F" w:rsidR="008D7270">
              <w:rPr>
                <w:rFonts w:ascii="Verdana" w:hAnsi="Verdana"/>
                <w:sz w:val="18"/>
                <w:szCs w:val="18"/>
              </w:rPr>
              <w:t>regels om pakket- en postdiensten binnen de EU beter functionerend, aantrekkelijker en innovatiegerichter te maken</w:t>
            </w:r>
            <w:r w:rsidRPr="00781A6F">
              <w:rPr>
                <w:rFonts w:ascii="Verdana" w:hAnsi="Verdana"/>
                <w:sz w:val="18"/>
                <w:szCs w:val="18"/>
              </w:rPr>
              <w:t xml:space="preserve">. Bijvoorbeeld </w:t>
            </w:r>
            <w:r w:rsidRPr="00781A6F" w:rsidR="008D7270">
              <w:rPr>
                <w:rFonts w:ascii="Verdana" w:hAnsi="Verdana"/>
                <w:sz w:val="18"/>
                <w:szCs w:val="18"/>
              </w:rPr>
              <w:t>door</w:t>
            </w:r>
            <w:r w:rsidRPr="00781A6F">
              <w:rPr>
                <w:rFonts w:ascii="Verdana" w:hAnsi="Verdana"/>
                <w:sz w:val="18"/>
                <w:szCs w:val="18"/>
              </w:rPr>
              <w:t xml:space="preserve"> in te zetten op</w:t>
            </w:r>
            <w:r w:rsidRPr="00781A6F" w:rsidR="008D7270">
              <w:rPr>
                <w:rFonts w:ascii="Verdana" w:hAnsi="Verdana"/>
                <w:sz w:val="18"/>
                <w:szCs w:val="18"/>
              </w:rPr>
              <w:t xml:space="preserve"> digitalisering, grensoverschrijdende leveringen en een gelijk speelveld voor bedrijven.</w:t>
            </w:r>
          </w:p>
        </w:tc>
        <w:tc>
          <w:tcPr>
            <w:tcW w:w="5953" w:type="dxa"/>
          </w:tcPr>
          <w:p w:rsidRPr="00781A6F" w:rsidR="008D7270" w:rsidP="00781A6F" w:rsidRDefault="008D7270" w14:paraId="77B23B21" w14:textId="087E8569">
            <w:pPr>
              <w:rPr>
                <w:rFonts w:ascii="Verdana" w:hAnsi="Verdana"/>
                <w:sz w:val="18"/>
                <w:szCs w:val="18"/>
              </w:rPr>
            </w:pPr>
            <w:r w:rsidRPr="00781A6F">
              <w:rPr>
                <w:rFonts w:ascii="Verdana" w:hAnsi="Verdana"/>
                <w:sz w:val="18"/>
                <w:szCs w:val="18"/>
              </w:rPr>
              <w:t xml:space="preserve">Het kabinet </w:t>
            </w:r>
            <w:r w:rsidRPr="00781A6F" w:rsidR="00702608">
              <w:rPr>
                <w:rFonts w:ascii="Verdana" w:hAnsi="Verdana" w:eastAsia="Aptos" w:cs="Aptos"/>
                <w:sz w:val="18"/>
                <w:szCs w:val="18"/>
              </w:rPr>
              <w:t xml:space="preserve">kijkt uit naar </w:t>
            </w:r>
            <w:r w:rsidRPr="00781A6F">
              <w:rPr>
                <w:rFonts w:ascii="Verdana" w:hAnsi="Verdana"/>
                <w:sz w:val="18"/>
                <w:szCs w:val="18"/>
              </w:rPr>
              <w:t>modernisering van de Postrichtlijn en Pakketverordening, voor zover deze meer ruimte geeft aan lidstaten voor de invulling, met name gelet op het dalende briefvolume. Het is geen voorstander van regulering van de pakketmarkt, omdat deze voorziet in diensten van goede kwaliteit tegen concurrerende prijzen. Het kabinet is evenmin voorstander van sectorspecifieke regels voor de postsector over duurzaamheid. Horizontale kaders voorzien hier al in.</w:t>
            </w:r>
          </w:p>
        </w:tc>
        <w:tc>
          <w:tcPr>
            <w:tcW w:w="1985" w:type="dxa"/>
          </w:tcPr>
          <w:p w:rsidRPr="00781A6F" w:rsidR="008D7270" w:rsidP="00781A6F" w:rsidRDefault="008D7270" w14:paraId="0B934B8A" w14:textId="578343FF">
            <w:pPr>
              <w:rPr>
                <w:rFonts w:ascii="Verdana" w:hAnsi="Verdana" w:cstheme="minorBidi"/>
                <w:color w:val="000000"/>
                <w:sz w:val="18"/>
                <w:szCs w:val="18"/>
                <w:lang w:val="en-US"/>
              </w:rPr>
            </w:pPr>
            <w:r w:rsidRPr="00781A6F">
              <w:rPr>
                <w:rFonts w:ascii="Verdana" w:hAnsi="Verdana"/>
                <w:color w:val="000000"/>
                <w:sz w:val="18"/>
                <w:szCs w:val="18"/>
              </w:rPr>
              <w:t>Wetgevend</w:t>
            </w:r>
            <w:r w:rsidRPr="00781A6F">
              <w:rPr>
                <w:rFonts w:ascii="Verdana" w:hAnsi="Verdana"/>
                <w:color w:val="000000"/>
                <w:sz w:val="18"/>
                <w:szCs w:val="18"/>
                <w:lang w:val="en-US"/>
              </w:rPr>
              <w:t xml:space="preserve"> </w:t>
            </w:r>
          </w:p>
        </w:tc>
      </w:tr>
      <w:tr w:rsidRPr="00781A6F" w:rsidR="008D7270" w:rsidTr="007766E6" w14:paraId="2A2F8F9F" w14:textId="77777777">
        <w:trPr>
          <w:trHeight w:val="895"/>
        </w:trPr>
        <w:tc>
          <w:tcPr>
            <w:tcW w:w="567" w:type="dxa"/>
          </w:tcPr>
          <w:p w:rsidRPr="00781A6F" w:rsidR="008D7270" w:rsidDel="001D461C" w:rsidP="00781A6F" w:rsidRDefault="00781A6F" w14:paraId="1A1FDB94" w14:textId="5900FCEB">
            <w:pPr>
              <w:rPr>
                <w:rFonts w:ascii="Verdana" w:hAnsi="Verdana" w:eastAsia="Times New Roman"/>
                <w:sz w:val="18"/>
                <w:szCs w:val="18"/>
              </w:rPr>
            </w:pPr>
            <w:r w:rsidRPr="00781A6F">
              <w:rPr>
                <w:rFonts w:ascii="Verdana" w:hAnsi="Verdana" w:eastAsia="Times New Roman"/>
                <w:sz w:val="18"/>
                <w:szCs w:val="18"/>
              </w:rPr>
              <w:t>14</w:t>
            </w:r>
            <w:r w:rsidRPr="00781A6F" w:rsidR="008D7270">
              <w:rPr>
                <w:rFonts w:ascii="Verdana" w:hAnsi="Verdana" w:eastAsia="Times New Roman"/>
                <w:sz w:val="18"/>
                <w:szCs w:val="18"/>
              </w:rPr>
              <w:t>.</w:t>
            </w:r>
          </w:p>
        </w:tc>
        <w:tc>
          <w:tcPr>
            <w:tcW w:w="2694" w:type="dxa"/>
          </w:tcPr>
          <w:p w:rsidRPr="00781A6F" w:rsidR="008D7270" w:rsidDel="000C7922" w:rsidP="00781A6F" w:rsidRDefault="00320B91" w14:paraId="53378E23" w14:textId="1AE15015">
            <w:pPr>
              <w:rPr>
                <w:rFonts w:ascii="Verdana" w:hAnsi="Verdana"/>
                <w:sz w:val="18"/>
                <w:szCs w:val="18"/>
              </w:rPr>
            </w:pPr>
            <w:r w:rsidRPr="00781A6F">
              <w:rPr>
                <w:rFonts w:ascii="Verdana" w:hAnsi="Verdana" w:eastAsia="Times New Roman"/>
                <w:sz w:val="18"/>
                <w:szCs w:val="18"/>
              </w:rPr>
              <w:t xml:space="preserve">Actieplan voor elektrificatie, met inbegrip van verwarming en koeling </w:t>
            </w:r>
            <w:r w:rsidRPr="00781A6F" w:rsidR="008D7270">
              <w:rPr>
                <w:rFonts w:ascii="Verdana" w:hAnsi="Verdana" w:eastAsia="Times New Roman"/>
                <w:sz w:val="18"/>
                <w:szCs w:val="18"/>
              </w:rPr>
              <w:t>(Q1 2026)</w:t>
            </w:r>
          </w:p>
        </w:tc>
        <w:tc>
          <w:tcPr>
            <w:tcW w:w="4394" w:type="dxa"/>
          </w:tcPr>
          <w:p w:rsidRPr="00781A6F" w:rsidR="008D7270" w:rsidP="00781A6F" w:rsidRDefault="008D7270" w14:paraId="1554B899" w14:textId="75BB8AA9">
            <w:pPr>
              <w:rPr>
                <w:rFonts w:ascii="Verdana" w:hAnsi="Verdana"/>
                <w:sz w:val="18"/>
                <w:szCs w:val="18"/>
              </w:rPr>
            </w:pPr>
            <w:r w:rsidRPr="00781A6F">
              <w:rPr>
                <w:rFonts w:ascii="Verdana" w:hAnsi="Verdana"/>
                <w:sz w:val="18"/>
                <w:szCs w:val="18"/>
              </w:rPr>
              <w:t>Het Elektrificatie Actieplan heeft als doel het gebruik van schone elektriciteit in verschillende sectoren</w:t>
            </w:r>
            <w:r w:rsidRPr="00781A6F" w:rsidR="00233CDF">
              <w:rPr>
                <w:rFonts w:ascii="Verdana" w:hAnsi="Verdana"/>
                <w:sz w:val="18"/>
                <w:szCs w:val="18"/>
              </w:rPr>
              <w:t xml:space="preserve">, </w:t>
            </w:r>
            <w:r w:rsidRPr="00781A6F">
              <w:rPr>
                <w:rFonts w:ascii="Verdana" w:hAnsi="Verdana"/>
                <w:sz w:val="18"/>
                <w:szCs w:val="18"/>
              </w:rPr>
              <w:t>industrie, transport en gebouwen</w:t>
            </w:r>
            <w:r w:rsidRPr="00781A6F" w:rsidR="00233CDF">
              <w:rPr>
                <w:rFonts w:ascii="Verdana" w:hAnsi="Verdana"/>
                <w:sz w:val="18"/>
                <w:szCs w:val="18"/>
              </w:rPr>
              <w:t>,</w:t>
            </w:r>
            <w:r w:rsidRPr="00781A6F">
              <w:rPr>
                <w:rFonts w:ascii="Verdana" w:hAnsi="Verdana"/>
                <w:sz w:val="18"/>
                <w:szCs w:val="18"/>
              </w:rPr>
              <w:t xml:space="preserve"> te bevorderen. Het plan richt zich op het verbeteren van de </w:t>
            </w:r>
            <w:r w:rsidRPr="00781A6F">
              <w:rPr>
                <w:rFonts w:ascii="Verdana" w:hAnsi="Verdana"/>
                <w:sz w:val="18"/>
                <w:szCs w:val="18"/>
              </w:rPr>
              <w:lastRenderedPageBreak/>
              <w:t xml:space="preserve">randvoorwaarden voor elektrificatie, zoals infrastructuur, flexibiliteit, prijssignalen en innovatie. </w:t>
            </w:r>
          </w:p>
        </w:tc>
        <w:tc>
          <w:tcPr>
            <w:tcW w:w="5953" w:type="dxa"/>
          </w:tcPr>
          <w:p w:rsidRPr="002541B5" w:rsidR="002541B5" w:rsidP="002541B5" w:rsidRDefault="008D7270" w14:paraId="7D94C906" w14:textId="43C099B6">
            <w:pPr>
              <w:rPr>
                <w:rFonts w:ascii="Verdana" w:hAnsi="Verdana"/>
                <w:sz w:val="18"/>
                <w:szCs w:val="18"/>
              </w:rPr>
            </w:pPr>
            <w:r w:rsidRPr="00781A6F">
              <w:rPr>
                <w:rFonts w:ascii="Verdana" w:hAnsi="Verdana"/>
                <w:sz w:val="18"/>
                <w:szCs w:val="18"/>
              </w:rPr>
              <w:lastRenderedPageBreak/>
              <w:t xml:space="preserve">Het kabinet is positief over het voornemen om elektrificatie in verschillende sectoren te </w:t>
            </w:r>
            <w:r w:rsidRPr="002541B5">
              <w:rPr>
                <w:rFonts w:ascii="Verdana" w:hAnsi="Verdana"/>
                <w:sz w:val="18"/>
                <w:szCs w:val="18"/>
              </w:rPr>
              <w:t>versnellen</w:t>
            </w:r>
            <w:r w:rsidRPr="002541B5" w:rsidR="002541B5">
              <w:rPr>
                <w:rFonts w:ascii="Verdana" w:hAnsi="Verdana"/>
                <w:sz w:val="18"/>
                <w:szCs w:val="18"/>
              </w:rPr>
              <w:t xml:space="preserve"> </w:t>
            </w:r>
            <w:r w:rsidRPr="002541B5" w:rsidR="002541B5">
              <w:rPr>
                <w:rFonts w:ascii="Verdana" w:hAnsi="Verdana"/>
                <w:i/>
                <w:iCs/>
                <w:sz w:val="18"/>
                <w:szCs w:val="18"/>
              </w:rPr>
              <w:t>door de belangrijkste belemmeringen aan te pakken</w:t>
            </w:r>
            <w:r w:rsidRPr="002541B5">
              <w:rPr>
                <w:rFonts w:ascii="Verdana" w:hAnsi="Verdana"/>
                <w:sz w:val="18"/>
                <w:szCs w:val="18"/>
              </w:rPr>
              <w:t>.</w:t>
            </w:r>
            <w:r w:rsidRPr="00781A6F">
              <w:rPr>
                <w:rFonts w:ascii="Verdana" w:hAnsi="Verdana"/>
                <w:sz w:val="18"/>
                <w:szCs w:val="18"/>
              </w:rPr>
              <w:t xml:space="preserve"> Het kabinet onderschrijft het belang van elektrificatie als een efficiënte en toekomstbestendige route naar verduurzaming.</w:t>
            </w:r>
            <w:r w:rsidRPr="002541B5" w:rsidR="002541B5">
              <w:rPr>
                <w:rFonts w:ascii="Verdana" w:hAnsi="Verdana" w:cs="Calibri"/>
                <w:b/>
                <w:bCs/>
                <w:i/>
                <w:iCs/>
                <w:sz w:val="18"/>
                <w:szCs w:val="18"/>
                <w14:ligatures w14:val="standardContextual"/>
              </w:rPr>
              <w:t xml:space="preserve"> </w:t>
            </w:r>
            <w:r w:rsidRPr="002541B5" w:rsidR="002541B5">
              <w:rPr>
                <w:rFonts w:ascii="Verdana" w:hAnsi="Verdana"/>
                <w:sz w:val="18"/>
                <w:szCs w:val="18"/>
              </w:rPr>
              <w:t xml:space="preserve">Het </w:t>
            </w:r>
            <w:r w:rsidRPr="002541B5" w:rsidR="002541B5">
              <w:rPr>
                <w:rFonts w:ascii="Verdana" w:hAnsi="Verdana"/>
                <w:sz w:val="18"/>
                <w:szCs w:val="18"/>
              </w:rPr>
              <w:lastRenderedPageBreak/>
              <w:t>kabinet vraagt daarbij specifiek om aandacht voor het creëren van de juiste randvoorwaarden voor elektrificatie, waaronder het terugdringen van netcongestie.</w:t>
            </w:r>
          </w:p>
          <w:p w:rsidRPr="00781A6F" w:rsidR="008D7270" w:rsidP="00781A6F" w:rsidRDefault="008D7270" w14:paraId="6E3A7DED" w14:textId="51801281">
            <w:pPr>
              <w:rPr>
                <w:rFonts w:ascii="Verdana" w:hAnsi="Verdana"/>
                <w:sz w:val="18"/>
                <w:szCs w:val="18"/>
              </w:rPr>
            </w:pPr>
          </w:p>
        </w:tc>
        <w:tc>
          <w:tcPr>
            <w:tcW w:w="1985" w:type="dxa"/>
          </w:tcPr>
          <w:p w:rsidRPr="00781A6F" w:rsidR="008D7270" w:rsidP="00781A6F" w:rsidRDefault="008D7270" w14:paraId="54FDDDB7" w14:textId="073213BF">
            <w:pPr>
              <w:rPr>
                <w:rFonts w:ascii="Verdana" w:hAnsi="Verdana" w:cstheme="minorBidi"/>
                <w:color w:val="000000"/>
                <w:sz w:val="18"/>
                <w:szCs w:val="18"/>
              </w:rPr>
            </w:pPr>
            <w:r w:rsidRPr="00781A6F">
              <w:rPr>
                <w:rFonts w:ascii="Verdana" w:hAnsi="Verdana"/>
                <w:color w:val="000000"/>
                <w:sz w:val="18"/>
                <w:szCs w:val="18"/>
              </w:rPr>
              <w:lastRenderedPageBreak/>
              <w:t>Niet-wetgevend</w:t>
            </w:r>
          </w:p>
        </w:tc>
      </w:tr>
      <w:tr w:rsidRPr="00781A6F" w:rsidR="008D7270" w:rsidTr="007766E6" w14:paraId="0A23E01D" w14:textId="77777777">
        <w:trPr>
          <w:trHeight w:val="895"/>
        </w:trPr>
        <w:tc>
          <w:tcPr>
            <w:tcW w:w="567" w:type="dxa"/>
          </w:tcPr>
          <w:p w:rsidRPr="00781A6F" w:rsidR="008D7270" w:rsidP="00781A6F" w:rsidRDefault="00781A6F" w14:paraId="7D02C4CD" w14:textId="5E0339AE">
            <w:pPr>
              <w:rPr>
                <w:rFonts w:ascii="Verdana" w:hAnsi="Verdana" w:eastAsia="Times New Roman"/>
                <w:sz w:val="18"/>
                <w:szCs w:val="18"/>
              </w:rPr>
            </w:pPr>
            <w:r w:rsidRPr="00781A6F">
              <w:rPr>
                <w:rFonts w:ascii="Verdana" w:hAnsi="Verdana" w:eastAsia="Times New Roman"/>
                <w:sz w:val="18"/>
                <w:szCs w:val="18"/>
              </w:rPr>
              <w:t>15</w:t>
            </w:r>
            <w:r w:rsidRPr="00781A6F" w:rsidR="008D7270">
              <w:rPr>
                <w:rFonts w:ascii="Verdana" w:hAnsi="Verdana" w:eastAsia="Times New Roman"/>
                <w:sz w:val="18"/>
                <w:szCs w:val="18"/>
              </w:rPr>
              <w:t>.</w:t>
            </w:r>
          </w:p>
        </w:tc>
        <w:tc>
          <w:tcPr>
            <w:tcW w:w="2694" w:type="dxa"/>
          </w:tcPr>
          <w:p w:rsidRPr="00781A6F" w:rsidR="008D7270" w:rsidP="00781A6F" w:rsidRDefault="00320B91" w14:paraId="6E44EB66" w14:textId="5D4FBBF6">
            <w:pPr>
              <w:rPr>
                <w:rFonts w:ascii="Verdana" w:hAnsi="Verdana" w:eastAsia="Times New Roman"/>
                <w:sz w:val="18"/>
                <w:szCs w:val="18"/>
              </w:rPr>
            </w:pPr>
            <w:r w:rsidRPr="00781A6F">
              <w:rPr>
                <w:rFonts w:ascii="Verdana" w:hAnsi="Verdana" w:eastAsia="Times New Roman"/>
                <w:sz w:val="18"/>
                <w:szCs w:val="18"/>
              </w:rPr>
              <w:t xml:space="preserve">Versterking van de energiezekerheid </w:t>
            </w:r>
            <w:r w:rsidRPr="00781A6F" w:rsidR="008D7270">
              <w:rPr>
                <w:rFonts w:ascii="Verdana" w:hAnsi="Verdana" w:eastAsia="Times New Roman"/>
                <w:sz w:val="18"/>
                <w:szCs w:val="18"/>
              </w:rPr>
              <w:t>(Q1 2026)</w:t>
            </w:r>
          </w:p>
        </w:tc>
        <w:tc>
          <w:tcPr>
            <w:tcW w:w="4394" w:type="dxa"/>
          </w:tcPr>
          <w:p w:rsidRPr="00781A6F" w:rsidR="008D7270" w:rsidP="00781A6F" w:rsidRDefault="008D7270" w14:paraId="65079CDE" w14:textId="27DBC54D">
            <w:pPr>
              <w:rPr>
                <w:rFonts w:ascii="Verdana" w:hAnsi="Verdana"/>
                <w:sz w:val="18"/>
                <w:szCs w:val="18"/>
              </w:rPr>
            </w:pPr>
            <w:r w:rsidRPr="00781A6F">
              <w:rPr>
                <w:rFonts w:ascii="Verdana" w:hAnsi="Verdana"/>
                <w:sz w:val="18"/>
                <w:szCs w:val="18"/>
              </w:rPr>
              <w:t xml:space="preserve">Dit pakket betreft een herziening van het EU-raamwerk voor leveringszekerheid van gas en elektriciteit. Het voorstel omvat naar verwachting een herziening van de </w:t>
            </w:r>
            <w:r w:rsidRPr="00781A6F" w:rsidR="00FF1D6B">
              <w:rPr>
                <w:rFonts w:ascii="Verdana" w:hAnsi="Verdana"/>
                <w:sz w:val="18"/>
                <w:szCs w:val="18"/>
              </w:rPr>
              <w:t>G</w:t>
            </w:r>
            <w:r w:rsidRPr="00781A6F">
              <w:rPr>
                <w:rFonts w:ascii="Verdana" w:hAnsi="Verdana"/>
                <w:sz w:val="18"/>
                <w:szCs w:val="18"/>
              </w:rPr>
              <w:t xml:space="preserve">asleveringszekerheidsverordening en de </w:t>
            </w:r>
            <w:r w:rsidRPr="00781A6F" w:rsidR="00FF1D6B">
              <w:rPr>
                <w:rFonts w:ascii="Verdana" w:hAnsi="Verdana"/>
                <w:color w:val="000000"/>
                <w:sz w:val="18"/>
                <w:szCs w:val="18"/>
              </w:rPr>
              <w:t>Verordening</w:t>
            </w:r>
            <w:r w:rsidRPr="00781A6F" w:rsidDel="00FF1D6B" w:rsidR="00FF1D6B">
              <w:rPr>
                <w:rFonts w:ascii="Verdana" w:hAnsi="Verdana"/>
                <w:sz w:val="18"/>
                <w:szCs w:val="18"/>
              </w:rPr>
              <w:t xml:space="preserve"> </w:t>
            </w:r>
            <w:r w:rsidRPr="00781A6F" w:rsidR="00FF1D6B">
              <w:rPr>
                <w:rFonts w:ascii="Verdana" w:hAnsi="Verdana"/>
                <w:sz w:val="18"/>
                <w:szCs w:val="18"/>
              </w:rPr>
              <w:t>R</w:t>
            </w:r>
            <w:r w:rsidRPr="00781A6F" w:rsidR="00233CDF">
              <w:rPr>
                <w:rFonts w:ascii="Verdana" w:hAnsi="Verdana"/>
                <w:sz w:val="18"/>
                <w:szCs w:val="18"/>
              </w:rPr>
              <w:t xml:space="preserve">isicoparaatheid in de </w:t>
            </w:r>
            <w:r w:rsidRPr="00781A6F" w:rsidR="00FF1D6B">
              <w:rPr>
                <w:rFonts w:ascii="Verdana" w:hAnsi="Verdana"/>
                <w:sz w:val="18"/>
                <w:szCs w:val="18"/>
              </w:rPr>
              <w:t>E</w:t>
            </w:r>
            <w:r w:rsidRPr="00781A6F" w:rsidR="00233CDF">
              <w:rPr>
                <w:rFonts w:ascii="Verdana" w:hAnsi="Verdana"/>
                <w:sz w:val="18"/>
                <w:szCs w:val="18"/>
              </w:rPr>
              <w:t>lektriciteitssector</w:t>
            </w:r>
            <w:r w:rsidRPr="00781A6F">
              <w:rPr>
                <w:rFonts w:ascii="Verdana" w:hAnsi="Verdana"/>
                <w:sz w:val="18"/>
                <w:szCs w:val="18"/>
              </w:rPr>
              <w:t xml:space="preserve">. Doel is de energiezekerheid van de Unie te versterken, zodat het Europese energiesysteem voldoende veilig en veerkrachtig is.   </w:t>
            </w:r>
          </w:p>
        </w:tc>
        <w:tc>
          <w:tcPr>
            <w:tcW w:w="5953" w:type="dxa"/>
          </w:tcPr>
          <w:p w:rsidRPr="00781A6F" w:rsidR="008D7270" w:rsidP="00781A6F" w:rsidRDefault="008D7270" w14:paraId="7019D161" w14:textId="5750831E">
            <w:pPr>
              <w:rPr>
                <w:rFonts w:ascii="Verdana" w:hAnsi="Verdana"/>
                <w:sz w:val="18"/>
                <w:szCs w:val="18"/>
              </w:rPr>
            </w:pPr>
            <w:r w:rsidRPr="00781A6F">
              <w:rPr>
                <w:rFonts w:ascii="Verdana" w:hAnsi="Verdana"/>
                <w:sz w:val="18"/>
                <w:szCs w:val="18"/>
              </w:rPr>
              <w:t xml:space="preserve">Het kabinet steunt het streven van de </w:t>
            </w:r>
            <w:r w:rsidRPr="00781A6F" w:rsidR="006B0323">
              <w:rPr>
                <w:rFonts w:ascii="Verdana" w:hAnsi="Verdana"/>
                <w:sz w:val="18"/>
                <w:szCs w:val="18"/>
              </w:rPr>
              <w:t>Commissie</w:t>
            </w:r>
            <w:r w:rsidRPr="00781A6F">
              <w:rPr>
                <w:rFonts w:ascii="Verdana" w:hAnsi="Verdana"/>
                <w:sz w:val="18"/>
                <w:szCs w:val="18"/>
              </w:rPr>
              <w:t xml:space="preserve"> om de Europese energiezekerheid te versterken</w:t>
            </w:r>
            <w:r w:rsidRPr="00781A6F" w:rsidR="00233CDF">
              <w:rPr>
                <w:rFonts w:ascii="Verdana" w:hAnsi="Verdana"/>
                <w:sz w:val="18"/>
                <w:szCs w:val="18"/>
              </w:rPr>
              <w:t xml:space="preserve">. Het </w:t>
            </w:r>
            <w:r w:rsidRPr="00781A6F" w:rsidR="00702608">
              <w:rPr>
                <w:rFonts w:ascii="Verdana" w:hAnsi="Verdana" w:eastAsia="Aptos" w:cs="Aptos"/>
                <w:sz w:val="18"/>
                <w:szCs w:val="18"/>
              </w:rPr>
              <w:t xml:space="preserve">kijkt daarom uit naar </w:t>
            </w:r>
            <w:r w:rsidRPr="00781A6F">
              <w:rPr>
                <w:rFonts w:ascii="Verdana" w:hAnsi="Verdana"/>
                <w:sz w:val="18"/>
                <w:szCs w:val="18"/>
              </w:rPr>
              <w:t xml:space="preserve">de aangekondigde herziening van de </w:t>
            </w:r>
            <w:r w:rsidRPr="00781A6F" w:rsidR="00FF1D6B">
              <w:rPr>
                <w:rFonts w:ascii="Verdana" w:hAnsi="Verdana"/>
                <w:sz w:val="18"/>
                <w:szCs w:val="18"/>
              </w:rPr>
              <w:t>L</w:t>
            </w:r>
            <w:r w:rsidRPr="00781A6F">
              <w:rPr>
                <w:rFonts w:ascii="Verdana" w:hAnsi="Verdana"/>
                <w:sz w:val="18"/>
                <w:szCs w:val="18"/>
              </w:rPr>
              <w:t xml:space="preserve">everingszekerheidsverordening voor </w:t>
            </w:r>
            <w:r w:rsidRPr="00781A6F" w:rsidR="00FF1D6B">
              <w:rPr>
                <w:rFonts w:ascii="Verdana" w:hAnsi="Verdana"/>
                <w:sz w:val="18"/>
                <w:szCs w:val="18"/>
              </w:rPr>
              <w:t>G</w:t>
            </w:r>
            <w:r w:rsidRPr="00781A6F">
              <w:rPr>
                <w:rFonts w:ascii="Verdana" w:hAnsi="Verdana"/>
                <w:sz w:val="18"/>
                <w:szCs w:val="18"/>
              </w:rPr>
              <w:t>as</w:t>
            </w:r>
            <w:r w:rsidRPr="00781A6F" w:rsidR="00233CDF">
              <w:rPr>
                <w:rFonts w:ascii="Verdana" w:hAnsi="Verdana"/>
                <w:sz w:val="18"/>
                <w:szCs w:val="18"/>
              </w:rPr>
              <w:t xml:space="preserve"> en de </w:t>
            </w:r>
            <w:r w:rsidRPr="00781A6F" w:rsidR="00FF1D6B">
              <w:rPr>
                <w:rFonts w:ascii="Verdana" w:hAnsi="Verdana"/>
                <w:color w:val="000000"/>
                <w:sz w:val="18"/>
                <w:szCs w:val="18"/>
              </w:rPr>
              <w:t>Verordening</w:t>
            </w:r>
            <w:r w:rsidRPr="00781A6F" w:rsidDel="00FF1D6B" w:rsidR="00FF1D6B">
              <w:rPr>
                <w:rFonts w:ascii="Verdana" w:hAnsi="Verdana"/>
                <w:sz w:val="18"/>
                <w:szCs w:val="18"/>
              </w:rPr>
              <w:t xml:space="preserve"> </w:t>
            </w:r>
            <w:r w:rsidRPr="00781A6F" w:rsidR="00FF1D6B">
              <w:rPr>
                <w:rFonts w:ascii="Verdana" w:hAnsi="Verdana"/>
                <w:sz w:val="18"/>
                <w:szCs w:val="18"/>
              </w:rPr>
              <w:t>R</w:t>
            </w:r>
            <w:r w:rsidRPr="00781A6F" w:rsidR="00233CDF">
              <w:rPr>
                <w:rFonts w:ascii="Verdana" w:hAnsi="Verdana"/>
                <w:sz w:val="18"/>
                <w:szCs w:val="18"/>
              </w:rPr>
              <w:t xml:space="preserve">isicoparaatheid in de </w:t>
            </w:r>
            <w:r w:rsidRPr="00781A6F" w:rsidR="00FF1D6B">
              <w:rPr>
                <w:rFonts w:ascii="Verdana" w:hAnsi="Verdana"/>
                <w:sz w:val="18"/>
                <w:szCs w:val="18"/>
              </w:rPr>
              <w:t>E</w:t>
            </w:r>
            <w:r w:rsidRPr="00781A6F" w:rsidR="00233CDF">
              <w:rPr>
                <w:rFonts w:ascii="Verdana" w:hAnsi="Verdana"/>
                <w:sz w:val="18"/>
                <w:szCs w:val="18"/>
              </w:rPr>
              <w:t>lektriciteitssector</w:t>
            </w:r>
            <w:r w:rsidRPr="00781A6F">
              <w:rPr>
                <w:rFonts w:ascii="Verdana" w:hAnsi="Verdana"/>
                <w:sz w:val="18"/>
                <w:szCs w:val="18"/>
              </w:rPr>
              <w:t xml:space="preserve">.  </w:t>
            </w:r>
          </w:p>
        </w:tc>
        <w:tc>
          <w:tcPr>
            <w:tcW w:w="1985" w:type="dxa"/>
          </w:tcPr>
          <w:p w:rsidRPr="00781A6F" w:rsidR="008D7270" w:rsidP="00781A6F" w:rsidRDefault="008D7270" w14:paraId="29826330" w14:textId="42476576">
            <w:pPr>
              <w:rPr>
                <w:rFonts w:ascii="Verdana" w:hAnsi="Verdana" w:cstheme="minorBidi"/>
                <w:color w:val="000000"/>
                <w:sz w:val="18"/>
                <w:szCs w:val="18"/>
              </w:rPr>
            </w:pPr>
            <w:r w:rsidRPr="00781A6F">
              <w:rPr>
                <w:rFonts w:ascii="Verdana" w:hAnsi="Verdana"/>
                <w:color w:val="000000"/>
                <w:sz w:val="18"/>
                <w:szCs w:val="18"/>
              </w:rPr>
              <w:t>Wetgevend</w:t>
            </w:r>
          </w:p>
        </w:tc>
      </w:tr>
      <w:tr w:rsidRPr="00781A6F" w:rsidR="008D7270" w:rsidTr="007766E6" w14:paraId="779129B9" w14:textId="0A8DD415">
        <w:trPr>
          <w:trHeight w:val="60"/>
        </w:trPr>
        <w:tc>
          <w:tcPr>
            <w:tcW w:w="567" w:type="dxa"/>
          </w:tcPr>
          <w:p w:rsidRPr="00781A6F" w:rsidR="008D7270" w:rsidP="00781A6F" w:rsidRDefault="00781A6F" w14:paraId="7CAB47A7" w14:textId="08D32212">
            <w:pPr>
              <w:rPr>
                <w:rFonts w:ascii="Verdana" w:hAnsi="Verdana" w:eastAsia="Times New Roman"/>
                <w:sz w:val="18"/>
                <w:szCs w:val="18"/>
              </w:rPr>
            </w:pPr>
            <w:r w:rsidRPr="00781A6F">
              <w:rPr>
                <w:rFonts w:ascii="Verdana" w:hAnsi="Verdana" w:eastAsia="Times New Roman"/>
                <w:sz w:val="18"/>
                <w:szCs w:val="18"/>
              </w:rPr>
              <w:t>16</w:t>
            </w:r>
            <w:r w:rsidRPr="00781A6F" w:rsidR="008D7270">
              <w:rPr>
                <w:rFonts w:ascii="Verdana" w:hAnsi="Verdana" w:eastAsia="Times New Roman"/>
                <w:sz w:val="18"/>
                <w:szCs w:val="18"/>
              </w:rPr>
              <w:t>.</w:t>
            </w:r>
          </w:p>
        </w:tc>
        <w:tc>
          <w:tcPr>
            <w:tcW w:w="2694" w:type="dxa"/>
          </w:tcPr>
          <w:p w:rsidRPr="00781A6F" w:rsidR="008D7270" w:rsidP="00781A6F" w:rsidRDefault="00320B91" w14:paraId="05A43487" w14:textId="021E66A7">
            <w:pPr>
              <w:rPr>
                <w:rFonts w:ascii="Verdana" w:hAnsi="Verdana" w:eastAsia="Times New Roman"/>
                <w:sz w:val="18"/>
                <w:szCs w:val="18"/>
              </w:rPr>
            </w:pPr>
            <w:r w:rsidRPr="00781A6F">
              <w:rPr>
                <w:rFonts w:ascii="Verdana" w:hAnsi="Verdana" w:eastAsia="Times New Roman"/>
                <w:sz w:val="18"/>
                <w:szCs w:val="18"/>
              </w:rPr>
              <w:t xml:space="preserve">Actualisering van de governance van de energie-unie en klimaatactie, met inbegrip van de uitfasering van subsidies voor fossiele brandstoffen </w:t>
            </w:r>
            <w:r w:rsidRPr="00781A6F" w:rsidR="008D7270">
              <w:rPr>
                <w:rFonts w:ascii="Verdana" w:hAnsi="Verdana" w:eastAsia="Times New Roman"/>
                <w:sz w:val="18"/>
                <w:szCs w:val="18"/>
              </w:rPr>
              <w:t>(Q4 2026)</w:t>
            </w:r>
          </w:p>
          <w:p w:rsidRPr="00781A6F" w:rsidR="008D7270" w:rsidP="00781A6F" w:rsidRDefault="008D7270" w14:paraId="51E8D278" w14:textId="13BCCFEB">
            <w:pPr>
              <w:rPr>
                <w:rFonts w:ascii="Verdana" w:hAnsi="Verdana" w:eastAsia="Times New Roman"/>
                <w:sz w:val="18"/>
                <w:szCs w:val="18"/>
              </w:rPr>
            </w:pPr>
          </w:p>
        </w:tc>
        <w:tc>
          <w:tcPr>
            <w:tcW w:w="4394" w:type="dxa"/>
          </w:tcPr>
          <w:p w:rsidRPr="00781A6F" w:rsidR="008D7270" w:rsidP="00781A6F" w:rsidRDefault="008D7270" w14:paraId="6BDF28B9" w14:textId="6354B436">
            <w:pPr>
              <w:rPr>
                <w:rFonts w:ascii="Verdana" w:hAnsi="Verdana"/>
                <w:sz w:val="18"/>
                <w:szCs w:val="18"/>
              </w:rPr>
            </w:pPr>
            <w:r w:rsidRPr="00781A6F">
              <w:rPr>
                <w:rFonts w:ascii="Verdana" w:hAnsi="Verdana"/>
                <w:sz w:val="18"/>
                <w:szCs w:val="18"/>
              </w:rPr>
              <w:t xml:space="preserve">De </w:t>
            </w:r>
            <w:r w:rsidRPr="00781A6F" w:rsidR="006B0323">
              <w:rPr>
                <w:rFonts w:ascii="Verdana" w:hAnsi="Verdana"/>
                <w:sz w:val="18"/>
                <w:szCs w:val="18"/>
              </w:rPr>
              <w:t>Commissie</w:t>
            </w:r>
            <w:r w:rsidRPr="00781A6F">
              <w:rPr>
                <w:rFonts w:ascii="Verdana" w:hAnsi="Verdana"/>
                <w:sz w:val="18"/>
                <w:szCs w:val="18"/>
              </w:rPr>
              <w:t xml:space="preserve"> werkt aan een actualisering van de </w:t>
            </w:r>
            <w:r w:rsidRPr="00781A6F">
              <w:rPr>
                <w:rFonts w:ascii="Verdana" w:hAnsi="Verdana"/>
                <w:i/>
                <w:iCs/>
                <w:sz w:val="18"/>
                <w:szCs w:val="18"/>
              </w:rPr>
              <w:t>Governance</w:t>
            </w:r>
            <w:r w:rsidRPr="00781A6F" w:rsidR="00233CDF">
              <w:rPr>
                <w:rFonts w:ascii="Verdana" w:hAnsi="Verdana"/>
                <w:sz w:val="18"/>
                <w:szCs w:val="18"/>
              </w:rPr>
              <w:t>-</w:t>
            </w:r>
            <w:r w:rsidRPr="00781A6F" w:rsidR="00FF1D6B">
              <w:rPr>
                <w:rFonts w:ascii="Verdana" w:hAnsi="Verdana"/>
                <w:color w:val="000000"/>
                <w:sz w:val="18"/>
                <w:szCs w:val="18"/>
              </w:rPr>
              <w:t>Verordening</w:t>
            </w:r>
            <w:r w:rsidRPr="00781A6F" w:rsidDel="00FF1D6B" w:rsidR="00FF1D6B">
              <w:rPr>
                <w:rFonts w:ascii="Verdana" w:hAnsi="Verdana"/>
                <w:sz w:val="18"/>
                <w:szCs w:val="18"/>
              </w:rPr>
              <w:t xml:space="preserve"> </w:t>
            </w:r>
            <w:r w:rsidRPr="00781A6F">
              <w:rPr>
                <w:rFonts w:ascii="Verdana" w:hAnsi="Verdana"/>
                <w:sz w:val="18"/>
                <w:szCs w:val="18"/>
              </w:rPr>
              <w:t xml:space="preserve">voor de Energie-Unie en Klimaatactie, gericht op het versnellen van de afbouw van fossiele brandstofsubsidies. Dit voorstel zal het bestaande kader voor het Integraal Nationaal Energie en Klimaatplan (INEK) versterken en zorgen voor meer transparantie bij de uitvoering van klimaatdoelen. </w:t>
            </w:r>
            <w:r w:rsidRPr="00781A6F" w:rsidR="00233CDF">
              <w:rPr>
                <w:rFonts w:ascii="Verdana" w:hAnsi="Verdana"/>
                <w:sz w:val="18"/>
                <w:szCs w:val="18"/>
              </w:rPr>
              <w:t>EU l</w:t>
            </w:r>
            <w:r w:rsidRPr="00781A6F">
              <w:rPr>
                <w:rFonts w:ascii="Verdana" w:hAnsi="Verdana"/>
                <w:sz w:val="18"/>
                <w:szCs w:val="18"/>
              </w:rPr>
              <w:t>idstaten zullen worden aangespoord om duidelijke tijdspaden vast te stellen voor het beëindigen van fossiele subsidies en de middelen te heroriënteren naar hernieuwbare energie, innovatie en energie-efficiëntie.</w:t>
            </w:r>
          </w:p>
        </w:tc>
        <w:tc>
          <w:tcPr>
            <w:tcW w:w="5953" w:type="dxa"/>
          </w:tcPr>
          <w:p w:rsidRPr="00781A6F" w:rsidR="008D7270" w:rsidP="00781A6F" w:rsidRDefault="008D7270" w14:paraId="6B2A26F5" w14:textId="5C7E7303">
            <w:pPr>
              <w:rPr>
                <w:rFonts w:ascii="Verdana" w:hAnsi="Verdana"/>
                <w:sz w:val="18"/>
                <w:szCs w:val="18"/>
              </w:rPr>
            </w:pPr>
            <w:r w:rsidRPr="00781A6F">
              <w:rPr>
                <w:rFonts w:ascii="Verdana" w:hAnsi="Verdana"/>
                <w:sz w:val="18"/>
                <w:szCs w:val="18"/>
              </w:rPr>
              <w:t xml:space="preserve">Het kabinet kijkt uit naar de herziening van de </w:t>
            </w:r>
            <w:r w:rsidRPr="00781A6F">
              <w:rPr>
                <w:rFonts w:ascii="Verdana" w:hAnsi="Verdana"/>
                <w:i/>
                <w:iCs/>
                <w:sz w:val="18"/>
                <w:szCs w:val="18"/>
              </w:rPr>
              <w:t>governance</w:t>
            </w:r>
            <w:r w:rsidRPr="00781A6F">
              <w:rPr>
                <w:rFonts w:ascii="Verdana" w:hAnsi="Verdana"/>
                <w:sz w:val="18"/>
                <w:szCs w:val="18"/>
              </w:rPr>
              <w:t xml:space="preserve"> van de </w:t>
            </w:r>
            <w:r w:rsidRPr="00781A6F" w:rsidR="00320B91">
              <w:rPr>
                <w:rFonts w:ascii="Verdana" w:hAnsi="Verdana"/>
                <w:sz w:val="18"/>
                <w:szCs w:val="18"/>
              </w:rPr>
              <w:t>e</w:t>
            </w:r>
            <w:r w:rsidRPr="00781A6F">
              <w:rPr>
                <w:rFonts w:ascii="Verdana" w:hAnsi="Verdana"/>
                <w:sz w:val="18"/>
                <w:szCs w:val="18"/>
              </w:rPr>
              <w:t>nergie-</w:t>
            </w:r>
            <w:r w:rsidRPr="00781A6F" w:rsidR="00320B91">
              <w:rPr>
                <w:rFonts w:ascii="Verdana" w:hAnsi="Verdana"/>
                <w:sz w:val="18"/>
                <w:szCs w:val="18"/>
              </w:rPr>
              <w:t>u</w:t>
            </w:r>
            <w:r w:rsidRPr="00781A6F">
              <w:rPr>
                <w:rFonts w:ascii="Verdana" w:hAnsi="Verdana"/>
                <w:sz w:val="18"/>
                <w:szCs w:val="18"/>
              </w:rPr>
              <w:t xml:space="preserve">nie en </w:t>
            </w:r>
            <w:r w:rsidRPr="00781A6F" w:rsidR="00320B91">
              <w:rPr>
                <w:rFonts w:ascii="Verdana" w:hAnsi="Verdana"/>
                <w:sz w:val="18"/>
                <w:szCs w:val="18"/>
              </w:rPr>
              <w:t>k</w:t>
            </w:r>
            <w:r w:rsidRPr="00781A6F">
              <w:rPr>
                <w:rFonts w:ascii="Verdana" w:hAnsi="Verdana"/>
                <w:sz w:val="18"/>
                <w:szCs w:val="18"/>
              </w:rPr>
              <w:t xml:space="preserve">limaatactie en steunt de doelstelling om fossiele subsidies versneld af te bouwen. </w:t>
            </w:r>
            <w:r w:rsidRPr="00781A6F" w:rsidR="00320B91">
              <w:rPr>
                <w:rFonts w:ascii="Verdana" w:hAnsi="Verdana"/>
                <w:color w:val="000000"/>
                <w:sz w:val="18"/>
                <w:szCs w:val="18"/>
              </w:rPr>
              <w:t>Het kabinet</w:t>
            </w:r>
            <w:r w:rsidRPr="00781A6F">
              <w:rPr>
                <w:rFonts w:ascii="Verdana" w:hAnsi="Verdana"/>
                <w:sz w:val="18"/>
                <w:szCs w:val="18"/>
              </w:rPr>
              <w:t xml:space="preserve"> pleit hierbij voor een gelijk speelveld binnen de EU, waarbij afbouwplannen realistisch en uitvoerbaar blijven. Het kabinet hecht aan behoud van nationale beleidsruimte om transitiesectoren te ondersteunen, mits in lijn met de Europese klimaatdoelen en de Fit-for-55-doelstellingen.</w:t>
            </w:r>
          </w:p>
        </w:tc>
        <w:tc>
          <w:tcPr>
            <w:tcW w:w="1985" w:type="dxa"/>
          </w:tcPr>
          <w:p w:rsidRPr="00781A6F" w:rsidR="008D7270" w:rsidP="00781A6F" w:rsidRDefault="008D7270" w14:paraId="4B25789E" w14:textId="5BACADA1">
            <w:pPr>
              <w:rPr>
                <w:rFonts w:ascii="Verdana" w:hAnsi="Verdana" w:cstheme="minorBidi"/>
                <w:color w:val="000000"/>
                <w:sz w:val="18"/>
                <w:szCs w:val="18"/>
              </w:rPr>
            </w:pPr>
            <w:r w:rsidRPr="00781A6F">
              <w:rPr>
                <w:rFonts w:ascii="Verdana" w:hAnsi="Verdana"/>
                <w:color w:val="000000"/>
                <w:sz w:val="18"/>
                <w:szCs w:val="18"/>
              </w:rPr>
              <w:t>Wetgevend</w:t>
            </w:r>
            <w:r w:rsidRPr="00781A6F">
              <w:rPr>
                <w:rFonts w:ascii="Verdana" w:hAnsi="Verdana"/>
                <w:color w:val="000000"/>
                <w:sz w:val="18"/>
                <w:szCs w:val="18"/>
                <w:lang w:val="en-US"/>
              </w:rPr>
              <w:t xml:space="preserve"> </w:t>
            </w:r>
          </w:p>
        </w:tc>
      </w:tr>
      <w:tr w:rsidRPr="00781A6F" w:rsidR="001D461C" w:rsidTr="007766E6" w14:paraId="2F354BE0" w14:textId="77777777">
        <w:trPr>
          <w:trHeight w:val="299"/>
        </w:trPr>
        <w:tc>
          <w:tcPr>
            <w:tcW w:w="15593" w:type="dxa"/>
            <w:gridSpan w:val="5"/>
          </w:tcPr>
          <w:p w:rsidRPr="00781A6F" w:rsidR="001D461C" w:rsidP="00781A6F" w:rsidRDefault="00781A6F" w14:paraId="0E38AC43" w14:textId="166E057C">
            <w:pPr>
              <w:rPr>
                <w:rFonts w:ascii="Verdana" w:hAnsi="Verdana" w:cstheme="minorBidi"/>
                <w:color w:val="000000"/>
                <w:sz w:val="18"/>
                <w:szCs w:val="18"/>
              </w:rPr>
            </w:pPr>
            <w:r w:rsidRPr="00781A6F">
              <w:rPr>
                <w:rFonts w:ascii="Verdana" w:hAnsi="Verdana"/>
                <w:color w:val="000000"/>
                <w:sz w:val="18"/>
                <w:szCs w:val="18"/>
              </w:rPr>
              <w:t xml:space="preserve">17. </w:t>
            </w:r>
            <w:r w:rsidRPr="00781A6F" w:rsidR="00A35E4C">
              <w:rPr>
                <w:rFonts w:ascii="Verdana" w:hAnsi="Verdana"/>
                <w:color w:val="000000"/>
                <w:sz w:val="18"/>
                <w:szCs w:val="18"/>
              </w:rPr>
              <w:t>Pakket energie-unie voor het komende decennium</w:t>
            </w:r>
          </w:p>
        </w:tc>
      </w:tr>
      <w:tr w:rsidRPr="00781A6F" w:rsidR="008D7270" w:rsidTr="007766E6" w14:paraId="25FF0321" w14:textId="77777777">
        <w:trPr>
          <w:trHeight w:val="895"/>
        </w:trPr>
        <w:tc>
          <w:tcPr>
            <w:tcW w:w="567" w:type="dxa"/>
          </w:tcPr>
          <w:p w:rsidRPr="00781A6F" w:rsidR="008D7270" w:rsidP="00781A6F" w:rsidRDefault="008D7270" w14:paraId="0447704E" w14:textId="5FE0F015">
            <w:pPr>
              <w:rPr>
                <w:rFonts w:ascii="Verdana" w:hAnsi="Verdana" w:eastAsia="Times New Roman"/>
                <w:sz w:val="18"/>
                <w:szCs w:val="18"/>
              </w:rPr>
            </w:pPr>
            <w:r w:rsidRPr="00781A6F">
              <w:rPr>
                <w:rFonts w:ascii="Verdana" w:hAnsi="Verdana" w:eastAsia="Times New Roman"/>
                <w:sz w:val="18"/>
                <w:szCs w:val="18"/>
              </w:rPr>
              <w:t>1</w:t>
            </w:r>
            <w:r w:rsidRPr="00781A6F" w:rsidR="00781A6F">
              <w:rPr>
                <w:rFonts w:ascii="Verdana" w:hAnsi="Verdana" w:eastAsia="Times New Roman"/>
                <w:sz w:val="18"/>
                <w:szCs w:val="18"/>
              </w:rPr>
              <w:t>7a</w:t>
            </w:r>
          </w:p>
        </w:tc>
        <w:tc>
          <w:tcPr>
            <w:tcW w:w="2694" w:type="dxa"/>
          </w:tcPr>
          <w:p w:rsidRPr="00781A6F" w:rsidR="008D7270" w:rsidP="00781A6F" w:rsidRDefault="00A35E4C" w14:paraId="43AC189B" w14:textId="5DB02C6E">
            <w:pPr>
              <w:rPr>
                <w:rFonts w:ascii="Verdana" w:hAnsi="Verdana" w:eastAsia="Times New Roman"/>
                <w:sz w:val="18"/>
                <w:szCs w:val="18"/>
              </w:rPr>
            </w:pPr>
            <w:r w:rsidRPr="00781A6F">
              <w:rPr>
                <w:rFonts w:ascii="Verdana" w:hAnsi="Verdana" w:eastAsia="Times New Roman"/>
                <w:sz w:val="18"/>
                <w:szCs w:val="18"/>
              </w:rPr>
              <w:t xml:space="preserve">Ontwikkeling van de CO2-vervoersinfrastructuur en -markten </w:t>
            </w:r>
            <w:r w:rsidRPr="00781A6F" w:rsidR="008D7270">
              <w:rPr>
                <w:rFonts w:ascii="Verdana" w:hAnsi="Verdana" w:eastAsia="Times New Roman"/>
                <w:sz w:val="18"/>
                <w:szCs w:val="18"/>
              </w:rPr>
              <w:t>(Q3 2026)</w:t>
            </w:r>
          </w:p>
        </w:tc>
        <w:tc>
          <w:tcPr>
            <w:tcW w:w="4394" w:type="dxa"/>
          </w:tcPr>
          <w:p w:rsidRPr="00781A6F" w:rsidR="008D7270" w:rsidP="00781A6F" w:rsidRDefault="008D7270" w14:paraId="3C38DBF5" w14:textId="018C0BDC">
            <w:pPr>
              <w:rPr>
                <w:rFonts w:ascii="Verdana" w:hAnsi="Verdana"/>
                <w:sz w:val="18"/>
                <w:szCs w:val="18"/>
              </w:rPr>
            </w:pPr>
            <w:r w:rsidRPr="00781A6F">
              <w:rPr>
                <w:rFonts w:ascii="Verdana" w:hAnsi="Verdana"/>
                <w:sz w:val="18"/>
                <w:szCs w:val="18"/>
              </w:rPr>
              <w:t>Dit wetsvoorstel is gericht op het versnellen van de ontwikkeling van CO₂-transport- en opslagnetwerken, CC(U)S voor industriële sectoren die moeilijk te verduurzamen zijn. Het doel is een competitieve Europese markt voor CO₂-opslag en transport te creëren, daarmee bijdragend aan de klimaatneutraliteit in 2050.</w:t>
            </w:r>
          </w:p>
        </w:tc>
        <w:tc>
          <w:tcPr>
            <w:tcW w:w="5953" w:type="dxa"/>
          </w:tcPr>
          <w:p w:rsidRPr="00781A6F" w:rsidR="008D7270" w:rsidP="00781A6F" w:rsidRDefault="008D7270" w14:paraId="6C5B2430" w14:textId="428DBF2A">
            <w:pPr>
              <w:rPr>
                <w:rFonts w:ascii="Verdana" w:hAnsi="Verdana"/>
                <w:sz w:val="18"/>
                <w:szCs w:val="18"/>
              </w:rPr>
            </w:pPr>
            <w:r w:rsidRPr="00781A6F">
              <w:rPr>
                <w:rFonts w:ascii="Verdana" w:hAnsi="Verdana"/>
                <w:sz w:val="18"/>
                <w:szCs w:val="18"/>
              </w:rPr>
              <w:t xml:space="preserve">Het kabinet is positief over het voorstel voor een Europees kader voor CO₂-markten en infrastructuur. </w:t>
            </w:r>
            <w:r w:rsidRPr="00781A6F" w:rsidR="00320B91">
              <w:rPr>
                <w:rFonts w:ascii="Verdana" w:hAnsi="Verdana"/>
                <w:sz w:val="18"/>
                <w:szCs w:val="18"/>
              </w:rPr>
              <w:t>Het kabinet</w:t>
            </w:r>
            <w:r w:rsidRPr="00781A6F">
              <w:rPr>
                <w:rFonts w:ascii="Verdana" w:hAnsi="Verdana"/>
                <w:sz w:val="18"/>
                <w:szCs w:val="18"/>
              </w:rPr>
              <w:t xml:space="preserve"> steunt de ontwikkeling van een geïntegreerde, kosteneffectieve en veilige CO₂-waardeketen die investeringen in afvang, transport en opslag stimuleert. Daarbij is van belang dat regelgeving projecten niet vertraagt, bestaande initiatieven beschermt en ruimte laat voor verschillende marktmodellen.</w:t>
            </w:r>
          </w:p>
        </w:tc>
        <w:tc>
          <w:tcPr>
            <w:tcW w:w="1985" w:type="dxa"/>
          </w:tcPr>
          <w:p w:rsidRPr="00781A6F" w:rsidR="008D7270" w:rsidP="00781A6F" w:rsidRDefault="008D7270" w14:paraId="7F882BA3" w14:textId="6D01372C">
            <w:pPr>
              <w:rPr>
                <w:rFonts w:ascii="Verdana" w:hAnsi="Verdana" w:cstheme="minorBidi"/>
                <w:color w:val="000000"/>
                <w:sz w:val="18"/>
                <w:szCs w:val="18"/>
                <w:lang w:val="en-US"/>
              </w:rPr>
            </w:pPr>
            <w:r w:rsidRPr="00781A6F">
              <w:rPr>
                <w:rFonts w:ascii="Verdana" w:hAnsi="Verdana"/>
                <w:color w:val="000000"/>
                <w:sz w:val="18"/>
                <w:szCs w:val="18"/>
              </w:rPr>
              <w:t>Wetgevend</w:t>
            </w:r>
          </w:p>
        </w:tc>
      </w:tr>
      <w:tr w:rsidRPr="00781A6F" w:rsidR="008D7270" w:rsidTr="007766E6" w14:paraId="547D08D2" w14:textId="77777777">
        <w:trPr>
          <w:trHeight w:val="895"/>
        </w:trPr>
        <w:tc>
          <w:tcPr>
            <w:tcW w:w="567" w:type="dxa"/>
          </w:tcPr>
          <w:p w:rsidRPr="00781A6F" w:rsidR="008D7270" w:rsidP="00781A6F" w:rsidRDefault="00781A6F" w14:paraId="67B669E6" w14:textId="58E46CD8">
            <w:pPr>
              <w:rPr>
                <w:rFonts w:ascii="Verdana" w:hAnsi="Verdana" w:eastAsia="Times New Roman"/>
                <w:sz w:val="18"/>
                <w:szCs w:val="18"/>
              </w:rPr>
            </w:pPr>
            <w:r w:rsidRPr="00781A6F">
              <w:rPr>
                <w:rFonts w:ascii="Verdana" w:hAnsi="Verdana" w:eastAsia="Times New Roman"/>
                <w:sz w:val="18"/>
                <w:szCs w:val="18"/>
              </w:rPr>
              <w:t>17b</w:t>
            </w:r>
          </w:p>
        </w:tc>
        <w:tc>
          <w:tcPr>
            <w:tcW w:w="2694" w:type="dxa"/>
          </w:tcPr>
          <w:p w:rsidRPr="00781A6F" w:rsidR="008D7270" w:rsidP="00781A6F" w:rsidRDefault="00A35E4C" w14:paraId="5C09889A" w14:textId="781F1508">
            <w:pPr>
              <w:rPr>
                <w:rFonts w:ascii="Verdana" w:hAnsi="Verdana" w:eastAsia="Times New Roman"/>
                <w:sz w:val="18"/>
                <w:szCs w:val="18"/>
              </w:rPr>
            </w:pPr>
            <w:r w:rsidRPr="00781A6F">
              <w:rPr>
                <w:rFonts w:ascii="Verdana" w:hAnsi="Verdana" w:eastAsia="Times New Roman"/>
                <w:sz w:val="18"/>
                <w:szCs w:val="18"/>
              </w:rPr>
              <w:t xml:space="preserve">Opzetten van het kader voor energie-efficiëntie </w:t>
            </w:r>
            <w:r w:rsidRPr="00781A6F" w:rsidR="008D7270">
              <w:rPr>
                <w:rFonts w:ascii="Verdana" w:hAnsi="Verdana" w:eastAsia="Times New Roman"/>
                <w:sz w:val="18"/>
                <w:szCs w:val="18"/>
              </w:rPr>
              <w:t>(Q3 2026)</w:t>
            </w:r>
          </w:p>
        </w:tc>
        <w:tc>
          <w:tcPr>
            <w:tcW w:w="4394" w:type="dxa"/>
          </w:tcPr>
          <w:p w:rsidRPr="00781A6F" w:rsidR="008D7270" w:rsidP="00781A6F" w:rsidRDefault="008D7270" w14:paraId="74CA52EF" w14:textId="54093D89">
            <w:pPr>
              <w:rPr>
                <w:rFonts w:ascii="Verdana" w:hAnsi="Verdana"/>
                <w:sz w:val="18"/>
                <w:szCs w:val="18"/>
              </w:rPr>
            </w:pPr>
            <w:r w:rsidRPr="00781A6F">
              <w:rPr>
                <w:rFonts w:ascii="Verdana" w:hAnsi="Verdana"/>
                <w:sz w:val="18"/>
                <w:szCs w:val="18"/>
              </w:rPr>
              <w:t xml:space="preserve">De </w:t>
            </w:r>
            <w:r w:rsidRPr="00781A6F" w:rsidR="006B0323">
              <w:rPr>
                <w:rFonts w:ascii="Verdana" w:hAnsi="Verdana"/>
                <w:sz w:val="18"/>
                <w:szCs w:val="18"/>
              </w:rPr>
              <w:t>Commissie</w:t>
            </w:r>
            <w:r w:rsidRPr="00781A6F">
              <w:rPr>
                <w:rFonts w:ascii="Verdana" w:hAnsi="Verdana"/>
                <w:sz w:val="18"/>
                <w:szCs w:val="18"/>
              </w:rPr>
              <w:t xml:space="preserve"> werkt in 2026 aan het opzetten van een kader voor energie-efficiëntie voor na 2030. Dit voorstel zal naar verwachting voortbouwen op de herziene </w:t>
            </w:r>
            <w:r w:rsidRPr="00781A6F">
              <w:rPr>
                <w:rFonts w:ascii="Verdana" w:hAnsi="Verdana"/>
                <w:sz w:val="18"/>
                <w:szCs w:val="18"/>
              </w:rPr>
              <w:lastRenderedPageBreak/>
              <w:t>Richtlijn voor Energiebesparing (EED)</w:t>
            </w:r>
            <w:r w:rsidRPr="00781A6F" w:rsidR="00233CDF">
              <w:rPr>
                <w:rStyle w:val="FootnoteReference"/>
                <w:rFonts w:ascii="Verdana" w:hAnsi="Verdana"/>
                <w:sz w:val="18"/>
                <w:szCs w:val="18"/>
              </w:rPr>
              <w:footnoteReference w:id="6"/>
            </w:r>
            <w:r w:rsidRPr="00781A6F">
              <w:rPr>
                <w:rFonts w:ascii="Verdana" w:hAnsi="Verdana"/>
                <w:sz w:val="18"/>
                <w:szCs w:val="18"/>
              </w:rPr>
              <w:t xml:space="preserve"> van oktober 2023.  </w:t>
            </w:r>
          </w:p>
        </w:tc>
        <w:tc>
          <w:tcPr>
            <w:tcW w:w="5953" w:type="dxa"/>
          </w:tcPr>
          <w:p w:rsidRPr="00781A6F" w:rsidR="008D7270" w:rsidP="00781A6F" w:rsidRDefault="008D7270" w14:paraId="10DC969C" w14:textId="4E39170D">
            <w:pPr>
              <w:rPr>
                <w:rFonts w:ascii="Verdana" w:hAnsi="Verdana"/>
                <w:sz w:val="18"/>
                <w:szCs w:val="18"/>
              </w:rPr>
            </w:pPr>
            <w:r w:rsidRPr="00781A6F">
              <w:rPr>
                <w:rFonts w:ascii="Verdana" w:hAnsi="Verdana"/>
                <w:sz w:val="18"/>
                <w:szCs w:val="18"/>
              </w:rPr>
              <w:lastRenderedPageBreak/>
              <w:t>Het kabinet onderschrijft het belang van energiebesparing en het principe ‘</w:t>
            </w:r>
            <w:proofErr w:type="spellStart"/>
            <w:r w:rsidRPr="00781A6F">
              <w:rPr>
                <w:rFonts w:ascii="Verdana" w:hAnsi="Verdana"/>
                <w:i/>
                <w:iCs/>
                <w:sz w:val="18"/>
                <w:szCs w:val="18"/>
              </w:rPr>
              <w:t>energy-efficiency</w:t>
            </w:r>
            <w:proofErr w:type="spellEnd"/>
            <w:r w:rsidRPr="00781A6F">
              <w:rPr>
                <w:rFonts w:ascii="Verdana" w:hAnsi="Verdana"/>
                <w:i/>
                <w:iCs/>
                <w:sz w:val="18"/>
                <w:szCs w:val="18"/>
              </w:rPr>
              <w:t xml:space="preserve"> first’</w:t>
            </w:r>
            <w:r w:rsidRPr="00781A6F">
              <w:rPr>
                <w:rFonts w:ascii="Verdana" w:hAnsi="Verdana"/>
                <w:sz w:val="18"/>
                <w:szCs w:val="18"/>
              </w:rPr>
              <w:t xml:space="preserve">, </w:t>
            </w:r>
            <w:r w:rsidRPr="00781A6F">
              <w:rPr>
                <w:rFonts w:ascii="Verdana" w:hAnsi="Verdana" w:eastAsia="Calibri" w:cs="Calibri"/>
                <w:sz w:val="18"/>
                <w:szCs w:val="18"/>
              </w:rPr>
              <w:t>ook na 2030.</w:t>
            </w:r>
            <w:r w:rsidRPr="00781A6F" w:rsidR="006B0323">
              <w:rPr>
                <w:rFonts w:ascii="Verdana" w:hAnsi="Verdana" w:eastAsia="Calibri" w:cs="Calibri"/>
                <w:sz w:val="18"/>
                <w:szCs w:val="18"/>
              </w:rPr>
              <w:t xml:space="preserve"> Energiebesparing betekent een lagere energierekening, verbetering van onze strategische autonomie en een positieve bijdrage aan de klimaatdoelen. Bovendien helpt een lager elektriciteitsgebruik om netcongestie te verminderen. </w:t>
            </w:r>
          </w:p>
        </w:tc>
        <w:tc>
          <w:tcPr>
            <w:tcW w:w="1985" w:type="dxa"/>
          </w:tcPr>
          <w:p w:rsidRPr="00781A6F" w:rsidR="008D7270" w:rsidP="00781A6F" w:rsidRDefault="008D7270" w14:paraId="798A94D8" w14:textId="6EDB46B8">
            <w:pPr>
              <w:rPr>
                <w:rFonts w:ascii="Verdana" w:hAnsi="Verdana" w:cstheme="minorBidi"/>
                <w:color w:val="000000"/>
                <w:sz w:val="18"/>
                <w:szCs w:val="18"/>
              </w:rPr>
            </w:pPr>
            <w:proofErr w:type="spellStart"/>
            <w:r w:rsidRPr="00781A6F">
              <w:rPr>
                <w:rFonts w:ascii="Verdana" w:hAnsi="Verdana"/>
                <w:color w:val="000000"/>
                <w:sz w:val="18"/>
                <w:szCs w:val="18"/>
                <w:lang w:val="en-US"/>
              </w:rPr>
              <w:t>Wetgevend</w:t>
            </w:r>
            <w:proofErr w:type="spellEnd"/>
          </w:p>
        </w:tc>
      </w:tr>
      <w:tr w:rsidRPr="00781A6F" w:rsidR="008D7270" w:rsidTr="007766E6" w14:paraId="20528879" w14:textId="77777777">
        <w:trPr>
          <w:trHeight w:val="895"/>
        </w:trPr>
        <w:tc>
          <w:tcPr>
            <w:tcW w:w="567" w:type="dxa"/>
          </w:tcPr>
          <w:p w:rsidRPr="00781A6F" w:rsidR="008D7270" w:rsidP="00781A6F" w:rsidRDefault="00781A6F" w14:paraId="0C19F42A" w14:textId="58BB7AEF">
            <w:pPr>
              <w:rPr>
                <w:rFonts w:ascii="Verdana" w:hAnsi="Verdana" w:eastAsia="Times New Roman"/>
                <w:sz w:val="18"/>
                <w:szCs w:val="18"/>
              </w:rPr>
            </w:pPr>
            <w:r w:rsidRPr="00781A6F">
              <w:rPr>
                <w:rFonts w:ascii="Verdana" w:hAnsi="Verdana" w:eastAsia="Times New Roman"/>
                <w:sz w:val="18"/>
                <w:szCs w:val="18"/>
              </w:rPr>
              <w:t>17c</w:t>
            </w:r>
          </w:p>
        </w:tc>
        <w:tc>
          <w:tcPr>
            <w:tcW w:w="2694" w:type="dxa"/>
          </w:tcPr>
          <w:p w:rsidRPr="00781A6F" w:rsidR="008D7270" w:rsidP="00781A6F" w:rsidRDefault="00A35E4C" w14:paraId="5AB8952C" w14:textId="44FA4223">
            <w:pPr>
              <w:rPr>
                <w:rFonts w:ascii="Verdana" w:hAnsi="Verdana" w:eastAsia="Times New Roman"/>
                <w:sz w:val="18"/>
                <w:szCs w:val="18"/>
              </w:rPr>
            </w:pPr>
            <w:r w:rsidRPr="00781A6F">
              <w:rPr>
                <w:rFonts w:ascii="Verdana" w:hAnsi="Verdana" w:eastAsia="Times New Roman"/>
                <w:sz w:val="18"/>
                <w:szCs w:val="18"/>
              </w:rPr>
              <w:t>Opzetten van het kader voor hernieuwbare energie</w:t>
            </w:r>
            <w:r w:rsidRPr="00781A6F" w:rsidDel="00A35E4C">
              <w:rPr>
                <w:rFonts w:ascii="Verdana" w:hAnsi="Verdana" w:eastAsia="Times New Roman"/>
                <w:sz w:val="18"/>
                <w:szCs w:val="18"/>
              </w:rPr>
              <w:t xml:space="preserve"> </w:t>
            </w:r>
            <w:r w:rsidRPr="00781A6F" w:rsidR="008D7270">
              <w:rPr>
                <w:rFonts w:ascii="Verdana" w:hAnsi="Verdana" w:eastAsia="Times New Roman"/>
                <w:sz w:val="18"/>
                <w:szCs w:val="18"/>
              </w:rPr>
              <w:t>(Q3 2026)</w:t>
            </w:r>
          </w:p>
        </w:tc>
        <w:tc>
          <w:tcPr>
            <w:tcW w:w="4394" w:type="dxa"/>
          </w:tcPr>
          <w:p w:rsidRPr="00781A6F" w:rsidR="008D7270" w:rsidP="00781A6F" w:rsidRDefault="008D7270" w14:paraId="763F8F60" w14:textId="3992C440">
            <w:pPr>
              <w:rPr>
                <w:rFonts w:ascii="Verdana" w:hAnsi="Verdana"/>
                <w:sz w:val="18"/>
                <w:szCs w:val="18"/>
              </w:rPr>
            </w:pPr>
            <w:r w:rsidRPr="00781A6F">
              <w:rPr>
                <w:rFonts w:ascii="Verdana" w:hAnsi="Verdana"/>
                <w:sz w:val="18"/>
                <w:szCs w:val="18"/>
              </w:rPr>
              <w:t xml:space="preserve">De </w:t>
            </w:r>
            <w:r w:rsidRPr="00781A6F" w:rsidR="006B0323">
              <w:rPr>
                <w:rFonts w:ascii="Verdana" w:hAnsi="Verdana"/>
                <w:sz w:val="18"/>
                <w:szCs w:val="18"/>
              </w:rPr>
              <w:t>Commissie</w:t>
            </w:r>
            <w:r w:rsidRPr="00781A6F">
              <w:rPr>
                <w:rFonts w:ascii="Verdana" w:hAnsi="Verdana"/>
                <w:sz w:val="18"/>
                <w:szCs w:val="18"/>
              </w:rPr>
              <w:t xml:space="preserve"> werkt in 2026 aan het opzetten van een kader voor hernieuwbare energie voor na 2030. Dit voorstel zal naar verwachting voortbouwen op de herziene Richtlijn voor Hernieuwbare Energie (RED</w:t>
            </w:r>
            <w:r w:rsidRPr="00781A6F" w:rsidR="00233CDF">
              <w:rPr>
                <w:rFonts w:ascii="Verdana" w:hAnsi="Verdana"/>
                <w:sz w:val="18"/>
                <w:szCs w:val="18"/>
              </w:rPr>
              <w:t>)</w:t>
            </w:r>
            <w:r w:rsidRPr="00781A6F">
              <w:rPr>
                <w:rFonts w:ascii="Verdana" w:hAnsi="Verdana"/>
                <w:sz w:val="18"/>
                <w:szCs w:val="18"/>
              </w:rPr>
              <w:t xml:space="preserve"> van 2023. </w:t>
            </w:r>
          </w:p>
        </w:tc>
        <w:tc>
          <w:tcPr>
            <w:tcW w:w="5953" w:type="dxa"/>
          </w:tcPr>
          <w:p w:rsidRPr="00781A6F" w:rsidR="008D7270" w:rsidP="00781A6F" w:rsidRDefault="004573AB" w14:paraId="7F6C4045" w14:textId="0DA5E34A">
            <w:pPr>
              <w:rPr>
                <w:rFonts w:ascii="Verdana" w:hAnsi="Verdana"/>
                <w:sz w:val="18"/>
                <w:szCs w:val="18"/>
              </w:rPr>
            </w:pPr>
            <w:r w:rsidRPr="00781A6F">
              <w:rPr>
                <w:rFonts w:ascii="Verdana" w:hAnsi="Verdana"/>
                <w:sz w:val="18"/>
                <w:szCs w:val="18"/>
              </w:rPr>
              <w:t xml:space="preserve">Om klimaatverandering tegen te gaan, dient ons energiesysteem ver voor 2050 klimaatneutraal te zijn. </w:t>
            </w:r>
            <w:r w:rsidRPr="00781A6F" w:rsidR="008D7270">
              <w:rPr>
                <w:rFonts w:ascii="Verdana" w:hAnsi="Verdana"/>
                <w:sz w:val="18"/>
                <w:szCs w:val="18"/>
              </w:rPr>
              <w:t xml:space="preserve">Het kabinet onderschrijft </w:t>
            </w:r>
            <w:r w:rsidRPr="00781A6F">
              <w:rPr>
                <w:rFonts w:ascii="Verdana" w:hAnsi="Verdana"/>
                <w:sz w:val="18"/>
                <w:szCs w:val="18"/>
              </w:rPr>
              <w:t xml:space="preserve">daarom </w:t>
            </w:r>
            <w:r w:rsidRPr="00781A6F" w:rsidR="008D7270">
              <w:rPr>
                <w:rFonts w:ascii="Verdana" w:hAnsi="Verdana"/>
                <w:sz w:val="18"/>
                <w:szCs w:val="18"/>
              </w:rPr>
              <w:t>het belang van</w:t>
            </w:r>
            <w:r w:rsidRPr="00781A6F" w:rsidR="00233CDF">
              <w:rPr>
                <w:rFonts w:ascii="Verdana" w:hAnsi="Verdana"/>
                <w:sz w:val="18"/>
                <w:szCs w:val="18"/>
              </w:rPr>
              <w:t xml:space="preserve"> </w:t>
            </w:r>
            <w:r w:rsidRPr="00781A6F" w:rsidR="008D7270">
              <w:rPr>
                <w:rFonts w:ascii="Verdana" w:hAnsi="Verdana"/>
                <w:sz w:val="18"/>
                <w:szCs w:val="18"/>
              </w:rPr>
              <w:t>de uitrol van schone energieopwekking en -gebruik en een passend kader voor na 2030.</w:t>
            </w:r>
          </w:p>
        </w:tc>
        <w:tc>
          <w:tcPr>
            <w:tcW w:w="1985" w:type="dxa"/>
          </w:tcPr>
          <w:p w:rsidRPr="00781A6F" w:rsidR="008D7270" w:rsidP="00781A6F" w:rsidRDefault="008D7270" w14:paraId="76EA9491" w14:textId="466D3F14">
            <w:pPr>
              <w:rPr>
                <w:rFonts w:ascii="Verdana" w:hAnsi="Verdana" w:cstheme="minorBidi"/>
                <w:color w:val="000000"/>
                <w:sz w:val="18"/>
                <w:szCs w:val="18"/>
                <w:lang w:val="en-US"/>
              </w:rPr>
            </w:pPr>
            <w:proofErr w:type="spellStart"/>
            <w:r w:rsidRPr="00781A6F">
              <w:rPr>
                <w:rFonts w:ascii="Verdana" w:hAnsi="Verdana"/>
                <w:color w:val="000000"/>
                <w:sz w:val="18"/>
                <w:szCs w:val="18"/>
                <w:lang w:val="en-US"/>
              </w:rPr>
              <w:t>Wetgevend</w:t>
            </w:r>
            <w:proofErr w:type="spellEnd"/>
          </w:p>
        </w:tc>
      </w:tr>
      <w:tr w:rsidRPr="00781A6F" w:rsidR="008D7270" w:rsidTr="007766E6" w14:paraId="0B38E523" w14:textId="77777777">
        <w:trPr>
          <w:trHeight w:val="895"/>
        </w:trPr>
        <w:tc>
          <w:tcPr>
            <w:tcW w:w="567" w:type="dxa"/>
          </w:tcPr>
          <w:p w:rsidRPr="00781A6F" w:rsidR="008D7270" w:rsidP="00781A6F" w:rsidRDefault="00781A6F" w14:paraId="50209731" w14:textId="497B8D67">
            <w:pPr>
              <w:rPr>
                <w:rFonts w:ascii="Verdana" w:hAnsi="Verdana" w:eastAsia="Times New Roman"/>
                <w:sz w:val="18"/>
                <w:szCs w:val="18"/>
              </w:rPr>
            </w:pPr>
            <w:r w:rsidRPr="00781A6F">
              <w:rPr>
                <w:rFonts w:ascii="Verdana" w:hAnsi="Verdana" w:eastAsia="Times New Roman"/>
                <w:sz w:val="18"/>
                <w:szCs w:val="18"/>
              </w:rPr>
              <w:t>18</w:t>
            </w:r>
            <w:r w:rsidRPr="00781A6F" w:rsidR="008D7270">
              <w:rPr>
                <w:rFonts w:ascii="Verdana" w:hAnsi="Verdana" w:eastAsia="Times New Roman"/>
                <w:sz w:val="18"/>
                <w:szCs w:val="18"/>
              </w:rPr>
              <w:t>.</w:t>
            </w:r>
          </w:p>
        </w:tc>
        <w:tc>
          <w:tcPr>
            <w:tcW w:w="2694" w:type="dxa"/>
          </w:tcPr>
          <w:p w:rsidRPr="00781A6F" w:rsidR="008D7270" w:rsidP="00781A6F" w:rsidRDefault="00A35E4C" w14:paraId="0D55012E" w14:textId="1AAA5C4A">
            <w:pPr>
              <w:rPr>
                <w:rFonts w:ascii="Verdana" w:hAnsi="Verdana" w:eastAsia="Times New Roman"/>
                <w:sz w:val="18"/>
                <w:szCs w:val="18"/>
              </w:rPr>
            </w:pPr>
            <w:r w:rsidRPr="00781A6F">
              <w:rPr>
                <w:rFonts w:ascii="Verdana" w:hAnsi="Verdana" w:eastAsia="Times New Roman"/>
                <w:sz w:val="18"/>
                <w:szCs w:val="18"/>
              </w:rPr>
              <w:t xml:space="preserve">Omnibus ter vereenvoudiging van de wetgeving inzake energieproducten </w:t>
            </w:r>
            <w:r w:rsidRPr="00781A6F" w:rsidR="008D7270">
              <w:rPr>
                <w:rFonts w:ascii="Verdana" w:hAnsi="Verdana" w:eastAsia="Times New Roman"/>
                <w:sz w:val="18"/>
                <w:szCs w:val="18"/>
              </w:rPr>
              <w:t>(Q2 2026)</w:t>
            </w:r>
          </w:p>
        </w:tc>
        <w:tc>
          <w:tcPr>
            <w:tcW w:w="4394" w:type="dxa"/>
          </w:tcPr>
          <w:p w:rsidRPr="00781A6F" w:rsidR="008D7270" w:rsidP="00781A6F" w:rsidRDefault="008D7270" w14:paraId="111AF50A" w14:textId="1315532D">
            <w:pPr>
              <w:rPr>
                <w:rFonts w:ascii="Verdana" w:hAnsi="Verdana"/>
                <w:sz w:val="18"/>
                <w:szCs w:val="18"/>
              </w:rPr>
            </w:pPr>
            <w:r w:rsidRPr="00781A6F">
              <w:rPr>
                <w:rFonts w:ascii="Verdana" w:hAnsi="Verdana"/>
                <w:sz w:val="18"/>
                <w:szCs w:val="18"/>
              </w:rPr>
              <w:t xml:space="preserve">De </w:t>
            </w:r>
            <w:r w:rsidRPr="00781A6F" w:rsidR="006B0323">
              <w:rPr>
                <w:rFonts w:ascii="Verdana" w:hAnsi="Verdana"/>
                <w:sz w:val="18"/>
                <w:szCs w:val="18"/>
              </w:rPr>
              <w:t>Commissie</w:t>
            </w:r>
            <w:r w:rsidRPr="00781A6F">
              <w:rPr>
                <w:rFonts w:ascii="Verdana" w:hAnsi="Verdana"/>
                <w:sz w:val="18"/>
                <w:szCs w:val="18"/>
              </w:rPr>
              <w:t xml:space="preserve"> bereidt een omnibusvoorstel voor om de EU-regelgeving voor energieproducten te vereenvoudigen. Het voorstel zal bestaande regels, zoals die over energie-etikettering en </w:t>
            </w:r>
            <w:proofErr w:type="spellStart"/>
            <w:r w:rsidRPr="00781A6F">
              <w:rPr>
                <w:rFonts w:ascii="Verdana" w:hAnsi="Verdana"/>
                <w:sz w:val="18"/>
                <w:szCs w:val="18"/>
              </w:rPr>
              <w:t>eco</w:t>
            </w:r>
            <w:proofErr w:type="spellEnd"/>
            <w:r w:rsidRPr="00781A6F" w:rsidR="00233CDF">
              <w:rPr>
                <w:rFonts w:ascii="Verdana" w:hAnsi="Verdana"/>
                <w:sz w:val="18"/>
                <w:szCs w:val="18"/>
              </w:rPr>
              <w:t>-</w:t>
            </w:r>
            <w:r w:rsidRPr="00781A6F">
              <w:rPr>
                <w:rFonts w:ascii="Verdana" w:hAnsi="Verdana"/>
                <w:sz w:val="18"/>
                <w:szCs w:val="18"/>
              </w:rPr>
              <w:t>design, stroomlijnen en beter op elkaar afstemmen. Doel is om administratieve lasten voor bedrijven te verminderen</w:t>
            </w:r>
            <w:r w:rsidRPr="00781A6F" w:rsidR="00605DE6">
              <w:rPr>
                <w:rFonts w:ascii="Verdana" w:hAnsi="Verdana"/>
                <w:sz w:val="18"/>
                <w:szCs w:val="18"/>
              </w:rPr>
              <w:t xml:space="preserve"> en de energieprijzen te verlagen</w:t>
            </w:r>
            <w:r w:rsidRPr="00781A6F">
              <w:rPr>
                <w:rFonts w:ascii="Verdana" w:hAnsi="Verdana"/>
                <w:sz w:val="18"/>
                <w:szCs w:val="18"/>
              </w:rPr>
              <w:t>.</w:t>
            </w:r>
          </w:p>
        </w:tc>
        <w:tc>
          <w:tcPr>
            <w:tcW w:w="5953" w:type="dxa"/>
          </w:tcPr>
          <w:p w:rsidRPr="00781A6F" w:rsidR="008D7270" w:rsidP="00781A6F" w:rsidRDefault="008D7270" w14:paraId="5237445E" w14:textId="3853583B">
            <w:pPr>
              <w:rPr>
                <w:rFonts w:ascii="Verdana" w:hAnsi="Verdana"/>
                <w:sz w:val="18"/>
                <w:szCs w:val="18"/>
              </w:rPr>
            </w:pPr>
            <w:r w:rsidRPr="00781A6F">
              <w:rPr>
                <w:rFonts w:ascii="Verdana" w:hAnsi="Verdana"/>
                <w:sz w:val="18"/>
                <w:szCs w:val="18"/>
              </w:rPr>
              <w:t>Het kabinet ondersteunt de vereenvoudiging van EU-regelgeving. Het kabinet pleit voor regelgeving die de duurzaamheid en energieprestaties van producten bevordert, maar administratieve lasten vermindert.</w:t>
            </w:r>
          </w:p>
        </w:tc>
        <w:tc>
          <w:tcPr>
            <w:tcW w:w="1985" w:type="dxa"/>
          </w:tcPr>
          <w:p w:rsidRPr="00781A6F" w:rsidR="008D7270" w:rsidP="00781A6F" w:rsidRDefault="008D7270" w14:paraId="2D46ABC8" w14:textId="7CE038C1">
            <w:pPr>
              <w:rPr>
                <w:rFonts w:ascii="Verdana" w:hAnsi="Verdana" w:cstheme="minorBidi"/>
                <w:color w:val="000000"/>
                <w:sz w:val="18"/>
                <w:szCs w:val="18"/>
              </w:rPr>
            </w:pPr>
            <w:r w:rsidRPr="00781A6F">
              <w:rPr>
                <w:rFonts w:ascii="Verdana" w:hAnsi="Verdana"/>
                <w:color w:val="000000"/>
                <w:sz w:val="18"/>
                <w:szCs w:val="18"/>
              </w:rPr>
              <w:t>Wetgevend</w:t>
            </w:r>
          </w:p>
        </w:tc>
      </w:tr>
      <w:tr w:rsidRPr="00781A6F" w:rsidR="00660C37" w:rsidTr="007766E6" w14:paraId="5D72CEBE" w14:textId="77777777">
        <w:trPr>
          <w:trHeight w:val="299"/>
        </w:trPr>
        <w:tc>
          <w:tcPr>
            <w:tcW w:w="15593" w:type="dxa"/>
            <w:gridSpan w:val="5"/>
          </w:tcPr>
          <w:p w:rsidRPr="00781A6F" w:rsidR="00660C37" w:rsidP="00781A6F" w:rsidRDefault="00781A6F" w14:paraId="00DA9AD7" w14:textId="08CC7161">
            <w:pPr>
              <w:rPr>
                <w:rFonts w:ascii="Verdana" w:hAnsi="Verdana" w:cstheme="minorBidi"/>
                <w:color w:val="000000"/>
                <w:sz w:val="18"/>
                <w:szCs w:val="18"/>
              </w:rPr>
            </w:pPr>
            <w:r w:rsidRPr="00781A6F">
              <w:rPr>
                <w:rFonts w:ascii="Verdana" w:hAnsi="Verdana"/>
                <w:color w:val="000000"/>
                <w:sz w:val="18"/>
                <w:szCs w:val="18"/>
              </w:rPr>
              <w:t xml:space="preserve">19. </w:t>
            </w:r>
            <w:r w:rsidRPr="00781A6F" w:rsidR="00A35E4C">
              <w:rPr>
                <w:rFonts w:ascii="Verdana" w:hAnsi="Verdana"/>
                <w:color w:val="000000"/>
                <w:sz w:val="18"/>
                <w:szCs w:val="18"/>
              </w:rPr>
              <w:t>Klimaatpakket voor het komende decennium</w:t>
            </w:r>
          </w:p>
        </w:tc>
      </w:tr>
      <w:tr w:rsidRPr="00781A6F" w:rsidR="008D7270" w:rsidTr="007766E6" w14:paraId="080A1542" w14:textId="77777777">
        <w:trPr>
          <w:trHeight w:val="895"/>
        </w:trPr>
        <w:tc>
          <w:tcPr>
            <w:tcW w:w="567" w:type="dxa"/>
          </w:tcPr>
          <w:p w:rsidRPr="00781A6F" w:rsidR="008D7270" w:rsidP="00781A6F" w:rsidRDefault="00781A6F" w14:paraId="34C44F92" w14:textId="2545CA66">
            <w:pPr>
              <w:rPr>
                <w:rFonts w:ascii="Verdana" w:hAnsi="Verdana" w:eastAsia="Times New Roman"/>
                <w:sz w:val="18"/>
                <w:szCs w:val="18"/>
              </w:rPr>
            </w:pPr>
            <w:r w:rsidRPr="00781A6F">
              <w:rPr>
                <w:rFonts w:ascii="Verdana" w:hAnsi="Verdana" w:eastAsia="Times New Roman"/>
                <w:sz w:val="18"/>
                <w:szCs w:val="18"/>
              </w:rPr>
              <w:t>19a</w:t>
            </w:r>
          </w:p>
        </w:tc>
        <w:tc>
          <w:tcPr>
            <w:tcW w:w="2694" w:type="dxa"/>
          </w:tcPr>
          <w:p w:rsidRPr="00781A6F" w:rsidR="008D7270" w:rsidP="00781A6F" w:rsidRDefault="00A35E4C" w14:paraId="6A2D742B" w14:textId="5269D2AC">
            <w:pPr>
              <w:rPr>
                <w:rFonts w:ascii="Verdana" w:hAnsi="Verdana" w:eastAsia="Times New Roman"/>
                <w:sz w:val="18"/>
                <w:szCs w:val="18"/>
              </w:rPr>
            </w:pPr>
            <w:r w:rsidRPr="00781A6F">
              <w:rPr>
                <w:rFonts w:ascii="Verdana" w:hAnsi="Verdana" w:eastAsia="Times New Roman"/>
                <w:sz w:val="18"/>
                <w:szCs w:val="18"/>
              </w:rPr>
              <w:t xml:space="preserve">Herziening van de nationale streefcijfers en flexibiliteit in het EU-klimaatbeleidskader </w:t>
            </w:r>
            <w:r w:rsidRPr="00781A6F" w:rsidR="008D7270">
              <w:rPr>
                <w:rFonts w:ascii="Verdana" w:hAnsi="Verdana" w:eastAsia="Times New Roman"/>
                <w:sz w:val="18"/>
                <w:szCs w:val="18"/>
              </w:rPr>
              <w:t>(Q4 2026)</w:t>
            </w:r>
          </w:p>
        </w:tc>
        <w:tc>
          <w:tcPr>
            <w:tcW w:w="4394" w:type="dxa"/>
          </w:tcPr>
          <w:p w:rsidRPr="00781A6F" w:rsidR="008D7270" w:rsidP="00781A6F" w:rsidRDefault="008D7270" w14:paraId="6CCE978B" w14:textId="4972FAC3">
            <w:pPr>
              <w:rPr>
                <w:rFonts w:ascii="Verdana" w:hAnsi="Verdana"/>
                <w:sz w:val="18"/>
                <w:szCs w:val="18"/>
              </w:rPr>
            </w:pPr>
            <w:r w:rsidRPr="00781A6F">
              <w:rPr>
                <w:rFonts w:ascii="Verdana" w:hAnsi="Verdana"/>
                <w:sz w:val="18"/>
                <w:szCs w:val="18"/>
              </w:rPr>
              <w:t>Deze herziening actualiseert de nationale doelstellingen voor niet-ETS-emissies en herbekijkt de flexibiliteitsmechanismen tussen lidstaten. Daarmee wordt de bijdrage van elke lidstaat beter afgestemd op de EU-doelen voor 2040.</w:t>
            </w:r>
          </w:p>
        </w:tc>
        <w:tc>
          <w:tcPr>
            <w:tcW w:w="5953" w:type="dxa"/>
          </w:tcPr>
          <w:p w:rsidRPr="00781A6F" w:rsidR="008D7270" w:rsidP="00781A6F" w:rsidRDefault="008D7270" w14:paraId="4C98AE59" w14:textId="5DEFA39E">
            <w:pPr>
              <w:rPr>
                <w:rFonts w:ascii="Verdana" w:hAnsi="Verdana"/>
                <w:sz w:val="18"/>
                <w:szCs w:val="18"/>
              </w:rPr>
            </w:pPr>
            <w:r w:rsidRPr="00781A6F">
              <w:rPr>
                <w:rFonts w:ascii="Verdana" w:hAnsi="Verdana"/>
                <w:sz w:val="18"/>
                <w:szCs w:val="18"/>
              </w:rPr>
              <w:t xml:space="preserve">Het kabinet onderschrijft het belang van goede afstemming voor nationale klimaatdoelen voor 2040. </w:t>
            </w:r>
            <w:r w:rsidRPr="00781A6F" w:rsidR="00320B91">
              <w:rPr>
                <w:rFonts w:ascii="Verdana" w:hAnsi="Verdana"/>
                <w:sz w:val="18"/>
                <w:szCs w:val="18"/>
              </w:rPr>
              <w:t>Het kabinet</w:t>
            </w:r>
            <w:r w:rsidRPr="00781A6F">
              <w:rPr>
                <w:rFonts w:ascii="Verdana" w:hAnsi="Verdana"/>
                <w:sz w:val="18"/>
                <w:szCs w:val="18"/>
              </w:rPr>
              <w:t xml:space="preserve"> pleit voor ambitieuze, maar haalbare doelstellingen en behoud van voldoende flexibiliteit om kosteneffectieve emissiereducties te realiseren binnen nationale omstandigheden.</w:t>
            </w:r>
          </w:p>
        </w:tc>
        <w:tc>
          <w:tcPr>
            <w:tcW w:w="1985" w:type="dxa"/>
          </w:tcPr>
          <w:p w:rsidRPr="00781A6F" w:rsidR="008D7270" w:rsidP="00781A6F" w:rsidRDefault="008D7270" w14:paraId="18657A1B" w14:textId="1763F5B8">
            <w:pPr>
              <w:rPr>
                <w:rFonts w:ascii="Verdana" w:hAnsi="Verdana" w:cstheme="minorBidi"/>
                <w:color w:val="000000"/>
                <w:sz w:val="18"/>
                <w:szCs w:val="18"/>
                <w:lang w:val="en-US"/>
              </w:rPr>
            </w:pPr>
            <w:proofErr w:type="spellStart"/>
            <w:r w:rsidRPr="00781A6F">
              <w:rPr>
                <w:rFonts w:ascii="Verdana" w:hAnsi="Verdana"/>
                <w:color w:val="000000"/>
                <w:sz w:val="18"/>
                <w:szCs w:val="18"/>
                <w:lang w:val="en-US"/>
              </w:rPr>
              <w:t>Wetgevend</w:t>
            </w:r>
            <w:proofErr w:type="spellEnd"/>
          </w:p>
        </w:tc>
      </w:tr>
      <w:tr w:rsidRPr="00781A6F" w:rsidR="008D7270" w:rsidTr="007766E6" w14:paraId="580A1399" w14:textId="77777777">
        <w:trPr>
          <w:trHeight w:val="895"/>
        </w:trPr>
        <w:tc>
          <w:tcPr>
            <w:tcW w:w="567" w:type="dxa"/>
          </w:tcPr>
          <w:p w:rsidRPr="00781A6F" w:rsidR="008D7270" w:rsidP="00781A6F" w:rsidRDefault="00781A6F" w14:paraId="1B602B81" w14:textId="36B71EA7">
            <w:pPr>
              <w:rPr>
                <w:rFonts w:ascii="Verdana" w:hAnsi="Verdana" w:eastAsia="Times New Roman"/>
                <w:sz w:val="18"/>
                <w:szCs w:val="18"/>
                <w:lang w:val="en-US"/>
              </w:rPr>
            </w:pPr>
            <w:r w:rsidRPr="00781A6F">
              <w:rPr>
                <w:rFonts w:ascii="Verdana" w:hAnsi="Verdana" w:eastAsia="Times New Roman"/>
                <w:sz w:val="18"/>
                <w:szCs w:val="18"/>
                <w:lang w:val="en-US"/>
              </w:rPr>
              <w:t>19b</w:t>
            </w:r>
          </w:p>
        </w:tc>
        <w:tc>
          <w:tcPr>
            <w:tcW w:w="2694" w:type="dxa"/>
          </w:tcPr>
          <w:p w:rsidRPr="00781A6F" w:rsidR="008D7270" w:rsidP="00781A6F" w:rsidRDefault="00A35E4C" w14:paraId="5371C04A" w14:textId="6A4975F1">
            <w:pPr>
              <w:rPr>
                <w:rFonts w:ascii="Verdana" w:hAnsi="Verdana" w:eastAsia="Times New Roman"/>
                <w:sz w:val="18"/>
                <w:szCs w:val="18"/>
              </w:rPr>
            </w:pPr>
            <w:r w:rsidRPr="00781A6F">
              <w:rPr>
                <w:rFonts w:ascii="Verdana" w:hAnsi="Verdana" w:eastAsia="Times New Roman"/>
                <w:sz w:val="18"/>
                <w:szCs w:val="18"/>
              </w:rPr>
              <w:t xml:space="preserve">Actualisering van het EU-emissiehandelssysteem voor maritiem vervoer, luchtvaart en vaste installaties en de marktstabiliteitsreserve </w:t>
            </w:r>
            <w:r w:rsidRPr="00781A6F" w:rsidR="008D7270">
              <w:rPr>
                <w:rFonts w:ascii="Verdana" w:hAnsi="Verdana" w:eastAsia="Times New Roman"/>
                <w:sz w:val="18"/>
                <w:szCs w:val="18"/>
              </w:rPr>
              <w:t>(Q3 2026)</w:t>
            </w:r>
          </w:p>
        </w:tc>
        <w:tc>
          <w:tcPr>
            <w:tcW w:w="4394" w:type="dxa"/>
          </w:tcPr>
          <w:p w:rsidRPr="00781A6F" w:rsidR="008D7270" w:rsidP="00781A6F" w:rsidRDefault="008D7270" w14:paraId="4DEABB36" w14:textId="51C5E662">
            <w:pPr>
              <w:rPr>
                <w:rFonts w:ascii="Verdana" w:hAnsi="Verdana"/>
                <w:sz w:val="18"/>
                <w:szCs w:val="18"/>
              </w:rPr>
            </w:pPr>
            <w:r w:rsidRPr="00781A6F">
              <w:rPr>
                <w:rFonts w:ascii="Verdana" w:hAnsi="Verdana" w:eastAsia="Verdana" w:cs="Verdana"/>
                <w:sz w:val="18"/>
                <w:szCs w:val="18"/>
              </w:rPr>
              <w:t xml:space="preserve">Het voorstel zal het </w:t>
            </w:r>
            <w:r w:rsidRPr="00781A6F" w:rsidR="003613A5">
              <w:rPr>
                <w:rFonts w:ascii="Verdana" w:hAnsi="Verdana" w:eastAsia="Verdana" w:cs="Verdana"/>
                <w:sz w:val="18"/>
                <w:szCs w:val="18"/>
              </w:rPr>
              <w:t>Emissie Handelssysteem (</w:t>
            </w:r>
            <w:r w:rsidRPr="00781A6F">
              <w:rPr>
                <w:rFonts w:ascii="Verdana" w:hAnsi="Verdana" w:eastAsia="Verdana" w:cs="Verdana"/>
                <w:sz w:val="18"/>
                <w:szCs w:val="18"/>
              </w:rPr>
              <w:t>ETS</w:t>
            </w:r>
            <w:r w:rsidRPr="00781A6F" w:rsidR="003613A5">
              <w:rPr>
                <w:rFonts w:ascii="Verdana" w:hAnsi="Verdana" w:eastAsia="Verdana" w:cs="Verdana"/>
                <w:sz w:val="18"/>
                <w:szCs w:val="18"/>
              </w:rPr>
              <w:t>)</w:t>
            </w:r>
            <w:r w:rsidRPr="00781A6F">
              <w:rPr>
                <w:rFonts w:ascii="Verdana" w:hAnsi="Verdana" w:eastAsia="Verdana" w:cs="Verdana"/>
                <w:sz w:val="18"/>
                <w:szCs w:val="18"/>
              </w:rPr>
              <w:t xml:space="preserve"> voor maritieme en luchtvaartsectoren en het marktstabiliteitsreserve bijwerken. Het voorstel zal bijdragen aan een stabiel en kostenefficiënt emissie</w:t>
            </w:r>
            <w:r w:rsidRPr="00781A6F" w:rsidR="00233CDF">
              <w:rPr>
                <w:rFonts w:ascii="Verdana" w:hAnsi="Verdana" w:eastAsia="Verdana" w:cs="Verdana"/>
                <w:sz w:val="18"/>
                <w:szCs w:val="18"/>
              </w:rPr>
              <w:t xml:space="preserve"> </w:t>
            </w:r>
            <w:r w:rsidRPr="00781A6F">
              <w:rPr>
                <w:rFonts w:ascii="Verdana" w:hAnsi="Verdana" w:eastAsia="Verdana" w:cs="Verdana"/>
                <w:sz w:val="18"/>
                <w:szCs w:val="18"/>
              </w:rPr>
              <w:t>reductie</w:t>
            </w:r>
            <w:r w:rsidRPr="00781A6F" w:rsidR="00233CDF">
              <w:rPr>
                <w:rFonts w:ascii="Verdana" w:hAnsi="Verdana" w:eastAsia="Verdana" w:cs="Verdana"/>
                <w:sz w:val="18"/>
                <w:szCs w:val="18"/>
              </w:rPr>
              <w:t xml:space="preserve"> </w:t>
            </w:r>
            <w:r w:rsidRPr="00781A6F">
              <w:rPr>
                <w:rFonts w:ascii="Verdana" w:hAnsi="Verdana" w:eastAsia="Verdana" w:cs="Verdana"/>
                <w:sz w:val="18"/>
                <w:szCs w:val="18"/>
              </w:rPr>
              <w:t xml:space="preserve">pad richting klimaatneutraliteit. </w:t>
            </w:r>
          </w:p>
        </w:tc>
        <w:tc>
          <w:tcPr>
            <w:tcW w:w="5953" w:type="dxa"/>
          </w:tcPr>
          <w:p w:rsidRPr="00781A6F" w:rsidR="008D7270" w:rsidP="00781A6F" w:rsidRDefault="008D7270" w14:paraId="411CE8C6" w14:textId="051D3852">
            <w:pPr>
              <w:rPr>
                <w:rFonts w:ascii="Verdana" w:hAnsi="Verdana"/>
                <w:sz w:val="18"/>
                <w:szCs w:val="18"/>
              </w:rPr>
            </w:pPr>
            <w:r w:rsidRPr="00781A6F">
              <w:rPr>
                <w:rFonts w:ascii="Verdana" w:hAnsi="Verdana"/>
                <w:sz w:val="18"/>
                <w:szCs w:val="18"/>
              </w:rPr>
              <w:t xml:space="preserve">Het kabinet </w:t>
            </w:r>
            <w:r w:rsidRPr="00781A6F" w:rsidR="00D72E01">
              <w:rPr>
                <w:rFonts w:ascii="Verdana" w:hAnsi="Verdana"/>
                <w:sz w:val="18"/>
                <w:szCs w:val="18"/>
              </w:rPr>
              <w:t>ziet</w:t>
            </w:r>
            <w:r w:rsidRPr="00781A6F">
              <w:rPr>
                <w:rFonts w:ascii="Verdana" w:hAnsi="Verdana"/>
                <w:sz w:val="18"/>
                <w:szCs w:val="18"/>
              </w:rPr>
              <w:t xml:space="preserve"> de </w:t>
            </w:r>
            <w:r w:rsidRPr="00781A6F" w:rsidR="00D72E01">
              <w:rPr>
                <w:rFonts w:ascii="Verdana" w:hAnsi="Verdana"/>
                <w:sz w:val="18"/>
                <w:szCs w:val="18"/>
              </w:rPr>
              <w:t>evaluatie van de werking</w:t>
            </w:r>
            <w:r w:rsidRPr="00781A6F">
              <w:rPr>
                <w:rFonts w:ascii="Verdana" w:hAnsi="Verdana"/>
                <w:sz w:val="18"/>
                <w:szCs w:val="18"/>
              </w:rPr>
              <w:t xml:space="preserve"> van het </w:t>
            </w:r>
            <w:r w:rsidRPr="00781A6F" w:rsidR="00D72E01">
              <w:rPr>
                <w:rFonts w:ascii="Verdana" w:hAnsi="Verdana"/>
                <w:sz w:val="18"/>
                <w:szCs w:val="18"/>
              </w:rPr>
              <w:t xml:space="preserve">EU </w:t>
            </w:r>
            <w:r w:rsidRPr="00781A6F">
              <w:rPr>
                <w:rFonts w:ascii="Verdana" w:hAnsi="Verdana"/>
                <w:sz w:val="18"/>
                <w:szCs w:val="18"/>
              </w:rPr>
              <w:t xml:space="preserve">ETS </w:t>
            </w:r>
            <w:r w:rsidRPr="00781A6F" w:rsidR="00D72E01">
              <w:rPr>
                <w:rFonts w:ascii="Verdana" w:hAnsi="Verdana"/>
                <w:sz w:val="18"/>
                <w:szCs w:val="18"/>
              </w:rPr>
              <w:t>voor maritiem, luchtvaart</w:t>
            </w:r>
            <w:r w:rsidRPr="00781A6F">
              <w:rPr>
                <w:rFonts w:ascii="Verdana" w:hAnsi="Verdana"/>
                <w:sz w:val="18"/>
                <w:szCs w:val="18"/>
              </w:rPr>
              <w:t xml:space="preserve"> en </w:t>
            </w:r>
            <w:r w:rsidRPr="00781A6F" w:rsidR="005D7637">
              <w:rPr>
                <w:rFonts w:ascii="Verdana" w:hAnsi="Verdana" w:eastAsia="Times New Roman"/>
                <w:sz w:val="18"/>
                <w:szCs w:val="18"/>
              </w:rPr>
              <w:t>vaste installaties</w:t>
            </w:r>
            <w:r w:rsidRPr="00781A6F">
              <w:rPr>
                <w:rFonts w:ascii="Verdana" w:hAnsi="Verdana"/>
                <w:sz w:val="18"/>
                <w:szCs w:val="18"/>
              </w:rPr>
              <w:t xml:space="preserve"> en de versterking van de marktstabiliteitsreserve</w:t>
            </w:r>
            <w:r w:rsidRPr="00781A6F" w:rsidR="00D72E01">
              <w:rPr>
                <w:rFonts w:ascii="Verdana" w:hAnsi="Verdana"/>
                <w:sz w:val="18"/>
                <w:szCs w:val="18"/>
              </w:rPr>
              <w:t xml:space="preserve"> graag tegemoet</w:t>
            </w:r>
            <w:r w:rsidRPr="00781A6F">
              <w:rPr>
                <w:rFonts w:ascii="Verdana" w:hAnsi="Verdana"/>
                <w:sz w:val="18"/>
                <w:szCs w:val="18"/>
              </w:rPr>
              <w:t xml:space="preserve">. </w:t>
            </w:r>
            <w:r w:rsidRPr="00781A6F" w:rsidR="00320B91">
              <w:rPr>
                <w:rFonts w:ascii="Verdana" w:hAnsi="Verdana"/>
                <w:sz w:val="18"/>
                <w:szCs w:val="18"/>
              </w:rPr>
              <w:t>Het kabinet</w:t>
            </w:r>
            <w:r w:rsidRPr="00781A6F">
              <w:rPr>
                <w:rFonts w:ascii="Verdana" w:hAnsi="Verdana"/>
                <w:sz w:val="18"/>
                <w:szCs w:val="18"/>
              </w:rPr>
              <w:t xml:space="preserve"> zet in op een robuust, transparant en goed functionerend emissiehandelssysteem dat bijdraagt aan een kosteneffectieve route naar klimaatneutraliteit.</w:t>
            </w:r>
          </w:p>
        </w:tc>
        <w:tc>
          <w:tcPr>
            <w:tcW w:w="1985" w:type="dxa"/>
          </w:tcPr>
          <w:p w:rsidRPr="00781A6F" w:rsidR="008D7270" w:rsidP="00781A6F" w:rsidRDefault="008D7270" w14:paraId="0D1ACBD3" w14:textId="53029570">
            <w:pPr>
              <w:rPr>
                <w:rFonts w:ascii="Verdana" w:hAnsi="Verdana" w:cstheme="minorBidi"/>
                <w:color w:val="000000"/>
                <w:sz w:val="18"/>
                <w:szCs w:val="18"/>
                <w:lang w:val="en-US"/>
              </w:rPr>
            </w:pPr>
            <w:proofErr w:type="spellStart"/>
            <w:r w:rsidRPr="00781A6F">
              <w:rPr>
                <w:rFonts w:ascii="Verdana" w:hAnsi="Verdana"/>
                <w:color w:val="000000"/>
                <w:sz w:val="18"/>
                <w:szCs w:val="18"/>
                <w:lang w:val="en-US"/>
              </w:rPr>
              <w:t>Wetgevend</w:t>
            </w:r>
            <w:proofErr w:type="spellEnd"/>
          </w:p>
        </w:tc>
      </w:tr>
      <w:tr w:rsidRPr="00781A6F" w:rsidR="0023156F" w:rsidTr="007766E6" w14:paraId="1773B92C" w14:textId="77777777">
        <w:trPr>
          <w:trHeight w:val="895"/>
        </w:trPr>
        <w:tc>
          <w:tcPr>
            <w:tcW w:w="567" w:type="dxa"/>
          </w:tcPr>
          <w:p w:rsidRPr="00781A6F" w:rsidR="0023156F" w:rsidP="00781A6F" w:rsidRDefault="00781A6F" w14:paraId="42C34234" w14:textId="20B48BA7">
            <w:pPr>
              <w:rPr>
                <w:rFonts w:ascii="Verdana" w:hAnsi="Verdana" w:eastAsia="Times New Roman"/>
                <w:sz w:val="18"/>
                <w:szCs w:val="18"/>
              </w:rPr>
            </w:pPr>
            <w:r w:rsidRPr="00781A6F">
              <w:rPr>
                <w:rFonts w:ascii="Verdana" w:hAnsi="Verdana" w:eastAsia="Times New Roman"/>
                <w:sz w:val="18"/>
                <w:szCs w:val="18"/>
              </w:rPr>
              <w:t>20</w:t>
            </w:r>
            <w:r w:rsidRPr="00781A6F" w:rsidR="0023156F">
              <w:rPr>
                <w:rFonts w:ascii="Verdana" w:hAnsi="Verdana" w:eastAsia="Times New Roman"/>
                <w:sz w:val="18"/>
                <w:szCs w:val="18"/>
              </w:rPr>
              <w:t>.</w:t>
            </w:r>
          </w:p>
        </w:tc>
        <w:tc>
          <w:tcPr>
            <w:tcW w:w="2694" w:type="dxa"/>
          </w:tcPr>
          <w:p w:rsidRPr="00781A6F" w:rsidR="0023156F" w:rsidP="00781A6F" w:rsidRDefault="004C1646" w14:paraId="57CFA76C" w14:textId="51BFC7EF">
            <w:pPr>
              <w:rPr>
                <w:rFonts w:ascii="Verdana" w:hAnsi="Verdana" w:eastAsia="Times New Roman"/>
                <w:sz w:val="18"/>
                <w:szCs w:val="18"/>
              </w:rPr>
            </w:pPr>
            <w:r w:rsidRPr="00781A6F">
              <w:rPr>
                <w:rFonts w:ascii="Verdana" w:hAnsi="Verdana" w:eastAsia="Times New Roman"/>
                <w:sz w:val="18"/>
                <w:szCs w:val="18"/>
              </w:rPr>
              <w:t xml:space="preserve">Europees geïntegreerd kader voor klimaatbestendigheid </w:t>
            </w:r>
            <w:r w:rsidRPr="00781A6F" w:rsidR="0023156F">
              <w:rPr>
                <w:rFonts w:ascii="Verdana" w:hAnsi="Verdana" w:eastAsia="Times New Roman"/>
                <w:sz w:val="18"/>
                <w:szCs w:val="18"/>
              </w:rPr>
              <w:t>(Q4 2026)</w:t>
            </w:r>
          </w:p>
        </w:tc>
        <w:tc>
          <w:tcPr>
            <w:tcW w:w="4394" w:type="dxa"/>
          </w:tcPr>
          <w:p w:rsidRPr="00781A6F" w:rsidR="0023156F" w:rsidP="00781A6F" w:rsidRDefault="0023156F" w14:paraId="5456AE9A" w14:textId="2AE9AB23">
            <w:pPr>
              <w:rPr>
                <w:rFonts w:ascii="Verdana" w:hAnsi="Verdana"/>
                <w:sz w:val="18"/>
                <w:szCs w:val="18"/>
              </w:rPr>
            </w:pPr>
            <w:r w:rsidRPr="00781A6F">
              <w:rPr>
                <w:rFonts w:ascii="Verdana" w:hAnsi="Verdana"/>
                <w:sz w:val="18"/>
                <w:szCs w:val="18"/>
              </w:rPr>
              <w:t xml:space="preserve">De </w:t>
            </w:r>
            <w:r w:rsidRPr="00781A6F" w:rsidR="006B0323">
              <w:rPr>
                <w:rFonts w:ascii="Verdana" w:hAnsi="Verdana"/>
                <w:sz w:val="18"/>
                <w:szCs w:val="18"/>
              </w:rPr>
              <w:t>Commissie</w:t>
            </w:r>
            <w:r w:rsidRPr="00781A6F">
              <w:rPr>
                <w:rFonts w:ascii="Verdana" w:hAnsi="Verdana"/>
                <w:sz w:val="18"/>
                <w:szCs w:val="18"/>
              </w:rPr>
              <w:t xml:space="preserve"> is voornemens een breed integraal kader en actieplan te publiceren, gericht op ondersteuning van de EU-lidstaten bij het vergroten van hun weerbaarheid op het gebied van klimaatverandering.</w:t>
            </w:r>
            <w:r w:rsidRPr="00781A6F" w:rsidR="003613A5">
              <w:rPr>
                <w:rFonts w:ascii="Verdana" w:hAnsi="Verdana"/>
                <w:sz w:val="18"/>
                <w:szCs w:val="18"/>
              </w:rPr>
              <w:t xml:space="preserve"> </w:t>
            </w:r>
            <w:r w:rsidRPr="00781A6F">
              <w:rPr>
                <w:rFonts w:ascii="Verdana" w:hAnsi="Verdana"/>
                <w:sz w:val="18"/>
                <w:szCs w:val="18"/>
              </w:rPr>
              <w:t xml:space="preserve">De Commissie wil </w:t>
            </w:r>
            <w:r w:rsidRPr="00781A6F" w:rsidR="003613A5">
              <w:rPr>
                <w:rFonts w:ascii="Verdana" w:hAnsi="Verdana"/>
                <w:sz w:val="18"/>
                <w:szCs w:val="18"/>
              </w:rPr>
              <w:t xml:space="preserve">daarbij </w:t>
            </w:r>
            <w:r w:rsidRPr="00781A6F">
              <w:rPr>
                <w:rFonts w:ascii="Verdana" w:hAnsi="Verdana"/>
                <w:sz w:val="18"/>
                <w:szCs w:val="18"/>
              </w:rPr>
              <w:t xml:space="preserve">inzetten op een grotere paraatheid, het baseren van beleid en uitvoering op wetenschappelijk onderbouwde risicobeoordelingen en meer </w:t>
            </w:r>
            <w:r w:rsidRPr="00781A6F">
              <w:rPr>
                <w:rFonts w:ascii="Verdana" w:hAnsi="Verdana"/>
                <w:sz w:val="18"/>
                <w:szCs w:val="18"/>
              </w:rPr>
              <w:lastRenderedPageBreak/>
              <w:t>grensoverschrijdende samenwerking. Het voornemen bouwt daarmee voort op de Europese Klimaatrisico Analyse uit 2024 en de Mededeling van de Commissie betreffende beheersing van klimaatrisico’s</w:t>
            </w:r>
            <w:r w:rsidRPr="00781A6F" w:rsidR="003613A5">
              <w:rPr>
                <w:rFonts w:ascii="Verdana" w:hAnsi="Verdana"/>
                <w:sz w:val="18"/>
                <w:szCs w:val="18"/>
              </w:rPr>
              <w:t>.</w:t>
            </w:r>
            <w:r w:rsidRPr="00781A6F" w:rsidR="003613A5">
              <w:rPr>
                <w:rStyle w:val="FootnoteReference"/>
                <w:rFonts w:ascii="Verdana" w:hAnsi="Verdana"/>
                <w:sz w:val="18"/>
                <w:szCs w:val="18"/>
              </w:rPr>
              <w:footnoteReference w:id="7"/>
            </w:r>
          </w:p>
        </w:tc>
        <w:tc>
          <w:tcPr>
            <w:tcW w:w="5953" w:type="dxa"/>
          </w:tcPr>
          <w:p w:rsidRPr="00781A6F" w:rsidR="0023156F" w:rsidP="00781A6F" w:rsidRDefault="0023156F" w14:paraId="1C753804" w14:textId="6AAC5231">
            <w:pPr>
              <w:rPr>
                <w:rFonts w:ascii="Verdana" w:hAnsi="Verdana"/>
                <w:sz w:val="18"/>
                <w:szCs w:val="18"/>
              </w:rPr>
            </w:pPr>
            <w:r w:rsidRPr="00781A6F">
              <w:rPr>
                <w:rFonts w:ascii="Verdana" w:hAnsi="Verdana"/>
                <w:sz w:val="18"/>
                <w:szCs w:val="18"/>
              </w:rPr>
              <w:lastRenderedPageBreak/>
              <w:t xml:space="preserve">Het kabinet verwelkomt de inspanningen van de </w:t>
            </w:r>
            <w:r w:rsidRPr="00781A6F" w:rsidR="006B0323">
              <w:rPr>
                <w:rFonts w:ascii="Verdana" w:hAnsi="Verdana"/>
                <w:sz w:val="18"/>
                <w:szCs w:val="18"/>
              </w:rPr>
              <w:t>Commissie</w:t>
            </w:r>
            <w:r w:rsidRPr="00781A6F">
              <w:rPr>
                <w:rFonts w:ascii="Verdana" w:hAnsi="Verdana"/>
                <w:sz w:val="18"/>
                <w:szCs w:val="18"/>
              </w:rPr>
              <w:t xml:space="preserve"> om de EU en haar lidstaten beter bestand te maken </w:t>
            </w:r>
            <w:r w:rsidRPr="00781A6F" w:rsidR="003613A5">
              <w:rPr>
                <w:rFonts w:ascii="Verdana" w:hAnsi="Verdana"/>
                <w:sz w:val="18"/>
                <w:szCs w:val="18"/>
              </w:rPr>
              <w:t xml:space="preserve">tegen de risico’s </w:t>
            </w:r>
            <w:r w:rsidRPr="00781A6F">
              <w:rPr>
                <w:rFonts w:ascii="Verdana" w:hAnsi="Verdana"/>
                <w:sz w:val="18"/>
                <w:szCs w:val="18"/>
              </w:rPr>
              <w:t xml:space="preserve">die veranderingen in het klimaat met zich mee brengt. Het kabinet verwelkomt daarbij in het bijzonder dat de Commissie daarbij zoekt naar oplossingen die gelijktijdig de concurrentiepositie van de EU vergroten. Het kabinet blijft er wel scherp op letten dat het mogelijk blijft rekening te houden met locatie specifieke omstandigheden, aangezien klimaatadaptatie veelal lokaal maatwerk vereist. Daarnaast zal </w:t>
            </w:r>
            <w:r w:rsidRPr="00781A6F">
              <w:rPr>
                <w:rFonts w:ascii="Verdana" w:hAnsi="Verdana"/>
                <w:sz w:val="18"/>
                <w:szCs w:val="18"/>
              </w:rPr>
              <w:lastRenderedPageBreak/>
              <w:t>het kabinet inzetten op vermindering van de administratieve lasten, met name waar het de rapportage aan de EU betreft.</w:t>
            </w:r>
          </w:p>
        </w:tc>
        <w:tc>
          <w:tcPr>
            <w:tcW w:w="1985" w:type="dxa"/>
          </w:tcPr>
          <w:p w:rsidRPr="00781A6F" w:rsidR="0023156F" w:rsidP="00781A6F" w:rsidRDefault="0023156F" w14:paraId="57F2C4C6" w14:textId="26F68914">
            <w:pPr>
              <w:rPr>
                <w:rFonts w:ascii="Verdana" w:hAnsi="Verdana" w:cstheme="minorBidi"/>
                <w:color w:val="000000"/>
                <w:sz w:val="18"/>
                <w:szCs w:val="18"/>
                <w:lang w:val="en-US"/>
              </w:rPr>
            </w:pPr>
            <w:proofErr w:type="spellStart"/>
            <w:r w:rsidRPr="00781A6F">
              <w:rPr>
                <w:rFonts w:ascii="Verdana" w:hAnsi="Verdana"/>
                <w:color w:val="000000"/>
                <w:sz w:val="18"/>
                <w:szCs w:val="18"/>
                <w:lang w:val="en-US"/>
              </w:rPr>
              <w:lastRenderedPageBreak/>
              <w:t>Wetgevend</w:t>
            </w:r>
            <w:proofErr w:type="spellEnd"/>
            <w:r w:rsidRPr="00781A6F">
              <w:rPr>
                <w:rFonts w:ascii="Verdana" w:hAnsi="Verdana"/>
                <w:color w:val="000000"/>
                <w:sz w:val="18"/>
                <w:szCs w:val="18"/>
                <w:lang w:val="en-US"/>
              </w:rPr>
              <w:t xml:space="preserve"> en </w:t>
            </w:r>
            <w:proofErr w:type="spellStart"/>
            <w:r w:rsidRPr="00781A6F">
              <w:rPr>
                <w:rFonts w:ascii="Verdana" w:hAnsi="Verdana"/>
                <w:color w:val="000000"/>
                <w:sz w:val="18"/>
                <w:szCs w:val="18"/>
                <w:lang w:val="en-US"/>
              </w:rPr>
              <w:t>Niet-wetgevend</w:t>
            </w:r>
            <w:proofErr w:type="spellEnd"/>
          </w:p>
        </w:tc>
      </w:tr>
      <w:tr w:rsidRPr="00781A6F" w:rsidR="008D7270" w:rsidTr="007766E6" w14:paraId="0BF56751" w14:textId="77777777">
        <w:trPr>
          <w:trHeight w:val="895"/>
        </w:trPr>
        <w:tc>
          <w:tcPr>
            <w:tcW w:w="567" w:type="dxa"/>
          </w:tcPr>
          <w:p w:rsidRPr="00781A6F" w:rsidR="008D7270" w:rsidP="00781A6F" w:rsidRDefault="00781A6F" w14:paraId="455073DA" w14:textId="2ADE6A68">
            <w:pPr>
              <w:rPr>
                <w:rFonts w:ascii="Verdana" w:hAnsi="Verdana" w:eastAsia="Times New Roman"/>
                <w:sz w:val="18"/>
                <w:szCs w:val="18"/>
              </w:rPr>
            </w:pPr>
            <w:r w:rsidRPr="00781A6F">
              <w:rPr>
                <w:rFonts w:ascii="Verdana" w:hAnsi="Verdana" w:eastAsia="Times New Roman"/>
                <w:sz w:val="18"/>
                <w:szCs w:val="18"/>
              </w:rPr>
              <w:t>21</w:t>
            </w:r>
            <w:r w:rsidRPr="00781A6F" w:rsidR="008D7270">
              <w:rPr>
                <w:rFonts w:ascii="Verdana" w:hAnsi="Verdana" w:eastAsia="Times New Roman"/>
                <w:sz w:val="18"/>
                <w:szCs w:val="18"/>
              </w:rPr>
              <w:t>.</w:t>
            </w:r>
          </w:p>
        </w:tc>
        <w:tc>
          <w:tcPr>
            <w:tcW w:w="2694" w:type="dxa"/>
          </w:tcPr>
          <w:p w:rsidRPr="00781A6F" w:rsidR="008D7270" w:rsidP="00781A6F" w:rsidRDefault="004C1646" w14:paraId="3A7957A6" w14:textId="6867C264">
            <w:pPr>
              <w:rPr>
                <w:rFonts w:ascii="Verdana" w:hAnsi="Verdana" w:eastAsia="Times New Roman"/>
                <w:sz w:val="18"/>
                <w:szCs w:val="18"/>
              </w:rPr>
            </w:pPr>
            <w:r w:rsidRPr="00781A6F">
              <w:rPr>
                <w:rFonts w:ascii="Verdana" w:hAnsi="Verdana" w:eastAsia="Times New Roman"/>
                <w:sz w:val="18"/>
                <w:szCs w:val="18"/>
              </w:rPr>
              <w:t xml:space="preserve">Europese strategie voor duurzaam toerisme </w:t>
            </w:r>
            <w:r w:rsidRPr="00781A6F" w:rsidR="008D7270">
              <w:rPr>
                <w:rFonts w:ascii="Verdana" w:hAnsi="Verdana" w:eastAsia="Times New Roman"/>
                <w:sz w:val="18"/>
                <w:szCs w:val="18"/>
              </w:rPr>
              <w:t>(Q2 2026)</w:t>
            </w:r>
          </w:p>
        </w:tc>
        <w:tc>
          <w:tcPr>
            <w:tcW w:w="4394" w:type="dxa"/>
          </w:tcPr>
          <w:p w:rsidRPr="00781A6F" w:rsidR="008D7270" w:rsidP="00781A6F" w:rsidRDefault="003613A5" w14:paraId="5C2452E5" w14:textId="19D6A5E6">
            <w:pPr>
              <w:rPr>
                <w:rFonts w:ascii="Verdana" w:hAnsi="Verdana"/>
                <w:sz w:val="18"/>
                <w:szCs w:val="18"/>
              </w:rPr>
            </w:pPr>
            <w:r w:rsidRPr="00781A6F">
              <w:rPr>
                <w:rFonts w:ascii="Verdana" w:hAnsi="Verdana"/>
                <w:sz w:val="18"/>
                <w:szCs w:val="18"/>
              </w:rPr>
              <w:t xml:space="preserve">De </w:t>
            </w:r>
            <w:r w:rsidRPr="00781A6F" w:rsidR="006B0323">
              <w:rPr>
                <w:rFonts w:ascii="Verdana" w:hAnsi="Verdana"/>
                <w:sz w:val="18"/>
                <w:szCs w:val="18"/>
              </w:rPr>
              <w:t>Commissie</w:t>
            </w:r>
            <w:r w:rsidRPr="00781A6F">
              <w:rPr>
                <w:rFonts w:ascii="Verdana" w:hAnsi="Verdana"/>
                <w:sz w:val="18"/>
                <w:szCs w:val="18"/>
              </w:rPr>
              <w:t xml:space="preserve"> is voornemens een Europese strategie</w:t>
            </w:r>
            <w:r w:rsidRPr="00781A6F" w:rsidR="008D7270">
              <w:rPr>
                <w:rFonts w:ascii="Verdana" w:hAnsi="Verdana"/>
                <w:sz w:val="18"/>
                <w:szCs w:val="18"/>
              </w:rPr>
              <w:t xml:space="preserve"> </w:t>
            </w:r>
            <w:r w:rsidRPr="00781A6F">
              <w:rPr>
                <w:rFonts w:ascii="Verdana" w:hAnsi="Verdana"/>
                <w:sz w:val="18"/>
                <w:szCs w:val="18"/>
              </w:rPr>
              <w:t xml:space="preserve">te publiceren om </w:t>
            </w:r>
            <w:r w:rsidRPr="00781A6F" w:rsidR="008D7270">
              <w:rPr>
                <w:rFonts w:ascii="Verdana" w:hAnsi="Verdana"/>
                <w:sz w:val="18"/>
                <w:szCs w:val="18"/>
              </w:rPr>
              <w:t>duurzaam toerisme</w:t>
            </w:r>
            <w:r w:rsidRPr="00781A6F">
              <w:rPr>
                <w:rFonts w:ascii="Verdana" w:hAnsi="Verdana"/>
                <w:sz w:val="18"/>
                <w:szCs w:val="18"/>
              </w:rPr>
              <w:t xml:space="preserve"> in de lidstaten aan te jagen</w:t>
            </w:r>
            <w:r w:rsidRPr="00781A6F" w:rsidR="008D7270">
              <w:rPr>
                <w:rFonts w:ascii="Verdana" w:hAnsi="Verdana"/>
                <w:sz w:val="18"/>
                <w:szCs w:val="18"/>
              </w:rPr>
              <w:t xml:space="preserve">. </w:t>
            </w:r>
          </w:p>
        </w:tc>
        <w:tc>
          <w:tcPr>
            <w:tcW w:w="5953" w:type="dxa"/>
          </w:tcPr>
          <w:p w:rsidRPr="00781A6F" w:rsidR="008D7270" w:rsidP="00781A6F" w:rsidRDefault="008D7270" w14:paraId="788D01FD" w14:textId="5964C974">
            <w:pPr>
              <w:rPr>
                <w:rFonts w:ascii="Verdana" w:hAnsi="Verdana"/>
                <w:sz w:val="18"/>
                <w:szCs w:val="18"/>
              </w:rPr>
            </w:pPr>
            <w:r w:rsidRPr="00781A6F">
              <w:rPr>
                <w:rFonts w:ascii="Verdana" w:hAnsi="Verdana"/>
                <w:sz w:val="18"/>
                <w:szCs w:val="18"/>
              </w:rPr>
              <w:t xml:space="preserve">Het kabinet </w:t>
            </w:r>
            <w:r w:rsidRPr="00781A6F" w:rsidR="00702608">
              <w:rPr>
                <w:rFonts w:ascii="Verdana" w:hAnsi="Verdana" w:eastAsia="Aptos" w:cs="Aptos"/>
                <w:sz w:val="18"/>
                <w:szCs w:val="18"/>
              </w:rPr>
              <w:t xml:space="preserve">kijkt uit naar </w:t>
            </w:r>
            <w:r w:rsidRPr="00781A6F">
              <w:rPr>
                <w:rFonts w:ascii="Verdana" w:hAnsi="Verdana"/>
                <w:sz w:val="18"/>
                <w:szCs w:val="18"/>
              </w:rPr>
              <w:t xml:space="preserve">de strategie. De </w:t>
            </w:r>
            <w:r w:rsidRPr="00781A6F" w:rsidR="003613A5">
              <w:rPr>
                <w:rFonts w:ascii="Verdana" w:hAnsi="Verdana"/>
                <w:sz w:val="18"/>
                <w:szCs w:val="18"/>
              </w:rPr>
              <w:t>prioriteiten</w:t>
            </w:r>
            <w:r w:rsidRPr="00781A6F">
              <w:rPr>
                <w:rFonts w:ascii="Verdana" w:hAnsi="Verdana"/>
                <w:sz w:val="18"/>
                <w:szCs w:val="18"/>
              </w:rPr>
              <w:t xml:space="preserve"> uit de strategie zijn in lijn met de prioriteiten </w:t>
            </w:r>
            <w:r w:rsidRPr="00781A6F" w:rsidR="00320B91">
              <w:rPr>
                <w:rFonts w:ascii="Verdana" w:hAnsi="Verdana"/>
                <w:sz w:val="18"/>
                <w:szCs w:val="18"/>
              </w:rPr>
              <w:t xml:space="preserve">van het kabinet </w:t>
            </w:r>
            <w:r w:rsidRPr="00781A6F">
              <w:rPr>
                <w:rFonts w:ascii="Verdana" w:hAnsi="Verdana"/>
                <w:sz w:val="18"/>
                <w:szCs w:val="18"/>
              </w:rPr>
              <w:t xml:space="preserve">voor duurzaam </w:t>
            </w:r>
            <w:r w:rsidRPr="00781A6F" w:rsidR="003613A5">
              <w:rPr>
                <w:rFonts w:ascii="Verdana" w:hAnsi="Verdana"/>
                <w:sz w:val="18"/>
                <w:szCs w:val="18"/>
              </w:rPr>
              <w:t>toerisme</w:t>
            </w:r>
            <w:r w:rsidRPr="00781A6F">
              <w:rPr>
                <w:rFonts w:ascii="Verdana" w:hAnsi="Verdana"/>
                <w:sz w:val="18"/>
                <w:szCs w:val="18"/>
              </w:rPr>
              <w:t xml:space="preserve">. </w:t>
            </w:r>
          </w:p>
        </w:tc>
        <w:tc>
          <w:tcPr>
            <w:tcW w:w="1985" w:type="dxa"/>
          </w:tcPr>
          <w:p w:rsidRPr="00781A6F" w:rsidR="008D7270" w:rsidP="00781A6F" w:rsidRDefault="008D7270" w14:paraId="54924F34" w14:textId="4A237E57">
            <w:pPr>
              <w:rPr>
                <w:rFonts w:ascii="Verdana" w:hAnsi="Verdana" w:cstheme="minorBidi"/>
                <w:color w:val="000000"/>
                <w:sz w:val="18"/>
                <w:szCs w:val="18"/>
                <w:lang w:val="en-US"/>
              </w:rPr>
            </w:pPr>
            <w:proofErr w:type="spellStart"/>
            <w:r w:rsidRPr="00781A6F">
              <w:rPr>
                <w:rFonts w:ascii="Verdana" w:hAnsi="Verdana"/>
                <w:color w:val="000000"/>
                <w:sz w:val="18"/>
                <w:szCs w:val="18"/>
                <w:lang w:val="en-US"/>
              </w:rPr>
              <w:t>Niet-wetgevend</w:t>
            </w:r>
            <w:proofErr w:type="spellEnd"/>
          </w:p>
        </w:tc>
      </w:tr>
      <w:tr w:rsidRPr="00781A6F" w:rsidR="001414E1" w:rsidTr="007766E6" w14:paraId="26116EB7" w14:textId="77777777">
        <w:trPr>
          <w:trHeight w:val="895"/>
        </w:trPr>
        <w:tc>
          <w:tcPr>
            <w:tcW w:w="567" w:type="dxa"/>
          </w:tcPr>
          <w:p w:rsidRPr="00781A6F" w:rsidR="001414E1" w:rsidP="00781A6F" w:rsidRDefault="00781A6F" w14:paraId="0187CDC2" w14:textId="138E9900">
            <w:pPr>
              <w:rPr>
                <w:rFonts w:ascii="Verdana" w:hAnsi="Verdana" w:eastAsia="Times New Roman"/>
                <w:sz w:val="18"/>
                <w:szCs w:val="18"/>
              </w:rPr>
            </w:pPr>
            <w:r w:rsidRPr="00781A6F">
              <w:rPr>
                <w:rFonts w:ascii="Verdana" w:hAnsi="Verdana" w:eastAsia="Times New Roman"/>
                <w:sz w:val="18"/>
                <w:szCs w:val="18"/>
              </w:rPr>
              <w:t>22</w:t>
            </w:r>
            <w:r w:rsidRPr="00781A6F" w:rsidR="001414E1">
              <w:rPr>
                <w:rFonts w:ascii="Verdana" w:hAnsi="Verdana" w:eastAsia="Times New Roman"/>
                <w:sz w:val="18"/>
                <w:szCs w:val="18"/>
              </w:rPr>
              <w:t>.</w:t>
            </w:r>
          </w:p>
        </w:tc>
        <w:tc>
          <w:tcPr>
            <w:tcW w:w="2694" w:type="dxa"/>
          </w:tcPr>
          <w:p w:rsidRPr="00781A6F" w:rsidR="001414E1" w:rsidP="00781A6F" w:rsidRDefault="004C1646" w14:paraId="51ED47CB" w14:textId="309A3B8C">
            <w:pPr>
              <w:rPr>
                <w:rFonts w:ascii="Verdana" w:hAnsi="Verdana" w:eastAsia="Times New Roman"/>
                <w:sz w:val="18"/>
                <w:szCs w:val="18"/>
                <w:lang w:val="en-US"/>
              </w:rPr>
            </w:pPr>
            <w:r w:rsidRPr="00781A6F">
              <w:rPr>
                <w:rFonts w:ascii="Verdana" w:hAnsi="Verdana" w:eastAsia="Times New Roman"/>
                <w:sz w:val="18"/>
                <w:szCs w:val="18"/>
                <w:lang w:val="en-US"/>
              </w:rPr>
              <w:t xml:space="preserve">Omnibus over </w:t>
            </w:r>
            <w:proofErr w:type="spellStart"/>
            <w:r w:rsidRPr="00781A6F">
              <w:rPr>
                <w:rFonts w:ascii="Verdana" w:hAnsi="Verdana" w:eastAsia="Times New Roman"/>
                <w:sz w:val="18"/>
                <w:szCs w:val="18"/>
                <w:lang w:val="en-US"/>
              </w:rPr>
              <w:t>belastingen</w:t>
            </w:r>
            <w:proofErr w:type="spellEnd"/>
            <w:r w:rsidRPr="00781A6F">
              <w:rPr>
                <w:rFonts w:ascii="Verdana" w:hAnsi="Verdana" w:eastAsia="Times New Roman"/>
                <w:sz w:val="18"/>
                <w:szCs w:val="18"/>
                <w:lang w:val="en-US"/>
              </w:rPr>
              <w:t xml:space="preserve"> </w:t>
            </w:r>
            <w:r w:rsidRPr="00781A6F" w:rsidR="001414E1">
              <w:rPr>
                <w:rFonts w:ascii="Verdana" w:hAnsi="Verdana" w:eastAsia="Times New Roman"/>
                <w:sz w:val="18"/>
                <w:szCs w:val="18"/>
                <w:lang w:val="en-US"/>
              </w:rPr>
              <w:t>(Q2 2026)</w:t>
            </w:r>
          </w:p>
        </w:tc>
        <w:tc>
          <w:tcPr>
            <w:tcW w:w="4394" w:type="dxa"/>
          </w:tcPr>
          <w:p w:rsidRPr="00781A6F" w:rsidR="001414E1" w:rsidP="00781A6F" w:rsidRDefault="001414E1" w14:paraId="16E8190E" w14:textId="584CEC2E">
            <w:pPr>
              <w:rPr>
                <w:rFonts w:ascii="Verdana" w:hAnsi="Verdana"/>
                <w:sz w:val="18"/>
                <w:szCs w:val="18"/>
              </w:rPr>
            </w:pPr>
            <w:r w:rsidRPr="00781A6F">
              <w:rPr>
                <w:rFonts w:ascii="Verdana" w:hAnsi="Verdana"/>
                <w:sz w:val="18"/>
                <w:szCs w:val="18"/>
              </w:rPr>
              <w:t xml:space="preserve">In het kader van de versterking van het concurrentievermogen van de EU is de </w:t>
            </w:r>
            <w:r w:rsidRPr="00781A6F" w:rsidR="006B0323">
              <w:rPr>
                <w:rFonts w:ascii="Verdana" w:hAnsi="Verdana"/>
                <w:sz w:val="18"/>
                <w:szCs w:val="18"/>
              </w:rPr>
              <w:t>Commissie</w:t>
            </w:r>
            <w:r w:rsidRPr="00781A6F">
              <w:rPr>
                <w:rFonts w:ascii="Verdana" w:hAnsi="Verdana"/>
                <w:sz w:val="18"/>
                <w:szCs w:val="18"/>
              </w:rPr>
              <w:t xml:space="preserve"> over de gehele linie bezig om te bezien of de huidige EU wetgeving versimpeld kan worden. Deze beoordeling vindt ook plaats t</w:t>
            </w:r>
            <w:r w:rsidRPr="00781A6F" w:rsidR="003613A5">
              <w:rPr>
                <w:rFonts w:ascii="Verdana" w:hAnsi="Verdana"/>
                <w:sz w:val="18"/>
                <w:szCs w:val="18"/>
              </w:rPr>
              <w:t>.</w:t>
            </w:r>
            <w:r w:rsidRPr="00781A6F">
              <w:rPr>
                <w:rFonts w:ascii="Verdana" w:hAnsi="Verdana"/>
                <w:sz w:val="18"/>
                <w:szCs w:val="18"/>
              </w:rPr>
              <w:t>a</w:t>
            </w:r>
            <w:r w:rsidRPr="00781A6F" w:rsidR="003613A5">
              <w:rPr>
                <w:rFonts w:ascii="Verdana" w:hAnsi="Verdana"/>
                <w:sz w:val="18"/>
                <w:szCs w:val="18"/>
              </w:rPr>
              <w:t>.</w:t>
            </w:r>
            <w:r w:rsidRPr="00781A6F">
              <w:rPr>
                <w:rFonts w:ascii="Verdana" w:hAnsi="Verdana"/>
                <w:sz w:val="18"/>
                <w:szCs w:val="18"/>
              </w:rPr>
              <w:t>v</w:t>
            </w:r>
            <w:r w:rsidRPr="00781A6F" w:rsidR="003613A5">
              <w:rPr>
                <w:rFonts w:ascii="Verdana" w:hAnsi="Verdana"/>
                <w:sz w:val="18"/>
                <w:szCs w:val="18"/>
              </w:rPr>
              <w:t>.</w:t>
            </w:r>
            <w:r w:rsidRPr="00781A6F">
              <w:rPr>
                <w:rFonts w:ascii="Verdana" w:hAnsi="Verdana"/>
                <w:sz w:val="18"/>
                <w:szCs w:val="18"/>
              </w:rPr>
              <w:t xml:space="preserve"> de huidige fiscale richtlijnen, bijvoorbeeld op het gebied van informatie-uitwisseling en de bestrijding van fiscaal misbruik. De versimpelings</w:t>
            </w:r>
            <w:r w:rsidRPr="00781A6F" w:rsidR="003613A5">
              <w:rPr>
                <w:rFonts w:ascii="Verdana" w:hAnsi="Verdana"/>
                <w:sz w:val="18"/>
                <w:szCs w:val="18"/>
              </w:rPr>
              <w:t>-</w:t>
            </w:r>
            <w:r w:rsidRPr="00781A6F">
              <w:rPr>
                <w:rFonts w:ascii="Verdana" w:hAnsi="Verdana"/>
                <w:sz w:val="18"/>
                <w:szCs w:val="18"/>
              </w:rPr>
              <w:t>voorstellen t</w:t>
            </w:r>
            <w:r w:rsidRPr="00781A6F" w:rsidR="003613A5">
              <w:rPr>
                <w:rFonts w:ascii="Verdana" w:hAnsi="Verdana"/>
                <w:sz w:val="18"/>
                <w:szCs w:val="18"/>
              </w:rPr>
              <w:t>.</w:t>
            </w:r>
            <w:r w:rsidRPr="00781A6F">
              <w:rPr>
                <w:rFonts w:ascii="Verdana" w:hAnsi="Verdana"/>
                <w:sz w:val="18"/>
                <w:szCs w:val="18"/>
              </w:rPr>
              <w:t>a</w:t>
            </w:r>
            <w:r w:rsidRPr="00781A6F" w:rsidR="003613A5">
              <w:rPr>
                <w:rFonts w:ascii="Verdana" w:hAnsi="Verdana"/>
                <w:sz w:val="18"/>
                <w:szCs w:val="18"/>
              </w:rPr>
              <w:t>.</w:t>
            </w:r>
            <w:r w:rsidRPr="00781A6F">
              <w:rPr>
                <w:rFonts w:ascii="Verdana" w:hAnsi="Verdana"/>
                <w:sz w:val="18"/>
                <w:szCs w:val="18"/>
              </w:rPr>
              <w:t>v</w:t>
            </w:r>
            <w:r w:rsidRPr="00781A6F" w:rsidR="003613A5">
              <w:rPr>
                <w:rFonts w:ascii="Verdana" w:hAnsi="Verdana"/>
                <w:sz w:val="18"/>
                <w:szCs w:val="18"/>
              </w:rPr>
              <w:t>.</w:t>
            </w:r>
            <w:r w:rsidRPr="00781A6F">
              <w:rPr>
                <w:rFonts w:ascii="Verdana" w:hAnsi="Verdana"/>
                <w:sz w:val="18"/>
                <w:szCs w:val="18"/>
              </w:rPr>
              <w:t xml:space="preserve"> al deze richtlijnen zullen in deze </w:t>
            </w:r>
            <w:r w:rsidRPr="00781A6F" w:rsidR="003613A5">
              <w:rPr>
                <w:rFonts w:ascii="Verdana" w:hAnsi="Verdana"/>
                <w:sz w:val="18"/>
                <w:szCs w:val="18"/>
              </w:rPr>
              <w:t>omnibus</w:t>
            </w:r>
            <w:r w:rsidRPr="00781A6F">
              <w:rPr>
                <w:rFonts w:ascii="Verdana" w:hAnsi="Verdana"/>
                <w:sz w:val="18"/>
                <w:szCs w:val="18"/>
              </w:rPr>
              <w:t xml:space="preserve"> gepubliceerd worden.  </w:t>
            </w:r>
          </w:p>
        </w:tc>
        <w:tc>
          <w:tcPr>
            <w:tcW w:w="5953" w:type="dxa"/>
          </w:tcPr>
          <w:p w:rsidRPr="00781A6F" w:rsidR="001414E1" w:rsidP="00781A6F" w:rsidRDefault="005871B2" w14:paraId="6115F903" w14:textId="66DC48B6">
            <w:pPr>
              <w:rPr>
                <w:rFonts w:ascii="Verdana" w:hAnsi="Verdana"/>
                <w:sz w:val="18"/>
                <w:szCs w:val="18"/>
              </w:rPr>
            </w:pPr>
            <w:r w:rsidRPr="00781A6F">
              <w:rPr>
                <w:rFonts w:ascii="Verdana" w:hAnsi="Verdana"/>
                <w:sz w:val="18"/>
                <w:szCs w:val="18"/>
              </w:rPr>
              <w:t xml:space="preserve">Het kabinet </w:t>
            </w:r>
            <w:r w:rsidRPr="00781A6F" w:rsidR="001414E1">
              <w:rPr>
                <w:rFonts w:ascii="Verdana" w:hAnsi="Verdana"/>
                <w:sz w:val="18"/>
                <w:szCs w:val="18"/>
              </w:rPr>
              <w:t>steunt het uitgangspunt om de bestaande regelgeving goed tegen het licht te houden</w:t>
            </w:r>
            <w:r w:rsidRPr="00781A6F" w:rsidR="003613A5">
              <w:rPr>
                <w:rFonts w:ascii="Verdana" w:hAnsi="Verdana"/>
                <w:sz w:val="18"/>
                <w:szCs w:val="18"/>
              </w:rPr>
              <w:t>,</w:t>
            </w:r>
            <w:r w:rsidRPr="00781A6F" w:rsidR="001414E1">
              <w:rPr>
                <w:rFonts w:ascii="Verdana" w:hAnsi="Verdana"/>
                <w:sz w:val="18"/>
                <w:szCs w:val="18"/>
              </w:rPr>
              <w:t xml:space="preserve"> deze </w:t>
            </w:r>
            <w:r w:rsidRPr="00781A6F" w:rsidR="003613A5">
              <w:rPr>
                <w:rFonts w:ascii="Verdana" w:hAnsi="Verdana"/>
                <w:sz w:val="18"/>
                <w:szCs w:val="18"/>
              </w:rPr>
              <w:t>efficiënter</w:t>
            </w:r>
            <w:r w:rsidRPr="00781A6F" w:rsidR="001414E1">
              <w:rPr>
                <w:rFonts w:ascii="Verdana" w:hAnsi="Verdana"/>
                <w:sz w:val="18"/>
                <w:szCs w:val="18"/>
              </w:rPr>
              <w:t xml:space="preserve"> te laten verlopen en meer aan te laten sluiten op de praktijk. Daarbij is van belang dat </w:t>
            </w:r>
            <w:r w:rsidRPr="00781A6F" w:rsidR="003613A5">
              <w:rPr>
                <w:rFonts w:ascii="Verdana" w:hAnsi="Verdana"/>
                <w:sz w:val="18"/>
                <w:szCs w:val="18"/>
              </w:rPr>
              <w:t xml:space="preserve">de </w:t>
            </w:r>
            <w:r w:rsidRPr="00781A6F" w:rsidR="001414E1">
              <w:rPr>
                <w:rFonts w:ascii="Verdana" w:hAnsi="Verdana"/>
                <w:sz w:val="18"/>
                <w:szCs w:val="18"/>
              </w:rPr>
              <w:t xml:space="preserve">doelstellingen van deze wetgeving, zoals bijvoorbeeld het tegengaan van belastingontwijking, niet uit het oog </w:t>
            </w:r>
            <w:r w:rsidRPr="00781A6F" w:rsidR="003613A5">
              <w:rPr>
                <w:rFonts w:ascii="Verdana" w:hAnsi="Verdana"/>
                <w:sz w:val="18"/>
                <w:szCs w:val="18"/>
              </w:rPr>
              <w:t>worden verloren</w:t>
            </w:r>
            <w:r w:rsidRPr="00781A6F" w:rsidR="001414E1">
              <w:rPr>
                <w:rFonts w:ascii="Verdana" w:hAnsi="Verdana"/>
                <w:sz w:val="18"/>
                <w:szCs w:val="18"/>
              </w:rPr>
              <w:t xml:space="preserve">. Het zal dus gaan om het vinden van de juiste balans. </w:t>
            </w:r>
          </w:p>
        </w:tc>
        <w:tc>
          <w:tcPr>
            <w:tcW w:w="1985" w:type="dxa"/>
          </w:tcPr>
          <w:p w:rsidRPr="00781A6F" w:rsidR="001414E1" w:rsidP="00781A6F" w:rsidRDefault="001414E1" w14:paraId="22FEDA82" w14:textId="5E447223">
            <w:pPr>
              <w:rPr>
                <w:rFonts w:ascii="Verdana" w:hAnsi="Verdana" w:cstheme="minorBidi"/>
                <w:color w:val="000000"/>
                <w:sz w:val="18"/>
                <w:szCs w:val="18"/>
                <w:lang w:val="en-US"/>
              </w:rPr>
            </w:pPr>
            <w:proofErr w:type="spellStart"/>
            <w:r w:rsidRPr="00781A6F">
              <w:rPr>
                <w:rFonts w:ascii="Verdana" w:hAnsi="Verdana"/>
                <w:color w:val="000000"/>
                <w:sz w:val="18"/>
                <w:szCs w:val="18"/>
                <w:lang w:val="en-US"/>
              </w:rPr>
              <w:t>Wetgevend</w:t>
            </w:r>
            <w:proofErr w:type="spellEnd"/>
          </w:p>
        </w:tc>
      </w:tr>
      <w:tr w:rsidRPr="00781A6F" w:rsidR="001414E1" w:rsidTr="007766E6" w14:paraId="557C43D5" w14:textId="77777777">
        <w:trPr>
          <w:trHeight w:val="725"/>
        </w:trPr>
        <w:tc>
          <w:tcPr>
            <w:tcW w:w="567" w:type="dxa"/>
          </w:tcPr>
          <w:p w:rsidRPr="00781A6F" w:rsidR="001414E1" w:rsidP="00781A6F" w:rsidRDefault="00781A6F" w14:paraId="4417AC1D" w14:textId="1D5B4A1C">
            <w:pPr>
              <w:rPr>
                <w:rFonts w:ascii="Verdana" w:hAnsi="Verdana" w:eastAsia="Times New Roman"/>
                <w:sz w:val="18"/>
                <w:szCs w:val="18"/>
              </w:rPr>
            </w:pPr>
            <w:r w:rsidRPr="00781A6F">
              <w:rPr>
                <w:rFonts w:ascii="Verdana" w:hAnsi="Verdana" w:eastAsia="Times New Roman"/>
                <w:sz w:val="18"/>
                <w:szCs w:val="18"/>
              </w:rPr>
              <w:t>23</w:t>
            </w:r>
            <w:r w:rsidRPr="00781A6F" w:rsidR="001414E1">
              <w:rPr>
                <w:rFonts w:ascii="Verdana" w:hAnsi="Verdana" w:eastAsia="Times New Roman"/>
                <w:sz w:val="18"/>
                <w:szCs w:val="18"/>
              </w:rPr>
              <w:t xml:space="preserve">. </w:t>
            </w:r>
          </w:p>
        </w:tc>
        <w:tc>
          <w:tcPr>
            <w:tcW w:w="2694" w:type="dxa"/>
          </w:tcPr>
          <w:p w:rsidRPr="00781A6F" w:rsidR="001414E1" w:rsidP="00781A6F" w:rsidRDefault="004C1646" w14:paraId="5B32BF62" w14:textId="7079AE0C">
            <w:pPr>
              <w:rPr>
                <w:rFonts w:ascii="Verdana" w:hAnsi="Verdana" w:eastAsia="Times New Roman"/>
                <w:sz w:val="18"/>
                <w:szCs w:val="18"/>
              </w:rPr>
            </w:pPr>
            <w:r w:rsidRPr="00781A6F">
              <w:rPr>
                <w:rFonts w:ascii="Verdana" w:hAnsi="Verdana" w:eastAsia="Times New Roman"/>
                <w:sz w:val="18"/>
                <w:szCs w:val="18"/>
              </w:rPr>
              <w:t xml:space="preserve">Actualisering van de regels inzake aandeelhoudersrechten </w:t>
            </w:r>
            <w:r w:rsidRPr="00781A6F" w:rsidR="001414E1">
              <w:rPr>
                <w:rFonts w:ascii="Verdana" w:hAnsi="Verdana" w:eastAsia="Times New Roman"/>
                <w:sz w:val="18"/>
                <w:szCs w:val="18"/>
              </w:rPr>
              <w:t>(Q4 2026)</w:t>
            </w:r>
          </w:p>
        </w:tc>
        <w:tc>
          <w:tcPr>
            <w:tcW w:w="4394" w:type="dxa"/>
          </w:tcPr>
          <w:p w:rsidRPr="00781A6F" w:rsidR="001414E1" w:rsidP="00781A6F" w:rsidRDefault="001414E1" w14:paraId="29C13E5C" w14:textId="1411AEA7">
            <w:pPr>
              <w:rPr>
                <w:rFonts w:ascii="Verdana" w:hAnsi="Verdana"/>
                <w:sz w:val="18"/>
                <w:szCs w:val="18"/>
              </w:rPr>
            </w:pPr>
            <w:r w:rsidRPr="00781A6F">
              <w:rPr>
                <w:rFonts w:ascii="Verdana" w:hAnsi="Verdana"/>
                <w:sz w:val="18"/>
                <w:szCs w:val="18"/>
              </w:rPr>
              <w:t xml:space="preserve">In het kader van de Kapitaalmarktunie beziet de </w:t>
            </w:r>
            <w:r w:rsidRPr="00781A6F" w:rsidR="006B0323">
              <w:rPr>
                <w:rFonts w:ascii="Verdana" w:hAnsi="Verdana"/>
                <w:sz w:val="18"/>
                <w:szCs w:val="18"/>
              </w:rPr>
              <w:t>Commissie</w:t>
            </w:r>
            <w:r w:rsidRPr="00781A6F">
              <w:rPr>
                <w:rFonts w:ascii="Verdana" w:hAnsi="Verdana"/>
                <w:sz w:val="18"/>
                <w:szCs w:val="18"/>
              </w:rPr>
              <w:t xml:space="preserve"> of belemmeringen voor grensoverschrijdend ondernemen en investeren kunnen worden weggenomen.</w:t>
            </w:r>
          </w:p>
          <w:p w:rsidRPr="00781A6F" w:rsidR="001414E1" w:rsidP="00781A6F" w:rsidRDefault="001414E1" w14:paraId="44E4ED31" w14:textId="5BBAD66F">
            <w:pPr>
              <w:rPr>
                <w:rFonts w:ascii="Verdana" w:hAnsi="Verdana"/>
                <w:sz w:val="18"/>
                <w:szCs w:val="18"/>
              </w:rPr>
            </w:pPr>
          </w:p>
        </w:tc>
        <w:tc>
          <w:tcPr>
            <w:tcW w:w="5953" w:type="dxa"/>
          </w:tcPr>
          <w:p w:rsidRPr="00781A6F" w:rsidR="001414E1" w:rsidP="00781A6F" w:rsidRDefault="001414E1" w14:paraId="1D6C3B6F" w14:textId="38208762">
            <w:pPr>
              <w:rPr>
                <w:rFonts w:ascii="Verdana" w:hAnsi="Verdana"/>
                <w:sz w:val="18"/>
                <w:szCs w:val="18"/>
              </w:rPr>
            </w:pPr>
            <w:r w:rsidRPr="00781A6F">
              <w:rPr>
                <w:rFonts w:ascii="Verdana" w:hAnsi="Verdana"/>
                <w:sz w:val="18"/>
                <w:szCs w:val="18"/>
              </w:rPr>
              <w:t xml:space="preserve">Het kabinet acht een diepere en meer diverse kapitaalmarkt van belang. Meer grensoverschrijdende investeringen bevorderen concurrentie en vergroten de financieringsopties van bedrijven in alle lidstaten, ook in Nederland. Het kabinet onderschrijft dan ook dat de </w:t>
            </w:r>
            <w:r w:rsidRPr="00781A6F" w:rsidR="006B0323">
              <w:rPr>
                <w:rFonts w:ascii="Verdana" w:hAnsi="Verdana"/>
                <w:sz w:val="18"/>
                <w:szCs w:val="18"/>
              </w:rPr>
              <w:t>Commissie</w:t>
            </w:r>
            <w:r w:rsidRPr="00781A6F">
              <w:rPr>
                <w:rFonts w:ascii="Verdana" w:hAnsi="Verdana"/>
                <w:sz w:val="18"/>
                <w:szCs w:val="18"/>
              </w:rPr>
              <w:t xml:space="preserve"> beziet of belemmeringen voor grensoverschrijdend ondernemen en investeren kunnen worden weggenomen en </w:t>
            </w:r>
            <w:r w:rsidRPr="00781A6F" w:rsidR="00702608">
              <w:rPr>
                <w:rFonts w:ascii="Verdana" w:hAnsi="Verdana" w:eastAsia="Aptos" w:cs="Aptos"/>
                <w:sz w:val="18"/>
                <w:szCs w:val="18"/>
              </w:rPr>
              <w:t xml:space="preserve">kijkt uit naar </w:t>
            </w:r>
            <w:r w:rsidRPr="00781A6F">
              <w:rPr>
                <w:rFonts w:ascii="Verdana" w:hAnsi="Verdana"/>
                <w:sz w:val="18"/>
                <w:szCs w:val="18"/>
              </w:rPr>
              <w:t xml:space="preserve">voorstellen tot aanpassing van de </w:t>
            </w:r>
            <w:r w:rsidRPr="00781A6F" w:rsidR="001274D0">
              <w:rPr>
                <w:rFonts w:ascii="Verdana" w:hAnsi="Verdana"/>
                <w:sz w:val="18"/>
                <w:szCs w:val="18"/>
              </w:rPr>
              <w:t>R</w:t>
            </w:r>
            <w:r w:rsidRPr="00781A6F">
              <w:rPr>
                <w:rFonts w:ascii="Verdana" w:hAnsi="Verdana"/>
                <w:sz w:val="18"/>
                <w:szCs w:val="18"/>
              </w:rPr>
              <w:t xml:space="preserve">ichtlijn </w:t>
            </w:r>
            <w:r w:rsidRPr="00781A6F" w:rsidR="001274D0">
              <w:rPr>
                <w:rFonts w:ascii="Verdana" w:hAnsi="Verdana"/>
                <w:sz w:val="18"/>
                <w:szCs w:val="18"/>
              </w:rPr>
              <w:t>A</w:t>
            </w:r>
            <w:r w:rsidRPr="00781A6F">
              <w:rPr>
                <w:rFonts w:ascii="Verdana" w:hAnsi="Verdana"/>
                <w:sz w:val="18"/>
                <w:szCs w:val="18"/>
              </w:rPr>
              <w:t>andeelhoudersrechten daartoe.</w:t>
            </w:r>
          </w:p>
        </w:tc>
        <w:tc>
          <w:tcPr>
            <w:tcW w:w="1985" w:type="dxa"/>
          </w:tcPr>
          <w:p w:rsidRPr="00781A6F" w:rsidR="001414E1" w:rsidP="00781A6F" w:rsidRDefault="001414E1" w14:paraId="5C30C180" w14:textId="4AED8884">
            <w:pPr>
              <w:rPr>
                <w:rFonts w:ascii="Verdana" w:hAnsi="Verdana" w:cstheme="minorBidi"/>
                <w:color w:val="000000"/>
                <w:sz w:val="18"/>
                <w:szCs w:val="18"/>
                <w:lang w:val="en-US"/>
              </w:rPr>
            </w:pPr>
            <w:proofErr w:type="spellStart"/>
            <w:r w:rsidRPr="00781A6F">
              <w:rPr>
                <w:rFonts w:ascii="Verdana" w:hAnsi="Verdana"/>
                <w:color w:val="000000"/>
                <w:sz w:val="18"/>
                <w:szCs w:val="18"/>
                <w:lang w:val="en-US"/>
              </w:rPr>
              <w:t>Wetgevend</w:t>
            </w:r>
            <w:proofErr w:type="spellEnd"/>
          </w:p>
        </w:tc>
      </w:tr>
      <w:tr w:rsidRPr="00781A6F" w:rsidR="001414E1" w:rsidTr="007766E6" w14:paraId="6271C274" w14:textId="77777777">
        <w:trPr>
          <w:trHeight w:val="895"/>
        </w:trPr>
        <w:tc>
          <w:tcPr>
            <w:tcW w:w="567" w:type="dxa"/>
          </w:tcPr>
          <w:p w:rsidRPr="00781A6F" w:rsidR="001414E1" w:rsidP="00781A6F" w:rsidRDefault="00781A6F" w14:paraId="710D53A6" w14:textId="202DC85D">
            <w:pPr>
              <w:rPr>
                <w:rFonts w:ascii="Verdana" w:hAnsi="Verdana" w:eastAsia="Times New Roman"/>
                <w:sz w:val="18"/>
                <w:szCs w:val="18"/>
              </w:rPr>
            </w:pPr>
            <w:r w:rsidRPr="00781A6F">
              <w:rPr>
                <w:rFonts w:ascii="Verdana" w:hAnsi="Verdana" w:eastAsia="Times New Roman"/>
                <w:sz w:val="18"/>
                <w:szCs w:val="18"/>
              </w:rPr>
              <w:t>24</w:t>
            </w:r>
            <w:r w:rsidRPr="00781A6F" w:rsidR="001414E1">
              <w:rPr>
                <w:rFonts w:ascii="Verdana" w:hAnsi="Verdana" w:eastAsia="Times New Roman"/>
                <w:sz w:val="18"/>
                <w:szCs w:val="18"/>
              </w:rPr>
              <w:t>.</w:t>
            </w:r>
          </w:p>
        </w:tc>
        <w:tc>
          <w:tcPr>
            <w:tcW w:w="2694" w:type="dxa"/>
          </w:tcPr>
          <w:p w:rsidRPr="00781A6F" w:rsidR="001414E1" w:rsidP="00781A6F" w:rsidRDefault="004C1646" w14:paraId="274EED5C" w14:textId="5EEDD259">
            <w:pPr>
              <w:rPr>
                <w:rFonts w:ascii="Verdana" w:hAnsi="Verdana" w:eastAsia="Times New Roman"/>
                <w:sz w:val="18"/>
                <w:szCs w:val="18"/>
              </w:rPr>
            </w:pPr>
            <w:r w:rsidRPr="00781A6F">
              <w:rPr>
                <w:rFonts w:ascii="Verdana" w:hAnsi="Verdana" w:eastAsia="Times New Roman"/>
                <w:sz w:val="18"/>
                <w:szCs w:val="18"/>
              </w:rPr>
              <w:t xml:space="preserve">Actualisering van de verordening Europese durfkapitaalfondsen </w:t>
            </w:r>
            <w:r w:rsidRPr="00781A6F" w:rsidR="001414E1">
              <w:rPr>
                <w:rFonts w:ascii="Verdana" w:hAnsi="Verdana" w:eastAsia="Times New Roman"/>
                <w:sz w:val="18"/>
                <w:szCs w:val="18"/>
              </w:rPr>
              <w:t>(Q3 2026)</w:t>
            </w:r>
          </w:p>
        </w:tc>
        <w:tc>
          <w:tcPr>
            <w:tcW w:w="4394" w:type="dxa"/>
          </w:tcPr>
          <w:p w:rsidRPr="00781A6F" w:rsidR="001414E1" w:rsidP="00781A6F" w:rsidRDefault="001414E1" w14:paraId="19F4A530" w14:textId="1F60E973">
            <w:pPr>
              <w:rPr>
                <w:rFonts w:ascii="Verdana" w:hAnsi="Verdana"/>
                <w:sz w:val="18"/>
                <w:szCs w:val="18"/>
              </w:rPr>
            </w:pPr>
            <w:r w:rsidRPr="00781A6F">
              <w:rPr>
                <w:rFonts w:ascii="Verdana" w:hAnsi="Verdana"/>
                <w:sz w:val="18"/>
                <w:szCs w:val="18"/>
              </w:rPr>
              <w:t xml:space="preserve">In het kader van de spaar- en investeringsunie is de </w:t>
            </w:r>
            <w:r w:rsidRPr="00781A6F" w:rsidR="006B0323">
              <w:rPr>
                <w:rFonts w:ascii="Verdana" w:hAnsi="Verdana"/>
                <w:sz w:val="18"/>
                <w:szCs w:val="18"/>
              </w:rPr>
              <w:t>Commissie</w:t>
            </w:r>
            <w:r w:rsidRPr="00781A6F">
              <w:rPr>
                <w:rFonts w:ascii="Verdana" w:hAnsi="Verdana"/>
                <w:sz w:val="18"/>
                <w:szCs w:val="18"/>
              </w:rPr>
              <w:t xml:space="preserve"> bezig om regelgeving voor Europese durfkapitaalfondsen te verbeteren door het gebruik van het </w:t>
            </w:r>
            <w:r w:rsidRPr="00781A6F" w:rsidR="00E7186A">
              <w:rPr>
                <w:rFonts w:ascii="Verdana" w:hAnsi="Verdana"/>
                <w:i/>
                <w:iCs/>
                <w:sz w:val="18"/>
                <w:szCs w:val="18"/>
              </w:rPr>
              <w:t xml:space="preserve">European Venture </w:t>
            </w:r>
            <w:proofErr w:type="spellStart"/>
            <w:r w:rsidRPr="00781A6F" w:rsidR="00E7186A">
              <w:rPr>
                <w:rFonts w:ascii="Verdana" w:hAnsi="Verdana"/>
                <w:i/>
                <w:iCs/>
                <w:sz w:val="18"/>
                <w:szCs w:val="18"/>
              </w:rPr>
              <w:t>Capital</w:t>
            </w:r>
            <w:proofErr w:type="spellEnd"/>
            <w:r w:rsidRPr="00781A6F" w:rsidR="00E7186A">
              <w:rPr>
                <w:rFonts w:ascii="Verdana" w:hAnsi="Verdana"/>
                <w:i/>
                <w:iCs/>
                <w:sz w:val="18"/>
                <w:szCs w:val="18"/>
              </w:rPr>
              <w:t xml:space="preserve"> </w:t>
            </w:r>
            <w:r w:rsidRPr="00781A6F" w:rsidR="00E7186A">
              <w:rPr>
                <w:rFonts w:ascii="Verdana" w:hAnsi="Verdana"/>
                <w:sz w:val="18"/>
                <w:szCs w:val="18"/>
              </w:rPr>
              <w:t>(</w:t>
            </w:r>
            <w:proofErr w:type="spellStart"/>
            <w:r w:rsidRPr="00781A6F">
              <w:rPr>
                <w:rFonts w:ascii="Verdana" w:hAnsi="Verdana"/>
                <w:sz w:val="18"/>
                <w:szCs w:val="18"/>
              </w:rPr>
              <w:t>EuVECA</w:t>
            </w:r>
            <w:proofErr w:type="spellEnd"/>
            <w:r w:rsidRPr="00781A6F" w:rsidR="00E7186A">
              <w:rPr>
                <w:rFonts w:ascii="Verdana" w:hAnsi="Verdana"/>
                <w:sz w:val="18"/>
                <w:szCs w:val="18"/>
              </w:rPr>
              <w:t>)</w:t>
            </w:r>
            <w:r w:rsidRPr="00781A6F">
              <w:rPr>
                <w:rFonts w:ascii="Verdana" w:hAnsi="Verdana"/>
                <w:sz w:val="18"/>
                <w:szCs w:val="18"/>
              </w:rPr>
              <w:t xml:space="preserve">-label aantrekkelijker te maken. </w:t>
            </w:r>
          </w:p>
        </w:tc>
        <w:tc>
          <w:tcPr>
            <w:tcW w:w="5953" w:type="dxa"/>
          </w:tcPr>
          <w:p w:rsidRPr="00781A6F" w:rsidR="001414E1" w:rsidP="00781A6F" w:rsidRDefault="001414E1" w14:paraId="5971CFD8" w14:textId="11F3455F">
            <w:pPr>
              <w:rPr>
                <w:rFonts w:ascii="Verdana" w:hAnsi="Verdana"/>
                <w:sz w:val="18"/>
                <w:szCs w:val="18"/>
              </w:rPr>
            </w:pPr>
            <w:r w:rsidRPr="00781A6F">
              <w:rPr>
                <w:rFonts w:ascii="Verdana" w:hAnsi="Verdana"/>
                <w:sz w:val="18"/>
                <w:szCs w:val="18"/>
              </w:rPr>
              <w:t xml:space="preserve">In het kader van de spaar- en investeringsunie is het kabinet voorstander van maatregelen die bijdragen aan een diepere en meer diverse kapitaalmarkt. Durfkapitaal is daarbij specifiek van belang voor de opschaling van jonge, innovatieve bedrijven. Het kabinet verwelkomt dan ook het voornemen van de </w:t>
            </w:r>
            <w:r w:rsidRPr="00781A6F" w:rsidR="006B0323">
              <w:rPr>
                <w:rFonts w:ascii="Verdana" w:hAnsi="Verdana"/>
                <w:sz w:val="18"/>
                <w:szCs w:val="18"/>
              </w:rPr>
              <w:t>Commissie</w:t>
            </w:r>
            <w:r w:rsidRPr="00781A6F">
              <w:rPr>
                <w:rFonts w:ascii="Verdana" w:hAnsi="Verdana"/>
                <w:sz w:val="18"/>
                <w:szCs w:val="18"/>
              </w:rPr>
              <w:t xml:space="preserve"> om regelgeving voor Europese durfkapitaalfondsen te verbeteren door het gebruik van het </w:t>
            </w:r>
            <w:proofErr w:type="spellStart"/>
            <w:r w:rsidRPr="00781A6F">
              <w:rPr>
                <w:rFonts w:ascii="Verdana" w:hAnsi="Verdana"/>
                <w:sz w:val="18"/>
                <w:szCs w:val="18"/>
              </w:rPr>
              <w:t>EuVECA</w:t>
            </w:r>
            <w:proofErr w:type="spellEnd"/>
            <w:r w:rsidRPr="00781A6F">
              <w:rPr>
                <w:rFonts w:ascii="Verdana" w:hAnsi="Verdana"/>
                <w:sz w:val="18"/>
                <w:szCs w:val="18"/>
              </w:rPr>
              <w:t xml:space="preserve">-label aantrekkelijker te maken. Het kabinet ziet uit naar de concrete voorstellen van de </w:t>
            </w:r>
            <w:r w:rsidRPr="00781A6F" w:rsidR="006B0323">
              <w:rPr>
                <w:rFonts w:ascii="Verdana" w:hAnsi="Verdana"/>
                <w:sz w:val="18"/>
                <w:szCs w:val="18"/>
              </w:rPr>
              <w:t>Commissie</w:t>
            </w:r>
            <w:r w:rsidRPr="00781A6F">
              <w:rPr>
                <w:rFonts w:ascii="Verdana" w:hAnsi="Verdana"/>
                <w:sz w:val="18"/>
                <w:szCs w:val="18"/>
              </w:rPr>
              <w:t>.</w:t>
            </w:r>
          </w:p>
        </w:tc>
        <w:tc>
          <w:tcPr>
            <w:tcW w:w="1985" w:type="dxa"/>
          </w:tcPr>
          <w:p w:rsidRPr="00781A6F" w:rsidR="001414E1" w:rsidP="00781A6F" w:rsidRDefault="001414E1" w14:paraId="7E3F6E27" w14:textId="01A92230">
            <w:pPr>
              <w:rPr>
                <w:rFonts w:ascii="Verdana" w:hAnsi="Verdana" w:cstheme="minorBidi"/>
                <w:color w:val="000000"/>
                <w:sz w:val="18"/>
                <w:szCs w:val="18"/>
                <w:lang w:val="en-US"/>
              </w:rPr>
            </w:pPr>
            <w:proofErr w:type="spellStart"/>
            <w:r w:rsidRPr="00781A6F">
              <w:rPr>
                <w:rFonts w:ascii="Verdana" w:hAnsi="Verdana"/>
                <w:color w:val="000000"/>
                <w:sz w:val="18"/>
                <w:szCs w:val="18"/>
                <w:lang w:val="en-US"/>
              </w:rPr>
              <w:t>Wetgevend</w:t>
            </w:r>
            <w:proofErr w:type="spellEnd"/>
          </w:p>
        </w:tc>
      </w:tr>
      <w:tr w:rsidRPr="00781A6F" w:rsidR="008D7270" w:rsidTr="007766E6" w14:paraId="7F128926" w14:textId="77777777">
        <w:trPr>
          <w:trHeight w:val="895"/>
        </w:trPr>
        <w:tc>
          <w:tcPr>
            <w:tcW w:w="567" w:type="dxa"/>
          </w:tcPr>
          <w:p w:rsidRPr="00781A6F" w:rsidR="008D7270" w:rsidDel="007F0AB7" w:rsidP="00781A6F" w:rsidRDefault="00781A6F" w14:paraId="1E545892" w14:textId="42920B25">
            <w:pPr>
              <w:rPr>
                <w:rFonts w:ascii="Verdana" w:hAnsi="Verdana" w:eastAsia="Times New Roman"/>
                <w:sz w:val="18"/>
                <w:szCs w:val="18"/>
              </w:rPr>
            </w:pPr>
            <w:r w:rsidRPr="00781A6F">
              <w:rPr>
                <w:rFonts w:ascii="Verdana" w:hAnsi="Verdana" w:eastAsia="Times New Roman"/>
                <w:sz w:val="18"/>
                <w:szCs w:val="18"/>
              </w:rPr>
              <w:t>25</w:t>
            </w:r>
            <w:r w:rsidRPr="00781A6F" w:rsidR="008D7270">
              <w:rPr>
                <w:rFonts w:ascii="Verdana" w:hAnsi="Verdana" w:eastAsia="Times New Roman"/>
                <w:sz w:val="18"/>
                <w:szCs w:val="18"/>
              </w:rPr>
              <w:t>.</w:t>
            </w:r>
          </w:p>
        </w:tc>
        <w:tc>
          <w:tcPr>
            <w:tcW w:w="2694" w:type="dxa"/>
          </w:tcPr>
          <w:p w:rsidRPr="00781A6F" w:rsidR="008D7270" w:rsidP="00781A6F" w:rsidRDefault="004C1646" w14:paraId="24D6A192" w14:textId="32D33772">
            <w:pPr>
              <w:rPr>
                <w:rFonts w:ascii="Verdana" w:hAnsi="Verdana" w:eastAsia="Times New Roman"/>
                <w:sz w:val="18"/>
                <w:szCs w:val="18"/>
              </w:rPr>
            </w:pPr>
            <w:r w:rsidRPr="00781A6F">
              <w:rPr>
                <w:rFonts w:ascii="Verdana" w:hAnsi="Verdana" w:eastAsia="Times New Roman"/>
                <w:sz w:val="18"/>
                <w:szCs w:val="18"/>
              </w:rPr>
              <w:t xml:space="preserve">Actualisering van de procedureregels in antitrustzaken </w:t>
            </w:r>
            <w:r w:rsidRPr="00781A6F" w:rsidR="008D7270">
              <w:rPr>
                <w:rFonts w:ascii="Verdana" w:hAnsi="Verdana" w:eastAsia="Times New Roman"/>
                <w:sz w:val="18"/>
                <w:szCs w:val="18"/>
              </w:rPr>
              <w:t>(Q3 2026)</w:t>
            </w:r>
          </w:p>
        </w:tc>
        <w:tc>
          <w:tcPr>
            <w:tcW w:w="4394" w:type="dxa"/>
          </w:tcPr>
          <w:p w:rsidRPr="00781A6F" w:rsidR="008D7270" w:rsidP="00781A6F" w:rsidRDefault="008D7270" w14:paraId="59013148" w14:textId="76BE4E46">
            <w:pPr>
              <w:rPr>
                <w:rFonts w:ascii="Verdana" w:hAnsi="Verdana"/>
                <w:sz w:val="18"/>
                <w:szCs w:val="18"/>
              </w:rPr>
            </w:pPr>
            <w:r w:rsidRPr="00781A6F">
              <w:rPr>
                <w:rFonts w:ascii="Verdana" w:hAnsi="Verdana"/>
                <w:sz w:val="18"/>
                <w:szCs w:val="18"/>
              </w:rPr>
              <w:t xml:space="preserve">Het antitrust procedurele raamwerk vormt het huidige procedurele kader voor de toepassing van de EU-mededingingsregels, namelijk de artikelen 101 en 102 van het </w:t>
            </w:r>
            <w:r w:rsidRPr="00781A6F">
              <w:rPr>
                <w:rFonts w:ascii="Verdana" w:hAnsi="Verdana"/>
                <w:sz w:val="18"/>
                <w:szCs w:val="18"/>
              </w:rPr>
              <w:lastRenderedPageBreak/>
              <w:t xml:space="preserve">Verdrag betreffende de werking van de </w:t>
            </w:r>
            <w:r w:rsidRPr="00781A6F" w:rsidR="00B41733">
              <w:rPr>
                <w:rFonts w:ascii="Verdana" w:hAnsi="Verdana"/>
                <w:sz w:val="18"/>
                <w:szCs w:val="18"/>
              </w:rPr>
              <w:t>EU</w:t>
            </w:r>
            <w:r w:rsidRPr="00781A6F">
              <w:rPr>
                <w:rFonts w:ascii="Verdana" w:hAnsi="Verdana"/>
                <w:sz w:val="18"/>
                <w:szCs w:val="18"/>
              </w:rPr>
              <w:t xml:space="preserve">. Op basis van een evaluatie in 2024 zal het kader herzien worden zodat de regelgeving </w:t>
            </w:r>
            <w:r w:rsidRPr="00781A6F">
              <w:rPr>
                <w:rFonts w:ascii="Verdana" w:hAnsi="Verdana"/>
                <w:i/>
                <w:iCs/>
                <w:sz w:val="18"/>
                <w:szCs w:val="18"/>
              </w:rPr>
              <w:t xml:space="preserve">fit for purpose </w:t>
            </w:r>
            <w:r w:rsidRPr="00781A6F">
              <w:rPr>
                <w:rFonts w:ascii="Verdana" w:hAnsi="Verdana"/>
                <w:sz w:val="18"/>
                <w:szCs w:val="18"/>
              </w:rPr>
              <w:t xml:space="preserve">blijft. </w:t>
            </w:r>
          </w:p>
        </w:tc>
        <w:tc>
          <w:tcPr>
            <w:tcW w:w="5953" w:type="dxa"/>
          </w:tcPr>
          <w:p w:rsidRPr="00781A6F" w:rsidR="008D7270" w:rsidP="00781A6F" w:rsidRDefault="008D7270" w14:paraId="1DCC8FCB" w14:textId="40EF14B8">
            <w:pPr>
              <w:rPr>
                <w:rFonts w:ascii="Verdana" w:hAnsi="Verdana"/>
                <w:sz w:val="18"/>
                <w:szCs w:val="18"/>
              </w:rPr>
            </w:pPr>
            <w:r w:rsidRPr="00781A6F">
              <w:rPr>
                <w:rFonts w:ascii="Verdana" w:hAnsi="Verdana" w:eastAsia="Calibri" w:cs="Calibri"/>
                <w:sz w:val="18"/>
                <w:szCs w:val="18"/>
              </w:rPr>
              <w:lastRenderedPageBreak/>
              <w:t xml:space="preserve">Het kabinet benadrukt het belang van effectieve concurrentie en goede werking van markten als belangrijke voorwaarde voor innovatie en een betere prijs/kwaliteit verhouding van producten en diensten. </w:t>
            </w:r>
            <w:r w:rsidRPr="00781A6F" w:rsidR="00AC0A47">
              <w:rPr>
                <w:rFonts w:ascii="Verdana" w:hAnsi="Verdana" w:eastAsia="Calibri" w:cs="Calibri"/>
                <w:sz w:val="18"/>
                <w:szCs w:val="18"/>
              </w:rPr>
              <w:t xml:space="preserve">Goede samenwerking en afstemming </w:t>
            </w:r>
            <w:r w:rsidRPr="00781A6F" w:rsidR="00AC0A47">
              <w:rPr>
                <w:rFonts w:ascii="Verdana" w:hAnsi="Verdana" w:eastAsia="Calibri" w:cs="Calibri"/>
                <w:sz w:val="18"/>
                <w:szCs w:val="18"/>
              </w:rPr>
              <w:lastRenderedPageBreak/>
              <w:t>tussen de Commissie en nationale mededingingsautoriteiten bij de toepassing van het Europese  mededingingsinstrumentarium is hiervoor onontbeerlijk.</w:t>
            </w:r>
          </w:p>
        </w:tc>
        <w:tc>
          <w:tcPr>
            <w:tcW w:w="1985" w:type="dxa"/>
          </w:tcPr>
          <w:p w:rsidRPr="00781A6F" w:rsidR="008D7270" w:rsidP="00781A6F" w:rsidRDefault="008D7270" w14:paraId="4BB52328" w14:textId="48934D66">
            <w:pPr>
              <w:rPr>
                <w:rFonts w:ascii="Verdana" w:hAnsi="Verdana" w:cstheme="minorBidi"/>
                <w:color w:val="000000"/>
                <w:sz w:val="18"/>
                <w:szCs w:val="18"/>
                <w:lang w:val="en-US"/>
              </w:rPr>
            </w:pPr>
            <w:proofErr w:type="spellStart"/>
            <w:r w:rsidRPr="00781A6F">
              <w:rPr>
                <w:rFonts w:ascii="Verdana" w:hAnsi="Verdana"/>
                <w:color w:val="000000"/>
                <w:sz w:val="18"/>
                <w:szCs w:val="18"/>
                <w:lang w:val="en-US"/>
              </w:rPr>
              <w:lastRenderedPageBreak/>
              <w:t>Wetgevend</w:t>
            </w:r>
            <w:proofErr w:type="spellEnd"/>
          </w:p>
        </w:tc>
      </w:tr>
      <w:tr w:rsidRPr="00781A6F" w:rsidR="008D7270" w:rsidTr="007766E6" w14:paraId="12E578CE" w14:textId="77777777">
        <w:trPr>
          <w:trHeight w:val="895"/>
        </w:trPr>
        <w:tc>
          <w:tcPr>
            <w:tcW w:w="567" w:type="dxa"/>
          </w:tcPr>
          <w:p w:rsidRPr="00781A6F" w:rsidR="008D7270" w:rsidP="00781A6F" w:rsidRDefault="00781A6F" w14:paraId="4E96A80E" w14:textId="58B972B4">
            <w:pPr>
              <w:rPr>
                <w:rFonts w:ascii="Verdana" w:hAnsi="Verdana" w:eastAsia="Times New Roman"/>
                <w:sz w:val="18"/>
                <w:szCs w:val="18"/>
              </w:rPr>
            </w:pPr>
            <w:r w:rsidRPr="00781A6F">
              <w:rPr>
                <w:rFonts w:ascii="Verdana" w:hAnsi="Verdana" w:eastAsia="Times New Roman"/>
                <w:sz w:val="18"/>
                <w:szCs w:val="18"/>
              </w:rPr>
              <w:t>26</w:t>
            </w:r>
            <w:r w:rsidRPr="00781A6F" w:rsidR="008D7270">
              <w:rPr>
                <w:rFonts w:ascii="Verdana" w:hAnsi="Verdana" w:eastAsia="Times New Roman"/>
                <w:sz w:val="18"/>
                <w:szCs w:val="18"/>
              </w:rPr>
              <w:t>.</w:t>
            </w:r>
          </w:p>
        </w:tc>
        <w:tc>
          <w:tcPr>
            <w:tcW w:w="2694" w:type="dxa"/>
          </w:tcPr>
          <w:p w:rsidRPr="00781A6F" w:rsidR="008D7270" w:rsidP="00781A6F" w:rsidRDefault="004C1646" w14:paraId="04B9F5C2" w14:textId="672FF547">
            <w:pPr>
              <w:rPr>
                <w:rFonts w:ascii="Verdana" w:hAnsi="Verdana" w:eastAsia="Times New Roman"/>
                <w:sz w:val="18"/>
                <w:szCs w:val="18"/>
              </w:rPr>
            </w:pPr>
            <w:r w:rsidRPr="00781A6F">
              <w:rPr>
                <w:rFonts w:ascii="Verdana" w:hAnsi="Verdana" w:eastAsia="Times New Roman"/>
                <w:sz w:val="18"/>
                <w:szCs w:val="18"/>
              </w:rPr>
              <w:t>Mededeling over betere regelgeving</w:t>
            </w:r>
            <w:r w:rsidRPr="00781A6F" w:rsidDel="004C1646">
              <w:rPr>
                <w:rFonts w:ascii="Verdana" w:hAnsi="Verdana" w:eastAsia="Times New Roman"/>
                <w:sz w:val="18"/>
                <w:szCs w:val="18"/>
              </w:rPr>
              <w:t xml:space="preserve"> </w:t>
            </w:r>
            <w:r w:rsidRPr="00781A6F" w:rsidR="008D7270">
              <w:rPr>
                <w:rFonts w:ascii="Verdana" w:hAnsi="Verdana" w:eastAsia="Times New Roman"/>
                <w:sz w:val="18"/>
                <w:szCs w:val="18"/>
              </w:rPr>
              <w:t>(Q2 2026)</w:t>
            </w:r>
          </w:p>
        </w:tc>
        <w:tc>
          <w:tcPr>
            <w:tcW w:w="4394" w:type="dxa"/>
          </w:tcPr>
          <w:p w:rsidRPr="00781A6F" w:rsidR="008D7270" w:rsidP="00781A6F" w:rsidRDefault="009524EF" w14:paraId="6D15D0B1" w14:textId="2A5F1344">
            <w:pPr>
              <w:rPr>
                <w:rFonts w:ascii="Verdana" w:hAnsi="Verdana"/>
                <w:sz w:val="18"/>
                <w:szCs w:val="18"/>
              </w:rPr>
            </w:pPr>
            <w:r w:rsidRPr="00781A6F">
              <w:rPr>
                <w:rFonts w:ascii="Verdana" w:hAnsi="Verdana" w:eastAsia="Aptos" w:cs="Aptos"/>
                <w:sz w:val="18"/>
                <w:szCs w:val="18"/>
              </w:rPr>
              <w:t>D</w:t>
            </w:r>
            <w:r w:rsidRPr="00781A6F" w:rsidR="008D7270">
              <w:rPr>
                <w:rFonts w:ascii="Verdana" w:hAnsi="Verdana" w:eastAsia="Aptos" w:cs="Aptos"/>
                <w:sz w:val="18"/>
                <w:szCs w:val="18"/>
              </w:rPr>
              <w:t xml:space="preserve">eze mededeling </w:t>
            </w:r>
            <w:r w:rsidRPr="00781A6F" w:rsidR="00AC0A47">
              <w:rPr>
                <w:rFonts w:ascii="Verdana" w:hAnsi="Verdana" w:eastAsia="Aptos" w:cs="Aptos"/>
                <w:sz w:val="18"/>
                <w:szCs w:val="18"/>
              </w:rPr>
              <w:t>raakt aan</w:t>
            </w:r>
            <w:r w:rsidRPr="00781A6F" w:rsidR="008D7270">
              <w:rPr>
                <w:rFonts w:ascii="Verdana" w:hAnsi="Verdana" w:eastAsia="Aptos" w:cs="Aptos"/>
                <w:sz w:val="18"/>
                <w:szCs w:val="18"/>
              </w:rPr>
              <w:t xml:space="preserve"> de jaarlijkse uitvoerings- en vereenvoudigingscyclus om de regeldruk voor burgers, ondernemingen en overheden in de EU te verminderen en het beleid en de wetgeving van de EU te vereenvoudigen, te verbeteren en sneller uitvoerbaar te maken. </w:t>
            </w:r>
            <w:r w:rsidRPr="00781A6F" w:rsidR="00AC0A47">
              <w:rPr>
                <w:rFonts w:ascii="Verdana" w:hAnsi="Verdana" w:eastAsia="Aptos" w:cs="Aptos"/>
                <w:sz w:val="18"/>
                <w:szCs w:val="18"/>
              </w:rPr>
              <w:t xml:space="preserve"> </w:t>
            </w:r>
          </w:p>
        </w:tc>
        <w:tc>
          <w:tcPr>
            <w:tcW w:w="5953" w:type="dxa"/>
          </w:tcPr>
          <w:p w:rsidRPr="00781A6F" w:rsidR="008D7270" w:rsidP="00781A6F" w:rsidRDefault="008D7270" w14:paraId="78F3FF7F" w14:textId="12B6169E">
            <w:pPr>
              <w:rPr>
                <w:rFonts w:ascii="Verdana" w:hAnsi="Verdana"/>
                <w:sz w:val="18"/>
                <w:szCs w:val="18"/>
              </w:rPr>
            </w:pPr>
            <w:r w:rsidRPr="00781A6F">
              <w:rPr>
                <w:rFonts w:ascii="Verdana" w:hAnsi="Verdana"/>
                <w:sz w:val="18"/>
                <w:szCs w:val="18"/>
              </w:rPr>
              <w:t xml:space="preserve">Het kabinet </w:t>
            </w:r>
            <w:r w:rsidRPr="00781A6F" w:rsidR="00702608">
              <w:rPr>
                <w:rFonts w:ascii="Verdana" w:hAnsi="Verdana" w:eastAsia="Aptos" w:cs="Aptos"/>
                <w:sz w:val="18"/>
                <w:szCs w:val="18"/>
              </w:rPr>
              <w:t xml:space="preserve">kijkt uit naar </w:t>
            </w:r>
            <w:r w:rsidRPr="00781A6F">
              <w:rPr>
                <w:rFonts w:ascii="Verdana" w:hAnsi="Verdana"/>
                <w:sz w:val="18"/>
                <w:szCs w:val="18"/>
              </w:rPr>
              <w:t xml:space="preserve">de aangekondigde </w:t>
            </w:r>
            <w:r w:rsidRPr="00781A6F" w:rsidR="004C1646">
              <w:rPr>
                <w:rFonts w:ascii="Verdana" w:hAnsi="Verdana"/>
                <w:sz w:val="18"/>
                <w:szCs w:val="18"/>
              </w:rPr>
              <w:t>M</w:t>
            </w:r>
            <w:r w:rsidRPr="00781A6F">
              <w:rPr>
                <w:rFonts w:ascii="Verdana" w:hAnsi="Verdana"/>
                <w:sz w:val="18"/>
                <w:szCs w:val="18"/>
              </w:rPr>
              <w:t xml:space="preserve">ededeling over Betere Regelgeving. Het kabinet hecht belang aan kwalitatief goede, uitvoerbare en handhaafbare EU-regelgeving met zo min mogelijk regeldruk. </w:t>
            </w:r>
          </w:p>
        </w:tc>
        <w:tc>
          <w:tcPr>
            <w:tcW w:w="1985" w:type="dxa"/>
          </w:tcPr>
          <w:p w:rsidRPr="00781A6F" w:rsidR="008D7270" w:rsidP="00781A6F" w:rsidRDefault="008D7270" w14:paraId="439DAC3D" w14:textId="49BED1D5">
            <w:pPr>
              <w:rPr>
                <w:rFonts w:ascii="Verdana" w:hAnsi="Verdana" w:cstheme="minorBidi"/>
                <w:color w:val="000000"/>
                <w:sz w:val="18"/>
                <w:szCs w:val="18"/>
                <w:lang w:val="en-US"/>
              </w:rPr>
            </w:pPr>
            <w:proofErr w:type="spellStart"/>
            <w:r w:rsidRPr="00781A6F">
              <w:rPr>
                <w:rFonts w:ascii="Verdana" w:hAnsi="Verdana"/>
                <w:color w:val="000000"/>
                <w:sz w:val="18"/>
                <w:szCs w:val="18"/>
                <w:lang w:val="en-US"/>
              </w:rPr>
              <w:t>Niet-wetgevend</w:t>
            </w:r>
            <w:proofErr w:type="spellEnd"/>
          </w:p>
        </w:tc>
      </w:tr>
    </w:tbl>
    <w:p w:rsidRPr="00781A6F" w:rsidR="00BC4B31" w:rsidP="00781A6F" w:rsidRDefault="00BC4B31" w14:paraId="22F9E1EB" w14:textId="77777777">
      <w:pPr>
        <w:pStyle w:val="NormalWeb"/>
        <w:rPr>
          <w:rFonts w:ascii="Verdana" w:hAnsi="Verdana" w:eastAsiaTheme="minorHAnsi" w:cstheme="minorBidi"/>
          <w:b/>
          <w:bCs/>
          <w:sz w:val="18"/>
          <w:szCs w:val="18"/>
          <w:lang w:val="en-US" w:eastAsia="en-US"/>
        </w:rPr>
      </w:pPr>
    </w:p>
    <w:p w:rsidRPr="00781A6F" w:rsidR="00BC4B31" w:rsidP="00781A6F" w:rsidRDefault="00BC4B31" w14:paraId="6A1B706E" w14:textId="77777777">
      <w:pPr>
        <w:spacing w:line="240" w:lineRule="auto"/>
        <w:rPr>
          <w:rFonts w:ascii="Verdana" w:hAnsi="Verdana"/>
          <w:b/>
          <w:bCs/>
          <w:sz w:val="18"/>
          <w:szCs w:val="18"/>
          <w:lang w:val="en-US"/>
        </w:rPr>
      </w:pPr>
      <w:r w:rsidRPr="00781A6F">
        <w:rPr>
          <w:rFonts w:ascii="Verdana" w:hAnsi="Verdana"/>
          <w:b/>
          <w:bCs/>
          <w:sz w:val="18"/>
          <w:szCs w:val="18"/>
          <w:lang w:val="en-US"/>
        </w:rPr>
        <w:br w:type="page"/>
      </w:r>
    </w:p>
    <w:p w:rsidRPr="00781A6F" w:rsidR="007E5965" w:rsidP="00781A6F" w:rsidRDefault="007E5965" w14:paraId="02C36010" w14:textId="675CB1BC">
      <w:pPr>
        <w:pStyle w:val="NormalWeb"/>
        <w:rPr>
          <w:rFonts w:ascii="Verdana" w:hAnsi="Verdana" w:eastAsiaTheme="minorEastAsia" w:cstheme="minorBidi"/>
          <w:b/>
          <w:bCs/>
          <w:sz w:val="18"/>
          <w:szCs w:val="18"/>
          <w:lang w:eastAsia="en-US"/>
        </w:rPr>
      </w:pPr>
      <w:r w:rsidRPr="00781A6F">
        <w:rPr>
          <w:rFonts w:ascii="Verdana" w:hAnsi="Verdana" w:eastAsiaTheme="minorEastAsia" w:cstheme="minorBidi"/>
          <w:b/>
          <w:bCs/>
          <w:sz w:val="18"/>
          <w:szCs w:val="18"/>
          <w:lang w:eastAsia="en-US"/>
        </w:rPr>
        <w:lastRenderedPageBreak/>
        <w:t xml:space="preserve">Prioriteit 2: </w:t>
      </w:r>
      <w:r w:rsidRPr="00781A6F" w:rsidR="00BC4B31">
        <w:rPr>
          <w:rFonts w:ascii="Verdana" w:hAnsi="Verdana" w:eastAsiaTheme="minorEastAsia" w:cstheme="minorBidi"/>
          <w:b/>
          <w:bCs/>
          <w:sz w:val="18"/>
          <w:szCs w:val="18"/>
          <w:lang w:eastAsia="en-US"/>
        </w:rPr>
        <w:t>Een nieuw tijdperk voor Europese defensie en veiligheid</w:t>
      </w:r>
    </w:p>
    <w:tbl>
      <w:tblPr>
        <w:tblStyle w:val="TableGrid"/>
        <w:tblW w:w="15593" w:type="dxa"/>
        <w:tblInd w:w="-5" w:type="dxa"/>
        <w:tblLayout w:type="fixed"/>
        <w:tblLook w:val="04A0" w:firstRow="1" w:lastRow="0" w:firstColumn="1" w:lastColumn="0" w:noHBand="0" w:noVBand="1"/>
      </w:tblPr>
      <w:tblGrid>
        <w:gridCol w:w="567"/>
        <w:gridCol w:w="3403"/>
        <w:gridCol w:w="5103"/>
        <w:gridCol w:w="4535"/>
        <w:gridCol w:w="1985"/>
      </w:tblGrid>
      <w:tr w:rsidRPr="00781A6F" w:rsidR="007476DF" w:rsidTr="007766E6" w14:paraId="588C28B7" w14:textId="77777777">
        <w:trPr>
          <w:trHeight w:val="634"/>
        </w:trPr>
        <w:tc>
          <w:tcPr>
            <w:tcW w:w="567" w:type="dxa"/>
            <w:tcBorders>
              <w:top w:val="single" w:color="auto" w:sz="4" w:space="0"/>
              <w:left w:val="single" w:color="auto" w:sz="4" w:space="0"/>
              <w:bottom w:val="single" w:color="auto" w:sz="4" w:space="0"/>
              <w:right w:val="single" w:color="auto" w:sz="4" w:space="0"/>
            </w:tcBorders>
          </w:tcPr>
          <w:p w:rsidRPr="00781A6F" w:rsidR="007476DF" w:rsidP="00781A6F" w:rsidRDefault="007476DF" w14:paraId="48829588" w14:textId="236FB055">
            <w:pPr>
              <w:rPr>
                <w:rFonts w:ascii="Verdana" w:hAnsi="Verdana" w:cstheme="minorBidi"/>
                <w:b/>
                <w:sz w:val="18"/>
                <w:szCs w:val="18"/>
              </w:rPr>
            </w:pPr>
            <w:r w:rsidRPr="00781A6F">
              <w:rPr>
                <w:rFonts w:ascii="Verdana" w:hAnsi="Verdana"/>
                <w:b/>
                <w:sz w:val="18"/>
                <w:szCs w:val="18"/>
              </w:rPr>
              <w:t>No.</w:t>
            </w:r>
          </w:p>
        </w:tc>
        <w:tc>
          <w:tcPr>
            <w:tcW w:w="3403" w:type="dxa"/>
            <w:tcBorders>
              <w:top w:val="single" w:color="auto" w:sz="4" w:space="0"/>
              <w:left w:val="single" w:color="auto" w:sz="4" w:space="0"/>
              <w:bottom w:val="single" w:color="auto" w:sz="4" w:space="0"/>
              <w:right w:val="single" w:color="auto" w:sz="4" w:space="0"/>
            </w:tcBorders>
            <w:hideMark/>
          </w:tcPr>
          <w:p w:rsidRPr="00781A6F" w:rsidR="007476DF" w:rsidP="00781A6F" w:rsidRDefault="007476DF" w14:paraId="25852855" w14:textId="18D8996C">
            <w:pPr>
              <w:rPr>
                <w:rFonts w:ascii="Verdana" w:hAnsi="Verdana" w:cstheme="minorBidi"/>
                <w:b/>
                <w:sz w:val="18"/>
                <w:szCs w:val="18"/>
              </w:rPr>
            </w:pPr>
            <w:r w:rsidRPr="00781A6F">
              <w:rPr>
                <w:rFonts w:ascii="Verdana" w:hAnsi="Verdana"/>
                <w:b/>
                <w:sz w:val="18"/>
                <w:szCs w:val="18"/>
              </w:rPr>
              <w:t>Titel (publicatiedatum)</w:t>
            </w:r>
          </w:p>
        </w:tc>
        <w:tc>
          <w:tcPr>
            <w:tcW w:w="5103" w:type="dxa"/>
            <w:tcBorders>
              <w:top w:val="single" w:color="auto" w:sz="4" w:space="0"/>
              <w:left w:val="single" w:color="auto" w:sz="4" w:space="0"/>
              <w:bottom w:val="single" w:color="auto" w:sz="4" w:space="0"/>
              <w:right w:val="single" w:color="auto" w:sz="4" w:space="0"/>
            </w:tcBorders>
            <w:hideMark/>
          </w:tcPr>
          <w:p w:rsidRPr="00781A6F" w:rsidR="007476DF" w:rsidP="00781A6F" w:rsidRDefault="007476DF" w14:paraId="59AFE2D4" w14:textId="77777777">
            <w:pPr>
              <w:rPr>
                <w:rFonts w:ascii="Verdana" w:hAnsi="Verdana" w:cstheme="minorBidi"/>
                <w:b/>
                <w:sz w:val="18"/>
                <w:szCs w:val="18"/>
              </w:rPr>
            </w:pPr>
            <w:r w:rsidRPr="00781A6F">
              <w:rPr>
                <w:rFonts w:ascii="Verdana" w:hAnsi="Verdana"/>
                <w:b/>
                <w:sz w:val="18"/>
                <w:szCs w:val="18"/>
              </w:rPr>
              <w:t>Korte beschrijving</w:t>
            </w:r>
          </w:p>
        </w:tc>
        <w:tc>
          <w:tcPr>
            <w:tcW w:w="4535" w:type="dxa"/>
            <w:tcBorders>
              <w:top w:val="single" w:color="auto" w:sz="4" w:space="0"/>
              <w:left w:val="single" w:color="auto" w:sz="4" w:space="0"/>
              <w:bottom w:val="single" w:color="auto" w:sz="4" w:space="0"/>
              <w:right w:val="single" w:color="auto" w:sz="4" w:space="0"/>
            </w:tcBorders>
            <w:hideMark/>
          </w:tcPr>
          <w:p w:rsidRPr="00781A6F" w:rsidR="007476DF" w:rsidP="00781A6F" w:rsidRDefault="007476DF" w14:paraId="4B9DBFE6" w14:textId="77777777">
            <w:pPr>
              <w:rPr>
                <w:rFonts w:ascii="Verdana" w:hAnsi="Verdana" w:cstheme="minorBidi"/>
                <w:b/>
                <w:sz w:val="18"/>
                <w:szCs w:val="18"/>
              </w:rPr>
            </w:pPr>
            <w:r w:rsidRPr="00781A6F">
              <w:rPr>
                <w:rFonts w:ascii="Verdana" w:hAnsi="Verdana"/>
                <w:b/>
                <w:sz w:val="18"/>
                <w:szCs w:val="18"/>
              </w:rPr>
              <w:t>Kabinetsappreciatie</w:t>
            </w:r>
          </w:p>
        </w:tc>
        <w:tc>
          <w:tcPr>
            <w:tcW w:w="1985" w:type="dxa"/>
            <w:tcBorders>
              <w:top w:val="single" w:color="auto" w:sz="4" w:space="0"/>
              <w:left w:val="single" w:color="auto" w:sz="4" w:space="0"/>
              <w:bottom w:val="single" w:color="auto" w:sz="4" w:space="0"/>
              <w:right w:val="single" w:color="auto" w:sz="4" w:space="0"/>
            </w:tcBorders>
          </w:tcPr>
          <w:p w:rsidRPr="00781A6F" w:rsidR="007476DF" w:rsidP="00781A6F" w:rsidRDefault="007476DF" w14:paraId="7DD7BD75" w14:textId="32243BDE">
            <w:pPr>
              <w:rPr>
                <w:rFonts w:ascii="Verdana" w:hAnsi="Verdana" w:cstheme="minorBidi"/>
                <w:b/>
                <w:sz w:val="18"/>
                <w:szCs w:val="18"/>
              </w:rPr>
            </w:pPr>
            <w:r w:rsidRPr="00781A6F">
              <w:rPr>
                <w:rFonts w:ascii="Verdana" w:hAnsi="Verdana"/>
                <w:b/>
                <w:sz w:val="18"/>
                <w:szCs w:val="18"/>
              </w:rPr>
              <w:t>Wetgevend/niet-Wetgevend</w:t>
            </w:r>
          </w:p>
        </w:tc>
      </w:tr>
      <w:tr w:rsidRPr="00781A6F" w:rsidR="00CD13E4" w:rsidTr="007766E6" w14:paraId="11CE976A" w14:textId="77777777">
        <w:trPr>
          <w:trHeight w:val="979"/>
        </w:trPr>
        <w:tc>
          <w:tcPr>
            <w:tcW w:w="567" w:type="dxa"/>
            <w:tcBorders>
              <w:top w:val="single" w:color="auto" w:sz="4" w:space="0"/>
              <w:left w:val="single" w:color="auto" w:sz="4" w:space="0"/>
              <w:bottom w:val="single" w:color="auto" w:sz="4" w:space="0"/>
              <w:right w:val="single" w:color="auto" w:sz="4" w:space="0"/>
            </w:tcBorders>
          </w:tcPr>
          <w:p w:rsidRPr="00781A6F" w:rsidR="00CD13E4" w:rsidP="00781A6F" w:rsidRDefault="00781A6F" w14:paraId="66E88941" w14:textId="7503520C">
            <w:pPr>
              <w:rPr>
                <w:rFonts w:ascii="Verdana" w:hAnsi="Verdana" w:cstheme="minorBidi"/>
                <w:sz w:val="18"/>
                <w:szCs w:val="18"/>
                <w:lang w:val="en-US"/>
              </w:rPr>
            </w:pPr>
            <w:r w:rsidRPr="00781A6F">
              <w:rPr>
                <w:rFonts w:ascii="Verdana" w:hAnsi="Verdana"/>
                <w:sz w:val="18"/>
                <w:szCs w:val="18"/>
                <w:lang w:val="en-US"/>
              </w:rPr>
              <w:t>27</w:t>
            </w:r>
            <w:r w:rsidRPr="00781A6F" w:rsidR="00CD13E4">
              <w:rPr>
                <w:rFonts w:ascii="Verdana" w:hAnsi="Verdana"/>
                <w:sz w:val="18"/>
                <w:szCs w:val="18"/>
                <w:lang w:val="en-US"/>
              </w:rPr>
              <w:t>.</w:t>
            </w:r>
          </w:p>
        </w:tc>
        <w:tc>
          <w:tcPr>
            <w:tcW w:w="3403" w:type="dxa"/>
            <w:tcBorders>
              <w:top w:val="single" w:color="auto" w:sz="4" w:space="0"/>
              <w:left w:val="single" w:color="auto" w:sz="4" w:space="0"/>
              <w:bottom w:val="single" w:color="auto" w:sz="4" w:space="0"/>
              <w:right w:val="single" w:color="auto" w:sz="4" w:space="0"/>
            </w:tcBorders>
          </w:tcPr>
          <w:p w:rsidRPr="00781A6F" w:rsidR="00CD13E4" w:rsidP="00781A6F" w:rsidRDefault="004C1646" w14:paraId="7A97B470" w14:textId="5E6CED1F">
            <w:pPr>
              <w:rPr>
                <w:rFonts w:ascii="Verdana" w:hAnsi="Verdana" w:cstheme="minorBidi"/>
                <w:sz w:val="18"/>
                <w:szCs w:val="18"/>
              </w:rPr>
            </w:pPr>
            <w:r w:rsidRPr="00781A6F">
              <w:rPr>
                <w:rFonts w:ascii="Verdana" w:hAnsi="Verdana"/>
                <w:sz w:val="18"/>
                <w:szCs w:val="18"/>
              </w:rPr>
              <w:t xml:space="preserve">Vereenvoudiging van overheidsopdrachten op defensie- en veiligheidsgebied </w:t>
            </w:r>
            <w:r w:rsidRPr="00781A6F" w:rsidR="00CD13E4">
              <w:rPr>
                <w:rFonts w:ascii="Verdana" w:hAnsi="Verdana"/>
                <w:sz w:val="18"/>
                <w:szCs w:val="18"/>
              </w:rPr>
              <w:t>(Q</w:t>
            </w:r>
            <w:r w:rsidRPr="00781A6F" w:rsidR="007018CA">
              <w:rPr>
                <w:rFonts w:ascii="Verdana" w:hAnsi="Verdana"/>
                <w:sz w:val="18"/>
                <w:szCs w:val="18"/>
              </w:rPr>
              <w:t xml:space="preserve">3 </w:t>
            </w:r>
            <w:r w:rsidRPr="00781A6F" w:rsidR="00CD13E4">
              <w:rPr>
                <w:rFonts w:ascii="Verdana" w:hAnsi="Verdana"/>
                <w:sz w:val="18"/>
                <w:szCs w:val="18"/>
              </w:rPr>
              <w:t>2026)</w:t>
            </w:r>
          </w:p>
        </w:tc>
        <w:tc>
          <w:tcPr>
            <w:tcW w:w="5103" w:type="dxa"/>
            <w:tcBorders>
              <w:top w:val="single" w:color="auto" w:sz="4" w:space="0"/>
              <w:left w:val="single" w:color="auto" w:sz="4" w:space="0"/>
              <w:bottom w:val="single" w:color="auto" w:sz="4" w:space="0"/>
              <w:right w:val="single" w:color="auto" w:sz="4" w:space="0"/>
            </w:tcBorders>
          </w:tcPr>
          <w:p w:rsidRPr="00781A6F" w:rsidR="00CD13E4" w:rsidP="00781A6F" w:rsidRDefault="00CD13E4" w14:paraId="6B9490E3" w14:textId="42248831">
            <w:pPr>
              <w:rPr>
                <w:rFonts w:ascii="Verdana" w:hAnsi="Verdana" w:cstheme="minorBidi"/>
                <w:color w:val="000000"/>
                <w:sz w:val="18"/>
                <w:szCs w:val="18"/>
              </w:rPr>
            </w:pPr>
            <w:r w:rsidRPr="00781A6F">
              <w:rPr>
                <w:rFonts w:ascii="Verdana" w:hAnsi="Verdana"/>
                <w:sz w:val="18"/>
                <w:szCs w:val="18"/>
              </w:rPr>
              <w:t xml:space="preserve">De </w:t>
            </w:r>
            <w:r w:rsidRPr="00781A6F" w:rsidR="006B0323">
              <w:rPr>
                <w:rFonts w:ascii="Verdana" w:hAnsi="Verdana"/>
                <w:sz w:val="18"/>
                <w:szCs w:val="18"/>
              </w:rPr>
              <w:t>Commissie</w:t>
            </w:r>
            <w:r w:rsidRPr="00781A6F">
              <w:rPr>
                <w:rFonts w:ascii="Verdana" w:hAnsi="Verdana"/>
                <w:sz w:val="18"/>
                <w:szCs w:val="18"/>
              </w:rPr>
              <w:t xml:space="preserve"> werkt aan een voorstel voor de herziening van de Richtlijn Aanbestedingen op Defensie en Veiligheidsgebied (Richtlijn 2009/81/EG). Deze herziening is aangekondigd in het Witboek Europese Defensiegereedheid 2030. Het wordt voorzien dat deze herziening de </w:t>
            </w:r>
            <w:r w:rsidRPr="00781A6F">
              <w:rPr>
                <w:rFonts w:ascii="Verdana" w:hAnsi="Verdana"/>
                <w:i/>
                <w:iCs/>
                <w:sz w:val="18"/>
                <w:szCs w:val="18"/>
              </w:rPr>
              <w:t>Defence Readiness Omnibus</w:t>
            </w:r>
            <w:r w:rsidRPr="00781A6F">
              <w:rPr>
                <w:rFonts w:ascii="Verdana" w:hAnsi="Verdana"/>
                <w:sz w:val="18"/>
                <w:szCs w:val="18"/>
              </w:rPr>
              <w:t xml:space="preserve"> opvolgt, dat tevens aanpassingen aan bovenstaande richtlijn bevat.</w:t>
            </w:r>
          </w:p>
        </w:tc>
        <w:tc>
          <w:tcPr>
            <w:tcW w:w="4535" w:type="dxa"/>
            <w:tcBorders>
              <w:top w:val="single" w:color="auto" w:sz="4" w:space="0"/>
              <w:left w:val="single" w:color="auto" w:sz="4" w:space="0"/>
              <w:bottom w:val="single" w:color="auto" w:sz="4" w:space="0"/>
              <w:right w:val="single" w:color="auto" w:sz="4" w:space="0"/>
            </w:tcBorders>
          </w:tcPr>
          <w:p w:rsidR="00CD13E4" w:rsidP="00781A6F" w:rsidRDefault="00CD13E4" w14:paraId="43D379B2" w14:textId="4D5E2D90">
            <w:pPr>
              <w:rPr>
                <w:rFonts w:ascii="Verdana" w:hAnsi="Verdana"/>
                <w:sz w:val="18"/>
                <w:szCs w:val="18"/>
              </w:rPr>
            </w:pPr>
            <w:r w:rsidRPr="00781A6F">
              <w:rPr>
                <w:rFonts w:ascii="Verdana" w:hAnsi="Verdana"/>
                <w:sz w:val="18"/>
                <w:szCs w:val="18"/>
              </w:rPr>
              <w:t xml:space="preserve">Het kabinet </w:t>
            </w:r>
            <w:r w:rsidRPr="00781A6F" w:rsidR="00702608">
              <w:rPr>
                <w:rFonts w:ascii="Verdana" w:hAnsi="Verdana" w:eastAsia="Aptos" w:cs="Aptos"/>
                <w:sz w:val="18"/>
                <w:szCs w:val="18"/>
              </w:rPr>
              <w:t xml:space="preserve">kijkt uit naar </w:t>
            </w:r>
            <w:r w:rsidRPr="00781A6F">
              <w:rPr>
                <w:rFonts w:ascii="Verdana" w:hAnsi="Verdana"/>
                <w:sz w:val="18"/>
                <w:szCs w:val="18"/>
              </w:rPr>
              <w:t xml:space="preserve">de herziening van de Richtlijn Aanbestedingen op Defensie en Veiligheidsgebied (Richtlijn 2009/81/EG). De verslechterde veiligheidssituatie vergt, zowel binnen Nederland als Europa, grote investeringen in de gereedstelling van de krijgsmacht. Het kabinet hecht daarom groot belang aan een aanbestedingsregime dat het op versnelde wijze doen van deze investeringen mogelijk maakt, zonder de achterliggende principes van de aanbestedingswetgeving uit het oog te </w:t>
            </w:r>
            <w:proofErr w:type="spellStart"/>
            <w:r w:rsidRPr="00781A6F">
              <w:rPr>
                <w:rFonts w:ascii="Verdana" w:hAnsi="Verdana"/>
                <w:sz w:val="18"/>
                <w:szCs w:val="18"/>
              </w:rPr>
              <w:t>verliezen</w:t>
            </w:r>
            <w:r w:rsidRPr="00526172" w:rsidR="00526172">
              <w:rPr>
                <w:rFonts w:ascii="Verdana" w:hAnsi="Verdana"/>
                <w:sz w:val="18"/>
                <w:szCs w:val="18"/>
              </w:rPr>
              <w:t>en</w:t>
            </w:r>
            <w:proofErr w:type="spellEnd"/>
            <w:r w:rsidRPr="00526172" w:rsidR="00526172">
              <w:rPr>
                <w:rFonts w:ascii="Verdana" w:hAnsi="Verdana"/>
                <w:sz w:val="18"/>
                <w:szCs w:val="18"/>
              </w:rPr>
              <w:t xml:space="preserve"> met oog voor de industriële Nederlandse belangen. </w:t>
            </w:r>
          </w:p>
          <w:p w:rsidRPr="00781A6F" w:rsidR="00A91D18" w:rsidP="00781A6F" w:rsidRDefault="00A91D18" w14:paraId="3D873C51" w14:textId="755DAAD0">
            <w:pPr>
              <w:rPr>
                <w:rFonts w:ascii="Verdana" w:hAnsi="Verdana" w:cstheme="minorBidi"/>
                <w:color w:val="000000"/>
                <w:sz w:val="18"/>
                <w:szCs w:val="18"/>
              </w:rPr>
            </w:pPr>
          </w:p>
        </w:tc>
        <w:tc>
          <w:tcPr>
            <w:tcW w:w="1985" w:type="dxa"/>
            <w:tcBorders>
              <w:top w:val="single" w:color="auto" w:sz="4" w:space="0"/>
              <w:left w:val="single" w:color="auto" w:sz="4" w:space="0"/>
              <w:bottom w:val="single" w:color="auto" w:sz="4" w:space="0"/>
              <w:right w:val="single" w:color="auto" w:sz="4" w:space="0"/>
            </w:tcBorders>
          </w:tcPr>
          <w:p w:rsidRPr="00781A6F" w:rsidR="00CD13E4" w:rsidP="00781A6F" w:rsidRDefault="00CD13E4" w14:paraId="1DC4C911" w14:textId="77777777">
            <w:pPr>
              <w:rPr>
                <w:rFonts w:ascii="Verdana" w:hAnsi="Verdana" w:cstheme="minorBidi"/>
                <w:color w:val="000000"/>
                <w:sz w:val="18"/>
                <w:szCs w:val="18"/>
              </w:rPr>
            </w:pPr>
            <w:r w:rsidRPr="00781A6F">
              <w:rPr>
                <w:rFonts w:ascii="Verdana" w:hAnsi="Verdana"/>
                <w:color w:val="000000"/>
                <w:sz w:val="18"/>
                <w:szCs w:val="18"/>
              </w:rPr>
              <w:t xml:space="preserve">Wetgevend </w:t>
            </w:r>
          </w:p>
          <w:p w:rsidRPr="00781A6F" w:rsidR="00CD13E4" w:rsidP="00781A6F" w:rsidRDefault="00CD13E4" w14:paraId="0821BFFA" w14:textId="7556CB5E">
            <w:pPr>
              <w:rPr>
                <w:rFonts w:ascii="Verdana" w:hAnsi="Verdana" w:cstheme="minorHAnsi"/>
                <w:color w:val="000000"/>
                <w:sz w:val="18"/>
                <w:szCs w:val="18"/>
              </w:rPr>
            </w:pPr>
          </w:p>
        </w:tc>
      </w:tr>
      <w:tr w:rsidRPr="00781A6F" w:rsidR="00CD13E4" w:rsidTr="007766E6" w14:paraId="1C39E986"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781A6F" w:rsidR="00CD13E4" w:rsidP="00781A6F" w:rsidRDefault="00781A6F" w14:paraId="00D11926" w14:textId="6A15D4D9">
            <w:pPr>
              <w:rPr>
                <w:rFonts w:ascii="Verdana" w:hAnsi="Verdana" w:cstheme="minorBidi"/>
                <w:sz w:val="18"/>
                <w:szCs w:val="18"/>
                <w:lang w:val="en-US"/>
              </w:rPr>
            </w:pPr>
            <w:r w:rsidRPr="00781A6F">
              <w:rPr>
                <w:rFonts w:ascii="Verdana" w:hAnsi="Verdana"/>
                <w:sz w:val="18"/>
                <w:szCs w:val="18"/>
                <w:lang w:val="en-US"/>
              </w:rPr>
              <w:t>28</w:t>
            </w:r>
            <w:r w:rsidRPr="00781A6F" w:rsidR="00CD13E4">
              <w:rPr>
                <w:rFonts w:ascii="Verdana" w:hAnsi="Verdana"/>
                <w:sz w:val="18"/>
                <w:szCs w:val="18"/>
                <w:lang w:val="en-US"/>
              </w:rPr>
              <w:t>.</w:t>
            </w:r>
          </w:p>
        </w:tc>
        <w:tc>
          <w:tcPr>
            <w:tcW w:w="3403" w:type="dxa"/>
            <w:tcBorders>
              <w:top w:val="single" w:color="auto" w:sz="4" w:space="0"/>
              <w:left w:val="single" w:color="auto" w:sz="4" w:space="0"/>
              <w:bottom w:val="single" w:color="auto" w:sz="4" w:space="0"/>
              <w:right w:val="single" w:color="auto" w:sz="4" w:space="0"/>
            </w:tcBorders>
          </w:tcPr>
          <w:p w:rsidRPr="00781A6F" w:rsidR="00CD13E4" w:rsidP="00781A6F" w:rsidRDefault="004C1646" w14:paraId="3D937CD3" w14:textId="6B0F30B4">
            <w:pPr>
              <w:rPr>
                <w:rFonts w:ascii="Verdana" w:hAnsi="Verdana" w:cstheme="minorBidi"/>
                <w:sz w:val="18"/>
                <w:szCs w:val="18"/>
              </w:rPr>
            </w:pPr>
            <w:r w:rsidRPr="00781A6F">
              <w:rPr>
                <w:rFonts w:ascii="Verdana" w:hAnsi="Verdana"/>
                <w:sz w:val="18"/>
                <w:szCs w:val="18"/>
              </w:rPr>
              <w:t xml:space="preserve">Programma voor een kwalitatieve militaire voorsprong </w:t>
            </w:r>
            <w:r w:rsidRPr="00781A6F" w:rsidR="00CD13E4">
              <w:rPr>
                <w:rFonts w:ascii="Verdana" w:hAnsi="Verdana"/>
                <w:sz w:val="18"/>
                <w:szCs w:val="18"/>
              </w:rPr>
              <w:t>(Q1 2026)</w:t>
            </w:r>
          </w:p>
        </w:tc>
        <w:tc>
          <w:tcPr>
            <w:tcW w:w="5103" w:type="dxa"/>
            <w:tcBorders>
              <w:top w:val="single" w:color="auto" w:sz="4" w:space="0"/>
              <w:left w:val="single" w:color="auto" w:sz="4" w:space="0"/>
              <w:bottom w:val="single" w:color="auto" w:sz="4" w:space="0"/>
              <w:right w:val="single" w:color="auto" w:sz="4" w:space="0"/>
            </w:tcBorders>
          </w:tcPr>
          <w:p w:rsidRPr="00781A6F" w:rsidR="00CD13E4" w:rsidP="00781A6F" w:rsidRDefault="00CD13E4" w14:paraId="1007F2EF" w14:textId="503121B4">
            <w:pPr>
              <w:rPr>
                <w:rFonts w:ascii="Verdana" w:hAnsi="Verdana"/>
                <w:sz w:val="18"/>
                <w:szCs w:val="18"/>
              </w:rPr>
            </w:pPr>
            <w:r w:rsidRPr="00781A6F">
              <w:rPr>
                <w:rFonts w:ascii="Verdana" w:hAnsi="Verdana"/>
                <w:sz w:val="18"/>
                <w:szCs w:val="18"/>
              </w:rPr>
              <w:t xml:space="preserve">Onderdeel van de versterking van de Europese defensiegereedheid is de versterking van Oekraïne. In dat kader zal de </w:t>
            </w:r>
            <w:r w:rsidRPr="00781A6F" w:rsidR="006B0323">
              <w:rPr>
                <w:rFonts w:ascii="Verdana" w:hAnsi="Verdana"/>
                <w:sz w:val="18"/>
                <w:szCs w:val="18"/>
              </w:rPr>
              <w:t>Commissie</w:t>
            </w:r>
            <w:r w:rsidRPr="00781A6F">
              <w:rPr>
                <w:rFonts w:ascii="Verdana" w:hAnsi="Verdana"/>
                <w:sz w:val="18"/>
                <w:szCs w:val="18"/>
              </w:rPr>
              <w:t xml:space="preserve"> een programma voorstellen om Oekraïne te voorzien van superieur militair materieel. Naar verwachting zal een reparatielening op basis van de bevroren</w:t>
            </w:r>
          </w:p>
          <w:p w:rsidRPr="00781A6F" w:rsidR="00CD13E4" w:rsidP="00781A6F" w:rsidRDefault="00CD13E4" w14:paraId="507BA975" w14:textId="1BFF81B5">
            <w:pPr>
              <w:rPr>
                <w:rFonts w:ascii="Verdana" w:hAnsi="Verdana" w:cstheme="minorBidi"/>
                <w:color w:val="000000"/>
                <w:sz w:val="18"/>
                <w:szCs w:val="18"/>
              </w:rPr>
            </w:pPr>
            <w:r w:rsidRPr="00781A6F">
              <w:rPr>
                <w:rFonts w:ascii="Verdana" w:hAnsi="Verdana"/>
                <w:sz w:val="18"/>
                <w:szCs w:val="18"/>
              </w:rPr>
              <w:t xml:space="preserve">Russische Centrale Banktegoeden hier onderdeel van zijn. </w:t>
            </w:r>
          </w:p>
        </w:tc>
        <w:tc>
          <w:tcPr>
            <w:tcW w:w="4535" w:type="dxa"/>
            <w:tcBorders>
              <w:top w:val="single" w:color="auto" w:sz="4" w:space="0"/>
              <w:left w:val="single" w:color="auto" w:sz="4" w:space="0"/>
              <w:bottom w:val="single" w:color="auto" w:sz="4" w:space="0"/>
              <w:right w:val="single" w:color="auto" w:sz="4" w:space="0"/>
            </w:tcBorders>
          </w:tcPr>
          <w:p w:rsidRPr="00781A6F" w:rsidR="00CD13E4" w:rsidP="00781A6F" w:rsidRDefault="00CD13E4" w14:paraId="3320D08F" w14:textId="3F645B5C">
            <w:pPr>
              <w:rPr>
                <w:rFonts w:ascii="Verdana" w:hAnsi="Verdana" w:cstheme="minorBidi"/>
                <w:color w:val="000000"/>
                <w:sz w:val="18"/>
                <w:szCs w:val="18"/>
              </w:rPr>
            </w:pPr>
            <w:r w:rsidRPr="00781A6F">
              <w:rPr>
                <w:rFonts w:ascii="Verdana" w:hAnsi="Verdana"/>
                <w:sz w:val="18"/>
                <w:szCs w:val="18"/>
              </w:rPr>
              <w:t>Het kabinet blijft Oekraïne politiek, militair en financieel actief en onverminderd steunen in tijden van oorlog, herstel en wederopbouw, zolang als dat nodig is. Het kabinet benadrukt het belang van de militaire en niet-militaire steun, inclusief voldoende en voorspelbare begrotingssteun.</w:t>
            </w:r>
            <w:r w:rsidRPr="00781A6F" w:rsidR="00E7186A">
              <w:rPr>
                <w:rFonts w:ascii="Verdana" w:hAnsi="Verdana"/>
                <w:sz w:val="18"/>
                <w:szCs w:val="18"/>
              </w:rPr>
              <w:t xml:space="preserve"> </w:t>
            </w:r>
            <w:r w:rsidRPr="00781A6F">
              <w:rPr>
                <w:rFonts w:ascii="Verdana" w:hAnsi="Verdana"/>
                <w:sz w:val="18"/>
                <w:szCs w:val="18"/>
              </w:rPr>
              <w:t xml:space="preserve">Het kabinet staat open voor het initiatief van de </w:t>
            </w:r>
            <w:r w:rsidRPr="00781A6F" w:rsidR="006B0323">
              <w:rPr>
                <w:rFonts w:ascii="Verdana" w:hAnsi="Verdana"/>
                <w:sz w:val="18"/>
                <w:szCs w:val="18"/>
              </w:rPr>
              <w:t>Commissie</w:t>
            </w:r>
            <w:r w:rsidRPr="00781A6F">
              <w:rPr>
                <w:rFonts w:ascii="Verdana" w:hAnsi="Verdana"/>
                <w:sz w:val="18"/>
                <w:szCs w:val="18"/>
              </w:rPr>
              <w:t xml:space="preserve"> voor reparatieleningen. Het is van belang dat de steun aan Oekraïne ook aansluit op de noden van Oekraïne en niet aan strikte EU-criteria moet voldoen. </w:t>
            </w:r>
          </w:p>
        </w:tc>
        <w:tc>
          <w:tcPr>
            <w:tcW w:w="1985" w:type="dxa"/>
            <w:tcBorders>
              <w:top w:val="single" w:color="auto" w:sz="4" w:space="0"/>
              <w:left w:val="single" w:color="auto" w:sz="4" w:space="0"/>
              <w:bottom w:val="single" w:color="auto" w:sz="4" w:space="0"/>
              <w:right w:val="single" w:color="auto" w:sz="4" w:space="0"/>
            </w:tcBorders>
          </w:tcPr>
          <w:p w:rsidRPr="00781A6F" w:rsidR="00CD13E4" w:rsidP="00781A6F" w:rsidRDefault="00CD13E4" w14:paraId="5349EBA9" w14:textId="6E83F2F8">
            <w:pPr>
              <w:rPr>
                <w:rFonts w:ascii="Verdana" w:hAnsi="Verdana" w:cstheme="minorBidi"/>
                <w:color w:val="000000"/>
                <w:sz w:val="18"/>
                <w:szCs w:val="18"/>
              </w:rPr>
            </w:pPr>
            <w:r w:rsidRPr="00781A6F">
              <w:rPr>
                <w:rFonts w:ascii="Verdana" w:hAnsi="Verdana"/>
                <w:color w:val="000000"/>
                <w:sz w:val="18"/>
                <w:szCs w:val="18"/>
              </w:rPr>
              <w:t>-</w:t>
            </w:r>
          </w:p>
          <w:p w:rsidRPr="00781A6F" w:rsidR="00CD13E4" w:rsidP="00781A6F" w:rsidRDefault="00CD13E4" w14:paraId="0CEDDCBD" w14:textId="4BC15796">
            <w:pPr>
              <w:rPr>
                <w:rFonts w:ascii="Verdana" w:hAnsi="Verdana" w:cstheme="minorHAnsi"/>
                <w:color w:val="000000"/>
                <w:sz w:val="18"/>
                <w:szCs w:val="18"/>
              </w:rPr>
            </w:pPr>
          </w:p>
        </w:tc>
      </w:tr>
      <w:tr w:rsidRPr="00781A6F" w:rsidR="008D7270" w:rsidTr="007766E6" w14:paraId="72C95FC5" w14:textId="77777777">
        <w:trPr>
          <w:trHeight w:val="583"/>
        </w:trPr>
        <w:tc>
          <w:tcPr>
            <w:tcW w:w="567" w:type="dxa"/>
            <w:tcBorders>
              <w:top w:val="single" w:color="auto" w:sz="4" w:space="0"/>
              <w:left w:val="single" w:color="auto" w:sz="4" w:space="0"/>
              <w:bottom w:val="single" w:color="auto" w:sz="4" w:space="0"/>
              <w:right w:val="single" w:color="auto" w:sz="4" w:space="0"/>
            </w:tcBorders>
          </w:tcPr>
          <w:p w:rsidRPr="00781A6F" w:rsidR="008D7270" w:rsidP="00781A6F" w:rsidRDefault="00781A6F" w14:paraId="15326B90" w14:textId="75C832C4">
            <w:pPr>
              <w:rPr>
                <w:rFonts w:ascii="Verdana" w:hAnsi="Verdana" w:cstheme="minorBidi"/>
                <w:sz w:val="18"/>
                <w:szCs w:val="18"/>
                <w:lang w:val="en-US"/>
              </w:rPr>
            </w:pPr>
            <w:r w:rsidRPr="00781A6F">
              <w:rPr>
                <w:rFonts w:ascii="Verdana" w:hAnsi="Verdana"/>
                <w:sz w:val="18"/>
                <w:szCs w:val="18"/>
                <w:lang w:val="en-US"/>
              </w:rPr>
              <w:t>29</w:t>
            </w:r>
            <w:r w:rsidRPr="00781A6F" w:rsidR="008D7270">
              <w:rPr>
                <w:rFonts w:ascii="Verdana" w:hAnsi="Verdana"/>
                <w:sz w:val="18"/>
                <w:szCs w:val="18"/>
                <w:lang w:val="en-US"/>
              </w:rPr>
              <w:t>.</w:t>
            </w:r>
          </w:p>
        </w:tc>
        <w:tc>
          <w:tcPr>
            <w:tcW w:w="3403" w:type="dxa"/>
            <w:tcBorders>
              <w:top w:val="single" w:color="auto" w:sz="4" w:space="0"/>
              <w:left w:val="single" w:color="auto" w:sz="4" w:space="0"/>
              <w:bottom w:val="single" w:color="auto" w:sz="4" w:space="0"/>
              <w:right w:val="single" w:color="auto" w:sz="4" w:space="0"/>
            </w:tcBorders>
          </w:tcPr>
          <w:p w:rsidRPr="00781A6F" w:rsidR="008D7270" w:rsidP="00781A6F" w:rsidRDefault="004C1646" w14:paraId="4A55201F" w14:textId="49C35555">
            <w:pPr>
              <w:rPr>
                <w:rFonts w:ascii="Verdana" w:hAnsi="Verdana" w:cstheme="minorBidi"/>
                <w:sz w:val="18"/>
                <w:szCs w:val="18"/>
              </w:rPr>
            </w:pPr>
            <w:r w:rsidRPr="00781A6F">
              <w:rPr>
                <w:rFonts w:ascii="Verdana" w:hAnsi="Verdana"/>
                <w:sz w:val="18"/>
                <w:szCs w:val="18"/>
              </w:rPr>
              <w:t xml:space="preserve">Mededeling over de eengemaakte markt voor defensie: Technologische basis van de EU die klaar is voor de toekomst </w:t>
            </w:r>
            <w:r w:rsidRPr="00781A6F" w:rsidR="008D7270">
              <w:rPr>
                <w:rFonts w:ascii="Verdana" w:hAnsi="Verdana"/>
                <w:sz w:val="18"/>
                <w:szCs w:val="18"/>
              </w:rPr>
              <w:t>(Q1 2026)</w:t>
            </w:r>
          </w:p>
        </w:tc>
        <w:tc>
          <w:tcPr>
            <w:tcW w:w="5103" w:type="dxa"/>
            <w:tcBorders>
              <w:top w:val="single" w:color="auto" w:sz="4" w:space="0"/>
              <w:left w:val="single" w:color="auto" w:sz="4" w:space="0"/>
              <w:bottom w:val="single" w:color="auto" w:sz="4" w:space="0"/>
              <w:right w:val="single" w:color="auto" w:sz="4" w:space="0"/>
            </w:tcBorders>
          </w:tcPr>
          <w:p w:rsidRPr="00781A6F" w:rsidR="008D7270" w:rsidP="00781A6F" w:rsidRDefault="004A45DC" w14:paraId="3EBE1091" w14:textId="6E51DAF9">
            <w:pPr>
              <w:rPr>
                <w:rFonts w:ascii="Verdana" w:hAnsi="Verdana" w:cstheme="minorBidi"/>
                <w:color w:val="000000"/>
                <w:sz w:val="18"/>
                <w:szCs w:val="18"/>
              </w:rPr>
            </w:pPr>
            <w:r>
              <w:rPr>
                <w:rFonts w:ascii="Verdana" w:hAnsi="Verdana"/>
                <w:color w:val="000000"/>
                <w:sz w:val="18"/>
                <w:szCs w:val="18"/>
              </w:rPr>
              <w:t>De Commissie stelt dat v</w:t>
            </w:r>
            <w:r w:rsidRPr="00781A6F" w:rsidR="00E7186A">
              <w:rPr>
                <w:rFonts w:ascii="Verdana" w:hAnsi="Verdana"/>
                <w:color w:val="000000"/>
                <w:sz w:val="18"/>
                <w:szCs w:val="18"/>
              </w:rPr>
              <w:t xml:space="preserve">oor het waarborgen van de Europese veiligheid het essentieel </w:t>
            </w:r>
            <w:r>
              <w:rPr>
                <w:rFonts w:ascii="Verdana" w:hAnsi="Verdana"/>
                <w:color w:val="000000"/>
                <w:sz w:val="18"/>
                <w:szCs w:val="18"/>
              </w:rPr>
              <w:t xml:space="preserve">is </w:t>
            </w:r>
            <w:r w:rsidRPr="00781A6F" w:rsidR="00E7186A">
              <w:rPr>
                <w:rFonts w:ascii="Verdana" w:hAnsi="Verdana"/>
                <w:color w:val="000000"/>
                <w:sz w:val="18"/>
                <w:szCs w:val="18"/>
              </w:rPr>
              <w:t xml:space="preserve">dat er een geïntegreerde Europese defensie interne markt ontstaat met geëuropeaniseerde toeleveringsketens. </w:t>
            </w:r>
            <w:r w:rsidRPr="00781A6F" w:rsidR="00E7186A">
              <w:rPr>
                <w:rFonts w:ascii="Verdana" w:hAnsi="Verdana"/>
                <w:sz w:val="18"/>
                <w:szCs w:val="18"/>
              </w:rPr>
              <w:t xml:space="preserve">De </w:t>
            </w:r>
            <w:r w:rsidRPr="00781A6F" w:rsidR="006B0323">
              <w:rPr>
                <w:rFonts w:ascii="Verdana" w:hAnsi="Verdana"/>
                <w:sz w:val="18"/>
                <w:szCs w:val="18"/>
              </w:rPr>
              <w:t>Commissie</w:t>
            </w:r>
            <w:r w:rsidRPr="00781A6F" w:rsidR="00E7186A">
              <w:rPr>
                <w:rFonts w:ascii="Verdana" w:hAnsi="Verdana"/>
                <w:sz w:val="18"/>
                <w:szCs w:val="18"/>
              </w:rPr>
              <w:t xml:space="preserve"> is daarom voornemens hierover een </w:t>
            </w:r>
            <w:r w:rsidRPr="00781A6F" w:rsidR="004C1646">
              <w:rPr>
                <w:rFonts w:ascii="Verdana" w:hAnsi="Verdana"/>
                <w:sz w:val="18"/>
                <w:szCs w:val="18"/>
              </w:rPr>
              <w:t xml:space="preserve">mededeling </w:t>
            </w:r>
            <w:r w:rsidRPr="00781A6F" w:rsidR="00E7186A">
              <w:rPr>
                <w:rFonts w:ascii="Verdana" w:hAnsi="Verdana"/>
                <w:sz w:val="18"/>
                <w:szCs w:val="18"/>
              </w:rPr>
              <w:t xml:space="preserve">te publiceren. </w:t>
            </w:r>
            <w:r w:rsidRPr="00781A6F" w:rsidR="008D7270">
              <w:rPr>
                <w:rFonts w:ascii="Verdana" w:hAnsi="Verdana"/>
                <w:color w:val="000000"/>
                <w:sz w:val="18"/>
                <w:szCs w:val="18"/>
              </w:rPr>
              <w:t>Het is</w:t>
            </w:r>
            <w:r w:rsidRPr="00781A6F" w:rsidR="00E7186A">
              <w:rPr>
                <w:rFonts w:ascii="Verdana" w:hAnsi="Verdana"/>
                <w:color w:val="000000"/>
                <w:sz w:val="18"/>
                <w:szCs w:val="18"/>
              </w:rPr>
              <w:t xml:space="preserve"> op moment van schrijven</w:t>
            </w:r>
            <w:r w:rsidRPr="00781A6F" w:rsidR="008D7270">
              <w:rPr>
                <w:rFonts w:ascii="Verdana" w:hAnsi="Verdana"/>
                <w:color w:val="000000"/>
                <w:sz w:val="18"/>
                <w:szCs w:val="18"/>
              </w:rPr>
              <w:t xml:space="preserve"> nog onduidelijk wat </w:t>
            </w:r>
            <w:r w:rsidRPr="00781A6F" w:rsidR="00E7186A">
              <w:rPr>
                <w:rFonts w:ascii="Verdana" w:hAnsi="Verdana"/>
                <w:color w:val="000000"/>
                <w:sz w:val="18"/>
                <w:szCs w:val="18"/>
              </w:rPr>
              <w:t xml:space="preserve">de </w:t>
            </w:r>
            <w:r w:rsidRPr="00781A6F" w:rsidR="004C1646">
              <w:rPr>
                <w:rFonts w:ascii="Verdana" w:hAnsi="Verdana"/>
                <w:color w:val="000000"/>
                <w:sz w:val="18"/>
                <w:szCs w:val="18"/>
              </w:rPr>
              <w:t xml:space="preserve">mededeling </w:t>
            </w:r>
            <w:r w:rsidRPr="00781A6F" w:rsidR="00E7186A">
              <w:rPr>
                <w:rFonts w:ascii="Verdana" w:hAnsi="Verdana"/>
                <w:color w:val="000000"/>
                <w:sz w:val="18"/>
                <w:szCs w:val="18"/>
              </w:rPr>
              <w:t xml:space="preserve">precies </w:t>
            </w:r>
            <w:r w:rsidRPr="00781A6F" w:rsidR="008D7270">
              <w:rPr>
                <w:rFonts w:ascii="Verdana" w:hAnsi="Verdana"/>
                <w:color w:val="000000"/>
                <w:sz w:val="18"/>
                <w:szCs w:val="18"/>
              </w:rPr>
              <w:t>zal bevatten en of er wetgeving zal worden aangekondigd.  </w:t>
            </w:r>
          </w:p>
        </w:tc>
        <w:tc>
          <w:tcPr>
            <w:tcW w:w="4535" w:type="dxa"/>
            <w:tcBorders>
              <w:top w:val="single" w:color="auto" w:sz="4" w:space="0"/>
              <w:left w:val="single" w:color="auto" w:sz="4" w:space="0"/>
              <w:bottom w:val="single" w:color="auto" w:sz="4" w:space="0"/>
              <w:right w:val="single" w:color="auto" w:sz="4" w:space="0"/>
            </w:tcBorders>
          </w:tcPr>
          <w:p w:rsidRPr="00781A6F" w:rsidR="008D7270" w:rsidP="00781A6F" w:rsidRDefault="008D7270" w14:paraId="1C8E5335" w14:textId="74537CBE">
            <w:pPr>
              <w:rPr>
                <w:rFonts w:ascii="Verdana" w:hAnsi="Verdana" w:cstheme="minorBidi"/>
                <w:color w:val="000000" w:themeColor="text1"/>
                <w:sz w:val="18"/>
                <w:szCs w:val="18"/>
              </w:rPr>
            </w:pPr>
            <w:r w:rsidRPr="00781A6F">
              <w:rPr>
                <w:rFonts w:ascii="Verdana" w:hAnsi="Verdana"/>
                <w:color w:val="000000"/>
                <w:sz w:val="18"/>
                <w:szCs w:val="18"/>
              </w:rPr>
              <w:t xml:space="preserve">Het kabinet </w:t>
            </w:r>
            <w:r w:rsidR="004A45DC">
              <w:rPr>
                <w:rFonts w:ascii="Verdana" w:hAnsi="Verdana"/>
                <w:color w:val="000000"/>
                <w:sz w:val="18"/>
                <w:szCs w:val="18"/>
              </w:rPr>
              <w:t>streeft naar een gelijk speelveld met open, geëuropeaniseerde defensie</w:t>
            </w:r>
            <w:r w:rsidRPr="00781A6F">
              <w:rPr>
                <w:rFonts w:ascii="Verdana" w:hAnsi="Verdana"/>
                <w:color w:val="000000"/>
                <w:sz w:val="18"/>
                <w:szCs w:val="18"/>
              </w:rPr>
              <w:t xml:space="preserve">toeleveringsketens, ruimte voor innovatie en </w:t>
            </w:r>
            <w:r w:rsidRPr="00781A6F" w:rsidR="00E7186A">
              <w:rPr>
                <w:rFonts w:ascii="Verdana" w:hAnsi="Verdana"/>
                <w:color w:val="000000"/>
                <w:sz w:val="18"/>
                <w:szCs w:val="18"/>
              </w:rPr>
              <w:t>concurrentie</w:t>
            </w:r>
            <w:r w:rsidRPr="00781A6F">
              <w:rPr>
                <w:rFonts w:ascii="Verdana" w:hAnsi="Verdana"/>
                <w:color w:val="000000"/>
                <w:sz w:val="18"/>
                <w:szCs w:val="18"/>
              </w:rPr>
              <w:t>, en instrumenten die</w:t>
            </w:r>
            <w:r w:rsidRPr="00781A6F" w:rsidR="00FF02E7">
              <w:rPr>
                <w:rFonts w:ascii="Verdana" w:hAnsi="Verdana"/>
                <w:color w:val="000000"/>
                <w:sz w:val="18"/>
                <w:szCs w:val="18"/>
              </w:rPr>
              <w:t xml:space="preserve"> </w:t>
            </w:r>
            <w:r w:rsidRPr="00781A6F">
              <w:rPr>
                <w:rFonts w:ascii="Verdana" w:hAnsi="Verdana"/>
                <w:color w:val="000000"/>
                <w:sz w:val="18"/>
                <w:szCs w:val="18"/>
              </w:rPr>
              <w:t xml:space="preserve">grensoverschrijdende samenwerking tussen bedrijven en kennisinstellingen stimuleren. </w:t>
            </w:r>
            <w:r w:rsidRPr="00781A6F" w:rsidR="00FF02E7">
              <w:rPr>
                <w:rFonts w:ascii="Verdana" w:hAnsi="Verdana"/>
                <w:color w:val="000000"/>
                <w:sz w:val="18"/>
                <w:szCs w:val="18"/>
              </w:rPr>
              <w:t>V</w:t>
            </w:r>
            <w:r w:rsidRPr="00781A6F">
              <w:rPr>
                <w:rFonts w:ascii="Verdana" w:hAnsi="Verdana"/>
                <w:color w:val="000000"/>
                <w:sz w:val="18"/>
                <w:szCs w:val="18"/>
              </w:rPr>
              <w:t>e</w:t>
            </w:r>
            <w:r w:rsidRPr="00781A6F" w:rsidR="00B41733">
              <w:rPr>
                <w:rFonts w:ascii="Verdana" w:hAnsi="Verdana"/>
                <w:color w:val="000000"/>
                <w:sz w:val="18"/>
                <w:szCs w:val="18"/>
              </w:rPr>
              <w:t>r</w:t>
            </w:r>
            <w:r w:rsidRPr="00781A6F">
              <w:rPr>
                <w:rFonts w:ascii="Verdana" w:hAnsi="Verdana"/>
                <w:color w:val="000000"/>
                <w:sz w:val="18"/>
                <w:szCs w:val="18"/>
              </w:rPr>
              <w:t>r</w:t>
            </w:r>
            <w:r w:rsidRPr="00781A6F" w:rsidR="00B41733">
              <w:rPr>
                <w:rFonts w:ascii="Verdana" w:hAnsi="Verdana"/>
                <w:color w:val="000000"/>
                <w:sz w:val="18"/>
                <w:szCs w:val="18"/>
              </w:rPr>
              <w:t>e</w:t>
            </w:r>
            <w:r w:rsidRPr="00781A6F">
              <w:rPr>
                <w:rFonts w:ascii="Verdana" w:hAnsi="Verdana"/>
                <w:color w:val="000000"/>
                <w:sz w:val="18"/>
                <w:szCs w:val="18"/>
              </w:rPr>
              <w:t>gaande consolidatie</w:t>
            </w:r>
            <w:r w:rsidRPr="00781A6F" w:rsidR="3136BF33">
              <w:rPr>
                <w:rFonts w:ascii="Verdana" w:hAnsi="Verdana"/>
                <w:color w:val="000000"/>
                <w:sz w:val="18"/>
                <w:szCs w:val="18"/>
              </w:rPr>
              <w:t xml:space="preserve"> moet worden voorkomen</w:t>
            </w:r>
            <w:r w:rsidRPr="00781A6F">
              <w:rPr>
                <w:rFonts w:ascii="Verdana" w:hAnsi="Verdana"/>
                <w:color w:val="000000"/>
                <w:sz w:val="18"/>
                <w:szCs w:val="18"/>
              </w:rPr>
              <w:t xml:space="preserve">; want het is van belang dat ook start- en scale-ups en het </w:t>
            </w:r>
            <w:r w:rsidRPr="00781A6F" w:rsidR="00B41733">
              <w:rPr>
                <w:rFonts w:ascii="Verdana" w:hAnsi="Verdana"/>
                <w:color w:val="000000"/>
                <w:sz w:val="18"/>
                <w:szCs w:val="18"/>
              </w:rPr>
              <w:t xml:space="preserve">MKB </w:t>
            </w:r>
            <w:r w:rsidRPr="00781A6F">
              <w:rPr>
                <w:rFonts w:ascii="Verdana" w:hAnsi="Verdana"/>
                <w:color w:val="000000"/>
                <w:sz w:val="18"/>
                <w:szCs w:val="18"/>
              </w:rPr>
              <w:t xml:space="preserve">volwaardig kunnen deelnemen en bijdragen aan versterking van de </w:t>
            </w:r>
            <w:r w:rsidRPr="00781A6F">
              <w:rPr>
                <w:rFonts w:ascii="Verdana" w:hAnsi="Verdana"/>
                <w:i/>
                <w:color w:val="000000"/>
                <w:sz w:val="18"/>
                <w:szCs w:val="18"/>
              </w:rPr>
              <w:t xml:space="preserve">Europese </w:t>
            </w:r>
            <w:r w:rsidRPr="00781A6F" w:rsidR="00B41733">
              <w:rPr>
                <w:rFonts w:ascii="Verdana" w:hAnsi="Verdana"/>
                <w:i/>
                <w:color w:val="000000"/>
                <w:sz w:val="18"/>
                <w:szCs w:val="18"/>
              </w:rPr>
              <w:t xml:space="preserve">Defence </w:t>
            </w:r>
            <w:proofErr w:type="spellStart"/>
            <w:r w:rsidRPr="00781A6F" w:rsidR="00B41733">
              <w:rPr>
                <w:rFonts w:ascii="Verdana" w:hAnsi="Verdana"/>
                <w:i/>
                <w:color w:val="000000"/>
                <w:sz w:val="18"/>
                <w:szCs w:val="18"/>
              </w:rPr>
              <w:t>Technological</w:t>
            </w:r>
            <w:proofErr w:type="spellEnd"/>
            <w:r w:rsidRPr="00781A6F" w:rsidR="00B41733">
              <w:rPr>
                <w:rFonts w:ascii="Verdana" w:hAnsi="Verdana"/>
                <w:i/>
                <w:color w:val="000000"/>
                <w:sz w:val="18"/>
                <w:szCs w:val="18"/>
              </w:rPr>
              <w:t xml:space="preserve"> and Industrial Base</w:t>
            </w:r>
            <w:r w:rsidRPr="00781A6F" w:rsidR="00B41733">
              <w:rPr>
                <w:rFonts w:ascii="Verdana" w:hAnsi="Verdana"/>
                <w:color w:val="000000"/>
                <w:sz w:val="18"/>
                <w:szCs w:val="18"/>
              </w:rPr>
              <w:t xml:space="preserve"> (EDTIB)</w:t>
            </w:r>
            <w:r w:rsidRPr="00781A6F">
              <w:rPr>
                <w:rFonts w:ascii="Verdana" w:hAnsi="Verdana"/>
                <w:color w:val="000000"/>
                <w:sz w:val="18"/>
                <w:szCs w:val="18"/>
              </w:rPr>
              <w:t>.</w:t>
            </w:r>
          </w:p>
        </w:tc>
        <w:tc>
          <w:tcPr>
            <w:tcW w:w="1985" w:type="dxa"/>
            <w:tcBorders>
              <w:top w:val="single" w:color="auto" w:sz="4" w:space="0"/>
              <w:left w:val="single" w:color="auto" w:sz="4" w:space="0"/>
              <w:bottom w:val="single" w:color="auto" w:sz="4" w:space="0"/>
              <w:right w:val="single" w:color="auto" w:sz="4" w:space="0"/>
            </w:tcBorders>
          </w:tcPr>
          <w:p w:rsidRPr="00781A6F" w:rsidR="008D7270" w:rsidP="00781A6F" w:rsidRDefault="008D7270" w14:paraId="1B1AEB80" w14:textId="04FF5300">
            <w:pPr>
              <w:rPr>
                <w:rFonts w:ascii="Verdana" w:hAnsi="Verdana" w:cstheme="minorBidi"/>
                <w:color w:val="000000"/>
                <w:sz w:val="18"/>
                <w:szCs w:val="18"/>
              </w:rPr>
            </w:pPr>
            <w:proofErr w:type="spellStart"/>
            <w:r w:rsidRPr="00781A6F">
              <w:rPr>
                <w:rFonts w:ascii="Verdana" w:hAnsi="Verdana"/>
                <w:color w:val="000000"/>
                <w:sz w:val="18"/>
                <w:szCs w:val="18"/>
                <w:lang w:val="en-US"/>
              </w:rPr>
              <w:t>Niet-wetgevend</w:t>
            </w:r>
            <w:proofErr w:type="spellEnd"/>
          </w:p>
        </w:tc>
      </w:tr>
      <w:tr w:rsidRPr="00781A6F" w:rsidR="00CD13E4" w:rsidTr="007766E6" w14:paraId="47D3A0C6"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781A6F" w:rsidR="00CD13E4" w:rsidP="00781A6F" w:rsidRDefault="00781A6F" w14:paraId="583AEB3A" w14:textId="71F1066F">
            <w:pPr>
              <w:rPr>
                <w:rFonts w:ascii="Verdana" w:hAnsi="Verdana" w:cstheme="minorBidi"/>
                <w:sz w:val="18"/>
                <w:szCs w:val="18"/>
                <w:lang w:val="en-US"/>
              </w:rPr>
            </w:pPr>
            <w:r w:rsidRPr="00781A6F">
              <w:rPr>
                <w:rFonts w:ascii="Verdana" w:hAnsi="Verdana"/>
                <w:sz w:val="18"/>
                <w:szCs w:val="18"/>
                <w:lang w:val="en-US"/>
              </w:rPr>
              <w:lastRenderedPageBreak/>
              <w:t>30</w:t>
            </w:r>
            <w:r w:rsidRPr="00781A6F" w:rsidR="00CD13E4">
              <w:rPr>
                <w:rFonts w:ascii="Verdana" w:hAnsi="Verdana"/>
                <w:sz w:val="18"/>
                <w:szCs w:val="18"/>
                <w:lang w:val="en-US"/>
              </w:rPr>
              <w:t>.</w:t>
            </w:r>
          </w:p>
        </w:tc>
        <w:tc>
          <w:tcPr>
            <w:tcW w:w="3403" w:type="dxa"/>
            <w:tcBorders>
              <w:top w:val="single" w:color="auto" w:sz="4" w:space="0"/>
              <w:left w:val="single" w:color="auto" w:sz="4" w:space="0"/>
              <w:bottom w:val="single" w:color="auto" w:sz="4" w:space="0"/>
              <w:right w:val="single" w:color="auto" w:sz="4" w:space="0"/>
            </w:tcBorders>
          </w:tcPr>
          <w:p w:rsidRPr="00781A6F" w:rsidR="00CD13E4" w:rsidP="00781A6F" w:rsidRDefault="004C1646" w14:paraId="675F040F" w14:textId="040F0B78">
            <w:pPr>
              <w:rPr>
                <w:rFonts w:ascii="Verdana" w:hAnsi="Verdana" w:cstheme="minorBidi"/>
                <w:sz w:val="18"/>
                <w:szCs w:val="18"/>
                <w:lang w:val="en-US"/>
              </w:rPr>
            </w:pPr>
            <w:proofErr w:type="spellStart"/>
            <w:r w:rsidRPr="00781A6F">
              <w:rPr>
                <w:rFonts w:ascii="Verdana" w:hAnsi="Verdana"/>
                <w:sz w:val="18"/>
                <w:szCs w:val="18"/>
                <w:lang w:val="en-US"/>
              </w:rPr>
              <w:t>Europese</w:t>
            </w:r>
            <w:proofErr w:type="spellEnd"/>
            <w:r w:rsidRPr="00781A6F">
              <w:rPr>
                <w:rFonts w:ascii="Verdana" w:hAnsi="Verdana"/>
                <w:sz w:val="18"/>
                <w:szCs w:val="18"/>
                <w:lang w:val="en-US"/>
              </w:rPr>
              <w:t xml:space="preserve"> </w:t>
            </w:r>
            <w:proofErr w:type="spellStart"/>
            <w:r w:rsidRPr="00781A6F">
              <w:rPr>
                <w:rFonts w:ascii="Verdana" w:hAnsi="Verdana"/>
                <w:sz w:val="18"/>
                <w:szCs w:val="18"/>
                <w:lang w:val="en-US"/>
              </w:rPr>
              <w:t>ruimteschild</w:t>
            </w:r>
            <w:proofErr w:type="spellEnd"/>
            <w:r w:rsidRPr="00781A6F">
              <w:rPr>
                <w:rFonts w:ascii="Verdana" w:hAnsi="Verdana"/>
                <w:sz w:val="18"/>
                <w:szCs w:val="18"/>
                <w:lang w:val="en-US"/>
              </w:rPr>
              <w:t xml:space="preserve"> – </w:t>
            </w:r>
            <w:proofErr w:type="spellStart"/>
            <w:r w:rsidRPr="00781A6F">
              <w:rPr>
                <w:rFonts w:ascii="Verdana" w:hAnsi="Verdana"/>
                <w:sz w:val="18"/>
                <w:szCs w:val="18"/>
                <w:lang w:val="en-US"/>
              </w:rPr>
              <w:t>actieplan</w:t>
            </w:r>
            <w:proofErr w:type="spellEnd"/>
            <w:r w:rsidRPr="00781A6F">
              <w:rPr>
                <w:rFonts w:ascii="Verdana" w:hAnsi="Verdana"/>
                <w:sz w:val="18"/>
                <w:szCs w:val="18"/>
                <w:lang w:val="en-US"/>
              </w:rPr>
              <w:t xml:space="preserve"> </w:t>
            </w:r>
            <w:r w:rsidRPr="00781A6F" w:rsidR="00CD13E4">
              <w:rPr>
                <w:rFonts w:ascii="Verdana" w:hAnsi="Verdana"/>
                <w:sz w:val="18"/>
                <w:szCs w:val="18"/>
                <w:lang w:val="en-US"/>
              </w:rPr>
              <w:t>(Q2 2026)</w:t>
            </w:r>
          </w:p>
        </w:tc>
        <w:tc>
          <w:tcPr>
            <w:tcW w:w="5103" w:type="dxa"/>
            <w:tcBorders>
              <w:top w:val="single" w:color="auto" w:sz="4" w:space="0"/>
              <w:left w:val="single" w:color="auto" w:sz="4" w:space="0"/>
              <w:bottom w:val="single" w:color="auto" w:sz="4" w:space="0"/>
              <w:right w:val="single" w:color="auto" w:sz="4" w:space="0"/>
            </w:tcBorders>
          </w:tcPr>
          <w:p w:rsidRPr="00781A6F" w:rsidR="00CD13E4" w:rsidP="00781A6F" w:rsidRDefault="00CD13E4" w14:paraId="432B942F" w14:textId="7C01BE43">
            <w:pPr>
              <w:rPr>
                <w:rFonts w:ascii="Verdana" w:hAnsi="Verdana" w:cstheme="minorBidi"/>
                <w:color w:val="000000"/>
                <w:sz w:val="18"/>
                <w:szCs w:val="18"/>
              </w:rPr>
            </w:pPr>
            <w:r w:rsidRPr="00781A6F">
              <w:rPr>
                <w:rFonts w:ascii="Verdana" w:hAnsi="Verdana"/>
                <w:sz w:val="18"/>
                <w:szCs w:val="18"/>
              </w:rPr>
              <w:t xml:space="preserve">Het </w:t>
            </w:r>
            <w:r w:rsidRPr="00781A6F" w:rsidR="004C1646">
              <w:rPr>
                <w:rFonts w:ascii="Verdana" w:hAnsi="Verdana"/>
                <w:sz w:val="18"/>
                <w:szCs w:val="18"/>
              </w:rPr>
              <w:t>Europese ruimteschild – actieplan</w:t>
            </w:r>
            <w:r w:rsidRPr="00781A6F">
              <w:rPr>
                <w:rFonts w:ascii="Verdana" w:hAnsi="Verdana"/>
                <w:sz w:val="18"/>
                <w:szCs w:val="18"/>
              </w:rPr>
              <w:t xml:space="preserve"> </w:t>
            </w:r>
            <w:r w:rsidRPr="00781A6F" w:rsidR="00B41733">
              <w:rPr>
                <w:rFonts w:ascii="Verdana" w:hAnsi="Verdana"/>
                <w:sz w:val="18"/>
                <w:szCs w:val="18"/>
              </w:rPr>
              <w:t xml:space="preserve">heeft </w:t>
            </w:r>
            <w:r w:rsidRPr="00781A6F">
              <w:rPr>
                <w:rFonts w:ascii="Verdana" w:hAnsi="Verdana"/>
                <w:sz w:val="18"/>
                <w:szCs w:val="18"/>
              </w:rPr>
              <w:t xml:space="preserve">als doel </w:t>
            </w:r>
            <w:r w:rsidRPr="00781A6F" w:rsidR="007018CA">
              <w:rPr>
                <w:rFonts w:ascii="Verdana" w:hAnsi="Verdana"/>
                <w:sz w:val="18"/>
                <w:szCs w:val="18"/>
              </w:rPr>
              <w:t>een uitgebreid Europees systeem van ruimtecapaciteiten op te zetten en te beschermen</w:t>
            </w:r>
            <w:r w:rsidRPr="00781A6F" w:rsidR="00B41733">
              <w:rPr>
                <w:rFonts w:ascii="Verdana" w:hAnsi="Verdana"/>
                <w:sz w:val="18"/>
                <w:szCs w:val="18"/>
              </w:rPr>
              <w:t>. Het ruimteschild</w:t>
            </w:r>
            <w:r w:rsidRPr="00781A6F">
              <w:rPr>
                <w:rFonts w:ascii="Verdana" w:hAnsi="Verdana"/>
                <w:sz w:val="18"/>
                <w:szCs w:val="18"/>
              </w:rPr>
              <w:t xml:space="preserve"> is één van de vier ‘</w:t>
            </w:r>
            <w:proofErr w:type="spellStart"/>
            <w:r w:rsidRPr="00781A6F">
              <w:rPr>
                <w:rFonts w:ascii="Verdana" w:hAnsi="Verdana"/>
                <w:sz w:val="18"/>
                <w:szCs w:val="18"/>
              </w:rPr>
              <w:t>flagship</w:t>
            </w:r>
            <w:proofErr w:type="spellEnd"/>
            <w:r w:rsidRPr="00781A6F">
              <w:rPr>
                <w:rFonts w:ascii="Verdana" w:hAnsi="Verdana"/>
                <w:sz w:val="18"/>
                <w:szCs w:val="18"/>
              </w:rPr>
              <w:t xml:space="preserve">-projecten’ die gepresenteerd werden in de </w:t>
            </w:r>
            <w:r w:rsidRPr="00781A6F">
              <w:rPr>
                <w:rFonts w:ascii="Verdana" w:hAnsi="Verdana"/>
                <w:i/>
                <w:iCs/>
                <w:sz w:val="18"/>
                <w:szCs w:val="18"/>
              </w:rPr>
              <w:t xml:space="preserve">Roadmap Defence Readiness </w:t>
            </w:r>
            <w:r w:rsidRPr="00781A6F">
              <w:rPr>
                <w:rFonts w:ascii="Verdana" w:hAnsi="Verdana"/>
                <w:sz w:val="18"/>
                <w:szCs w:val="18"/>
              </w:rPr>
              <w:t xml:space="preserve">op 16 oktober jl. </w:t>
            </w:r>
            <w:r w:rsidRPr="00781A6F" w:rsidR="00B41733">
              <w:rPr>
                <w:rFonts w:ascii="Verdana" w:hAnsi="Verdana"/>
                <w:sz w:val="18"/>
                <w:szCs w:val="18"/>
              </w:rPr>
              <w:t xml:space="preserve">De aangekondigde </w:t>
            </w:r>
            <w:r w:rsidRPr="00781A6F">
              <w:rPr>
                <w:rFonts w:ascii="Verdana" w:hAnsi="Verdana"/>
                <w:sz w:val="18"/>
                <w:szCs w:val="18"/>
              </w:rPr>
              <w:t xml:space="preserve">routekaart betreft de implementatie-agenda van het Witboek Europese Defensiegereedheid 2030. </w:t>
            </w:r>
          </w:p>
        </w:tc>
        <w:tc>
          <w:tcPr>
            <w:tcW w:w="4535" w:type="dxa"/>
            <w:tcBorders>
              <w:top w:val="single" w:color="auto" w:sz="4" w:space="0"/>
              <w:left w:val="single" w:color="auto" w:sz="4" w:space="0"/>
              <w:bottom w:val="single" w:color="auto" w:sz="4" w:space="0"/>
              <w:right w:val="single" w:color="auto" w:sz="4" w:space="0"/>
            </w:tcBorders>
          </w:tcPr>
          <w:p w:rsidRPr="00781A6F" w:rsidR="00CD13E4" w:rsidP="00781A6F" w:rsidRDefault="00CD13E4" w14:paraId="79E095A7" w14:textId="711991B4">
            <w:pPr>
              <w:rPr>
                <w:rFonts w:ascii="Verdana" w:hAnsi="Verdana" w:cstheme="minorBidi"/>
                <w:color w:val="000000"/>
                <w:sz w:val="18"/>
                <w:szCs w:val="18"/>
              </w:rPr>
            </w:pPr>
            <w:r w:rsidRPr="00781A6F">
              <w:rPr>
                <w:rFonts w:ascii="Verdana" w:hAnsi="Verdana"/>
                <w:sz w:val="18"/>
                <w:szCs w:val="18"/>
              </w:rPr>
              <w:t>Het kabinet hecht groot belang aan de implementatie van het Witboek op de Europese Defensiegereedheid</w:t>
            </w:r>
            <w:r w:rsidRPr="00781A6F" w:rsidR="007018CA">
              <w:rPr>
                <w:rFonts w:ascii="Verdana" w:hAnsi="Verdana"/>
                <w:sz w:val="18"/>
                <w:szCs w:val="18"/>
              </w:rPr>
              <w:t xml:space="preserve">. </w:t>
            </w:r>
            <w:r w:rsidRPr="00781A6F">
              <w:rPr>
                <w:rFonts w:ascii="Verdana" w:hAnsi="Verdana"/>
                <w:sz w:val="18"/>
                <w:szCs w:val="18"/>
              </w:rPr>
              <w:t xml:space="preserve">Ten aanzien van de vier vlaggenschipprojecten, onderdeel van de routekaart, benadrukte het kabinet dat deze in lijn moeten zijn met de </w:t>
            </w:r>
            <w:proofErr w:type="spellStart"/>
            <w:r w:rsidRPr="00781A6F">
              <w:rPr>
                <w:rFonts w:ascii="Verdana" w:hAnsi="Verdana"/>
                <w:i/>
                <w:iCs/>
                <w:sz w:val="18"/>
                <w:szCs w:val="18"/>
              </w:rPr>
              <w:t>Capability</w:t>
            </w:r>
            <w:proofErr w:type="spellEnd"/>
            <w:r w:rsidRPr="00781A6F">
              <w:rPr>
                <w:rFonts w:ascii="Verdana" w:hAnsi="Verdana"/>
                <w:i/>
                <w:iCs/>
                <w:sz w:val="18"/>
                <w:szCs w:val="18"/>
              </w:rPr>
              <w:t xml:space="preserve"> Development </w:t>
            </w:r>
            <w:proofErr w:type="spellStart"/>
            <w:r w:rsidRPr="00781A6F">
              <w:rPr>
                <w:rFonts w:ascii="Verdana" w:hAnsi="Verdana"/>
                <w:i/>
                <w:iCs/>
                <w:sz w:val="18"/>
                <w:szCs w:val="18"/>
              </w:rPr>
              <w:t>Priorities</w:t>
            </w:r>
            <w:proofErr w:type="spellEnd"/>
            <w:r w:rsidRPr="00781A6F">
              <w:rPr>
                <w:rFonts w:ascii="Verdana" w:hAnsi="Verdana"/>
                <w:sz w:val="18"/>
                <w:szCs w:val="18"/>
              </w:rPr>
              <w:t xml:space="preserve"> en de negen </w:t>
            </w:r>
            <w:r w:rsidRPr="00781A6F">
              <w:rPr>
                <w:rFonts w:ascii="Verdana" w:hAnsi="Verdana"/>
                <w:i/>
                <w:iCs/>
                <w:sz w:val="18"/>
                <w:szCs w:val="18"/>
              </w:rPr>
              <w:t xml:space="preserve">Prioritised </w:t>
            </w:r>
            <w:proofErr w:type="spellStart"/>
            <w:r w:rsidRPr="00781A6F">
              <w:rPr>
                <w:rFonts w:ascii="Verdana" w:hAnsi="Verdana"/>
                <w:i/>
                <w:iCs/>
                <w:sz w:val="18"/>
                <w:szCs w:val="18"/>
              </w:rPr>
              <w:t>capability</w:t>
            </w:r>
            <w:proofErr w:type="spellEnd"/>
            <w:r w:rsidRPr="00781A6F">
              <w:rPr>
                <w:rFonts w:ascii="Verdana" w:hAnsi="Verdana"/>
                <w:i/>
                <w:iCs/>
                <w:sz w:val="18"/>
                <w:szCs w:val="18"/>
              </w:rPr>
              <w:t xml:space="preserve"> Area’s</w:t>
            </w:r>
            <w:r w:rsidRPr="00781A6F">
              <w:rPr>
                <w:rFonts w:ascii="Verdana" w:hAnsi="Verdana"/>
                <w:sz w:val="18"/>
                <w:szCs w:val="18"/>
              </w:rPr>
              <w:t xml:space="preserve"> (</w:t>
            </w:r>
            <w:proofErr w:type="spellStart"/>
            <w:r w:rsidRPr="00781A6F">
              <w:rPr>
                <w:rFonts w:ascii="Verdana" w:hAnsi="Verdana"/>
                <w:sz w:val="18"/>
                <w:szCs w:val="18"/>
              </w:rPr>
              <w:t>PCA’s</w:t>
            </w:r>
            <w:proofErr w:type="spellEnd"/>
            <w:r w:rsidRPr="00781A6F">
              <w:rPr>
                <w:rFonts w:ascii="Verdana" w:hAnsi="Verdana"/>
                <w:sz w:val="18"/>
                <w:szCs w:val="18"/>
              </w:rPr>
              <w:t>). Zoals dit bij het</w:t>
            </w:r>
            <w:r w:rsidRPr="00781A6F" w:rsidR="004C1646">
              <w:rPr>
                <w:rFonts w:ascii="Verdana" w:hAnsi="Verdana"/>
                <w:sz w:val="18"/>
                <w:szCs w:val="18"/>
              </w:rPr>
              <w:t xml:space="preserve"> Europese ruimteschild – actieplan</w:t>
            </w:r>
            <w:r w:rsidRPr="00781A6F">
              <w:rPr>
                <w:rFonts w:ascii="Verdana" w:hAnsi="Verdana"/>
                <w:sz w:val="18"/>
                <w:szCs w:val="18"/>
              </w:rPr>
              <w:t xml:space="preserve"> ook het geval is. </w:t>
            </w:r>
          </w:p>
        </w:tc>
        <w:tc>
          <w:tcPr>
            <w:tcW w:w="1985" w:type="dxa"/>
            <w:tcBorders>
              <w:top w:val="single" w:color="auto" w:sz="4" w:space="0"/>
              <w:left w:val="single" w:color="auto" w:sz="4" w:space="0"/>
              <w:bottom w:val="single" w:color="auto" w:sz="4" w:space="0"/>
              <w:right w:val="single" w:color="auto" w:sz="4" w:space="0"/>
            </w:tcBorders>
          </w:tcPr>
          <w:p w:rsidRPr="00781A6F" w:rsidR="00CD13E4" w:rsidP="00781A6F" w:rsidRDefault="00CD13E4" w14:paraId="37DA2BEB" w14:textId="7EFD28BA">
            <w:pPr>
              <w:rPr>
                <w:rFonts w:ascii="Verdana" w:hAnsi="Verdana" w:cstheme="minorBidi"/>
                <w:color w:val="000000"/>
                <w:sz w:val="18"/>
                <w:szCs w:val="18"/>
                <w:lang w:val="en-US"/>
              </w:rPr>
            </w:pPr>
            <w:proofErr w:type="spellStart"/>
            <w:r w:rsidRPr="00781A6F">
              <w:rPr>
                <w:rFonts w:ascii="Verdana" w:hAnsi="Verdana"/>
                <w:color w:val="000000"/>
                <w:sz w:val="18"/>
                <w:szCs w:val="18"/>
                <w:lang w:val="en-US"/>
              </w:rPr>
              <w:t>Niet-wetgevend</w:t>
            </w:r>
            <w:proofErr w:type="spellEnd"/>
          </w:p>
        </w:tc>
      </w:tr>
      <w:tr w:rsidRPr="00781A6F" w:rsidR="009829A0" w:rsidTr="007766E6" w14:paraId="7BE6E33D" w14:textId="77777777">
        <w:trPr>
          <w:trHeight w:val="611"/>
        </w:trPr>
        <w:tc>
          <w:tcPr>
            <w:tcW w:w="567" w:type="dxa"/>
            <w:tcBorders>
              <w:top w:val="single" w:color="auto" w:sz="4" w:space="0"/>
              <w:left w:val="single" w:color="auto" w:sz="4" w:space="0"/>
              <w:bottom w:val="single" w:color="auto" w:sz="4" w:space="0"/>
              <w:right w:val="single" w:color="auto" w:sz="4" w:space="0"/>
            </w:tcBorders>
          </w:tcPr>
          <w:p w:rsidRPr="00781A6F" w:rsidR="009829A0" w:rsidP="00781A6F" w:rsidRDefault="00781A6F" w14:paraId="55A56D7D" w14:textId="2C111096">
            <w:pPr>
              <w:rPr>
                <w:rFonts w:ascii="Verdana" w:hAnsi="Verdana" w:cstheme="minorBidi"/>
                <w:sz w:val="18"/>
                <w:szCs w:val="18"/>
              </w:rPr>
            </w:pPr>
            <w:bookmarkStart w:name="_Hlk212801337" w:id="1"/>
            <w:r w:rsidRPr="00781A6F">
              <w:rPr>
                <w:rFonts w:ascii="Verdana" w:hAnsi="Verdana"/>
                <w:sz w:val="18"/>
                <w:szCs w:val="18"/>
              </w:rPr>
              <w:t>31</w:t>
            </w:r>
            <w:r w:rsidRPr="00781A6F" w:rsidR="009829A0">
              <w:rPr>
                <w:rFonts w:ascii="Verdana" w:hAnsi="Verdana"/>
                <w:sz w:val="18"/>
                <w:szCs w:val="18"/>
              </w:rPr>
              <w:t>.</w:t>
            </w:r>
          </w:p>
        </w:tc>
        <w:tc>
          <w:tcPr>
            <w:tcW w:w="3403" w:type="dxa"/>
            <w:tcBorders>
              <w:top w:val="single" w:color="auto" w:sz="4" w:space="0"/>
              <w:left w:val="single" w:color="auto" w:sz="4" w:space="0"/>
              <w:bottom w:val="single" w:color="auto" w:sz="4" w:space="0"/>
              <w:right w:val="single" w:color="auto" w:sz="4" w:space="0"/>
            </w:tcBorders>
          </w:tcPr>
          <w:p w:rsidRPr="00781A6F" w:rsidR="009829A0" w:rsidP="00781A6F" w:rsidRDefault="004C1646" w14:paraId="0099C423" w14:textId="71064F50">
            <w:pPr>
              <w:rPr>
                <w:rFonts w:ascii="Verdana" w:hAnsi="Verdana" w:cstheme="minorBidi"/>
                <w:sz w:val="18"/>
                <w:szCs w:val="18"/>
                <w:lang w:val="en-US"/>
              </w:rPr>
            </w:pPr>
            <w:proofErr w:type="spellStart"/>
            <w:r w:rsidRPr="00781A6F">
              <w:rPr>
                <w:rFonts w:ascii="Verdana" w:hAnsi="Verdana"/>
                <w:sz w:val="18"/>
                <w:szCs w:val="18"/>
                <w:lang w:val="en-US"/>
              </w:rPr>
              <w:t>Versterking</w:t>
            </w:r>
            <w:proofErr w:type="spellEnd"/>
            <w:r w:rsidRPr="00781A6F">
              <w:rPr>
                <w:rFonts w:ascii="Verdana" w:hAnsi="Verdana"/>
                <w:sz w:val="18"/>
                <w:szCs w:val="18"/>
                <w:lang w:val="en-US"/>
              </w:rPr>
              <w:t xml:space="preserve"> van Frontex </w:t>
            </w:r>
            <w:r w:rsidRPr="00781A6F" w:rsidR="009829A0">
              <w:rPr>
                <w:rFonts w:ascii="Verdana" w:hAnsi="Verdana"/>
                <w:sz w:val="18"/>
                <w:szCs w:val="18"/>
                <w:lang w:val="en-US"/>
              </w:rPr>
              <w:t>(Q3 2026)</w:t>
            </w:r>
            <w:r w:rsidRPr="00781A6F" w:rsidR="00DA5608">
              <w:rPr>
                <w:rFonts w:ascii="Verdana" w:hAnsi="Verdana"/>
                <w:sz w:val="18"/>
                <w:szCs w:val="18"/>
                <w:lang w:val="en-US"/>
              </w:rPr>
              <w:t xml:space="preserve"> </w:t>
            </w:r>
          </w:p>
        </w:tc>
        <w:tc>
          <w:tcPr>
            <w:tcW w:w="5103" w:type="dxa"/>
            <w:tcBorders>
              <w:top w:val="single" w:color="auto" w:sz="4" w:space="0"/>
              <w:left w:val="single" w:color="auto" w:sz="4" w:space="0"/>
              <w:bottom w:val="single" w:color="auto" w:sz="4" w:space="0"/>
              <w:right w:val="single" w:color="auto" w:sz="4" w:space="0"/>
            </w:tcBorders>
          </w:tcPr>
          <w:p w:rsidRPr="00781A6F" w:rsidR="009829A0" w:rsidP="00781A6F" w:rsidRDefault="009829A0" w14:paraId="260633AE" w14:textId="3DF02C1C">
            <w:pPr>
              <w:rPr>
                <w:rFonts w:ascii="Verdana" w:hAnsi="Verdana" w:cstheme="minorBidi"/>
                <w:sz w:val="18"/>
                <w:szCs w:val="18"/>
              </w:rPr>
            </w:pPr>
            <w:r w:rsidRPr="00781A6F">
              <w:rPr>
                <w:rFonts w:ascii="Verdana" w:hAnsi="Verdana"/>
                <w:sz w:val="18"/>
                <w:szCs w:val="18"/>
              </w:rPr>
              <w:t xml:space="preserve">De </w:t>
            </w:r>
            <w:r w:rsidRPr="00781A6F" w:rsidR="006B0323">
              <w:rPr>
                <w:rFonts w:ascii="Verdana" w:hAnsi="Verdana"/>
                <w:sz w:val="18"/>
                <w:szCs w:val="18"/>
              </w:rPr>
              <w:t>Commissie</w:t>
            </w:r>
            <w:r w:rsidRPr="00781A6F">
              <w:rPr>
                <w:rFonts w:ascii="Verdana" w:hAnsi="Verdana"/>
                <w:sz w:val="18"/>
                <w:szCs w:val="18"/>
              </w:rPr>
              <w:t xml:space="preserve"> zal een herziening van het mandaat van Frontex voorstellen, waarbij het huidige mandaat van Frontex verder wordt aangescherpt en mogelijk uitgebreid. </w:t>
            </w:r>
          </w:p>
        </w:tc>
        <w:tc>
          <w:tcPr>
            <w:tcW w:w="4535" w:type="dxa"/>
            <w:tcBorders>
              <w:top w:val="single" w:color="auto" w:sz="4" w:space="0"/>
              <w:left w:val="single" w:color="auto" w:sz="4" w:space="0"/>
              <w:bottom w:val="single" w:color="auto" w:sz="4" w:space="0"/>
              <w:right w:val="single" w:color="auto" w:sz="4" w:space="0"/>
            </w:tcBorders>
          </w:tcPr>
          <w:p w:rsidRPr="00781A6F" w:rsidR="009829A0" w:rsidP="00781A6F" w:rsidRDefault="009829A0" w14:paraId="56F96032" w14:textId="4BC0388F">
            <w:pPr>
              <w:rPr>
                <w:rFonts w:ascii="Verdana" w:hAnsi="Verdana" w:cstheme="minorBidi"/>
                <w:sz w:val="18"/>
                <w:szCs w:val="18"/>
              </w:rPr>
            </w:pPr>
            <w:r w:rsidRPr="00781A6F">
              <w:rPr>
                <w:rFonts w:ascii="Verdana" w:hAnsi="Verdana"/>
                <w:sz w:val="18"/>
                <w:szCs w:val="18"/>
              </w:rPr>
              <w:t xml:space="preserve">Het kabinet </w:t>
            </w:r>
            <w:r w:rsidRPr="00781A6F" w:rsidR="00BC191C">
              <w:rPr>
                <w:rFonts w:ascii="Verdana" w:hAnsi="Verdana"/>
                <w:sz w:val="18"/>
                <w:szCs w:val="18"/>
              </w:rPr>
              <w:t>is</w:t>
            </w:r>
            <w:r w:rsidRPr="00781A6F" w:rsidR="00F93027">
              <w:rPr>
                <w:rFonts w:ascii="Verdana" w:hAnsi="Verdana"/>
                <w:sz w:val="18"/>
                <w:szCs w:val="18"/>
              </w:rPr>
              <w:t xml:space="preserve"> i</w:t>
            </w:r>
            <w:r w:rsidRPr="00781A6F" w:rsidR="00BC191C">
              <w:rPr>
                <w:rFonts w:ascii="Verdana" w:hAnsi="Verdana"/>
                <w:sz w:val="18"/>
                <w:szCs w:val="18"/>
              </w:rPr>
              <w:t>n beginsel positief</w:t>
            </w:r>
            <w:r w:rsidRPr="00781A6F">
              <w:rPr>
                <w:rFonts w:ascii="Verdana" w:hAnsi="Verdana"/>
                <w:sz w:val="18"/>
                <w:szCs w:val="18"/>
              </w:rPr>
              <w:t xml:space="preserve"> t</w:t>
            </w:r>
            <w:r w:rsidRPr="00781A6F" w:rsidR="00E55D7E">
              <w:rPr>
                <w:rFonts w:ascii="Verdana" w:hAnsi="Verdana"/>
                <w:sz w:val="18"/>
                <w:szCs w:val="18"/>
              </w:rPr>
              <w:t>.a.v.</w:t>
            </w:r>
            <w:r w:rsidRPr="00781A6F">
              <w:rPr>
                <w:rFonts w:ascii="Verdana" w:hAnsi="Verdana"/>
                <w:sz w:val="18"/>
                <w:szCs w:val="18"/>
              </w:rPr>
              <w:t xml:space="preserve"> de herziening van de Frontex </w:t>
            </w:r>
            <w:r w:rsidRPr="00781A6F" w:rsidR="00FF1D6B">
              <w:rPr>
                <w:rFonts w:ascii="Verdana" w:hAnsi="Verdana"/>
                <w:color w:val="000000"/>
                <w:sz w:val="18"/>
                <w:szCs w:val="18"/>
              </w:rPr>
              <w:t>Verordening</w:t>
            </w:r>
            <w:r w:rsidRPr="00781A6F">
              <w:rPr>
                <w:rFonts w:ascii="Verdana" w:hAnsi="Verdana"/>
                <w:sz w:val="18"/>
                <w:szCs w:val="18"/>
              </w:rPr>
              <w:t xml:space="preserve">. </w:t>
            </w:r>
            <w:r w:rsidRPr="00781A6F" w:rsidR="00775DFA">
              <w:rPr>
                <w:rFonts w:ascii="Verdana" w:hAnsi="Verdana"/>
                <w:sz w:val="18"/>
                <w:szCs w:val="18"/>
              </w:rPr>
              <w:t>Frontex is essentieel voor de veiligheid en migratiebeheer binnen het Schengengebied ter ondersteuning van de lidstaten. De focus van de herziening moet</w:t>
            </w:r>
            <w:r w:rsidRPr="00781A6F">
              <w:rPr>
                <w:rFonts w:ascii="Verdana" w:hAnsi="Verdana"/>
                <w:sz w:val="18"/>
                <w:szCs w:val="18"/>
              </w:rPr>
              <w:t xml:space="preserve"> </w:t>
            </w:r>
            <w:r w:rsidRPr="00781A6F" w:rsidR="00326F73">
              <w:rPr>
                <w:rFonts w:ascii="Verdana" w:hAnsi="Verdana"/>
                <w:sz w:val="18"/>
                <w:szCs w:val="18"/>
              </w:rPr>
              <w:t xml:space="preserve">volgens het kabinet </w:t>
            </w:r>
            <w:r w:rsidRPr="00781A6F">
              <w:rPr>
                <w:rFonts w:ascii="Verdana" w:hAnsi="Verdana"/>
                <w:sz w:val="18"/>
                <w:szCs w:val="18"/>
              </w:rPr>
              <w:t xml:space="preserve">liggen op de versterking van het mandaat op het gebied van extern </w:t>
            </w:r>
            <w:r w:rsidRPr="00781A6F" w:rsidR="00775DFA">
              <w:rPr>
                <w:rFonts w:ascii="Verdana" w:hAnsi="Verdana"/>
                <w:sz w:val="18"/>
                <w:szCs w:val="18"/>
              </w:rPr>
              <w:t>grensbeheer en terugkeer. Daarnaast moeten de mogelijkheden voor</w:t>
            </w:r>
            <w:r w:rsidRPr="00781A6F" w:rsidR="004867B1">
              <w:rPr>
                <w:rFonts w:ascii="Verdana" w:hAnsi="Verdana"/>
                <w:sz w:val="18"/>
                <w:szCs w:val="18"/>
              </w:rPr>
              <w:t xml:space="preserve"> samenwerking met derde landen</w:t>
            </w:r>
            <w:r w:rsidRPr="00781A6F" w:rsidR="00775DFA">
              <w:rPr>
                <w:rFonts w:ascii="Verdana" w:hAnsi="Verdana"/>
                <w:sz w:val="18"/>
                <w:szCs w:val="18"/>
              </w:rPr>
              <w:t xml:space="preserve"> worden vergroot</w:t>
            </w:r>
            <w:r w:rsidRPr="00781A6F">
              <w:rPr>
                <w:rFonts w:ascii="Verdana" w:hAnsi="Verdana"/>
                <w:sz w:val="18"/>
                <w:szCs w:val="18"/>
              </w:rPr>
              <w:t xml:space="preserve">. </w:t>
            </w:r>
          </w:p>
        </w:tc>
        <w:tc>
          <w:tcPr>
            <w:tcW w:w="1985" w:type="dxa"/>
            <w:tcBorders>
              <w:top w:val="single" w:color="auto" w:sz="4" w:space="0"/>
              <w:left w:val="single" w:color="auto" w:sz="4" w:space="0"/>
              <w:bottom w:val="single" w:color="auto" w:sz="4" w:space="0"/>
              <w:right w:val="single" w:color="auto" w:sz="4" w:space="0"/>
            </w:tcBorders>
          </w:tcPr>
          <w:p w:rsidRPr="00781A6F" w:rsidR="009829A0" w:rsidP="00781A6F" w:rsidRDefault="009829A0" w14:paraId="37EC362B" w14:textId="0484C75E">
            <w:pPr>
              <w:rPr>
                <w:rFonts w:ascii="Verdana" w:hAnsi="Verdana" w:cstheme="minorBidi"/>
                <w:color w:val="000000"/>
                <w:sz w:val="18"/>
                <w:szCs w:val="18"/>
              </w:rPr>
            </w:pPr>
            <w:r w:rsidRPr="00781A6F">
              <w:rPr>
                <w:rFonts w:ascii="Verdana" w:hAnsi="Verdana"/>
                <w:color w:val="000000"/>
                <w:sz w:val="18"/>
                <w:szCs w:val="18"/>
              </w:rPr>
              <w:t xml:space="preserve">Wetgevend </w:t>
            </w:r>
          </w:p>
        </w:tc>
      </w:tr>
      <w:tr w:rsidRPr="00781A6F" w:rsidR="009829A0" w:rsidTr="007766E6" w14:paraId="38212BD2"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781A6F" w:rsidR="009829A0" w:rsidP="00781A6F" w:rsidRDefault="00781A6F" w14:paraId="0A18818A" w14:textId="399031CA">
            <w:pPr>
              <w:rPr>
                <w:rFonts w:ascii="Verdana" w:hAnsi="Verdana" w:cstheme="minorBidi"/>
                <w:sz w:val="18"/>
                <w:szCs w:val="18"/>
              </w:rPr>
            </w:pPr>
            <w:r w:rsidRPr="00781A6F">
              <w:rPr>
                <w:rFonts w:ascii="Verdana" w:hAnsi="Verdana"/>
                <w:color w:val="000000"/>
                <w:sz w:val="18"/>
                <w:szCs w:val="18"/>
              </w:rPr>
              <w:t>32</w:t>
            </w:r>
            <w:r w:rsidRPr="00781A6F" w:rsidR="009829A0">
              <w:rPr>
                <w:rFonts w:ascii="Verdana" w:hAnsi="Verdana"/>
                <w:color w:val="000000"/>
                <w:sz w:val="18"/>
                <w:szCs w:val="18"/>
              </w:rPr>
              <w:t>.</w:t>
            </w:r>
          </w:p>
        </w:tc>
        <w:tc>
          <w:tcPr>
            <w:tcW w:w="3403" w:type="dxa"/>
            <w:tcBorders>
              <w:top w:val="single" w:color="auto" w:sz="4" w:space="0"/>
              <w:left w:val="single" w:color="auto" w:sz="4" w:space="0"/>
              <w:bottom w:val="single" w:color="auto" w:sz="4" w:space="0"/>
              <w:right w:val="single" w:color="auto" w:sz="4" w:space="0"/>
            </w:tcBorders>
          </w:tcPr>
          <w:p w:rsidRPr="00781A6F" w:rsidR="009829A0" w:rsidP="00781A6F" w:rsidRDefault="004C1646" w14:paraId="692E3B4F" w14:textId="243C6A48">
            <w:pPr>
              <w:rPr>
                <w:rFonts w:ascii="Verdana" w:hAnsi="Verdana" w:cstheme="minorBidi"/>
                <w:sz w:val="18"/>
                <w:szCs w:val="18"/>
                <w:lang w:val="en-US"/>
              </w:rPr>
            </w:pPr>
            <w:proofErr w:type="spellStart"/>
            <w:r w:rsidRPr="00781A6F">
              <w:rPr>
                <w:rFonts w:ascii="Verdana" w:hAnsi="Verdana"/>
                <w:sz w:val="18"/>
                <w:szCs w:val="18"/>
                <w:lang w:val="en-US"/>
              </w:rPr>
              <w:t>Digitalisering</w:t>
            </w:r>
            <w:proofErr w:type="spellEnd"/>
            <w:r w:rsidRPr="00781A6F">
              <w:rPr>
                <w:rFonts w:ascii="Verdana" w:hAnsi="Verdana"/>
                <w:sz w:val="18"/>
                <w:szCs w:val="18"/>
                <w:lang w:val="en-US"/>
              </w:rPr>
              <w:t xml:space="preserve"> van </w:t>
            </w:r>
            <w:proofErr w:type="spellStart"/>
            <w:r w:rsidRPr="00781A6F">
              <w:rPr>
                <w:rFonts w:ascii="Verdana" w:hAnsi="Verdana"/>
                <w:sz w:val="18"/>
                <w:szCs w:val="18"/>
                <w:lang w:val="en-US"/>
              </w:rPr>
              <w:t>terugkeerprocedures</w:t>
            </w:r>
            <w:proofErr w:type="spellEnd"/>
            <w:r w:rsidRPr="00781A6F" w:rsidDel="004C1646">
              <w:rPr>
                <w:rFonts w:ascii="Verdana" w:hAnsi="Verdana"/>
                <w:sz w:val="18"/>
                <w:szCs w:val="18"/>
                <w:lang w:val="en-US"/>
              </w:rPr>
              <w:t xml:space="preserve"> </w:t>
            </w:r>
            <w:r w:rsidRPr="00781A6F" w:rsidR="009829A0">
              <w:rPr>
                <w:rFonts w:ascii="Verdana" w:hAnsi="Verdana"/>
                <w:sz w:val="18"/>
                <w:szCs w:val="18"/>
                <w:lang w:val="en-US"/>
              </w:rPr>
              <w:t>(Q3 2026)</w:t>
            </w:r>
          </w:p>
        </w:tc>
        <w:tc>
          <w:tcPr>
            <w:tcW w:w="5103" w:type="dxa"/>
            <w:tcBorders>
              <w:top w:val="single" w:color="auto" w:sz="4" w:space="0"/>
              <w:left w:val="single" w:color="auto" w:sz="4" w:space="0"/>
              <w:bottom w:val="single" w:color="auto" w:sz="4" w:space="0"/>
              <w:right w:val="single" w:color="auto" w:sz="4" w:space="0"/>
            </w:tcBorders>
          </w:tcPr>
          <w:p w:rsidRPr="00781A6F" w:rsidR="009829A0" w:rsidP="00781A6F" w:rsidRDefault="009829A0" w14:paraId="2DA63E09" w14:textId="7E53CA16">
            <w:pPr>
              <w:rPr>
                <w:rFonts w:ascii="Verdana" w:hAnsi="Verdana" w:cstheme="minorBidi"/>
                <w:sz w:val="18"/>
                <w:szCs w:val="18"/>
              </w:rPr>
            </w:pPr>
            <w:r w:rsidRPr="00781A6F">
              <w:rPr>
                <w:rFonts w:ascii="Verdana" w:hAnsi="Verdana"/>
                <w:sz w:val="18"/>
                <w:szCs w:val="18"/>
              </w:rPr>
              <w:t xml:space="preserve">Het voorstel bouwt voort op het eerdere voorstel van </w:t>
            </w:r>
            <w:r w:rsidRPr="00781A6F" w:rsidR="006B0323">
              <w:rPr>
                <w:rFonts w:ascii="Verdana" w:hAnsi="Verdana"/>
                <w:sz w:val="18"/>
                <w:szCs w:val="18"/>
              </w:rPr>
              <w:t>Commissie</w:t>
            </w:r>
            <w:r w:rsidRPr="00781A6F" w:rsidR="00B41733">
              <w:rPr>
                <w:rFonts w:ascii="Verdana" w:hAnsi="Verdana"/>
                <w:sz w:val="18"/>
                <w:szCs w:val="18"/>
              </w:rPr>
              <w:t xml:space="preserve"> </w:t>
            </w:r>
            <w:r w:rsidRPr="00781A6F">
              <w:rPr>
                <w:rFonts w:ascii="Verdana" w:hAnsi="Verdana"/>
                <w:sz w:val="18"/>
                <w:szCs w:val="18"/>
              </w:rPr>
              <w:t xml:space="preserve">van maart 2025 voor een </w:t>
            </w:r>
            <w:r w:rsidRPr="00781A6F" w:rsidR="00FF1D6B">
              <w:rPr>
                <w:rFonts w:ascii="Verdana" w:hAnsi="Verdana"/>
                <w:color w:val="000000"/>
                <w:sz w:val="18"/>
                <w:szCs w:val="18"/>
              </w:rPr>
              <w:t>Verordening</w:t>
            </w:r>
            <w:r w:rsidRPr="00781A6F">
              <w:rPr>
                <w:rFonts w:ascii="Verdana" w:hAnsi="Verdana"/>
                <w:sz w:val="18"/>
                <w:szCs w:val="18"/>
              </w:rPr>
              <w:t xml:space="preserve"> inzake een gemeenschappelijk Europees terugkeersysteem.</w:t>
            </w:r>
            <w:r w:rsidRPr="00781A6F" w:rsidR="00B41733">
              <w:rPr>
                <w:rStyle w:val="FootnoteReference"/>
                <w:rFonts w:ascii="Verdana" w:hAnsi="Verdana"/>
                <w:sz w:val="18"/>
                <w:szCs w:val="18"/>
              </w:rPr>
              <w:footnoteReference w:id="8"/>
            </w:r>
            <w:r w:rsidRPr="00781A6F">
              <w:rPr>
                <w:rFonts w:ascii="Verdana" w:hAnsi="Verdana"/>
                <w:sz w:val="18"/>
                <w:szCs w:val="18"/>
              </w:rPr>
              <w:t xml:space="preserve"> Het voorstel zal regels bevatten over de digitalisering van het terugkeerproces in Europa. </w:t>
            </w:r>
          </w:p>
        </w:tc>
        <w:tc>
          <w:tcPr>
            <w:tcW w:w="4535" w:type="dxa"/>
            <w:tcBorders>
              <w:top w:val="single" w:color="auto" w:sz="4" w:space="0"/>
              <w:left w:val="single" w:color="auto" w:sz="4" w:space="0"/>
              <w:bottom w:val="single" w:color="auto" w:sz="4" w:space="0"/>
              <w:right w:val="single" w:color="auto" w:sz="4" w:space="0"/>
            </w:tcBorders>
          </w:tcPr>
          <w:p w:rsidRPr="00781A6F" w:rsidR="009829A0" w:rsidP="00781A6F" w:rsidRDefault="009829A0" w14:paraId="5DA6AE2B" w14:textId="37712AE9">
            <w:pPr>
              <w:rPr>
                <w:rFonts w:ascii="Verdana" w:hAnsi="Verdana" w:cstheme="minorBidi"/>
                <w:sz w:val="18"/>
                <w:szCs w:val="18"/>
              </w:rPr>
            </w:pPr>
            <w:r w:rsidRPr="00781A6F">
              <w:rPr>
                <w:rFonts w:ascii="Verdana" w:hAnsi="Verdana"/>
                <w:sz w:val="18"/>
                <w:szCs w:val="18"/>
              </w:rPr>
              <w:t xml:space="preserve">Het kabinet </w:t>
            </w:r>
            <w:r w:rsidRPr="00781A6F" w:rsidR="008E7361">
              <w:rPr>
                <w:rFonts w:ascii="Verdana" w:hAnsi="Verdana"/>
                <w:sz w:val="18"/>
                <w:szCs w:val="18"/>
              </w:rPr>
              <w:t xml:space="preserve">is in beginsel positief </w:t>
            </w:r>
            <w:r w:rsidRPr="00781A6F" w:rsidR="00637A36">
              <w:rPr>
                <w:rFonts w:ascii="Verdana" w:hAnsi="Verdana"/>
                <w:sz w:val="18"/>
                <w:szCs w:val="18"/>
              </w:rPr>
              <w:t>t.a.v.</w:t>
            </w:r>
            <w:r w:rsidRPr="00781A6F">
              <w:rPr>
                <w:rFonts w:ascii="Verdana" w:hAnsi="Verdana"/>
                <w:sz w:val="18"/>
                <w:szCs w:val="18"/>
              </w:rPr>
              <w:t xml:space="preserve"> een voorstel voor digitalisering van het terugkeerproces. Wel wijst het kabinet op het risico voor verzwaring van de uitvoeringslasten en de samenhang met de lopende onderhandelingen over het voorstel voor een </w:t>
            </w:r>
            <w:r w:rsidRPr="00781A6F" w:rsidR="00FF1D6B">
              <w:rPr>
                <w:rFonts w:ascii="Verdana" w:hAnsi="Verdana"/>
                <w:sz w:val="18"/>
                <w:szCs w:val="18"/>
              </w:rPr>
              <w:t>T</w:t>
            </w:r>
            <w:r w:rsidRPr="00781A6F">
              <w:rPr>
                <w:rFonts w:ascii="Verdana" w:hAnsi="Verdana"/>
                <w:sz w:val="18"/>
                <w:szCs w:val="18"/>
              </w:rPr>
              <w:t xml:space="preserve">erugkeerverordening en de versterking van Frontex. </w:t>
            </w:r>
          </w:p>
        </w:tc>
        <w:tc>
          <w:tcPr>
            <w:tcW w:w="1985" w:type="dxa"/>
            <w:tcBorders>
              <w:top w:val="single" w:color="auto" w:sz="4" w:space="0"/>
              <w:left w:val="single" w:color="auto" w:sz="4" w:space="0"/>
              <w:bottom w:val="single" w:color="auto" w:sz="4" w:space="0"/>
              <w:right w:val="single" w:color="auto" w:sz="4" w:space="0"/>
            </w:tcBorders>
          </w:tcPr>
          <w:p w:rsidRPr="00781A6F" w:rsidR="009829A0" w:rsidP="00781A6F" w:rsidRDefault="009829A0" w14:paraId="5E748BB9" w14:textId="16521F71">
            <w:pPr>
              <w:rPr>
                <w:rFonts w:ascii="Verdana" w:hAnsi="Verdana" w:cstheme="minorBidi"/>
                <w:color w:val="000000"/>
                <w:sz w:val="18"/>
                <w:szCs w:val="18"/>
                <w:lang w:val="en-US"/>
              </w:rPr>
            </w:pPr>
            <w:r w:rsidRPr="00781A6F">
              <w:rPr>
                <w:rFonts w:ascii="Verdana" w:hAnsi="Verdana"/>
                <w:color w:val="000000"/>
                <w:sz w:val="18"/>
                <w:szCs w:val="18"/>
              </w:rPr>
              <w:t>Wetgevend</w:t>
            </w:r>
          </w:p>
        </w:tc>
      </w:tr>
      <w:bookmarkEnd w:id="1"/>
      <w:tr w:rsidRPr="00781A6F" w:rsidR="007F0AB7" w:rsidTr="007766E6" w14:paraId="28EE4C74"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781A6F" w:rsidR="007F0AB7" w:rsidP="00781A6F" w:rsidRDefault="00781A6F" w14:paraId="5BBFC316" w14:textId="7CBE4FE6">
            <w:pPr>
              <w:rPr>
                <w:rFonts w:ascii="Verdana" w:hAnsi="Verdana" w:cstheme="minorBidi"/>
                <w:color w:val="000000"/>
                <w:sz w:val="18"/>
                <w:szCs w:val="18"/>
              </w:rPr>
            </w:pPr>
            <w:r w:rsidRPr="00781A6F">
              <w:rPr>
                <w:rFonts w:ascii="Verdana" w:hAnsi="Verdana"/>
                <w:color w:val="000000"/>
                <w:sz w:val="18"/>
                <w:szCs w:val="18"/>
              </w:rPr>
              <w:t>33.</w:t>
            </w:r>
          </w:p>
        </w:tc>
        <w:tc>
          <w:tcPr>
            <w:tcW w:w="3403" w:type="dxa"/>
            <w:tcBorders>
              <w:top w:val="single" w:color="auto" w:sz="4" w:space="0"/>
              <w:left w:val="single" w:color="auto" w:sz="4" w:space="0"/>
              <w:bottom w:val="single" w:color="auto" w:sz="4" w:space="0"/>
              <w:right w:val="single" w:color="auto" w:sz="4" w:space="0"/>
            </w:tcBorders>
          </w:tcPr>
          <w:p w:rsidRPr="000F62C5" w:rsidR="007F0AB7" w:rsidP="00781A6F" w:rsidRDefault="000F62C5" w14:paraId="66AC0FB6" w14:textId="62C43180">
            <w:pPr>
              <w:rPr>
                <w:rFonts w:ascii="Verdana" w:hAnsi="Verdana" w:cstheme="minorBidi"/>
                <w:sz w:val="18"/>
                <w:szCs w:val="18"/>
              </w:rPr>
            </w:pPr>
            <w:r w:rsidRPr="000F62C5">
              <w:rPr>
                <w:rFonts w:ascii="Verdana" w:hAnsi="Verdana"/>
                <w:sz w:val="18"/>
                <w:szCs w:val="18"/>
              </w:rPr>
              <w:t xml:space="preserve">Strategie </w:t>
            </w:r>
            <w:r>
              <w:rPr>
                <w:rFonts w:ascii="Verdana" w:hAnsi="Verdana"/>
                <w:sz w:val="18"/>
                <w:szCs w:val="18"/>
              </w:rPr>
              <w:t xml:space="preserve">voor de </w:t>
            </w:r>
            <w:r w:rsidRPr="000F62C5">
              <w:rPr>
                <w:rFonts w:ascii="Verdana" w:hAnsi="Verdana"/>
                <w:sz w:val="18"/>
                <w:szCs w:val="18"/>
              </w:rPr>
              <w:t>bestrijding van mensenhandel</w:t>
            </w:r>
            <w:r w:rsidRPr="000F62C5" w:rsidR="007F0AB7">
              <w:rPr>
                <w:rFonts w:ascii="Verdana" w:hAnsi="Verdana"/>
                <w:sz w:val="18"/>
                <w:szCs w:val="18"/>
              </w:rPr>
              <w:t xml:space="preserve"> (Q2 2026)</w:t>
            </w:r>
          </w:p>
        </w:tc>
        <w:tc>
          <w:tcPr>
            <w:tcW w:w="5103" w:type="dxa"/>
            <w:tcBorders>
              <w:top w:val="single" w:color="auto" w:sz="4" w:space="0"/>
              <w:left w:val="single" w:color="auto" w:sz="4" w:space="0"/>
              <w:bottom w:val="single" w:color="auto" w:sz="4" w:space="0"/>
              <w:right w:val="single" w:color="auto" w:sz="4" w:space="0"/>
            </w:tcBorders>
          </w:tcPr>
          <w:p w:rsidRPr="00781A6F" w:rsidR="007F0AB7" w:rsidP="00781A6F" w:rsidRDefault="002C49DE" w14:paraId="71E3A875" w14:textId="345D33D6">
            <w:pPr>
              <w:rPr>
                <w:rFonts w:ascii="Verdana" w:hAnsi="Verdana" w:cstheme="minorBidi"/>
                <w:sz w:val="18"/>
                <w:szCs w:val="18"/>
              </w:rPr>
            </w:pPr>
            <w:r w:rsidRPr="00781A6F">
              <w:rPr>
                <w:rFonts w:ascii="Verdana" w:hAnsi="Verdana"/>
                <w:sz w:val="18"/>
                <w:szCs w:val="18"/>
              </w:rPr>
              <w:t>De Commissie stelt een strategie op over het tegengaan van mensenhandel. De strategie bouwt voort op de eerdere strategie van 2021-2025 met een brede reeks maatregelen.</w:t>
            </w:r>
          </w:p>
        </w:tc>
        <w:tc>
          <w:tcPr>
            <w:tcW w:w="4535" w:type="dxa"/>
            <w:tcBorders>
              <w:top w:val="single" w:color="auto" w:sz="4" w:space="0"/>
              <w:left w:val="single" w:color="auto" w:sz="4" w:space="0"/>
              <w:bottom w:val="single" w:color="auto" w:sz="4" w:space="0"/>
              <w:right w:val="single" w:color="auto" w:sz="4" w:space="0"/>
            </w:tcBorders>
          </w:tcPr>
          <w:p w:rsidRPr="00781A6F" w:rsidR="002C49DE" w:rsidP="00781A6F" w:rsidRDefault="002C49DE" w14:paraId="42CD2E5C" w14:textId="52DE5BB6">
            <w:pPr>
              <w:rPr>
                <w:rFonts w:ascii="Verdana" w:hAnsi="Verdana"/>
                <w:color w:val="000000"/>
                <w:sz w:val="18"/>
                <w:szCs w:val="18"/>
              </w:rPr>
            </w:pPr>
            <w:r w:rsidRPr="00781A6F">
              <w:rPr>
                <w:rFonts w:ascii="Verdana" w:hAnsi="Verdana"/>
                <w:color w:val="000000"/>
                <w:sz w:val="18"/>
                <w:szCs w:val="18"/>
              </w:rPr>
              <w:t xml:space="preserve">Het kabinet verwelkomt de strategie. Het is van belang om de grensoverschrijdende samenwerking op het gebied van mensenhandel verder te versterken zodat daders beter aangepakt kunnen worden en slachtoffers beter beschermd kunnen worden. </w:t>
            </w:r>
          </w:p>
          <w:p w:rsidRPr="00781A6F" w:rsidR="007F0AB7" w:rsidP="00781A6F" w:rsidRDefault="007F0AB7" w14:paraId="45C28D8F" w14:textId="22BF09EA">
            <w:pPr>
              <w:rPr>
                <w:rFonts w:ascii="Verdana" w:hAnsi="Verdana" w:cstheme="minorBidi"/>
                <w:sz w:val="18"/>
                <w:szCs w:val="18"/>
              </w:rPr>
            </w:pPr>
          </w:p>
        </w:tc>
        <w:tc>
          <w:tcPr>
            <w:tcW w:w="1985" w:type="dxa"/>
            <w:tcBorders>
              <w:top w:val="single" w:color="auto" w:sz="4" w:space="0"/>
              <w:left w:val="single" w:color="auto" w:sz="4" w:space="0"/>
              <w:bottom w:val="single" w:color="auto" w:sz="4" w:space="0"/>
              <w:right w:val="single" w:color="auto" w:sz="4" w:space="0"/>
            </w:tcBorders>
          </w:tcPr>
          <w:p w:rsidRPr="00781A6F" w:rsidR="007F0AB7" w:rsidP="00781A6F" w:rsidRDefault="007F0AB7" w14:paraId="53BD86EE" w14:textId="3EC587CA">
            <w:pPr>
              <w:rPr>
                <w:rFonts w:ascii="Verdana" w:hAnsi="Verdana" w:cstheme="minorBidi"/>
                <w:color w:val="000000"/>
                <w:sz w:val="18"/>
                <w:szCs w:val="18"/>
                <w:lang w:val="en-US"/>
              </w:rPr>
            </w:pPr>
            <w:proofErr w:type="spellStart"/>
            <w:r w:rsidRPr="00781A6F">
              <w:rPr>
                <w:rFonts w:ascii="Verdana" w:hAnsi="Verdana"/>
                <w:color w:val="000000"/>
                <w:sz w:val="18"/>
                <w:szCs w:val="18"/>
                <w:lang w:val="en-US"/>
              </w:rPr>
              <w:t>Niet-wetgevend</w:t>
            </w:r>
            <w:proofErr w:type="spellEnd"/>
          </w:p>
        </w:tc>
      </w:tr>
      <w:tr w:rsidRPr="00781A6F" w:rsidR="002C49DE" w:rsidTr="007766E6" w14:paraId="6CA52F4B"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781A6F" w:rsidR="002C49DE" w:rsidP="00781A6F" w:rsidRDefault="00781A6F" w14:paraId="7082760D" w14:textId="34C75769">
            <w:pPr>
              <w:rPr>
                <w:rFonts w:ascii="Verdana" w:hAnsi="Verdana"/>
                <w:color w:val="000000"/>
                <w:sz w:val="18"/>
                <w:szCs w:val="18"/>
              </w:rPr>
            </w:pPr>
            <w:r w:rsidRPr="00781A6F">
              <w:rPr>
                <w:rFonts w:ascii="Verdana" w:hAnsi="Verdana"/>
                <w:color w:val="000000"/>
                <w:sz w:val="18"/>
                <w:szCs w:val="18"/>
              </w:rPr>
              <w:t>34.</w:t>
            </w:r>
          </w:p>
        </w:tc>
        <w:tc>
          <w:tcPr>
            <w:tcW w:w="3403" w:type="dxa"/>
            <w:tcBorders>
              <w:top w:val="single" w:color="auto" w:sz="4" w:space="0"/>
              <w:left w:val="single" w:color="auto" w:sz="4" w:space="0"/>
              <w:bottom w:val="single" w:color="auto" w:sz="4" w:space="0"/>
              <w:right w:val="single" w:color="auto" w:sz="4" w:space="0"/>
            </w:tcBorders>
          </w:tcPr>
          <w:p w:rsidRPr="007766E6" w:rsidR="005D3370" w:rsidP="005D3370" w:rsidRDefault="005D3370" w14:paraId="2EA7024F" w14:textId="77777777">
            <w:pPr>
              <w:rPr>
                <w:rFonts w:ascii="Verdana" w:hAnsi="Verdana"/>
                <w:sz w:val="18"/>
                <w:szCs w:val="18"/>
              </w:rPr>
            </w:pPr>
            <w:r w:rsidRPr="007766E6">
              <w:rPr>
                <w:rFonts w:ascii="Verdana" w:hAnsi="Verdana"/>
                <w:sz w:val="18"/>
                <w:szCs w:val="18"/>
              </w:rPr>
              <w:t>Voorstel betreffende maatregelen tegen vervoerders die mensenhandel of migrantensmokkel faciliteren of zich daarmee inlaten in verband met illegale binnenkomst op het grondgebied van de Europese Unie</w:t>
            </w:r>
          </w:p>
          <w:p w:rsidRPr="00781A6F" w:rsidR="002C49DE" w:rsidP="00781A6F" w:rsidRDefault="002C49DE" w14:paraId="57F7D532" w14:textId="41E5762A">
            <w:pPr>
              <w:rPr>
                <w:rFonts w:ascii="Verdana" w:hAnsi="Verdana"/>
                <w:sz w:val="18"/>
                <w:szCs w:val="18"/>
              </w:rPr>
            </w:pPr>
          </w:p>
        </w:tc>
        <w:tc>
          <w:tcPr>
            <w:tcW w:w="5103" w:type="dxa"/>
            <w:tcBorders>
              <w:top w:val="single" w:color="auto" w:sz="4" w:space="0"/>
              <w:left w:val="single" w:color="auto" w:sz="4" w:space="0"/>
              <w:bottom w:val="single" w:color="auto" w:sz="4" w:space="0"/>
              <w:right w:val="single" w:color="auto" w:sz="4" w:space="0"/>
            </w:tcBorders>
          </w:tcPr>
          <w:p w:rsidRPr="00781A6F" w:rsidR="002C49DE" w:rsidP="00781A6F" w:rsidRDefault="002C49DE" w14:paraId="59BABE66" w14:textId="04087851">
            <w:pPr>
              <w:rPr>
                <w:rFonts w:ascii="Verdana" w:hAnsi="Verdana"/>
                <w:sz w:val="18"/>
                <w:szCs w:val="18"/>
              </w:rPr>
            </w:pPr>
            <w:r w:rsidRPr="00781A6F">
              <w:rPr>
                <w:rFonts w:ascii="Verdana" w:hAnsi="Verdana"/>
                <w:sz w:val="18"/>
                <w:szCs w:val="18"/>
              </w:rPr>
              <w:lastRenderedPageBreak/>
              <w:t>De Commissie stelt sancties voor tegen mensensmokkelaars en mensenhandelaars om hun tegoeden te bevriezen, hun bewegingsvrijheid en winsten te beperken.</w:t>
            </w:r>
          </w:p>
        </w:tc>
        <w:tc>
          <w:tcPr>
            <w:tcW w:w="4535" w:type="dxa"/>
            <w:tcBorders>
              <w:top w:val="single" w:color="auto" w:sz="4" w:space="0"/>
              <w:left w:val="single" w:color="auto" w:sz="4" w:space="0"/>
              <w:bottom w:val="single" w:color="auto" w:sz="4" w:space="0"/>
              <w:right w:val="single" w:color="auto" w:sz="4" w:space="0"/>
            </w:tcBorders>
          </w:tcPr>
          <w:p w:rsidRPr="007766E6" w:rsidR="005D3370" w:rsidP="005D3370" w:rsidRDefault="005D3370" w14:paraId="40D73375" w14:textId="77777777">
            <w:pPr>
              <w:rPr>
                <w:rFonts w:ascii="Verdana" w:hAnsi="Verdana"/>
                <w:color w:val="000000"/>
                <w:sz w:val="18"/>
                <w:szCs w:val="18"/>
              </w:rPr>
            </w:pPr>
            <w:r w:rsidRPr="007766E6">
              <w:rPr>
                <w:rFonts w:ascii="Verdana" w:hAnsi="Verdana"/>
                <w:color w:val="000000"/>
                <w:sz w:val="18"/>
                <w:szCs w:val="18"/>
              </w:rPr>
              <w:t xml:space="preserve">Het tegengaan van mensensmokkelen is van essentieel belang om irreguliere migratie naar het Schengengebied en secundaire migratie binnen het Schengengebied te verminderen. -Het kabinet verwelkomt het voorstel van de Commissie inzake de aanpak van vervoersbedrijven, zowel natuurlijke personen </w:t>
            </w:r>
            <w:r w:rsidRPr="007766E6">
              <w:rPr>
                <w:rFonts w:ascii="Verdana" w:hAnsi="Verdana"/>
                <w:color w:val="000000"/>
                <w:sz w:val="18"/>
                <w:szCs w:val="18"/>
              </w:rPr>
              <w:lastRenderedPageBreak/>
              <w:t>als rechtspersonen, die mensensmokkel en mensenhandel via, lucht, zee of land faciliteren. Het kabinet heeft eerder al gepleit voor het mogelijke gebruik van sancties om mensensmokkel</w:t>
            </w:r>
            <w:r w:rsidRPr="007766E6">
              <w:rPr>
                <w:rFonts w:ascii="Verdana" w:hAnsi="Verdana"/>
                <w:b/>
                <w:bCs/>
                <w:color w:val="000000"/>
                <w:sz w:val="18"/>
                <w:szCs w:val="18"/>
              </w:rPr>
              <w:t xml:space="preserve"> </w:t>
            </w:r>
            <w:r w:rsidRPr="007766E6">
              <w:rPr>
                <w:rFonts w:ascii="Verdana" w:hAnsi="Verdana"/>
                <w:color w:val="000000"/>
                <w:sz w:val="18"/>
                <w:szCs w:val="18"/>
              </w:rPr>
              <w:t>effectief te ontwrichten. Het kabinet ziet de voorstellen op dit punt dan ook positief tegemoet</w:t>
            </w:r>
          </w:p>
          <w:p w:rsidRPr="00781A6F" w:rsidR="002C49DE" w:rsidP="00781A6F" w:rsidRDefault="002C49DE" w14:paraId="6C2723B9" w14:textId="77777777">
            <w:pPr>
              <w:rPr>
                <w:rFonts w:ascii="Verdana" w:hAnsi="Verdana"/>
                <w:color w:val="000000"/>
                <w:sz w:val="18"/>
                <w:szCs w:val="18"/>
              </w:rPr>
            </w:pPr>
          </w:p>
        </w:tc>
        <w:tc>
          <w:tcPr>
            <w:tcW w:w="1985" w:type="dxa"/>
            <w:tcBorders>
              <w:top w:val="single" w:color="auto" w:sz="4" w:space="0"/>
              <w:left w:val="single" w:color="auto" w:sz="4" w:space="0"/>
              <w:bottom w:val="single" w:color="auto" w:sz="4" w:space="0"/>
              <w:right w:val="single" w:color="auto" w:sz="4" w:space="0"/>
            </w:tcBorders>
          </w:tcPr>
          <w:p w:rsidRPr="00781A6F" w:rsidR="002C49DE" w:rsidP="00781A6F" w:rsidRDefault="002C49DE" w14:paraId="349253CA" w14:textId="754C1C5A">
            <w:pPr>
              <w:rPr>
                <w:rFonts w:ascii="Verdana" w:hAnsi="Verdana"/>
                <w:color w:val="000000"/>
                <w:sz w:val="18"/>
                <w:szCs w:val="18"/>
              </w:rPr>
            </w:pPr>
            <w:r w:rsidRPr="00781A6F">
              <w:rPr>
                <w:rFonts w:ascii="Verdana" w:hAnsi="Verdana"/>
                <w:color w:val="000000"/>
                <w:sz w:val="18"/>
                <w:szCs w:val="18"/>
              </w:rPr>
              <w:lastRenderedPageBreak/>
              <w:t>Wetgevend</w:t>
            </w:r>
          </w:p>
        </w:tc>
      </w:tr>
      <w:tr w:rsidRPr="00781A6F" w:rsidR="007F0AB7" w:rsidTr="007766E6" w14:paraId="4FC3FAB8"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781A6F" w:rsidR="007F0AB7" w:rsidP="00781A6F" w:rsidRDefault="00781A6F" w14:paraId="2EB03959" w14:textId="0A761BC6">
            <w:pPr>
              <w:rPr>
                <w:rFonts w:ascii="Verdana" w:hAnsi="Verdana" w:cstheme="minorBidi"/>
                <w:color w:val="000000"/>
                <w:sz w:val="18"/>
                <w:szCs w:val="18"/>
              </w:rPr>
            </w:pPr>
            <w:r w:rsidRPr="00781A6F">
              <w:rPr>
                <w:rFonts w:ascii="Verdana" w:hAnsi="Verdana"/>
                <w:color w:val="000000"/>
                <w:sz w:val="18"/>
                <w:szCs w:val="18"/>
              </w:rPr>
              <w:t>35.</w:t>
            </w:r>
          </w:p>
        </w:tc>
        <w:tc>
          <w:tcPr>
            <w:tcW w:w="3403" w:type="dxa"/>
            <w:tcBorders>
              <w:top w:val="single" w:color="auto" w:sz="4" w:space="0"/>
              <w:left w:val="single" w:color="auto" w:sz="4" w:space="0"/>
              <w:bottom w:val="single" w:color="auto" w:sz="4" w:space="0"/>
              <w:right w:val="single" w:color="auto" w:sz="4" w:space="0"/>
            </w:tcBorders>
          </w:tcPr>
          <w:p w:rsidRPr="00781A6F" w:rsidR="007F0AB7" w:rsidP="00781A6F" w:rsidRDefault="004C1646" w14:paraId="3994DDAE" w14:textId="709279FB">
            <w:pPr>
              <w:rPr>
                <w:rFonts w:ascii="Verdana" w:hAnsi="Verdana" w:cstheme="minorBidi"/>
                <w:sz w:val="18"/>
                <w:szCs w:val="18"/>
              </w:rPr>
            </w:pPr>
            <w:r w:rsidRPr="00781A6F">
              <w:rPr>
                <w:rFonts w:ascii="Verdana" w:hAnsi="Verdana"/>
                <w:sz w:val="18"/>
                <w:szCs w:val="18"/>
              </w:rPr>
              <w:t xml:space="preserve">Gemoderniseerde regels ter bestrijding van georganiseerde criminaliteit </w:t>
            </w:r>
            <w:r w:rsidRPr="00781A6F" w:rsidR="007F0AB7">
              <w:rPr>
                <w:rFonts w:ascii="Verdana" w:hAnsi="Verdana"/>
                <w:sz w:val="18"/>
                <w:szCs w:val="18"/>
              </w:rPr>
              <w:t>(Q3 2026)</w:t>
            </w:r>
          </w:p>
        </w:tc>
        <w:tc>
          <w:tcPr>
            <w:tcW w:w="5103" w:type="dxa"/>
            <w:tcBorders>
              <w:top w:val="single" w:color="auto" w:sz="4" w:space="0"/>
              <w:left w:val="single" w:color="auto" w:sz="4" w:space="0"/>
              <w:bottom w:val="single" w:color="auto" w:sz="4" w:space="0"/>
              <w:right w:val="single" w:color="auto" w:sz="4" w:space="0"/>
            </w:tcBorders>
          </w:tcPr>
          <w:p w:rsidRPr="00781A6F" w:rsidR="00D967E5" w:rsidP="00781A6F" w:rsidRDefault="00D967E5" w14:paraId="00836BC0" w14:textId="50B17AC4">
            <w:pPr>
              <w:rPr>
                <w:rFonts w:ascii="Verdana" w:hAnsi="Verdana" w:cstheme="minorBidi"/>
                <w:color w:val="000000"/>
                <w:sz w:val="18"/>
                <w:szCs w:val="18"/>
              </w:rPr>
            </w:pPr>
            <w:r w:rsidRPr="00781A6F">
              <w:rPr>
                <w:rFonts w:ascii="Verdana" w:hAnsi="Verdana"/>
                <w:color w:val="000000"/>
                <w:sz w:val="18"/>
                <w:szCs w:val="18"/>
              </w:rPr>
              <w:t>Het voorstel herziet de regels tegen georganiseerde misdaad om ze te moderniseren en effectiever te maken. Het richt zich op het ontmantelen van criminele netwerken met een focus op grensoverschrijdende samenwerking en het verbeteren van opsporingstechnieken. Naar verwachting herziet het voorstel Kaderbesluit 2008/841/JHA</w:t>
            </w:r>
            <w:r w:rsidRPr="00781A6F" w:rsidR="00B41733">
              <w:rPr>
                <w:rStyle w:val="FootnoteReference"/>
                <w:rFonts w:ascii="Verdana" w:hAnsi="Verdana"/>
                <w:color w:val="000000"/>
                <w:sz w:val="18"/>
                <w:szCs w:val="18"/>
              </w:rPr>
              <w:footnoteReference w:id="9"/>
            </w:r>
            <w:r w:rsidRPr="00781A6F">
              <w:rPr>
                <w:rFonts w:ascii="Verdana" w:hAnsi="Verdana"/>
                <w:color w:val="000000"/>
                <w:sz w:val="18"/>
                <w:szCs w:val="18"/>
              </w:rPr>
              <w:t xml:space="preserve"> betreffende de bestrijding van georganiseerde criminaliteit.  </w:t>
            </w:r>
          </w:p>
          <w:p w:rsidRPr="00781A6F" w:rsidR="007F0AB7" w:rsidP="00781A6F" w:rsidRDefault="007F0AB7" w14:paraId="1F092797" w14:textId="238AB85E">
            <w:pPr>
              <w:rPr>
                <w:rFonts w:ascii="Verdana" w:hAnsi="Verdana" w:cstheme="minorHAnsi"/>
                <w:color w:val="000000"/>
                <w:sz w:val="18"/>
                <w:szCs w:val="18"/>
              </w:rPr>
            </w:pPr>
          </w:p>
        </w:tc>
        <w:tc>
          <w:tcPr>
            <w:tcW w:w="4535" w:type="dxa"/>
            <w:tcBorders>
              <w:top w:val="single" w:color="auto" w:sz="4" w:space="0"/>
              <w:left w:val="single" w:color="auto" w:sz="4" w:space="0"/>
              <w:bottom w:val="single" w:color="auto" w:sz="4" w:space="0"/>
              <w:right w:val="single" w:color="auto" w:sz="4" w:space="0"/>
            </w:tcBorders>
          </w:tcPr>
          <w:p w:rsidRPr="00781A6F" w:rsidR="007F0AB7" w:rsidP="00781A6F" w:rsidRDefault="00D967E5" w14:paraId="3D409B5B" w14:textId="1D4C38DF">
            <w:pPr>
              <w:rPr>
                <w:rFonts w:ascii="Verdana" w:hAnsi="Verdana" w:cstheme="minorBidi"/>
                <w:color w:val="000000"/>
                <w:sz w:val="18"/>
                <w:szCs w:val="18"/>
              </w:rPr>
            </w:pPr>
            <w:r w:rsidRPr="00781A6F">
              <w:rPr>
                <w:rFonts w:ascii="Verdana" w:hAnsi="Verdana"/>
                <w:color w:val="000000"/>
                <w:sz w:val="18"/>
                <w:szCs w:val="18"/>
              </w:rPr>
              <w:t>Het kabinet ziet risico’s in een herziening van het juridisch kader tegen georganiseerde criminaliteit. Het kabinet wijst erop dat de verdere harmonisering van de juridische definitie van georganiseerde criminaliteit en speciale onderzoekstechnieken de effectiviteit van nationale systemen en de slagvaardigheid van uitvoeringsorganisaties zou kunnen belemmeren, gezien de verschillen tussen lidstaten in rechtssystemen, jurisprudentie, wetgeving en procedures.</w:t>
            </w:r>
          </w:p>
        </w:tc>
        <w:tc>
          <w:tcPr>
            <w:tcW w:w="1985" w:type="dxa"/>
            <w:tcBorders>
              <w:top w:val="single" w:color="auto" w:sz="4" w:space="0"/>
              <w:left w:val="single" w:color="auto" w:sz="4" w:space="0"/>
              <w:bottom w:val="single" w:color="auto" w:sz="4" w:space="0"/>
              <w:right w:val="single" w:color="auto" w:sz="4" w:space="0"/>
            </w:tcBorders>
          </w:tcPr>
          <w:p w:rsidRPr="00781A6F" w:rsidR="007F0AB7" w:rsidP="00781A6F" w:rsidRDefault="007F0AB7" w14:paraId="7294C12E" w14:textId="0B2F7B43">
            <w:pPr>
              <w:rPr>
                <w:rFonts w:ascii="Verdana" w:hAnsi="Verdana" w:cstheme="minorBidi"/>
                <w:color w:val="000000"/>
                <w:sz w:val="18"/>
                <w:szCs w:val="18"/>
                <w:lang w:val="en-US"/>
              </w:rPr>
            </w:pPr>
            <w:r w:rsidRPr="00781A6F">
              <w:rPr>
                <w:rFonts w:ascii="Verdana" w:hAnsi="Verdana"/>
                <w:color w:val="000000"/>
                <w:sz w:val="18"/>
                <w:szCs w:val="18"/>
              </w:rPr>
              <w:t xml:space="preserve">Wetgevend </w:t>
            </w:r>
          </w:p>
        </w:tc>
      </w:tr>
      <w:tr w:rsidRPr="00781A6F" w:rsidR="007F0AB7" w:rsidTr="007766E6" w14:paraId="29469B9F"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781A6F" w:rsidR="007F0AB7" w:rsidP="00781A6F" w:rsidRDefault="00781A6F" w14:paraId="3EFA2A03" w14:textId="7DB27D83">
            <w:pPr>
              <w:rPr>
                <w:rFonts w:ascii="Verdana" w:hAnsi="Verdana" w:cstheme="minorBidi"/>
                <w:color w:val="000000"/>
                <w:sz w:val="18"/>
                <w:szCs w:val="18"/>
              </w:rPr>
            </w:pPr>
            <w:bookmarkStart w:name="_Hlk213320404" w:id="2"/>
            <w:r w:rsidRPr="00781A6F">
              <w:rPr>
                <w:rFonts w:ascii="Verdana" w:hAnsi="Verdana"/>
                <w:color w:val="000000"/>
                <w:sz w:val="18"/>
                <w:szCs w:val="18"/>
              </w:rPr>
              <w:t>36</w:t>
            </w:r>
            <w:r w:rsidRPr="00781A6F" w:rsidR="007F0AB7">
              <w:rPr>
                <w:rFonts w:ascii="Verdana" w:hAnsi="Verdana"/>
                <w:color w:val="000000"/>
                <w:sz w:val="18"/>
                <w:szCs w:val="18"/>
              </w:rPr>
              <w:t>.</w:t>
            </w:r>
          </w:p>
        </w:tc>
        <w:tc>
          <w:tcPr>
            <w:tcW w:w="3403" w:type="dxa"/>
            <w:tcBorders>
              <w:top w:val="single" w:color="auto" w:sz="4" w:space="0"/>
              <w:left w:val="single" w:color="auto" w:sz="4" w:space="0"/>
              <w:bottom w:val="single" w:color="auto" w:sz="4" w:space="0"/>
              <w:right w:val="single" w:color="auto" w:sz="4" w:space="0"/>
            </w:tcBorders>
          </w:tcPr>
          <w:p w:rsidRPr="00781A6F" w:rsidR="007F0AB7" w:rsidP="00781A6F" w:rsidRDefault="004C1646" w14:paraId="1E2A7F6C" w14:textId="32793021">
            <w:pPr>
              <w:rPr>
                <w:rFonts w:ascii="Verdana" w:hAnsi="Verdana" w:cstheme="minorBidi"/>
                <w:sz w:val="18"/>
                <w:szCs w:val="18"/>
                <w:lang w:val="en-US"/>
              </w:rPr>
            </w:pPr>
            <w:proofErr w:type="spellStart"/>
            <w:r w:rsidRPr="00781A6F">
              <w:rPr>
                <w:rFonts w:ascii="Verdana" w:hAnsi="Verdana"/>
                <w:sz w:val="18"/>
                <w:szCs w:val="18"/>
                <w:lang w:val="en-US"/>
              </w:rPr>
              <w:t>Versterking</w:t>
            </w:r>
            <w:proofErr w:type="spellEnd"/>
            <w:r w:rsidRPr="00781A6F">
              <w:rPr>
                <w:rFonts w:ascii="Verdana" w:hAnsi="Verdana"/>
                <w:sz w:val="18"/>
                <w:szCs w:val="18"/>
                <w:lang w:val="en-US"/>
              </w:rPr>
              <w:t xml:space="preserve"> van Europol </w:t>
            </w:r>
            <w:r w:rsidRPr="00781A6F" w:rsidR="007F0AB7">
              <w:rPr>
                <w:rFonts w:ascii="Verdana" w:hAnsi="Verdana"/>
                <w:sz w:val="18"/>
                <w:szCs w:val="18"/>
                <w:lang w:val="en-US"/>
              </w:rPr>
              <w:t>(Q2 2026)</w:t>
            </w:r>
          </w:p>
        </w:tc>
        <w:tc>
          <w:tcPr>
            <w:tcW w:w="5103" w:type="dxa"/>
            <w:tcBorders>
              <w:top w:val="single" w:color="auto" w:sz="4" w:space="0"/>
              <w:left w:val="single" w:color="auto" w:sz="4" w:space="0"/>
              <w:bottom w:val="single" w:color="auto" w:sz="4" w:space="0"/>
              <w:right w:val="single" w:color="auto" w:sz="4" w:space="0"/>
            </w:tcBorders>
          </w:tcPr>
          <w:p w:rsidRPr="00781A6F" w:rsidR="00D967E5" w:rsidP="00781A6F" w:rsidRDefault="00D967E5" w14:paraId="7445C3C0" w14:textId="2094B0FA">
            <w:pPr>
              <w:rPr>
                <w:rFonts w:ascii="Verdana" w:hAnsi="Verdana" w:cstheme="minorBidi"/>
                <w:color w:val="000000"/>
                <w:sz w:val="18"/>
                <w:szCs w:val="18"/>
              </w:rPr>
            </w:pPr>
            <w:r w:rsidRPr="00781A6F">
              <w:rPr>
                <w:rFonts w:ascii="Verdana" w:hAnsi="Verdana"/>
                <w:color w:val="000000"/>
                <w:sz w:val="18"/>
                <w:szCs w:val="18"/>
              </w:rPr>
              <w:t xml:space="preserve">De </w:t>
            </w:r>
            <w:r w:rsidRPr="00781A6F" w:rsidR="006B0323">
              <w:rPr>
                <w:rFonts w:ascii="Verdana" w:hAnsi="Verdana"/>
                <w:color w:val="000000"/>
                <w:sz w:val="18"/>
                <w:szCs w:val="18"/>
              </w:rPr>
              <w:t>Commissie</w:t>
            </w:r>
            <w:r w:rsidRPr="00781A6F">
              <w:rPr>
                <w:rFonts w:ascii="Verdana" w:hAnsi="Verdana"/>
                <w:color w:val="000000"/>
                <w:sz w:val="18"/>
                <w:szCs w:val="18"/>
              </w:rPr>
              <w:t xml:space="preserve"> stelt een herziening van het mandaat van Europol </w:t>
            </w:r>
            <w:r w:rsidRPr="00781A6F" w:rsidR="00B41733">
              <w:rPr>
                <w:rFonts w:ascii="Verdana" w:hAnsi="Verdana"/>
                <w:color w:val="000000"/>
                <w:sz w:val="18"/>
                <w:szCs w:val="18"/>
              </w:rPr>
              <w:t xml:space="preserve">voor </w:t>
            </w:r>
            <w:r w:rsidRPr="00781A6F">
              <w:rPr>
                <w:rFonts w:ascii="Verdana" w:hAnsi="Verdana"/>
                <w:color w:val="000000"/>
                <w:sz w:val="18"/>
                <w:szCs w:val="18"/>
              </w:rPr>
              <w:t xml:space="preserve">waarbij een verdere versterking van de expertise en capaciteit van Europol </w:t>
            </w:r>
            <w:r w:rsidRPr="00781A6F" w:rsidR="00B41733">
              <w:rPr>
                <w:rFonts w:ascii="Verdana" w:hAnsi="Verdana"/>
                <w:color w:val="000000"/>
                <w:sz w:val="18"/>
                <w:szCs w:val="18"/>
              </w:rPr>
              <w:t>wordt voorzien</w:t>
            </w:r>
            <w:r w:rsidRPr="00781A6F">
              <w:rPr>
                <w:rFonts w:ascii="Verdana" w:hAnsi="Verdana"/>
                <w:color w:val="000000"/>
                <w:sz w:val="18"/>
                <w:szCs w:val="18"/>
              </w:rPr>
              <w:t xml:space="preserve">. </w:t>
            </w:r>
          </w:p>
          <w:p w:rsidRPr="00781A6F" w:rsidR="007F0AB7" w:rsidP="00781A6F" w:rsidRDefault="007F0AB7" w14:paraId="5F670CE7" w14:textId="7CA29848">
            <w:pPr>
              <w:rPr>
                <w:rFonts w:ascii="Verdana" w:hAnsi="Verdana" w:cstheme="minorHAnsi"/>
                <w:sz w:val="18"/>
                <w:szCs w:val="18"/>
              </w:rPr>
            </w:pPr>
          </w:p>
        </w:tc>
        <w:tc>
          <w:tcPr>
            <w:tcW w:w="4535" w:type="dxa"/>
            <w:tcBorders>
              <w:top w:val="single" w:color="auto" w:sz="4" w:space="0"/>
              <w:left w:val="single" w:color="auto" w:sz="4" w:space="0"/>
              <w:bottom w:val="single" w:color="auto" w:sz="4" w:space="0"/>
              <w:right w:val="single" w:color="auto" w:sz="4" w:space="0"/>
            </w:tcBorders>
          </w:tcPr>
          <w:p w:rsidR="007F0AB7" w:rsidP="00781A6F" w:rsidRDefault="0033603A" w14:paraId="72184CDD" w14:textId="77777777">
            <w:pPr>
              <w:rPr>
                <w:rFonts w:ascii="Verdana" w:hAnsi="Verdana"/>
                <w:color w:val="000000"/>
                <w:sz w:val="18"/>
                <w:szCs w:val="18"/>
              </w:rPr>
            </w:pPr>
            <w:r w:rsidRPr="0033603A">
              <w:rPr>
                <w:rFonts w:ascii="Verdana" w:hAnsi="Verdana"/>
                <w:color w:val="000000"/>
                <w:sz w:val="18"/>
                <w:szCs w:val="18"/>
              </w:rPr>
              <w:t>Het kabinet wil graag in EU-verband samenwerken om (georganiseerde) criminaliteit en terrorisme effectief te bestrijden en Europol is een belangrijke partner daarbij. Essentieel is dat Europol altijd in goed overleg met de nationale politiediensten en vooral met behoud van nationale zeggenschap over de onderzoeken die het start blijft werken. Nederland ziet ruimte voor Europol om binnen het bestaande mandaat verder te optimaliseren. Ten aanzien van de huisvesting van Europol zal het kabinet in gesprek gaan over een heroverweging van de financieringsafspraken tussen Europol en Nederland als gastland.</w:t>
            </w:r>
          </w:p>
          <w:p w:rsidRPr="00781A6F" w:rsidR="0033603A" w:rsidP="00781A6F" w:rsidRDefault="0033603A" w14:paraId="0F66DC61" w14:textId="17420354">
            <w:pPr>
              <w:rPr>
                <w:rFonts w:ascii="Verdana" w:hAnsi="Verdana" w:cstheme="minorBidi"/>
                <w:sz w:val="18"/>
                <w:szCs w:val="18"/>
              </w:rPr>
            </w:pPr>
          </w:p>
        </w:tc>
        <w:tc>
          <w:tcPr>
            <w:tcW w:w="1985" w:type="dxa"/>
            <w:tcBorders>
              <w:top w:val="single" w:color="auto" w:sz="4" w:space="0"/>
              <w:left w:val="single" w:color="auto" w:sz="4" w:space="0"/>
              <w:bottom w:val="single" w:color="auto" w:sz="4" w:space="0"/>
              <w:right w:val="single" w:color="auto" w:sz="4" w:space="0"/>
            </w:tcBorders>
          </w:tcPr>
          <w:p w:rsidRPr="00781A6F" w:rsidR="007F0AB7" w:rsidP="00781A6F" w:rsidRDefault="007F0AB7" w14:paraId="78211C46" w14:textId="36F2DF55">
            <w:pPr>
              <w:rPr>
                <w:rFonts w:ascii="Verdana" w:hAnsi="Verdana" w:cstheme="minorBidi"/>
                <w:color w:val="000000"/>
                <w:sz w:val="18"/>
                <w:szCs w:val="18"/>
                <w:lang w:val="en-US"/>
              </w:rPr>
            </w:pPr>
            <w:r w:rsidRPr="00781A6F">
              <w:rPr>
                <w:rFonts w:ascii="Verdana" w:hAnsi="Verdana"/>
                <w:color w:val="000000"/>
                <w:sz w:val="18"/>
                <w:szCs w:val="18"/>
              </w:rPr>
              <w:t xml:space="preserve">Wetgevend </w:t>
            </w:r>
          </w:p>
        </w:tc>
      </w:tr>
      <w:bookmarkEnd w:id="2"/>
      <w:tr w:rsidRPr="00781A6F" w:rsidR="00D967E5" w:rsidTr="007766E6" w14:paraId="61813C60"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781A6F" w:rsidR="00D967E5" w:rsidP="00781A6F" w:rsidRDefault="00781A6F" w14:paraId="283E8916" w14:textId="135118E3">
            <w:pPr>
              <w:rPr>
                <w:rFonts w:ascii="Verdana" w:hAnsi="Verdana" w:cstheme="minorBidi"/>
                <w:color w:val="000000"/>
                <w:sz w:val="18"/>
                <w:szCs w:val="18"/>
              </w:rPr>
            </w:pPr>
            <w:r w:rsidRPr="00781A6F">
              <w:rPr>
                <w:rFonts w:ascii="Verdana" w:hAnsi="Verdana"/>
                <w:color w:val="000000"/>
                <w:sz w:val="18"/>
                <w:szCs w:val="18"/>
              </w:rPr>
              <w:t>37</w:t>
            </w:r>
            <w:r w:rsidRPr="00781A6F" w:rsidR="00D967E5">
              <w:rPr>
                <w:rFonts w:ascii="Verdana" w:hAnsi="Verdana"/>
                <w:color w:val="000000"/>
                <w:sz w:val="18"/>
                <w:szCs w:val="18"/>
              </w:rPr>
              <w:t>.</w:t>
            </w:r>
          </w:p>
        </w:tc>
        <w:tc>
          <w:tcPr>
            <w:tcW w:w="3403" w:type="dxa"/>
            <w:tcBorders>
              <w:top w:val="single" w:color="auto" w:sz="4" w:space="0"/>
              <w:left w:val="single" w:color="auto" w:sz="4" w:space="0"/>
              <w:bottom w:val="single" w:color="auto" w:sz="4" w:space="0"/>
              <w:right w:val="single" w:color="auto" w:sz="4" w:space="0"/>
            </w:tcBorders>
          </w:tcPr>
          <w:p w:rsidRPr="00781A6F" w:rsidR="00D967E5" w:rsidP="00781A6F" w:rsidRDefault="004C1646" w14:paraId="021DCA3E" w14:textId="0D0277F1">
            <w:pPr>
              <w:rPr>
                <w:rFonts w:ascii="Verdana" w:hAnsi="Verdana" w:cstheme="minorBidi"/>
                <w:sz w:val="18"/>
                <w:szCs w:val="18"/>
              </w:rPr>
            </w:pPr>
            <w:r w:rsidRPr="00781A6F">
              <w:rPr>
                <w:rFonts w:ascii="Verdana" w:hAnsi="Verdana"/>
                <w:sz w:val="18"/>
                <w:szCs w:val="18"/>
              </w:rPr>
              <w:t xml:space="preserve">Opzetten van een Europees systeem voor kritieke communicatie </w:t>
            </w:r>
            <w:r w:rsidRPr="00781A6F" w:rsidR="00D967E5">
              <w:rPr>
                <w:rFonts w:ascii="Verdana" w:hAnsi="Verdana"/>
                <w:sz w:val="18"/>
                <w:szCs w:val="18"/>
              </w:rPr>
              <w:t>(Q3 2026)</w:t>
            </w:r>
          </w:p>
        </w:tc>
        <w:tc>
          <w:tcPr>
            <w:tcW w:w="5103" w:type="dxa"/>
            <w:tcBorders>
              <w:top w:val="single" w:color="auto" w:sz="4" w:space="0"/>
              <w:left w:val="single" w:color="auto" w:sz="4" w:space="0"/>
              <w:bottom w:val="single" w:color="auto" w:sz="4" w:space="0"/>
              <w:right w:val="single" w:color="auto" w:sz="4" w:space="0"/>
            </w:tcBorders>
          </w:tcPr>
          <w:p w:rsidRPr="00781A6F" w:rsidR="00D967E5" w:rsidP="00781A6F" w:rsidRDefault="00D967E5" w14:paraId="7D4EFADF" w14:textId="59A4CB95">
            <w:pPr>
              <w:rPr>
                <w:rFonts w:ascii="Verdana" w:hAnsi="Verdana" w:cstheme="minorBidi"/>
                <w:color w:val="000000"/>
                <w:sz w:val="18"/>
                <w:szCs w:val="18"/>
              </w:rPr>
            </w:pPr>
            <w:r w:rsidRPr="00781A6F">
              <w:rPr>
                <w:rFonts w:ascii="Verdana" w:hAnsi="Verdana"/>
                <w:color w:val="000000"/>
                <w:sz w:val="18"/>
                <w:szCs w:val="18"/>
              </w:rPr>
              <w:t xml:space="preserve">Het voorstel ziet op de oprichting van een </w:t>
            </w:r>
            <w:r w:rsidRPr="00781A6F" w:rsidR="004C1646">
              <w:rPr>
                <w:rFonts w:ascii="Verdana" w:hAnsi="Verdana"/>
                <w:sz w:val="18"/>
                <w:szCs w:val="18"/>
              </w:rPr>
              <w:t>Europees systeem voor kritieke communicatie</w:t>
            </w:r>
            <w:r w:rsidRPr="00781A6F">
              <w:rPr>
                <w:rFonts w:ascii="Verdana" w:hAnsi="Verdana"/>
                <w:i/>
                <w:color w:val="000000"/>
                <w:sz w:val="18"/>
                <w:szCs w:val="18"/>
              </w:rPr>
              <w:t xml:space="preserve"> </w:t>
            </w:r>
            <w:r w:rsidRPr="00781A6F">
              <w:rPr>
                <w:rFonts w:ascii="Verdana" w:hAnsi="Verdana"/>
                <w:color w:val="000000"/>
                <w:sz w:val="18"/>
                <w:szCs w:val="18"/>
              </w:rPr>
              <w:t>om</w:t>
            </w:r>
            <w:r w:rsidRPr="00781A6F">
              <w:rPr>
                <w:rFonts w:ascii="Verdana" w:hAnsi="Verdana"/>
                <w:i/>
                <w:color w:val="000000"/>
                <w:sz w:val="18"/>
                <w:szCs w:val="18"/>
              </w:rPr>
              <w:t xml:space="preserve"> </w:t>
            </w:r>
            <w:r w:rsidRPr="00781A6F">
              <w:rPr>
                <w:rFonts w:ascii="Verdana" w:hAnsi="Verdana"/>
                <w:color w:val="000000"/>
                <w:sz w:val="18"/>
                <w:szCs w:val="18"/>
              </w:rPr>
              <w:t>de kritieke communicatiesystemen van de EU-lidstaten aan elkaar te verbinden en zo de capaciteit van de EU om te reageren op crises, te versterken</w:t>
            </w:r>
          </w:p>
          <w:p w:rsidRPr="00781A6F" w:rsidR="00D967E5" w:rsidP="00781A6F" w:rsidRDefault="00D967E5" w14:paraId="4BE4574F" w14:textId="11016366">
            <w:pPr>
              <w:rPr>
                <w:rFonts w:ascii="Verdana" w:hAnsi="Verdana" w:cstheme="minorHAnsi"/>
                <w:color w:val="000000"/>
                <w:sz w:val="18"/>
                <w:szCs w:val="18"/>
              </w:rPr>
            </w:pPr>
          </w:p>
        </w:tc>
        <w:tc>
          <w:tcPr>
            <w:tcW w:w="4535" w:type="dxa"/>
            <w:tcBorders>
              <w:top w:val="single" w:color="auto" w:sz="4" w:space="0"/>
              <w:left w:val="single" w:color="auto" w:sz="4" w:space="0"/>
              <w:bottom w:val="single" w:color="auto" w:sz="4" w:space="0"/>
              <w:right w:val="single" w:color="auto" w:sz="4" w:space="0"/>
            </w:tcBorders>
          </w:tcPr>
          <w:p w:rsidRPr="00781A6F" w:rsidR="00D967E5" w:rsidP="00781A6F" w:rsidRDefault="00D967E5" w14:paraId="11F640AE" w14:textId="6685D4F8">
            <w:pPr>
              <w:rPr>
                <w:rFonts w:ascii="Verdana" w:hAnsi="Verdana" w:cstheme="minorBidi"/>
                <w:color w:val="000000"/>
                <w:sz w:val="18"/>
                <w:szCs w:val="18"/>
              </w:rPr>
            </w:pPr>
            <w:r w:rsidRPr="00781A6F">
              <w:rPr>
                <w:rFonts w:ascii="Verdana" w:hAnsi="Verdana"/>
                <w:color w:val="000000"/>
                <w:sz w:val="18"/>
                <w:szCs w:val="18"/>
              </w:rPr>
              <w:t xml:space="preserve">Het kabinet staat positief tegenover het initiatief van de </w:t>
            </w:r>
            <w:r w:rsidRPr="00781A6F" w:rsidR="006B0323">
              <w:rPr>
                <w:rFonts w:ascii="Verdana" w:hAnsi="Verdana"/>
                <w:color w:val="000000"/>
                <w:sz w:val="18"/>
                <w:szCs w:val="18"/>
              </w:rPr>
              <w:t>Commissie</w:t>
            </w:r>
            <w:r w:rsidRPr="00781A6F">
              <w:rPr>
                <w:rFonts w:ascii="Verdana" w:hAnsi="Verdana"/>
                <w:color w:val="000000"/>
                <w:sz w:val="18"/>
                <w:szCs w:val="18"/>
              </w:rPr>
              <w:t xml:space="preserve"> om een Europese standaard te introduceren voor de nationale, missie-kritische communicatienetwerken van de toekomst, waardoor hulpdiensten beter grensoverschrijdend kunnen samenwerken. </w:t>
            </w:r>
          </w:p>
        </w:tc>
        <w:tc>
          <w:tcPr>
            <w:tcW w:w="1985" w:type="dxa"/>
            <w:tcBorders>
              <w:top w:val="single" w:color="auto" w:sz="4" w:space="0"/>
              <w:left w:val="single" w:color="auto" w:sz="4" w:space="0"/>
              <w:bottom w:val="single" w:color="auto" w:sz="4" w:space="0"/>
              <w:right w:val="single" w:color="auto" w:sz="4" w:space="0"/>
            </w:tcBorders>
          </w:tcPr>
          <w:p w:rsidRPr="00781A6F" w:rsidR="00D967E5" w:rsidP="00781A6F" w:rsidRDefault="00D967E5" w14:paraId="2F1C0890" w14:textId="039C5055">
            <w:pPr>
              <w:rPr>
                <w:rFonts w:ascii="Verdana" w:hAnsi="Verdana" w:cstheme="minorBidi"/>
                <w:color w:val="000000"/>
                <w:sz w:val="18"/>
                <w:szCs w:val="18"/>
                <w:lang w:val="en-US"/>
              </w:rPr>
            </w:pPr>
            <w:r w:rsidRPr="00781A6F">
              <w:rPr>
                <w:rFonts w:ascii="Verdana" w:hAnsi="Verdana"/>
                <w:color w:val="000000"/>
                <w:sz w:val="18"/>
                <w:szCs w:val="18"/>
              </w:rPr>
              <w:t xml:space="preserve">Wetgevend </w:t>
            </w:r>
          </w:p>
        </w:tc>
      </w:tr>
    </w:tbl>
    <w:p w:rsidRPr="00781A6F" w:rsidR="00530C15" w:rsidP="00781A6F" w:rsidRDefault="00BC4B31" w14:paraId="510BDA50" w14:textId="40E90467">
      <w:pPr>
        <w:spacing w:line="240" w:lineRule="auto"/>
        <w:rPr>
          <w:rFonts w:ascii="Verdana" w:hAnsi="Verdana"/>
          <w:b/>
          <w:bCs/>
          <w:sz w:val="18"/>
          <w:szCs w:val="18"/>
        </w:rPr>
      </w:pPr>
      <w:r w:rsidRPr="00781A6F">
        <w:rPr>
          <w:rFonts w:ascii="Verdana" w:hAnsi="Verdana"/>
          <w:b/>
          <w:bCs/>
          <w:sz w:val="18"/>
          <w:szCs w:val="18"/>
        </w:rPr>
        <w:br w:type="page"/>
      </w:r>
      <w:r w:rsidRPr="00781A6F" w:rsidR="007E5965">
        <w:rPr>
          <w:rFonts w:ascii="Verdana" w:hAnsi="Verdana"/>
          <w:b/>
          <w:bCs/>
          <w:sz w:val="18"/>
          <w:szCs w:val="18"/>
        </w:rPr>
        <w:lastRenderedPageBreak/>
        <w:t xml:space="preserve">Prioriteit 3: </w:t>
      </w:r>
      <w:r w:rsidRPr="00781A6F">
        <w:rPr>
          <w:rFonts w:ascii="Verdana" w:hAnsi="Verdana"/>
          <w:b/>
          <w:bCs/>
          <w:sz w:val="18"/>
          <w:szCs w:val="18"/>
        </w:rPr>
        <w:t>Mensen ondersteunen, onze samenlevingen versterken en ons sociaal model verbeteren</w:t>
      </w:r>
    </w:p>
    <w:tbl>
      <w:tblPr>
        <w:tblStyle w:val="TableGrid"/>
        <w:tblW w:w="15593" w:type="dxa"/>
        <w:tblInd w:w="-5" w:type="dxa"/>
        <w:tblLayout w:type="fixed"/>
        <w:tblLook w:val="04A0" w:firstRow="1" w:lastRow="0" w:firstColumn="1" w:lastColumn="0" w:noHBand="0" w:noVBand="1"/>
      </w:tblPr>
      <w:tblGrid>
        <w:gridCol w:w="567"/>
        <w:gridCol w:w="3403"/>
        <w:gridCol w:w="5103"/>
        <w:gridCol w:w="4535"/>
        <w:gridCol w:w="1985"/>
      </w:tblGrid>
      <w:tr w:rsidRPr="00781A6F" w:rsidR="0088029E" w:rsidTr="007766E6" w14:paraId="008A2E3B" w14:textId="77777777">
        <w:trPr>
          <w:trHeight w:val="634"/>
        </w:trPr>
        <w:tc>
          <w:tcPr>
            <w:tcW w:w="567" w:type="dxa"/>
            <w:tcBorders>
              <w:top w:val="single" w:color="auto" w:sz="4" w:space="0"/>
              <w:left w:val="single" w:color="auto" w:sz="4" w:space="0"/>
              <w:bottom w:val="single" w:color="auto" w:sz="4" w:space="0"/>
              <w:right w:val="single" w:color="auto" w:sz="4" w:space="0"/>
            </w:tcBorders>
          </w:tcPr>
          <w:p w:rsidRPr="00781A6F" w:rsidR="0088029E" w:rsidP="00781A6F" w:rsidRDefault="0088029E" w14:paraId="4B195D75" w14:textId="77777777">
            <w:pPr>
              <w:rPr>
                <w:rFonts w:ascii="Verdana" w:hAnsi="Verdana" w:cstheme="minorBidi"/>
                <w:b/>
                <w:sz w:val="18"/>
                <w:szCs w:val="18"/>
              </w:rPr>
            </w:pPr>
            <w:r w:rsidRPr="00781A6F">
              <w:rPr>
                <w:rFonts w:ascii="Verdana" w:hAnsi="Verdana"/>
                <w:b/>
                <w:sz w:val="18"/>
                <w:szCs w:val="18"/>
              </w:rPr>
              <w:t>No.</w:t>
            </w:r>
          </w:p>
        </w:tc>
        <w:tc>
          <w:tcPr>
            <w:tcW w:w="3403" w:type="dxa"/>
            <w:tcBorders>
              <w:top w:val="single" w:color="auto" w:sz="4" w:space="0"/>
              <w:left w:val="single" w:color="auto" w:sz="4" w:space="0"/>
              <w:bottom w:val="single" w:color="auto" w:sz="4" w:space="0"/>
              <w:right w:val="single" w:color="auto" w:sz="4" w:space="0"/>
            </w:tcBorders>
            <w:hideMark/>
          </w:tcPr>
          <w:p w:rsidRPr="00781A6F" w:rsidR="0088029E" w:rsidP="00781A6F" w:rsidRDefault="0088029E" w14:paraId="27233263" w14:textId="77777777">
            <w:pPr>
              <w:rPr>
                <w:rFonts w:ascii="Verdana" w:hAnsi="Verdana" w:cstheme="minorBidi"/>
                <w:b/>
                <w:sz w:val="18"/>
                <w:szCs w:val="18"/>
              </w:rPr>
            </w:pPr>
            <w:r w:rsidRPr="00781A6F">
              <w:rPr>
                <w:rFonts w:ascii="Verdana" w:hAnsi="Verdana"/>
                <w:b/>
                <w:sz w:val="18"/>
                <w:szCs w:val="18"/>
              </w:rPr>
              <w:t>Titel (publicatiedatum)</w:t>
            </w:r>
          </w:p>
        </w:tc>
        <w:tc>
          <w:tcPr>
            <w:tcW w:w="5103" w:type="dxa"/>
            <w:tcBorders>
              <w:top w:val="single" w:color="auto" w:sz="4" w:space="0"/>
              <w:left w:val="single" w:color="auto" w:sz="4" w:space="0"/>
              <w:bottom w:val="single" w:color="auto" w:sz="4" w:space="0"/>
              <w:right w:val="single" w:color="auto" w:sz="4" w:space="0"/>
            </w:tcBorders>
            <w:hideMark/>
          </w:tcPr>
          <w:p w:rsidRPr="00781A6F" w:rsidR="0088029E" w:rsidP="00781A6F" w:rsidRDefault="0088029E" w14:paraId="0C50D47D" w14:textId="77777777">
            <w:pPr>
              <w:rPr>
                <w:rFonts w:ascii="Verdana" w:hAnsi="Verdana" w:cstheme="minorBidi"/>
                <w:b/>
                <w:sz w:val="18"/>
                <w:szCs w:val="18"/>
              </w:rPr>
            </w:pPr>
            <w:r w:rsidRPr="00781A6F">
              <w:rPr>
                <w:rFonts w:ascii="Verdana" w:hAnsi="Verdana"/>
                <w:b/>
                <w:sz w:val="18"/>
                <w:szCs w:val="18"/>
              </w:rPr>
              <w:t>Korte beschrijving</w:t>
            </w:r>
          </w:p>
        </w:tc>
        <w:tc>
          <w:tcPr>
            <w:tcW w:w="4535" w:type="dxa"/>
            <w:tcBorders>
              <w:top w:val="single" w:color="auto" w:sz="4" w:space="0"/>
              <w:left w:val="single" w:color="auto" w:sz="4" w:space="0"/>
              <w:bottom w:val="single" w:color="auto" w:sz="4" w:space="0"/>
              <w:right w:val="single" w:color="auto" w:sz="4" w:space="0"/>
            </w:tcBorders>
            <w:hideMark/>
          </w:tcPr>
          <w:p w:rsidRPr="00781A6F" w:rsidR="0088029E" w:rsidP="00781A6F" w:rsidRDefault="0088029E" w14:paraId="13F46EB1" w14:textId="77777777">
            <w:pPr>
              <w:rPr>
                <w:rFonts w:ascii="Verdana" w:hAnsi="Verdana" w:cstheme="minorBidi"/>
                <w:b/>
                <w:sz w:val="18"/>
                <w:szCs w:val="18"/>
              </w:rPr>
            </w:pPr>
            <w:r w:rsidRPr="00781A6F">
              <w:rPr>
                <w:rFonts w:ascii="Verdana" w:hAnsi="Verdana"/>
                <w:b/>
                <w:sz w:val="18"/>
                <w:szCs w:val="18"/>
              </w:rPr>
              <w:t>Kabinetsappreciatie</w:t>
            </w:r>
          </w:p>
        </w:tc>
        <w:tc>
          <w:tcPr>
            <w:tcW w:w="1985" w:type="dxa"/>
            <w:tcBorders>
              <w:top w:val="single" w:color="auto" w:sz="4" w:space="0"/>
              <w:left w:val="single" w:color="auto" w:sz="4" w:space="0"/>
              <w:bottom w:val="single" w:color="auto" w:sz="4" w:space="0"/>
              <w:right w:val="single" w:color="auto" w:sz="4" w:space="0"/>
            </w:tcBorders>
          </w:tcPr>
          <w:p w:rsidRPr="00781A6F" w:rsidR="0088029E" w:rsidP="00781A6F" w:rsidRDefault="0088029E" w14:paraId="23474762" w14:textId="77777777">
            <w:pPr>
              <w:rPr>
                <w:rFonts w:ascii="Verdana" w:hAnsi="Verdana" w:cstheme="minorBidi"/>
                <w:b/>
                <w:sz w:val="18"/>
                <w:szCs w:val="18"/>
              </w:rPr>
            </w:pPr>
            <w:r w:rsidRPr="00781A6F">
              <w:rPr>
                <w:rFonts w:ascii="Verdana" w:hAnsi="Verdana"/>
                <w:b/>
                <w:sz w:val="18"/>
                <w:szCs w:val="18"/>
              </w:rPr>
              <w:t>Wetgevend/niet-Wetgevend</w:t>
            </w:r>
          </w:p>
        </w:tc>
      </w:tr>
      <w:tr w:rsidRPr="00781A6F" w:rsidR="0023156F" w:rsidTr="007766E6" w14:paraId="4DEB3788" w14:textId="77777777">
        <w:trPr>
          <w:trHeight w:val="979"/>
        </w:trPr>
        <w:tc>
          <w:tcPr>
            <w:tcW w:w="567" w:type="dxa"/>
            <w:tcBorders>
              <w:top w:val="single" w:color="auto" w:sz="4" w:space="0"/>
              <w:left w:val="single" w:color="auto" w:sz="4" w:space="0"/>
              <w:bottom w:val="single" w:color="auto" w:sz="4" w:space="0"/>
              <w:right w:val="single" w:color="auto" w:sz="4" w:space="0"/>
            </w:tcBorders>
          </w:tcPr>
          <w:p w:rsidRPr="00781A6F" w:rsidR="0023156F" w:rsidP="00781A6F" w:rsidRDefault="00781A6F" w14:paraId="501C46AE" w14:textId="64B923D4">
            <w:pPr>
              <w:rPr>
                <w:rFonts w:ascii="Verdana" w:hAnsi="Verdana" w:cstheme="minorBidi"/>
                <w:sz w:val="18"/>
                <w:szCs w:val="18"/>
                <w:lang w:val="en-US"/>
              </w:rPr>
            </w:pPr>
            <w:r w:rsidRPr="00781A6F">
              <w:rPr>
                <w:rFonts w:ascii="Verdana" w:hAnsi="Verdana"/>
                <w:sz w:val="18"/>
                <w:szCs w:val="18"/>
                <w:lang w:val="en-US"/>
              </w:rPr>
              <w:t>38</w:t>
            </w:r>
            <w:r w:rsidRPr="00781A6F" w:rsidR="0023156F">
              <w:rPr>
                <w:rFonts w:ascii="Verdana" w:hAnsi="Verdana"/>
                <w:sz w:val="18"/>
                <w:szCs w:val="18"/>
                <w:lang w:val="en-US"/>
              </w:rPr>
              <w:t>.</w:t>
            </w:r>
          </w:p>
        </w:tc>
        <w:tc>
          <w:tcPr>
            <w:tcW w:w="3403" w:type="dxa"/>
            <w:tcBorders>
              <w:top w:val="single" w:color="auto" w:sz="4" w:space="0"/>
              <w:left w:val="single" w:color="auto" w:sz="4" w:space="0"/>
              <w:bottom w:val="single" w:color="auto" w:sz="4" w:space="0"/>
              <w:right w:val="single" w:color="auto" w:sz="4" w:space="0"/>
            </w:tcBorders>
          </w:tcPr>
          <w:p w:rsidRPr="00781A6F" w:rsidR="0023156F" w:rsidP="00781A6F" w:rsidRDefault="004C1646" w14:paraId="67D0525B" w14:textId="198584A3">
            <w:pPr>
              <w:rPr>
                <w:rFonts w:ascii="Verdana" w:hAnsi="Verdana" w:cstheme="minorBidi"/>
                <w:sz w:val="18"/>
                <w:szCs w:val="18"/>
                <w:lang w:val="en-US"/>
              </w:rPr>
            </w:pPr>
            <w:proofErr w:type="spellStart"/>
            <w:r w:rsidRPr="00781A6F">
              <w:rPr>
                <w:rFonts w:ascii="Verdana" w:hAnsi="Verdana"/>
                <w:sz w:val="18"/>
                <w:szCs w:val="18"/>
                <w:lang w:val="en-US"/>
              </w:rPr>
              <w:t>Initiatief</w:t>
            </w:r>
            <w:proofErr w:type="spellEnd"/>
            <w:r w:rsidRPr="00781A6F">
              <w:rPr>
                <w:rFonts w:ascii="Verdana" w:hAnsi="Verdana"/>
                <w:sz w:val="18"/>
                <w:szCs w:val="18"/>
                <w:lang w:val="en-US"/>
              </w:rPr>
              <w:t xml:space="preserve"> </w:t>
            </w:r>
            <w:proofErr w:type="spellStart"/>
            <w:r w:rsidRPr="00781A6F">
              <w:rPr>
                <w:rFonts w:ascii="Verdana" w:hAnsi="Verdana"/>
                <w:sz w:val="18"/>
                <w:szCs w:val="18"/>
                <w:lang w:val="en-US"/>
              </w:rPr>
              <w:t>inzake</w:t>
            </w:r>
            <w:proofErr w:type="spellEnd"/>
            <w:r w:rsidRPr="00781A6F">
              <w:rPr>
                <w:rFonts w:ascii="Verdana" w:hAnsi="Verdana"/>
                <w:sz w:val="18"/>
                <w:szCs w:val="18"/>
                <w:lang w:val="en-US"/>
              </w:rPr>
              <w:t xml:space="preserve"> </w:t>
            </w:r>
            <w:proofErr w:type="spellStart"/>
            <w:r w:rsidRPr="00781A6F">
              <w:rPr>
                <w:rFonts w:ascii="Verdana" w:hAnsi="Verdana"/>
                <w:sz w:val="18"/>
                <w:szCs w:val="18"/>
                <w:lang w:val="en-US"/>
              </w:rPr>
              <w:t>kortetermijnverhuur</w:t>
            </w:r>
            <w:proofErr w:type="spellEnd"/>
            <w:r w:rsidRPr="00781A6F">
              <w:rPr>
                <w:rFonts w:ascii="Verdana" w:hAnsi="Verdana"/>
                <w:sz w:val="18"/>
                <w:szCs w:val="18"/>
                <w:lang w:val="en-US"/>
              </w:rPr>
              <w:t xml:space="preserve"> </w:t>
            </w:r>
            <w:r w:rsidRPr="00781A6F" w:rsidR="0023156F">
              <w:rPr>
                <w:rFonts w:ascii="Verdana" w:hAnsi="Verdana"/>
                <w:sz w:val="18"/>
                <w:szCs w:val="18"/>
                <w:lang w:val="en-US"/>
              </w:rPr>
              <w:t>(Q2 2026)</w:t>
            </w:r>
          </w:p>
        </w:tc>
        <w:tc>
          <w:tcPr>
            <w:tcW w:w="5103"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3DF46DDC" w14:textId="44ADAB58">
            <w:pPr>
              <w:rPr>
                <w:rFonts w:ascii="Verdana" w:hAnsi="Verdana" w:cstheme="minorBidi"/>
                <w:color w:val="000000"/>
                <w:sz w:val="18"/>
                <w:szCs w:val="18"/>
              </w:rPr>
            </w:pPr>
            <w:r w:rsidRPr="00781A6F">
              <w:rPr>
                <w:rFonts w:ascii="Verdana" w:hAnsi="Verdana"/>
                <w:color w:val="000000"/>
                <w:sz w:val="18"/>
                <w:szCs w:val="18"/>
              </w:rPr>
              <w:t xml:space="preserve">In haar </w:t>
            </w:r>
            <w:r w:rsidRPr="00781A6F">
              <w:rPr>
                <w:rFonts w:ascii="Verdana" w:hAnsi="Verdana"/>
                <w:i/>
                <w:color w:val="000000"/>
                <w:sz w:val="18"/>
                <w:szCs w:val="18"/>
              </w:rPr>
              <w:t>State of the Union</w:t>
            </w:r>
            <w:r w:rsidRPr="00781A6F">
              <w:rPr>
                <w:rFonts w:ascii="Verdana" w:hAnsi="Verdana"/>
                <w:color w:val="000000"/>
                <w:sz w:val="18"/>
                <w:szCs w:val="18"/>
              </w:rPr>
              <w:t xml:space="preserve">-toespraak van 2025 kondigde Commissievoorzitter Ursula </w:t>
            </w:r>
            <w:proofErr w:type="spellStart"/>
            <w:r w:rsidRPr="00781A6F">
              <w:rPr>
                <w:rFonts w:ascii="Verdana" w:hAnsi="Verdana"/>
                <w:color w:val="000000"/>
                <w:sz w:val="18"/>
                <w:szCs w:val="18"/>
              </w:rPr>
              <w:t>von</w:t>
            </w:r>
            <w:proofErr w:type="spellEnd"/>
            <w:r w:rsidRPr="00781A6F">
              <w:rPr>
                <w:rFonts w:ascii="Verdana" w:hAnsi="Verdana"/>
                <w:color w:val="000000"/>
                <w:sz w:val="18"/>
                <w:szCs w:val="18"/>
              </w:rPr>
              <w:t xml:space="preserve"> der Leyen aan dat de </w:t>
            </w:r>
            <w:r w:rsidRPr="00781A6F" w:rsidR="006B0323">
              <w:rPr>
                <w:rFonts w:ascii="Verdana" w:hAnsi="Verdana"/>
                <w:color w:val="000000"/>
                <w:sz w:val="18"/>
                <w:szCs w:val="18"/>
              </w:rPr>
              <w:t>Commissie</w:t>
            </w:r>
            <w:r w:rsidRPr="00781A6F">
              <w:rPr>
                <w:rFonts w:ascii="Verdana" w:hAnsi="Verdana"/>
                <w:color w:val="000000"/>
                <w:sz w:val="18"/>
                <w:szCs w:val="18"/>
              </w:rPr>
              <w:t xml:space="preserve"> van plan is een wetgevingsinitiatief te presenteren over korte</w:t>
            </w:r>
            <w:r w:rsidRPr="00781A6F" w:rsidR="00B41733">
              <w:rPr>
                <w:rFonts w:ascii="Verdana" w:hAnsi="Verdana"/>
                <w:color w:val="000000"/>
                <w:sz w:val="18"/>
                <w:szCs w:val="18"/>
              </w:rPr>
              <w:t xml:space="preserve"> </w:t>
            </w:r>
            <w:r w:rsidRPr="00781A6F">
              <w:rPr>
                <w:rFonts w:ascii="Verdana" w:hAnsi="Verdana"/>
                <w:color w:val="000000"/>
                <w:sz w:val="18"/>
                <w:szCs w:val="18"/>
              </w:rPr>
              <w:t>termijn</w:t>
            </w:r>
            <w:r w:rsidRPr="00781A6F" w:rsidR="00B41733">
              <w:rPr>
                <w:rFonts w:ascii="Verdana" w:hAnsi="Verdana"/>
                <w:color w:val="000000"/>
                <w:sz w:val="18"/>
                <w:szCs w:val="18"/>
              </w:rPr>
              <w:t xml:space="preserve"> </w:t>
            </w:r>
            <w:r w:rsidRPr="00781A6F">
              <w:rPr>
                <w:rFonts w:ascii="Verdana" w:hAnsi="Verdana"/>
                <w:color w:val="000000"/>
                <w:sz w:val="18"/>
                <w:szCs w:val="18"/>
              </w:rPr>
              <w:t>verhuur. Het doel is om de aanhoudende lacunes in de regelgeving en de uitdagingen in deze snelgroeiende sector aan te pakken. Korte</w:t>
            </w:r>
            <w:r w:rsidRPr="00781A6F" w:rsidR="00B41733">
              <w:rPr>
                <w:rFonts w:ascii="Verdana" w:hAnsi="Verdana"/>
                <w:color w:val="000000"/>
                <w:sz w:val="18"/>
                <w:szCs w:val="18"/>
              </w:rPr>
              <w:t xml:space="preserve"> </w:t>
            </w:r>
            <w:r w:rsidRPr="00781A6F">
              <w:rPr>
                <w:rFonts w:ascii="Verdana" w:hAnsi="Verdana"/>
                <w:color w:val="000000"/>
                <w:sz w:val="18"/>
                <w:szCs w:val="18"/>
              </w:rPr>
              <w:t>termijn</w:t>
            </w:r>
            <w:r w:rsidRPr="00781A6F" w:rsidR="00B41733">
              <w:rPr>
                <w:rFonts w:ascii="Verdana" w:hAnsi="Verdana"/>
                <w:color w:val="000000"/>
                <w:sz w:val="18"/>
                <w:szCs w:val="18"/>
              </w:rPr>
              <w:t xml:space="preserve"> </w:t>
            </w:r>
            <w:r w:rsidRPr="00781A6F">
              <w:rPr>
                <w:rFonts w:ascii="Verdana" w:hAnsi="Verdana"/>
                <w:color w:val="000000"/>
                <w:sz w:val="18"/>
                <w:szCs w:val="18"/>
              </w:rPr>
              <w:t>verhuur wordt genoemd als een onderdeel van de oplossing om de woningcrisis aan te pakken.</w:t>
            </w:r>
          </w:p>
        </w:tc>
        <w:tc>
          <w:tcPr>
            <w:tcW w:w="4535"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6E5A5EBC" w14:textId="37985469">
            <w:pPr>
              <w:rPr>
                <w:rFonts w:ascii="Verdana" w:hAnsi="Verdana" w:cstheme="minorBidi"/>
                <w:color w:val="000000"/>
                <w:sz w:val="18"/>
                <w:szCs w:val="18"/>
              </w:rPr>
            </w:pPr>
            <w:r w:rsidRPr="00781A6F">
              <w:rPr>
                <w:rFonts w:ascii="Verdana" w:hAnsi="Verdana"/>
                <w:color w:val="000000"/>
                <w:sz w:val="18"/>
                <w:szCs w:val="18"/>
              </w:rPr>
              <w:t>Het kabinet kijkt uit naar de concrete voorstellen die zien op het initiatief inzake korte</w:t>
            </w:r>
            <w:r w:rsidRPr="00781A6F" w:rsidR="00B41733">
              <w:rPr>
                <w:rFonts w:ascii="Verdana" w:hAnsi="Verdana"/>
                <w:color w:val="000000"/>
                <w:sz w:val="18"/>
                <w:szCs w:val="18"/>
              </w:rPr>
              <w:t xml:space="preserve"> </w:t>
            </w:r>
            <w:r w:rsidRPr="00781A6F">
              <w:rPr>
                <w:rFonts w:ascii="Verdana" w:hAnsi="Verdana"/>
                <w:color w:val="000000"/>
                <w:sz w:val="18"/>
                <w:szCs w:val="18"/>
              </w:rPr>
              <w:t>termijn</w:t>
            </w:r>
            <w:r w:rsidRPr="00781A6F" w:rsidR="00B41733">
              <w:rPr>
                <w:rFonts w:ascii="Verdana" w:hAnsi="Verdana"/>
                <w:color w:val="000000"/>
                <w:sz w:val="18"/>
                <w:szCs w:val="18"/>
              </w:rPr>
              <w:t xml:space="preserve"> </w:t>
            </w:r>
            <w:r w:rsidRPr="00781A6F">
              <w:rPr>
                <w:rFonts w:ascii="Verdana" w:hAnsi="Verdana"/>
                <w:color w:val="000000"/>
                <w:sz w:val="18"/>
                <w:szCs w:val="18"/>
              </w:rPr>
              <w:t xml:space="preserve">verhuur, met name daar waar het gaat om de samenhang met andere wetten zoals de </w:t>
            </w:r>
            <w:r w:rsidRPr="00781A6F" w:rsidR="00FF1D6B">
              <w:rPr>
                <w:rFonts w:ascii="Verdana" w:hAnsi="Verdana"/>
                <w:color w:val="000000"/>
                <w:sz w:val="18"/>
                <w:szCs w:val="18"/>
              </w:rPr>
              <w:t>Verordening</w:t>
            </w:r>
            <w:r w:rsidRPr="00781A6F">
              <w:rPr>
                <w:rFonts w:ascii="Verdana" w:hAnsi="Verdana"/>
                <w:color w:val="000000"/>
                <w:sz w:val="18"/>
                <w:szCs w:val="18"/>
              </w:rPr>
              <w:t xml:space="preserve"> </w:t>
            </w:r>
            <w:r w:rsidRPr="00781A6F" w:rsidR="00FF1D6B">
              <w:rPr>
                <w:rFonts w:ascii="Verdana" w:hAnsi="Verdana"/>
                <w:color w:val="000000"/>
                <w:sz w:val="18"/>
                <w:szCs w:val="18"/>
              </w:rPr>
              <w:t>K</w:t>
            </w:r>
            <w:r w:rsidRPr="00781A6F">
              <w:rPr>
                <w:rFonts w:ascii="Verdana" w:hAnsi="Verdana"/>
                <w:color w:val="000000"/>
                <w:sz w:val="18"/>
                <w:szCs w:val="18"/>
              </w:rPr>
              <w:t>orte</w:t>
            </w:r>
            <w:r w:rsidRPr="00781A6F" w:rsidR="00B41733">
              <w:rPr>
                <w:rFonts w:ascii="Verdana" w:hAnsi="Verdana"/>
                <w:color w:val="000000"/>
                <w:sz w:val="18"/>
                <w:szCs w:val="18"/>
              </w:rPr>
              <w:t xml:space="preserve"> </w:t>
            </w:r>
            <w:r w:rsidRPr="00781A6F" w:rsidR="00FF1D6B">
              <w:rPr>
                <w:rFonts w:ascii="Verdana" w:hAnsi="Verdana"/>
                <w:color w:val="000000"/>
                <w:sz w:val="18"/>
                <w:szCs w:val="18"/>
              </w:rPr>
              <w:t>T</w:t>
            </w:r>
            <w:r w:rsidRPr="00781A6F">
              <w:rPr>
                <w:rFonts w:ascii="Verdana" w:hAnsi="Verdana"/>
                <w:color w:val="000000"/>
                <w:sz w:val="18"/>
                <w:szCs w:val="18"/>
              </w:rPr>
              <w:t>ermijn</w:t>
            </w:r>
            <w:r w:rsidRPr="00781A6F" w:rsidR="00B41733">
              <w:rPr>
                <w:rFonts w:ascii="Verdana" w:hAnsi="Verdana"/>
                <w:color w:val="000000"/>
                <w:sz w:val="18"/>
                <w:szCs w:val="18"/>
              </w:rPr>
              <w:t xml:space="preserve"> </w:t>
            </w:r>
            <w:r w:rsidRPr="00781A6F" w:rsidR="00FF1D6B">
              <w:rPr>
                <w:rFonts w:ascii="Verdana" w:hAnsi="Verdana"/>
                <w:color w:val="000000"/>
                <w:sz w:val="18"/>
                <w:szCs w:val="18"/>
              </w:rPr>
              <w:t>V</w:t>
            </w:r>
            <w:r w:rsidRPr="00781A6F">
              <w:rPr>
                <w:rFonts w:ascii="Verdana" w:hAnsi="Verdana"/>
                <w:color w:val="000000"/>
                <w:sz w:val="18"/>
                <w:szCs w:val="18"/>
              </w:rPr>
              <w:t>erhuur en datadeelplicht die in april 2024 is gepubliceerd.</w:t>
            </w:r>
          </w:p>
          <w:p w:rsidRPr="00781A6F" w:rsidR="0023156F" w:rsidP="00781A6F" w:rsidRDefault="0023156F" w14:paraId="652773FA" w14:textId="283AAF0D">
            <w:pPr>
              <w:rPr>
                <w:rFonts w:ascii="Verdana" w:hAnsi="Verdana" w:cstheme="minorHAnsi"/>
                <w:color w:val="000000"/>
                <w:sz w:val="18"/>
                <w:szCs w:val="18"/>
              </w:rPr>
            </w:pPr>
          </w:p>
        </w:tc>
        <w:tc>
          <w:tcPr>
            <w:tcW w:w="1985"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35991C9B" w14:textId="6627EB9C">
            <w:pPr>
              <w:rPr>
                <w:rFonts w:ascii="Verdana" w:hAnsi="Verdana" w:cstheme="minorBidi"/>
                <w:color w:val="000000"/>
                <w:sz w:val="18"/>
                <w:szCs w:val="18"/>
              </w:rPr>
            </w:pPr>
            <w:proofErr w:type="spellStart"/>
            <w:r w:rsidRPr="00781A6F">
              <w:rPr>
                <w:rFonts w:ascii="Verdana" w:hAnsi="Verdana"/>
                <w:color w:val="000000"/>
                <w:sz w:val="18"/>
                <w:szCs w:val="18"/>
                <w:lang w:val="en-US"/>
              </w:rPr>
              <w:t>Wetgevend</w:t>
            </w:r>
            <w:proofErr w:type="spellEnd"/>
            <w:r w:rsidRPr="00781A6F">
              <w:rPr>
                <w:rFonts w:ascii="Verdana" w:hAnsi="Verdana"/>
                <w:color w:val="000000"/>
                <w:sz w:val="18"/>
                <w:szCs w:val="18"/>
                <w:lang w:val="en-US"/>
              </w:rPr>
              <w:t xml:space="preserve"> en </w:t>
            </w:r>
            <w:proofErr w:type="spellStart"/>
            <w:r w:rsidRPr="00781A6F">
              <w:rPr>
                <w:rFonts w:ascii="Verdana" w:hAnsi="Verdana"/>
                <w:color w:val="000000"/>
                <w:sz w:val="18"/>
                <w:szCs w:val="18"/>
                <w:lang w:val="en-US"/>
              </w:rPr>
              <w:t>Niet-wetgevend</w:t>
            </w:r>
            <w:proofErr w:type="spellEnd"/>
          </w:p>
        </w:tc>
      </w:tr>
      <w:tr w:rsidRPr="00781A6F" w:rsidR="0023156F" w:rsidTr="007766E6" w14:paraId="3D56DA32"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781A6F" w:rsidR="0023156F" w:rsidP="00781A6F" w:rsidRDefault="00781A6F" w14:paraId="53BE3259" w14:textId="47BA0C5F">
            <w:pPr>
              <w:rPr>
                <w:rFonts w:ascii="Verdana" w:hAnsi="Verdana" w:cstheme="minorBidi"/>
                <w:sz w:val="18"/>
                <w:szCs w:val="18"/>
                <w:lang w:val="en-US"/>
              </w:rPr>
            </w:pPr>
            <w:r w:rsidRPr="00781A6F">
              <w:rPr>
                <w:rFonts w:ascii="Verdana" w:hAnsi="Verdana"/>
                <w:sz w:val="18"/>
                <w:szCs w:val="18"/>
                <w:lang w:val="en-US"/>
              </w:rPr>
              <w:t>39</w:t>
            </w:r>
            <w:r w:rsidRPr="00781A6F" w:rsidR="0023156F">
              <w:rPr>
                <w:rFonts w:ascii="Verdana" w:hAnsi="Verdana"/>
                <w:sz w:val="18"/>
                <w:szCs w:val="18"/>
                <w:lang w:val="en-US"/>
              </w:rPr>
              <w:t>.</w:t>
            </w:r>
          </w:p>
        </w:tc>
        <w:tc>
          <w:tcPr>
            <w:tcW w:w="3403" w:type="dxa"/>
            <w:tcBorders>
              <w:top w:val="single" w:color="auto" w:sz="4" w:space="0"/>
              <w:left w:val="single" w:color="auto" w:sz="4" w:space="0"/>
              <w:bottom w:val="single" w:color="auto" w:sz="4" w:space="0"/>
              <w:right w:val="single" w:color="auto" w:sz="4" w:space="0"/>
            </w:tcBorders>
          </w:tcPr>
          <w:p w:rsidRPr="00781A6F" w:rsidR="0023156F" w:rsidP="00781A6F" w:rsidRDefault="004C1646" w14:paraId="429E6749" w14:textId="1E44B987">
            <w:pPr>
              <w:rPr>
                <w:rFonts w:ascii="Verdana" w:hAnsi="Verdana" w:cstheme="minorBidi"/>
                <w:sz w:val="18"/>
                <w:szCs w:val="18"/>
                <w:lang w:val="en-US"/>
              </w:rPr>
            </w:pPr>
            <w:r w:rsidRPr="00781A6F">
              <w:rPr>
                <w:rFonts w:ascii="Verdana" w:hAnsi="Verdana"/>
                <w:sz w:val="18"/>
                <w:szCs w:val="18"/>
              </w:rPr>
              <w:t xml:space="preserve">Wetgevingshandeling over bouwdiensten </w:t>
            </w:r>
            <w:r w:rsidRPr="00781A6F" w:rsidR="0023156F">
              <w:rPr>
                <w:rFonts w:ascii="Verdana" w:hAnsi="Verdana"/>
                <w:sz w:val="18"/>
                <w:szCs w:val="18"/>
              </w:rPr>
              <w:t>(Q4 2026)</w:t>
            </w:r>
          </w:p>
        </w:tc>
        <w:tc>
          <w:tcPr>
            <w:tcW w:w="5103"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51ED2506" w14:textId="08CB07CC">
            <w:pPr>
              <w:rPr>
                <w:rFonts w:ascii="Verdana" w:hAnsi="Verdana" w:cstheme="minorBidi"/>
                <w:color w:val="000000"/>
                <w:sz w:val="18"/>
                <w:szCs w:val="18"/>
              </w:rPr>
            </w:pPr>
            <w:r w:rsidRPr="00781A6F">
              <w:rPr>
                <w:rFonts w:ascii="Verdana" w:hAnsi="Verdana"/>
                <w:color w:val="000000"/>
                <w:sz w:val="18"/>
                <w:szCs w:val="18"/>
              </w:rPr>
              <w:t xml:space="preserve">De </w:t>
            </w:r>
            <w:r w:rsidRPr="00781A6F" w:rsidR="006B0323">
              <w:rPr>
                <w:rFonts w:ascii="Verdana" w:hAnsi="Verdana"/>
                <w:color w:val="000000"/>
                <w:sz w:val="18"/>
                <w:szCs w:val="18"/>
              </w:rPr>
              <w:t>Commissie</w:t>
            </w:r>
            <w:r w:rsidRPr="00781A6F">
              <w:rPr>
                <w:rFonts w:ascii="Verdana" w:hAnsi="Verdana"/>
                <w:color w:val="000000"/>
                <w:sz w:val="18"/>
                <w:szCs w:val="18"/>
              </w:rPr>
              <w:t xml:space="preserve"> wil de bouwsector ondersteunen door de arbeidsmobiliteit van bouwpersoneel te vergroten. Dit wil de Commissie bereiken door obstakels weg te nemen, bijvoorbeeld door middel van uniformering van certificaten of andere bewijzen van kwalificatie en een betere toepassing van digitalisering.</w:t>
            </w:r>
          </w:p>
        </w:tc>
        <w:tc>
          <w:tcPr>
            <w:tcW w:w="4535" w:type="dxa"/>
            <w:tcBorders>
              <w:top w:val="single" w:color="auto" w:sz="4" w:space="0"/>
              <w:left w:val="single" w:color="auto" w:sz="4" w:space="0"/>
              <w:bottom w:val="single" w:color="auto" w:sz="4" w:space="0"/>
              <w:right w:val="single" w:color="auto" w:sz="4" w:space="0"/>
            </w:tcBorders>
          </w:tcPr>
          <w:p w:rsidRPr="00781A6F" w:rsidR="00844997" w:rsidP="00781A6F" w:rsidRDefault="00844997" w14:paraId="10BC22FE" w14:textId="555308E7">
            <w:pPr>
              <w:rPr>
                <w:rFonts w:ascii="Verdana" w:hAnsi="Verdana"/>
                <w:color w:val="000000"/>
                <w:sz w:val="18"/>
                <w:szCs w:val="18"/>
              </w:rPr>
            </w:pPr>
            <w:bookmarkStart w:name="_Hlk213940354" w:id="3"/>
            <w:r w:rsidRPr="00781A6F">
              <w:rPr>
                <w:rFonts w:ascii="Verdana" w:hAnsi="Verdana"/>
                <w:color w:val="000000"/>
                <w:sz w:val="18"/>
                <w:szCs w:val="18"/>
              </w:rPr>
              <w:t>In de bouwsector zijn veel Europese werknemers actief. Uniformering kan de lasten voor bouwende partijen verlagen. Het kabinet steunt het doel om administratieve lasten te verminderen. Het zal in de behandeling van dit voorstel kritisch zijn op dat het voorstel de Nederlandse bouwsector ten goede komt en het huidige beschermingsniveau van werknemers in de bouwsector gewaarborgd blijft.</w:t>
            </w:r>
          </w:p>
          <w:bookmarkEnd w:id="3"/>
          <w:p w:rsidRPr="00781A6F" w:rsidR="0023156F" w:rsidP="00781A6F" w:rsidRDefault="0023156F" w14:paraId="11B2384A" w14:textId="269628BE">
            <w:pPr>
              <w:rPr>
                <w:rFonts w:ascii="Verdana" w:hAnsi="Verdana" w:cstheme="minorBidi"/>
                <w:color w:val="000000" w:themeColor="text1"/>
                <w:sz w:val="18"/>
                <w:szCs w:val="18"/>
              </w:rPr>
            </w:pPr>
          </w:p>
        </w:tc>
        <w:tc>
          <w:tcPr>
            <w:tcW w:w="1985"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7D2631F1" w14:textId="1DEC896F">
            <w:pPr>
              <w:rPr>
                <w:rFonts w:ascii="Verdana" w:hAnsi="Verdana" w:cstheme="minorBidi"/>
                <w:color w:val="000000"/>
                <w:sz w:val="18"/>
                <w:szCs w:val="18"/>
              </w:rPr>
            </w:pPr>
            <w:proofErr w:type="spellStart"/>
            <w:r w:rsidRPr="00781A6F">
              <w:rPr>
                <w:rFonts w:ascii="Verdana" w:hAnsi="Verdana"/>
                <w:color w:val="000000"/>
                <w:sz w:val="18"/>
                <w:szCs w:val="18"/>
                <w:lang w:val="en-US"/>
              </w:rPr>
              <w:t>Wetgevend</w:t>
            </w:r>
            <w:proofErr w:type="spellEnd"/>
          </w:p>
        </w:tc>
      </w:tr>
      <w:tr w:rsidRPr="00781A6F" w:rsidR="008D7270" w:rsidTr="007766E6" w14:paraId="252052D5"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781A6F" w:rsidR="008D7270" w:rsidP="00781A6F" w:rsidRDefault="00781A6F" w14:paraId="33467DCC" w14:textId="7F43B03A">
            <w:pPr>
              <w:rPr>
                <w:rFonts w:ascii="Verdana" w:hAnsi="Verdana" w:cstheme="minorBidi"/>
                <w:sz w:val="18"/>
                <w:szCs w:val="18"/>
                <w:lang w:val="en-US"/>
              </w:rPr>
            </w:pPr>
            <w:bookmarkStart w:name="_Hlk212193272" w:id="4"/>
            <w:r w:rsidRPr="00781A6F">
              <w:rPr>
                <w:rFonts w:ascii="Verdana" w:hAnsi="Verdana"/>
                <w:color w:val="000000"/>
                <w:sz w:val="18"/>
                <w:szCs w:val="18"/>
                <w:lang w:val="en-US"/>
              </w:rPr>
              <w:t>40</w:t>
            </w:r>
            <w:r w:rsidRPr="00781A6F" w:rsidR="008D7270">
              <w:rPr>
                <w:rFonts w:ascii="Verdana" w:hAnsi="Verdana"/>
                <w:color w:val="000000"/>
                <w:sz w:val="18"/>
                <w:szCs w:val="18"/>
                <w:lang w:val="en-US"/>
              </w:rPr>
              <w:t>.</w:t>
            </w:r>
          </w:p>
        </w:tc>
        <w:tc>
          <w:tcPr>
            <w:tcW w:w="3403" w:type="dxa"/>
            <w:tcBorders>
              <w:top w:val="single" w:color="auto" w:sz="4" w:space="0"/>
              <w:left w:val="single" w:color="auto" w:sz="4" w:space="0"/>
              <w:bottom w:val="single" w:color="auto" w:sz="4" w:space="0"/>
              <w:right w:val="single" w:color="auto" w:sz="4" w:space="0"/>
            </w:tcBorders>
          </w:tcPr>
          <w:p w:rsidRPr="00781A6F" w:rsidR="008D7270" w:rsidP="00781A6F" w:rsidRDefault="004C1646" w14:paraId="3254BD92" w14:textId="01EBDCA1">
            <w:pPr>
              <w:rPr>
                <w:rFonts w:ascii="Verdana" w:hAnsi="Verdana"/>
                <w:sz w:val="18"/>
                <w:szCs w:val="18"/>
              </w:rPr>
            </w:pPr>
            <w:r w:rsidRPr="00781A6F">
              <w:rPr>
                <w:rFonts w:ascii="Verdana" w:hAnsi="Verdana"/>
                <w:sz w:val="18"/>
                <w:szCs w:val="18"/>
              </w:rPr>
              <w:t xml:space="preserve">Strategie voor </w:t>
            </w:r>
            <w:proofErr w:type="spellStart"/>
            <w:r w:rsidRPr="00781A6F">
              <w:rPr>
                <w:rFonts w:ascii="Verdana" w:hAnsi="Verdana"/>
                <w:sz w:val="18"/>
                <w:szCs w:val="18"/>
              </w:rPr>
              <w:t>ultraperifere</w:t>
            </w:r>
            <w:proofErr w:type="spellEnd"/>
            <w:r w:rsidRPr="00781A6F">
              <w:rPr>
                <w:rFonts w:ascii="Verdana" w:hAnsi="Verdana"/>
                <w:sz w:val="18"/>
                <w:szCs w:val="18"/>
              </w:rPr>
              <w:t xml:space="preserve"> gebieden </w:t>
            </w:r>
            <w:r w:rsidRPr="00781A6F" w:rsidR="008D7270">
              <w:rPr>
                <w:rFonts w:ascii="Verdana" w:hAnsi="Verdana"/>
                <w:sz w:val="18"/>
                <w:szCs w:val="18"/>
              </w:rPr>
              <w:t>(Q1 2026)</w:t>
            </w:r>
          </w:p>
        </w:tc>
        <w:tc>
          <w:tcPr>
            <w:tcW w:w="5103" w:type="dxa"/>
            <w:tcBorders>
              <w:top w:val="single" w:color="auto" w:sz="4" w:space="0"/>
              <w:left w:val="single" w:color="auto" w:sz="4" w:space="0"/>
              <w:bottom w:val="single" w:color="auto" w:sz="4" w:space="0"/>
              <w:right w:val="single" w:color="auto" w:sz="4" w:space="0"/>
            </w:tcBorders>
          </w:tcPr>
          <w:p w:rsidRPr="00781A6F" w:rsidR="008D7270" w:rsidP="00781A6F" w:rsidRDefault="008D7270" w14:paraId="77F9684C" w14:textId="4B9177A4">
            <w:pPr>
              <w:rPr>
                <w:rFonts w:ascii="Verdana" w:hAnsi="Verdana" w:cstheme="minorBidi"/>
                <w:color w:val="000000"/>
                <w:sz w:val="18"/>
                <w:szCs w:val="18"/>
              </w:rPr>
            </w:pPr>
            <w:r w:rsidRPr="00781A6F">
              <w:rPr>
                <w:rFonts w:ascii="Verdana" w:hAnsi="Verdana"/>
                <w:sz w:val="18"/>
                <w:szCs w:val="18"/>
              </w:rPr>
              <w:t xml:space="preserve">In deze (terugkerende) strategie presenteert de </w:t>
            </w:r>
            <w:r w:rsidRPr="00781A6F" w:rsidR="00637A36">
              <w:rPr>
                <w:rFonts w:ascii="Verdana" w:hAnsi="Verdana"/>
                <w:sz w:val="18"/>
                <w:szCs w:val="18"/>
              </w:rPr>
              <w:t xml:space="preserve">Commissie </w:t>
            </w:r>
            <w:r w:rsidRPr="00781A6F">
              <w:rPr>
                <w:rFonts w:ascii="Verdana" w:hAnsi="Verdana"/>
                <w:sz w:val="18"/>
                <w:szCs w:val="18"/>
              </w:rPr>
              <w:t xml:space="preserve">de belangrijkste beleidsprioriteiten voor de </w:t>
            </w:r>
            <w:proofErr w:type="spellStart"/>
            <w:r w:rsidRPr="00781A6F" w:rsidR="004C1646">
              <w:rPr>
                <w:rFonts w:ascii="Verdana" w:hAnsi="Verdana"/>
                <w:sz w:val="18"/>
                <w:szCs w:val="18"/>
              </w:rPr>
              <w:t>ultraperifere</w:t>
            </w:r>
            <w:proofErr w:type="spellEnd"/>
            <w:r w:rsidRPr="00781A6F" w:rsidR="004C1646">
              <w:rPr>
                <w:rFonts w:ascii="Verdana" w:hAnsi="Verdana"/>
                <w:sz w:val="18"/>
                <w:szCs w:val="18"/>
              </w:rPr>
              <w:t xml:space="preserve"> gebieden </w:t>
            </w:r>
            <w:r w:rsidRPr="00781A6F">
              <w:rPr>
                <w:rFonts w:ascii="Verdana" w:hAnsi="Verdana"/>
                <w:sz w:val="18"/>
                <w:szCs w:val="18"/>
              </w:rPr>
              <w:t>conform art</w:t>
            </w:r>
            <w:r w:rsidRPr="00781A6F" w:rsidR="009E477F">
              <w:rPr>
                <w:rFonts w:ascii="Verdana" w:hAnsi="Verdana"/>
                <w:sz w:val="18"/>
                <w:szCs w:val="18"/>
              </w:rPr>
              <w:t>.</w:t>
            </w:r>
            <w:r w:rsidRPr="00781A6F">
              <w:rPr>
                <w:rFonts w:ascii="Verdana" w:hAnsi="Verdana"/>
                <w:sz w:val="18"/>
                <w:szCs w:val="18"/>
              </w:rPr>
              <w:t xml:space="preserve"> 349</w:t>
            </w:r>
            <w:r w:rsidRPr="00781A6F" w:rsidR="009E477F">
              <w:rPr>
                <w:rFonts w:ascii="Verdana" w:hAnsi="Verdana"/>
                <w:sz w:val="18"/>
                <w:szCs w:val="18"/>
              </w:rPr>
              <w:t xml:space="preserve"> VWEU</w:t>
            </w:r>
            <w:r w:rsidRPr="00781A6F">
              <w:rPr>
                <w:rFonts w:ascii="Verdana" w:hAnsi="Verdana"/>
                <w:sz w:val="18"/>
                <w:szCs w:val="18"/>
              </w:rPr>
              <w:t xml:space="preserve">. </w:t>
            </w:r>
          </w:p>
        </w:tc>
        <w:tc>
          <w:tcPr>
            <w:tcW w:w="4535" w:type="dxa"/>
            <w:tcBorders>
              <w:top w:val="single" w:color="auto" w:sz="4" w:space="0"/>
              <w:left w:val="single" w:color="auto" w:sz="4" w:space="0"/>
              <w:bottom w:val="single" w:color="auto" w:sz="4" w:space="0"/>
              <w:right w:val="single" w:color="auto" w:sz="4" w:space="0"/>
            </w:tcBorders>
          </w:tcPr>
          <w:p w:rsidRPr="00781A6F" w:rsidR="008D7270" w:rsidP="00781A6F" w:rsidRDefault="002E4F84" w14:paraId="362318C8" w14:textId="38F8C99B">
            <w:pPr>
              <w:rPr>
                <w:rFonts w:ascii="Verdana" w:hAnsi="Verdana" w:cstheme="minorBidi"/>
                <w:color w:val="000000"/>
                <w:sz w:val="18"/>
                <w:szCs w:val="18"/>
              </w:rPr>
            </w:pPr>
            <w:r w:rsidRPr="00781A6F">
              <w:rPr>
                <w:rFonts w:ascii="Verdana" w:hAnsi="Verdana"/>
                <w:sz w:val="18"/>
                <w:szCs w:val="18"/>
              </w:rPr>
              <w:t>Het kabinet</w:t>
            </w:r>
            <w:r w:rsidRPr="00781A6F" w:rsidR="00B41733">
              <w:rPr>
                <w:rFonts w:ascii="Verdana" w:hAnsi="Verdana"/>
                <w:sz w:val="18"/>
                <w:szCs w:val="18"/>
              </w:rPr>
              <w:t xml:space="preserve"> </w:t>
            </w:r>
            <w:r w:rsidRPr="00781A6F" w:rsidR="008D7270">
              <w:rPr>
                <w:rFonts w:ascii="Verdana" w:hAnsi="Verdana"/>
                <w:sz w:val="18"/>
                <w:szCs w:val="18"/>
              </w:rPr>
              <w:t xml:space="preserve">kan </w:t>
            </w:r>
            <w:r w:rsidRPr="00781A6F" w:rsidR="00B41733">
              <w:rPr>
                <w:rFonts w:ascii="Verdana" w:hAnsi="Verdana"/>
                <w:sz w:val="18"/>
                <w:szCs w:val="18"/>
              </w:rPr>
              <w:t xml:space="preserve">de aankondiging </w:t>
            </w:r>
            <w:r w:rsidRPr="00781A6F" w:rsidR="008D7270">
              <w:rPr>
                <w:rFonts w:ascii="Verdana" w:hAnsi="Verdana"/>
                <w:sz w:val="18"/>
                <w:szCs w:val="18"/>
              </w:rPr>
              <w:t>voor kennis aannemen,</w:t>
            </w:r>
            <w:r w:rsidRPr="00781A6F" w:rsidR="00B41733">
              <w:rPr>
                <w:rFonts w:ascii="Verdana" w:hAnsi="Verdana"/>
                <w:sz w:val="18"/>
                <w:szCs w:val="18"/>
              </w:rPr>
              <w:t xml:space="preserve"> want het</w:t>
            </w:r>
            <w:r w:rsidRPr="00781A6F" w:rsidR="008D7270">
              <w:rPr>
                <w:rFonts w:ascii="Verdana" w:hAnsi="Verdana"/>
                <w:sz w:val="18"/>
                <w:szCs w:val="18"/>
              </w:rPr>
              <w:t xml:space="preserve"> heeft geen overzeese gebieden die zich kenmerken als </w:t>
            </w:r>
            <w:proofErr w:type="spellStart"/>
            <w:r w:rsidRPr="00781A6F" w:rsidR="004C1646">
              <w:rPr>
                <w:rFonts w:ascii="Verdana" w:hAnsi="Verdana"/>
                <w:sz w:val="18"/>
                <w:szCs w:val="18"/>
              </w:rPr>
              <w:t>ultraperifere</w:t>
            </w:r>
            <w:proofErr w:type="spellEnd"/>
            <w:r w:rsidRPr="00781A6F" w:rsidR="004C1646">
              <w:rPr>
                <w:rFonts w:ascii="Verdana" w:hAnsi="Verdana"/>
                <w:sz w:val="18"/>
                <w:szCs w:val="18"/>
              </w:rPr>
              <w:t xml:space="preserve"> gebieden</w:t>
            </w:r>
            <w:r w:rsidRPr="00781A6F" w:rsidR="008D7270">
              <w:rPr>
                <w:rFonts w:ascii="Verdana" w:hAnsi="Verdana"/>
                <w:sz w:val="18"/>
                <w:szCs w:val="18"/>
              </w:rPr>
              <w:t xml:space="preserve"> (</w:t>
            </w:r>
            <w:r w:rsidRPr="00781A6F" w:rsidR="00B41733">
              <w:rPr>
                <w:rFonts w:ascii="Verdana" w:hAnsi="Verdana"/>
                <w:sz w:val="18"/>
                <w:szCs w:val="18"/>
              </w:rPr>
              <w:t>o.a.</w:t>
            </w:r>
            <w:r w:rsidRPr="00781A6F" w:rsidR="008D7270">
              <w:rPr>
                <w:rFonts w:ascii="Verdana" w:hAnsi="Verdana"/>
                <w:sz w:val="18"/>
                <w:szCs w:val="18"/>
              </w:rPr>
              <w:t xml:space="preserve"> </w:t>
            </w:r>
            <w:r w:rsidRPr="00781A6F" w:rsidR="008D7270">
              <w:rPr>
                <w:rFonts w:ascii="Verdana" w:hAnsi="Verdana" w:eastAsia="Calibri" w:cs="Calibri"/>
                <w:sz w:val="18"/>
                <w:szCs w:val="18"/>
              </w:rPr>
              <w:t xml:space="preserve">Guadeloupe, Martinique, Mayotte, Réunion, </w:t>
            </w:r>
            <w:r w:rsidRPr="00781A6F" w:rsidR="00B41733">
              <w:rPr>
                <w:rFonts w:ascii="Verdana" w:hAnsi="Verdana" w:eastAsia="Calibri" w:cs="Calibri"/>
                <w:sz w:val="18"/>
                <w:szCs w:val="18"/>
              </w:rPr>
              <w:t>de</w:t>
            </w:r>
            <w:r w:rsidRPr="00781A6F" w:rsidR="008D7270">
              <w:rPr>
                <w:rFonts w:ascii="Verdana" w:hAnsi="Verdana" w:eastAsia="Calibri" w:cs="Calibri"/>
                <w:sz w:val="18"/>
                <w:szCs w:val="18"/>
              </w:rPr>
              <w:t xml:space="preserve"> Azoren, Madeira en </w:t>
            </w:r>
            <w:r w:rsidRPr="00781A6F" w:rsidR="00B41733">
              <w:rPr>
                <w:rFonts w:ascii="Verdana" w:hAnsi="Verdana" w:eastAsia="Calibri" w:cs="Calibri"/>
                <w:sz w:val="18"/>
                <w:szCs w:val="18"/>
              </w:rPr>
              <w:t xml:space="preserve">de </w:t>
            </w:r>
            <w:r w:rsidRPr="00781A6F" w:rsidR="008D7270">
              <w:rPr>
                <w:rFonts w:ascii="Verdana" w:hAnsi="Verdana" w:eastAsia="Calibri" w:cs="Calibri"/>
                <w:sz w:val="18"/>
                <w:szCs w:val="18"/>
              </w:rPr>
              <w:t>Canarische eilanden</w:t>
            </w:r>
            <w:r w:rsidRPr="00781A6F" w:rsidR="00B41733">
              <w:rPr>
                <w:rFonts w:ascii="Verdana" w:hAnsi="Verdana" w:eastAsia="Calibri" w:cs="Calibri"/>
                <w:sz w:val="18"/>
                <w:szCs w:val="18"/>
              </w:rPr>
              <w:t>).</w:t>
            </w:r>
          </w:p>
        </w:tc>
        <w:tc>
          <w:tcPr>
            <w:tcW w:w="1985" w:type="dxa"/>
            <w:tcBorders>
              <w:top w:val="single" w:color="auto" w:sz="4" w:space="0"/>
              <w:left w:val="single" w:color="auto" w:sz="4" w:space="0"/>
              <w:bottom w:val="single" w:color="auto" w:sz="4" w:space="0"/>
              <w:right w:val="single" w:color="auto" w:sz="4" w:space="0"/>
            </w:tcBorders>
          </w:tcPr>
          <w:p w:rsidRPr="00781A6F" w:rsidR="008D7270" w:rsidP="00781A6F" w:rsidRDefault="008D7270" w14:paraId="7B7A7D28" w14:textId="24717950">
            <w:pPr>
              <w:rPr>
                <w:rFonts w:ascii="Verdana" w:hAnsi="Verdana" w:cstheme="minorBidi"/>
                <w:color w:val="000000"/>
                <w:sz w:val="18"/>
                <w:szCs w:val="18"/>
                <w:lang w:val="en-US"/>
              </w:rPr>
            </w:pPr>
            <w:proofErr w:type="spellStart"/>
            <w:r w:rsidRPr="00781A6F">
              <w:rPr>
                <w:rFonts w:ascii="Verdana" w:hAnsi="Verdana"/>
                <w:color w:val="000000"/>
                <w:sz w:val="18"/>
                <w:szCs w:val="18"/>
                <w:lang w:val="en-US"/>
              </w:rPr>
              <w:t>Niet-wetgevend</w:t>
            </w:r>
            <w:proofErr w:type="spellEnd"/>
          </w:p>
        </w:tc>
      </w:tr>
      <w:tr w:rsidRPr="00781A6F" w:rsidR="007F0AB7" w:rsidTr="007766E6" w14:paraId="1734496A" w14:textId="77777777">
        <w:trPr>
          <w:trHeight w:val="725"/>
        </w:trPr>
        <w:tc>
          <w:tcPr>
            <w:tcW w:w="567" w:type="dxa"/>
            <w:tcBorders>
              <w:top w:val="single" w:color="auto" w:sz="4" w:space="0"/>
              <w:left w:val="single" w:color="auto" w:sz="4" w:space="0"/>
              <w:bottom w:val="single" w:color="auto" w:sz="4" w:space="0"/>
              <w:right w:val="single" w:color="auto" w:sz="4" w:space="0"/>
            </w:tcBorders>
          </w:tcPr>
          <w:p w:rsidRPr="00781A6F" w:rsidR="007F0AB7" w:rsidP="00781A6F" w:rsidRDefault="00781A6F" w14:paraId="53565A70" w14:textId="63DD813A">
            <w:pPr>
              <w:rPr>
                <w:rFonts w:ascii="Verdana" w:hAnsi="Verdana" w:cstheme="minorBidi"/>
                <w:sz w:val="18"/>
                <w:szCs w:val="18"/>
                <w:lang w:val="en-US"/>
              </w:rPr>
            </w:pPr>
            <w:bookmarkStart w:name="_Hlk212801250" w:id="5"/>
            <w:r w:rsidRPr="00781A6F">
              <w:rPr>
                <w:rFonts w:ascii="Verdana" w:hAnsi="Verdana"/>
                <w:color w:val="000000"/>
                <w:sz w:val="18"/>
                <w:szCs w:val="18"/>
                <w:lang w:val="en-US"/>
              </w:rPr>
              <w:t>41</w:t>
            </w:r>
            <w:r w:rsidRPr="00781A6F" w:rsidR="007F0AB7">
              <w:rPr>
                <w:rFonts w:ascii="Verdana" w:hAnsi="Verdana"/>
                <w:color w:val="000000"/>
                <w:sz w:val="18"/>
                <w:szCs w:val="18"/>
                <w:lang w:val="en-US"/>
              </w:rPr>
              <w:t>.</w:t>
            </w:r>
          </w:p>
        </w:tc>
        <w:tc>
          <w:tcPr>
            <w:tcW w:w="3403" w:type="dxa"/>
            <w:tcBorders>
              <w:top w:val="single" w:color="auto" w:sz="4" w:space="0"/>
              <w:left w:val="single" w:color="auto" w:sz="4" w:space="0"/>
              <w:bottom w:val="single" w:color="auto" w:sz="4" w:space="0"/>
              <w:right w:val="single" w:color="auto" w:sz="4" w:space="0"/>
            </w:tcBorders>
          </w:tcPr>
          <w:p w:rsidRPr="00781A6F" w:rsidR="007F0AB7" w:rsidP="00781A6F" w:rsidRDefault="004C1646" w14:paraId="32D865B0" w14:textId="0CCA10A0">
            <w:pPr>
              <w:rPr>
                <w:rFonts w:ascii="Verdana" w:hAnsi="Verdana"/>
                <w:sz w:val="18"/>
                <w:szCs w:val="18"/>
              </w:rPr>
            </w:pPr>
            <w:r w:rsidRPr="00781A6F">
              <w:rPr>
                <w:rFonts w:ascii="Verdana" w:hAnsi="Verdana"/>
                <w:sz w:val="18"/>
                <w:szCs w:val="18"/>
              </w:rPr>
              <w:t xml:space="preserve">Mededeling over de oostelijke grensregio’s </w:t>
            </w:r>
            <w:r w:rsidRPr="00781A6F" w:rsidR="007F0AB7">
              <w:rPr>
                <w:rFonts w:ascii="Verdana" w:hAnsi="Verdana"/>
                <w:sz w:val="18"/>
                <w:szCs w:val="18"/>
              </w:rPr>
              <w:t>(Q1 2026)</w:t>
            </w:r>
          </w:p>
        </w:tc>
        <w:tc>
          <w:tcPr>
            <w:tcW w:w="5103" w:type="dxa"/>
            <w:tcBorders>
              <w:top w:val="single" w:color="auto" w:sz="4" w:space="0"/>
              <w:left w:val="single" w:color="auto" w:sz="4" w:space="0"/>
              <w:bottom w:val="single" w:color="auto" w:sz="4" w:space="0"/>
              <w:right w:val="single" w:color="auto" w:sz="4" w:space="0"/>
            </w:tcBorders>
          </w:tcPr>
          <w:p w:rsidRPr="00781A6F" w:rsidR="007F0AB7" w:rsidP="00781A6F" w:rsidRDefault="009829A0" w14:paraId="32C1D31A" w14:textId="6CFA21A6">
            <w:pPr>
              <w:rPr>
                <w:rFonts w:ascii="Verdana" w:hAnsi="Verdana" w:cstheme="minorBidi"/>
                <w:color w:val="000000"/>
                <w:sz w:val="18"/>
                <w:szCs w:val="18"/>
              </w:rPr>
            </w:pPr>
            <w:r w:rsidRPr="00781A6F">
              <w:rPr>
                <w:rFonts w:ascii="Verdana" w:hAnsi="Verdana"/>
                <w:sz w:val="18"/>
                <w:szCs w:val="18"/>
              </w:rPr>
              <w:t xml:space="preserve">In het kader van het cohesiebeleid presenteert de </w:t>
            </w:r>
            <w:r w:rsidRPr="00781A6F" w:rsidR="006B0323">
              <w:rPr>
                <w:rFonts w:ascii="Verdana" w:hAnsi="Verdana"/>
                <w:sz w:val="18"/>
                <w:szCs w:val="18"/>
              </w:rPr>
              <w:t>Commissie</w:t>
            </w:r>
            <w:r w:rsidRPr="00781A6F">
              <w:rPr>
                <w:rFonts w:ascii="Verdana" w:hAnsi="Verdana"/>
                <w:sz w:val="18"/>
                <w:szCs w:val="18"/>
              </w:rPr>
              <w:t xml:space="preserve"> een strategie gericht op de regio’s aan de oostgrens van de </w:t>
            </w:r>
            <w:r w:rsidRPr="00781A6F" w:rsidR="00B41733">
              <w:rPr>
                <w:rFonts w:ascii="Verdana" w:hAnsi="Verdana"/>
                <w:sz w:val="18"/>
                <w:szCs w:val="18"/>
              </w:rPr>
              <w:t>EU</w:t>
            </w:r>
            <w:r w:rsidRPr="00781A6F">
              <w:rPr>
                <w:rFonts w:ascii="Verdana" w:hAnsi="Verdana"/>
                <w:sz w:val="18"/>
                <w:szCs w:val="18"/>
              </w:rPr>
              <w:t>.</w:t>
            </w:r>
          </w:p>
        </w:tc>
        <w:tc>
          <w:tcPr>
            <w:tcW w:w="4535" w:type="dxa"/>
            <w:tcBorders>
              <w:top w:val="single" w:color="auto" w:sz="4" w:space="0"/>
              <w:left w:val="single" w:color="auto" w:sz="4" w:space="0"/>
              <w:bottom w:val="single" w:color="auto" w:sz="4" w:space="0"/>
              <w:right w:val="single" w:color="auto" w:sz="4" w:space="0"/>
            </w:tcBorders>
          </w:tcPr>
          <w:p w:rsidRPr="00781A6F" w:rsidR="007F0AB7" w:rsidP="00781A6F" w:rsidRDefault="009829A0" w14:paraId="50CC4ED5" w14:textId="49A73217">
            <w:pPr>
              <w:rPr>
                <w:rFonts w:ascii="Verdana" w:hAnsi="Verdana"/>
                <w:sz w:val="18"/>
                <w:szCs w:val="18"/>
              </w:rPr>
            </w:pPr>
            <w:r w:rsidRPr="00781A6F">
              <w:rPr>
                <w:rFonts w:ascii="Verdana" w:hAnsi="Verdana"/>
                <w:sz w:val="18"/>
                <w:szCs w:val="18"/>
              </w:rPr>
              <w:t>Het kabinet ziet de aangekondigde strategie met belangstelling tegemoet en zal deze na publicatie nader bezien.</w:t>
            </w:r>
            <w:r w:rsidRPr="00781A6F" w:rsidR="00910B5A">
              <w:rPr>
                <w:rFonts w:ascii="Verdana" w:hAnsi="Verdana"/>
                <w:sz w:val="18"/>
                <w:szCs w:val="18"/>
              </w:rPr>
              <w:t xml:space="preserve"> Het kabinet is van mening dat toekomstig Cohesiebeleid zich dient te blijven richten op convergentie en concurrentiekracht.</w:t>
            </w:r>
          </w:p>
        </w:tc>
        <w:tc>
          <w:tcPr>
            <w:tcW w:w="1985" w:type="dxa"/>
            <w:tcBorders>
              <w:top w:val="single" w:color="auto" w:sz="4" w:space="0"/>
              <w:left w:val="single" w:color="auto" w:sz="4" w:space="0"/>
              <w:bottom w:val="single" w:color="auto" w:sz="4" w:space="0"/>
              <w:right w:val="single" w:color="auto" w:sz="4" w:space="0"/>
            </w:tcBorders>
          </w:tcPr>
          <w:p w:rsidRPr="00781A6F" w:rsidR="007F0AB7" w:rsidP="00781A6F" w:rsidRDefault="007F0AB7" w14:paraId="48F918AC" w14:textId="1728AD96">
            <w:pPr>
              <w:rPr>
                <w:rFonts w:ascii="Verdana" w:hAnsi="Verdana" w:cstheme="minorBidi"/>
                <w:color w:val="000000"/>
                <w:sz w:val="18"/>
                <w:szCs w:val="18"/>
                <w:lang w:val="en-US"/>
              </w:rPr>
            </w:pPr>
            <w:proofErr w:type="spellStart"/>
            <w:r w:rsidRPr="00781A6F">
              <w:rPr>
                <w:rFonts w:ascii="Verdana" w:hAnsi="Verdana"/>
                <w:color w:val="000000"/>
                <w:sz w:val="18"/>
                <w:szCs w:val="18"/>
                <w:lang w:val="en-US"/>
              </w:rPr>
              <w:t>Niet-wetgevend</w:t>
            </w:r>
            <w:proofErr w:type="spellEnd"/>
          </w:p>
        </w:tc>
      </w:tr>
      <w:tr w:rsidRPr="00781A6F" w:rsidR="007F0AB7" w:rsidTr="007766E6" w14:paraId="18545485" w14:textId="77777777">
        <w:trPr>
          <w:trHeight w:val="566"/>
        </w:trPr>
        <w:tc>
          <w:tcPr>
            <w:tcW w:w="567" w:type="dxa"/>
            <w:tcBorders>
              <w:top w:val="single" w:color="auto" w:sz="4" w:space="0"/>
              <w:left w:val="single" w:color="auto" w:sz="4" w:space="0"/>
              <w:bottom w:val="single" w:color="auto" w:sz="4" w:space="0"/>
              <w:right w:val="single" w:color="auto" w:sz="4" w:space="0"/>
            </w:tcBorders>
          </w:tcPr>
          <w:p w:rsidRPr="00781A6F" w:rsidR="007F0AB7" w:rsidP="00781A6F" w:rsidRDefault="00781A6F" w14:paraId="520B9E98" w14:textId="53FF4AB9">
            <w:pPr>
              <w:rPr>
                <w:rFonts w:ascii="Verdana" w:hAnsi="Verdana" w:cstheme="minorBidi"/>
                <w:sz w:val="18"/>
                <w:szCs w:val="18"/>
                <w:lang w:val="en-US"/>
              </w:rPr>
            </w:pPr>
            <w:r w:rsidRPr="00781A6F">
              <w:rPr>
                <w:rFonts w:ascii="Verdana" w:hAnsi="Verdana"/>
                <w:color w:val="000000"/>
                <w:sz w:val="18"/>
                <w:szCs w:val="18"/>
                <w:lang w:val="en-US"/>
              </w:rPr>
              <w:t>42</w:t>
            </w:r>
            <w:r w:rsidRPr="00781A6F" w:rsidR="007F0AB7">
              <w:rPr>
                <w:rFonts w:ascii="Verdana" w:hAnsi="Verdana"/>
                <w:color w:val="000000"/>
                <w:sz w:val="18"/>
                <w:szCs w:val="18"/>
                <w:lang w:val="en-US"/>
              </w:rPr>
              <w:t>.</w:t>
            </w:r>
          </w:p>
        </w:tc>
        <w:tc>
          <w:tcPr>
            <w:tcW w:w="3403" w:type="dxa"/>
            <w:tcBorders>
              <w:top w:val="single" w:color="auto" w:sz="4" w:space="0"/>
              <w:left w:val="single" w:color="auto" w:sz="4" w:space="0"/>
              <w:bottom w:val="single" w:color="auto" w:sz="4" w:space="0"/>
              <w:right w:val="single" w:color="auto" w:sz="4" w:space="0"/>
            </w:tcBorders>
          </w:tcPr>
          <w:p w:rsidRPr="00781A6F" w:rsidR="007F0AB7" w:rsidP="00781A6F" w:rsidRDefault="004C1646" w14:paraId="22D0142C" w14:textId="416020D6">
            <w:pPr>
              <w:rPr>
                <w:rFonts w:ascii="Verdana" w:hAnsi="Verdana"/>
                <w:sz w:val="18"/>
                <w:szCs w:val="18"/>
              </w:rPr>
            </w:pPr>
            <w:r w:rsidRPr="00781A6F">
              <w:rPr>
                <w:rFonts w:ascii="Verdana" w:hAnsi="Verdana"/>
                <w:sz w:val="18"/>
                <w:szCs w:val="18"/>
              </w:rPr>
              <w:t xml:space="preserve">Mededeling over eiland- en kustgemeenschappen </w:t>
            </w:r>
            <w:r w:rsidRPr="00781A6F" w:rsidR="007F0AB7">
              <w:rPr>
                <w:rFonts w:ascii="Verdana" w:hAnsi="Verdana"/>
                <w:sz w:val="18"/>
                <w:szCs w:val="18"/>
              </w:rPr>
              <w:t>(Q2 2026)</w:t>
            </w:r>
          </w:p>
        </w:tc>
        <w:tc>
          <w:tcPr>
            <w:tcW w:w="5103" w:type="dxa"/>
            <w:tcBorders>
              <w:top w:val="single" w:color="auto" w:sz="4" w:space="0"/>
              <w:left w:val="single" w:color="auto" w:sz="4" w:space="0"/>
              <w:bottom w:val="single" w:color="auto" w:sz="4" w:space="0"/>
              <w:right w:val="single" w:color="auto" w:sz="4" w:space="0"/>
            </w:tcBorders>
          </w:tcPr>
          <w:p w:rsidRPr="00781A6F" w:rsidR="007F0AB7" w:rsidP="00781A6F" w:rsidRDefault="009829A0" w14:paraId="23A2A57E" w14:textId="70B5980A">
            <w:pPr>
              <w:rPr>
                <w:rFonts w:ascii="Verdana" w:hAnsi="Verdana" w:cstheme="minorBidi"/>
                <w:color w:val="000000"/>
                <w:sz w:val="18"/>
                <w:szCs w:val="18"/>
              </w:rPr>
            </w:pPr>
            <w:r w:rsidRPr="00781A6F">
              <w:rPr>
                <w:rFonts w:ascii="Verdana" w:hAnsi="Verdana"/>
                <w:sz w:val="18"/>
                <w:szCs w:val="18"/>
              </w:rPr>
              <w:t xml:space="preserve">In het kader van het cohesiebeleid presenteert de </w:t>
            </w:r>
            <w:r w:rsidRPr="00781A6F" w:rsidR="006B0323">
              <w:rPr>
                <w:rFonts w:ascii="Verdana" w:hAnsi="Verdana"/>
                <w:sz w:val="18"/>
                <w:szCs w:val="18"/>
              </w:rPr>
              <w:t>Commissie</w:t>
            </w:r>
            <w:r w:rsidRPr="00781A6F">
              <w:rPr>
                <w:rFonts w:ascii="Verdana" w:hAnsi="Verdana"/>
                <w:sz w:val="18"/>
                <w:szCs w:val="18"/>
              </w:rPr>
              <w:t xml:space="preserve"> een strategie gericht op de kustgebieden van de </w:t>
            </w:r>
            <w:r w:rsidRPr="00781A6F" w:rsidR="00B41733">
              <w:rPr>
                <w:rFonts w:ascii="Verdana" w:hAnsi="Verdana"/>
                <w:sz w:val="18"/>
                <w:szCs w:val="18"/>
              </w:rPr>
              <w:t>EU</w:t>
            </w:r>
            <w:r w:rsidRPr="00781A6F">
              <w:rPr>
                <w:rFonts w:ascii="Verdana" w:hAnsi="Verdana"/>
                <w:sz w:val="18"/>
                <w:szCs w:val="18"/>
              </w:rPr>
              <w:t>.</w:t>
            </w:r>
          </w:p>
        </w:tc>
        <w:tc>
          <w:tcPr>
            <w:tcW w:w="4535" w:type="dxa"/>
            <w:tcBorders>
              <w:top w:val="single" w:color="auto" w:sz="4" w:space="0"/>
              <w:left w:val="single" w:color="auto" w:sz="4" w:space="0"/>
              <w:bottom w:val="single" w:color="auto" w:sz="4" w:space="0"/>
              <w:right w:val="single" w:color="auto" w:sz="4" w:space="0"/>
            </w:tcBorders>
          </w:tcPr>
          <w:p w:rsidRPr="00781A6F" w:rsidR="007F0AB7" w:rsidP="00781A6F" w:rsidRDefault="009829A0" w14:paraId="31B38D85" w14:textId="511FCB7E">
            <w:pPr>
              <w:rPr>
                <w:rFonts w:ascii="Verdana" w:hAnsi="Verdana"/>
                <w:sz w:val="18"/>
                <w:szCs w:val="18"/>
              </w:rPr>
            </w:pPr>
            <w:r w:rsidRPr="00781A6F">
              <w:rPr>
                <w:rFonts w:ascii="Verdana" w:hAnsi="Verdana"/>
                <w:sz w:val="18"/>
                <w:szCs w:val="18"/>
              </w:rPr>
              <w:t>Het kabinet ziet de aangekondigde strategie met belangstelling tegemoet.</w:t>
            </w:r>
            <w:r w:rsidRPr="00781A6F" w:rsidR="00910B5A">
              <w:rPr>
                <w:rFonts w:ascii="Verdana" w:hAnsi="Verdana"/>
                <w:sz w:val="18"/>
                <w:szCs w:val="18"/>
              </w:rPr>
              <w:t xml:space="preserve"> Het kabinet is van mening dat toekomstig Cohesiebeleid zich dient te blijven richten op convergentie en concurrentiekracht.</w:t>
            </w:r>
          </w:p>
        </w:tc>
        <w:tc>
          <w:tcPr>
            <w:tcW w:w="1985" w:type="dxa"/>
            <w:tcBorders>
              <w:top w:val="single" w:color="auto" w:sz="4" w:space="0"/>
              <w:left w:val="single" w:color="auto" w:sz="4" w:space="0"/>
              <w:bottom w:val="single" w:color="auto" w:sz="4" w:space="0"/>
              <w:right w:val="single" w:color="auto" w:sz="4" w:space="0"/>
            </w:tcBorders>
          </w:tcPr>
          <w:p w:rsidRPr="00781A6F" w:rsidR="007F0AB7" w:rsidP="00781A6F" w:rsidRDefault="007F0AB7" w14:paraId="5048EA60" w14:textId="0E6B08C1">
            <w:pPr>
              <w:rPr>
                <w:rFonts w:ascii="Verdana" w:hAnsi="Verdana" w:cstheme="minorBidi"/>
                <w:color w:val="000000"/>
                <w:sz w:val="18"/>
                <w:szCs w:val="18"/>
                <w:lang w:val="en-US"/>
              </w:rPr>
            </w:pPr>
            <w:proofErr w:type="spellStart"/>
            <w:r w:rsidRPr="00781A6F">
              <w:rPr>
                <w:rFonts w:ascii="Verdana" w:hAnsi="Verdana"/>
                <w:color w:val="000000"/>
                <w:sz w:val="18"/>
                <w:szCs w:val="18"/>
                <w:lang w:val="en-US"/>
              </w:rPr>
              <w:t>Niet-wetgevend</w:t>
            </w:r>
            <w:proofErr w:type="spellEnd"/>
          </w:p>
        </w:tc>
      </w:tr>
      <w:bookmarkEnd w:id="4"/>
      <w:bookmarkEnd w:id="5"/>
      <w:tr w:rsidRPr="00781A6F" w:rsidR="0023156F" w:rsidTr="007766E6" w14:paraId="7D7E5FBF"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781A6F" w:rsidR="0023156F" w:rsidP="00781A6F" w:rsidRDefault="00781A6F" w14:paraId="044433BB" w14:textId="681EE0C6">
            <w:pPr>
              <w:rPr>
                <w:rFonts w:ascii="Verdana" w:hAnsi="Verdana" w:cstheme="minorBidi"/>
                <w:color w:val="000000"/>
                <w:sz w:val="18"/>
                <w:szCs w:val="18"/>
                <w:lang w:val="en-US"/>
              </w:rPr>
            </w:pPr>
            <w:r w:rsidRPr="00781A6F">
              <w:rPr>
                <w:rFonts w:ascii="Verdana" w:hAnsi="Verdana"/>
                <w:color w:val="000000"/>
                <w:sz w:val="18"/>
                <w:szCs w:val="18"/>
                <w:lang w:val="en-US"/>
              </w:rPr>
              <w:lastRenderedPageBreak/>
              <w:t>43</w:t>
            </w:r>
            <w:r w:rsidRPr="00781A6F" w:rsidR="0023156F">
              <w:rPr>
                <w:rFonts w:ascii="Verdana" w:hAnsi="Verdana"/>
                <w:color w:val="000000"/>
                <w:sz w:val="18"/>
                <w:szCs w:val="18"/>
                <w:lang w:val="en-US"/>
              </w:rPr>
              <w:t>.</w:t>
            </w:r>
          </w:p>
        </w:tc>
        <w:tc>
          <w:tcPr>
            <w:tcW w:w="3403" w:type="dxa"/>
            <w:tcBorders>
              <w:top w:val="single" w:color="auto" w:sz="4" w:space="0"/>
              <w:left w:val="single" w:color="auto" w:sz="4" w:space="0"/>
              <w:bottom w:val="single" w:color="auto" w:sz="4" w:space="0"/>
              <w:right w:val="single" w:color="auto" w:sz="4" w:space="0"/>
            </w:tcBorders>
          </w:tcPr>
          <w:p w:rsidRPr="00781A6F" w:rsidR="0023156F" w:rsidP="00781A6F" w:rsidRDefault="004C1646" w14:paraId="4781347F" w14:textId="72E7CB7C">
            <w:pPr>
              <w:rPr>
                <w:rFonts w:ascii="Verdana" w:hAnsi="Verdana" w:cstheme="minorBidi"/>
                <w:sz w:val="18"/>
                <w:szCs w:val="18"/>
              </w:rPr>
            </w:pPr>
            <w:r w:rsidRPr="00781A6F">
              <w:rPr>
                <w:rFonts w:ascii="Verdana" w:hAnsi="Verdana"/>
                <w:sz w:val="18"/>
                <w:szCs w:val="18"/>
              </w:rPr>
              <w:t xml:space="preserve">Wetgevingshandeling over hoogwaardige banen </w:t>
            </w:r>
            <w:r w:rsidRPr="00781A6F" w:rsidR="0023156F">
              <w:rPr>
                <w:rFonts w:ascii="Verdana" w:hAnsi="Verdana"/>
                <w:sz w:val="18"/>
                <w:szCs w:val="18"/>
              </w:rPr>
              <w:t>(Q4 2026)</w:t>
            </w:r>
          </w:p>
        </w:tc>
        <w:tc>
          <w:tcPr>
            <w:tcW w:w="5103"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42C7C261" w14:textId="7C85F8A6">
            <w:pPr>
              <w:rPr>
                <w:rFonts w:ascii="Verdana" w:hAnsi="Verdana"/>
                <w:sz w:val="18"/>
                <w:szCs w:val="18"/>
              </w:rPr>
            </w:pPr>
            <w:r w:rsidRPr="00781A6F">
              <w:rPr>
                <w:rFonts w:ascii="Verdana" w:hAnsi="Verdana"/>
                <w:color w:val="000000"/>
                <w:sz w:val="18"/>
                <w:szCs w:val="18"/>
              </w:rPr>
              <w:t xml:space="preserve">De </w:t>
            </w:r>
            <w:r w:rsidRPr="00781A6F" w:rsidR="006B0323">
              <w:rPr>
                <w:rFonts w:ascii="Verdana" w:hAnsi="Verdana"/>
                <w:color w:val="000000"/>
                <w:sz w:val="18"/>
                <w:szCs w:val="18"/>
              </w:rPr>
              <w:t>Commissie</w:t>
            </w:r>
            <w:r w:rsidRPr="00781A6F">
              <w:rPr>
                <w:rFonts w:ascii="Verdana" w:hAnsi="Verdana"/>
                <w:color w:val="000000"/>
                <w:sz w:val="18"/>
                <w:szCs w:val="18"/>
              </w:rPr>
              <w:t xml:space="preserve"> kondigt een wet aan om kwaliteitsbanen te garanderen, met aandacht voor fatsoenlijke lonen en arbeidsomstandigheden, hoge normen voor gezondheid en veiligheid en vaardigheden.</w:t>
            </w:r>
          </w:p>
        </w:tc>
        <w:tc>
          <w:tcPr>
            <w:tcW w:w="4535" w:type="dxa"/>
            <w:tcBorders>
              <w:top w:val="single" w:color="auto" w:sz="4" w:space="0"/>
              <w:left w:val="single" w:color="auto" w:sz="4" w:space="0"/>
              <w:bottom w:val="single" w:color="auto" w:sz="4" w:space="0"/>
              <w:right w:val="single" w:color="auto" w:sz="4" w:space="0"/>
            </w:tcBorders>
          </w:tcPr>
          <w:p w:rsidRPr="00781A6F" w:rsidR="000D2531" w:rsidP="00781A6F" w:rsidRDefault="0023156F" w14:paraId="72D74459" w14:textId="77777777">
            <w:pPr>
              <w:rPr>
                <w:rFonts w:ascii="Verdana" w:hAnsi="Verdana" w:cstheme="minorBidi"/>
                <w:color w:val="000000"/>
                <w:sz w:val="18"/>
                <w:szCs w:val="18"/>
              </w:rPr>
            </w:pPr>
            <w:r w:rsidRPr="00781A6F">
              <w:rPr>
                <w:rFonts w:ascii="Verdana" w:hAnsi="Verdana"/>
                <w:color w:val="000000"/>
                <w:sz w:val="18"/>
                <w:szCs w:val="18"/>
              </w:rPr>
              <w:t>Het kabinet kijkt met interesse naar de uitwerking van dit initiatief. Kwalitatief goed werk, door goede bescherming van werkenden op het gebied van gezonde en veilige werkomstandigheden en de ontwikkeling van vaardigheden, draagt bij aan het versterken van de capaciteiten van onze beroepsbevolking en is daarmee een investering in menselijk kapitaal en het concurrentievermogen.</w:t>
            </w:r>
          </w:p>
          <w:p w:rsidRPr="00781A6F" w:rsidR="000D2531" w:rsidP="00781A6F" w:rsidRDefault="000D2531" w14:paraId="0478DFB4" w14:textId="2FDB65EC">
            <w:pPr>
              <w:rPr>
                <w:rFonts w:ascii="Verdana" w:hAnsi="Verdana" w:cstheme="minorHAnsi"/>
                <w:color w:val="000000"/>
                <w:sz w:val="18"/>
                <w:szCs w:val="18"/>
              </w:rPr>
            </w:pPr>
          </w:p>
        </w:tc>
        <w:tc>
          <w:tcPr>
            <w:tcW w:w="1985"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2C2AB56A" w14:textId="77DC5195">
            <w:pPr>
              <w:rPr>
                <w:rFonts w:ascii="Verdana" w:hAnsi="Verdana" w:cstheme="minorBidi"/>
                <w:color w:val="000000"/>
                <w:sz w:val="18"/>
                <w:szCs w:val="18"/>
                <w:lang w:val="en-US"/>
              </w:rPr>
            </w:pPr>
            <w:proofErr w:type="spellStart"/>
            <w:r w:rsidRPr="00781A6F">
              <w:rPr>
                <w:rFonts w:ascii="Verdana" w:hAnsi="Verdana"/>
                <w:color w:val="000000"/>
                <w:sz w:val="18"/>
                <w:szCs w:val="18"/>
                <w:lang w:val="en-US"/>
              </w:rPr>
              <w:t>Wetgevend</w:t>
            </w:r>
            <w:proofErr w:type="spellEnd"/>
          </w:p>
        </w:tc>
      </w:tr>
      <w:tr w:rsidRPr="00781A6F" w:rsidR="007F0AB7" w:rsidTr="007766E6" w14:paraId="7F7349CF" w14:textId="77777777">
        <w:trPr>
          <w:trHeight w:val="350"/>
        </w:trPr>
        <w:tc>
          <w:tcPr>
            <w:tcW w:w="15593" w:type="dxa"/>
            <w:gridSpan w:val="5"/>
            <w:tcBorders>
              <w:top w:val="single" w:color="auto" w:sz="4" w:space="0"/>
              <w:left w:val="single" w:color="auto" w:sz="4" w:space="0"/>
              <w:bottom w:val="single" w:color="auto" w:sz="4" w:space="0"/>
              <w:right w:val="single" w:color="auto" w:sz="4" w:space="0"/>
            </w:tcBorders>
          </w:tcPr>
          <w:p w:rsidRPr="00781A6F" w:rsidR="009D67DA" w:rsidP="00781A6F" w:rsidRDefault="00781A6F" w14:paraId="41980136" w14:textId="4F3F0190">
            <w:pPr>
              <w:rPr>
                <w:rFonts w:ascii="Verdana" w:hAnsi="Verdana" w:cstheme="minorBidi"/>
                <w:color w:val="000000"/>
                <w:sz w:val="18"/>
                <w:szCs w:val="18"/>
              </w:rPr>
            </w:pPr>
            <w:r w:rsidRPr="00781A6F">
              <w:rPr>
                <w:rFonts w:ascii="Verdana" w:hAnsi="Verdana"/>
                <w:color w:val="000000"/>
                <w:sz w:val="18"/>
                <w:szCs w:val="18"/>
              </w:rPr>
              <w:t xml:space="preserve">44. </w:t>
            </w:r>
            <w:r w:rsidRPr="00781A6F" w:rsidR="004C1646">
              <w:rPr>
                <w:rFonts w:ascii="Verdana" w:hAnsi="Verdana"/>
                <w:color w:val="000000"/>
                <w:sz w:val="18"/>
                <w:szCs w:val="18"/>
              </w:rPr>
              <w:t>Onderwijspakket</w:t>
            </w:r>
          </w:p>
        </w:tc>
      </w:tr>
      <w:tr w:rsidRPr="00781A6F" w:rsidR="00CD13E4" w:rsidTr="007766E6" w14:paraId="449A9E58"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781A6F" w:rsidR="00CD13E4" w:rsidP="00781A6F" w:rsidRDefault="00781A6F" w14:paraId="173DAA5C" w14:textId="243BD651">
            <w:pPr>
              <w:rPr>
                <w:rFonts w:ascii="Verdana" w:hAnsi="Verdana" w:cstheme="minorBidi"/>
                <w:color w:val="000000"/>
                <w:sz w:val="18"/>
                <w:szCs w:val="18"/>
                <w:lang w:val="en-US"/>
              </w:rPr>
            </w:pPr>
            <w:r w:rsidRPr="00781A6F">
              <w:rPr>
                <w:rFonts w:ascii="Verdana" w:hAnsi="Verdana"/>
                <w:color w:val="000000"/>
                <w:sz w:val="18"/>
                <w:szCs w:val="18"/>
                <w:lang w:val="en-US"/>
              </w:rPr>
              <w:t>44a</w:t>
            </w:r>
          </w:p>
        </w:tc>
        <w:tc>
          <w:tcPr>
            <w:tcW w:w="3403" w:type="dxa"/>
            <w:tcBorders>
              <w:top w:val="single" w:color="auto" w:sz="4" w:space="0"/>
              <w:left w:val="single" w:color="auto" w:sz="4" w:space="0"/>
              <w:bottom w:val="single" w:color="auto" w:sz="4" w:space="0"/>
              <w:right w:val="single" w:color="auto" w:sz="4" w:space="0"/>
            </w:tcBorders>
          </w:tcPr>
          <w:p w:rsidRPr="00781A6F" w:rsidR="00CD13E4" w:rsidP="00781A6F" w:rsidRDefault="004C1646" w14:paraId="33BD3D41" w14:textId="626C188B">
            <w:pPr>
              <w:rPr>
                <w:rFonts w:ascii="Verdana" w:hAnsi="Verdana" w:cstheme="minorBidi"/>
                <w:sz w:val="18"/>
                <w:szCs w:val="18"/>
              </w:rPr>
            </w:pPr>
            <w:r w:rsidRPr="00781A6F">
              <w:rPr>
                <w:rFonts w:ascii="Verdana" w:hAnsi="Verdana"/>
                <w:sz w:val="18"/>
                <w:szCs w:val="18"/>
              </w:rPr>
              <w:t xml:space="preserve">Europese schoolallianties en steunregeling voor basisvaardigheden </w:t>
            </w:r>
            <w:r w:rsidRPr="00781A6F" w:rsidR="00CD13E4">
              <w:rPr>
                <w:rFonts w:ascii="Verdana" w:hAnsi="Verdana"/>
                <w:sz w:val="18"/>
                <w:szCs w:val="18"/>
              </w:rPr>
              <w:t>(Q3 2026)</w:t>
            </w:r>
          </w:p>
        </w:tc>
        <w:tc>
          <w:tcPr>
            <w:tcW w:w="5103" w:type="dxa"/>
            <w:tcBorders>
              <w:top w:val="single" w:color="auto" w:sz="4" w:space="0"/>
              <w:left w:val="single" w:color="auto" w:sz="4" w:space="0"/>
              <w:bottom w:val="single" w:color="auto" w:sz="4" w:space="0"/>
              <w:right w:val="single" w:color="auto" w:sz="4" w:space="0"/>
            </w:tcBorders>
          </w:tcPr>
          <w:p w:rsidRPr="00781A6F" w:rsidR="00CD13E4" w:rsidP="00781A6F" w:rsidRDefault="00CD13E4" w14:paraId="0B67951C" w14:textId="79A5D2BA">
            <w:pPr>
              <w:rPr>
                <w:rFonts w:ascii="Verdana" w:hAnsi="Verdana" w:cstheme="minorBidi"/>
                <w:sz w:val="18"/>
                <w:szCs w:val="18"/>
              </w:rPr>
            </w:pPr>
            <w:r w:rsidRPr="00781A6F">
              <w:rPr>
                <w:rFonts w:ascii="Verdana" w:hAnsi="Verdana"/>
                <w:sz w:val="18"/>
                <w:szCs w:val="18"/>
              </w:rPr>
              <w:t xml:space="preserve">De </w:t>
            </w:r>
            <w:r w:rsidRPr="00781A6F" w:rsidR="006B0323">
              <w:rPr>
                <w:rFonts w:ascii="Verdana" w:hAnsi="Verdana"/>
                <w:sz w:val="18"/>
                <w:szCs w:val="18"/>
              </w:rPr>
              <w:t>Commissie</w:t>
            </w:r>
            <w:r w:rsidRPr="00781A6F">
              <w:rPr>
                <w:rFonts w:ascii="Verdana" w:hAnsi="Verdana"/>
                <w:sz w:val="18"/>
                <w:szCs w:val="18"/>
              </w:rPr>
              <w:t xml:space="preserve"> wil de basisvaardigheden van EU-burgers bevorderen, en stelt een Actieplan Basisvaardigheden voor met onder andere een steunregeling voor basisvaardigheden. Gericht op mobiliteit en de uitwisseling van vaardigheden stelt de </w:t>
            </w:r>
            <w:r w:rsidRPr="00781A6F" w:rsidR="006B0323">
              <w:rPr>
                <w:rFonts w:ascii="Verdana" w:hAnsi="Verdana"/>
                <w:sz w:val="18"/>
                <w:szCs w:val="18"/>
              </w:rPr>
              <w:t>Commissie</w:t>
            </w:r>
            <w:r w:rsidRPr="00781A6F">
              <w:rPr>
                <w:rFonts w:ascii="Verdana" w:hAnsi="Verdana"/>
                <w:sz w:val="18"/>
                <w:szCs w:val="18"/>
              </w:rPr>
              <w:t xml:space="preserve"> daarnaast een proefproject voor allianties tussen Europese scholen voor. </w:t>
            </w:r>
          </w:p>
          <w:p w:rsidRPr="00781A6F" w:rsidR="00CD13E4" w:rsidP="00781A6F" w:rsidRDefault="00CD13E4" w14:paraId="7DE3A912" w14:textId="1508BDD7">
            <w:pPr>
              <w:rPr>
                <w:rFonts w:ascii="Verdana" w:hAnsi="Verdana" w:cstheme="minorHAnsi"/>
                <w:color w:val="000000"/>
                <w:sz w:val="18"/>
                <w:szCs w:val="18"/>
              </w:rPr>
            </w:pPr>
          </w:p>
        </w:tc>
        <w:tc>
          <w:tcPr>
            <w:tcW w:w="4535" w:type="dxa"/>
            <w:tcBorders>
              <w:top w:val="single" w:color="auto" w:sz="4" w:space="0"/>
              <w:left w:val="single" w:color="auto" w:sz="4" w:space="0"/>
              <w:bottom w:val="single" w:color="auto" w:sz="4" w:space="0"/>
              <w:right w:val="single" w:color="auto" w:sz="4" w:space="0"/>
            </w:tcBorders>
          </w:tcPr>
          <w:p w:rsidRPr="00781A6F" w:rsidR="00CD13E4" w:rsidP="00781A6F" w:rsidRDefault="00CD13E4" w14:paraId="21DA1C2A" w14:textId="42D4D41B">
            <w:pPr>
              <w:rPr>
                <w:rFonts w:ascii="Verdana" w:hAnsi="Verdana" w:cstheme="minorBidi"/>
                <w:color w:val="000000"/>
                <w:sz w:val="18"/>
                <w:szCs w:val="18"/>
              </w:rPr>
            </w:pPr>
            <w:r w:rsidRPr="00781A6F">
              <w:rPr>
                <w:rFonts w:ascii="Verdana" w:hAnsi="Verdana"/>
                <w:sz w:val="18"/>
                <w:szCs w:val="18"/>
              </w:rPr>
              <w:t xml:space="preserve">De in het EU-actieplan voorgestelde maatregelen voert </w:t>
            </w:r>
            <w:r w:rsidRPr="00781A6F" w:rsidR="00320B91">
              <w:rPr>
                <w:rFonts w:ascii="Verdana" w:hAnsi="Verdana"/>
                <w:sz w:val="18"/>
                <w:szCs w:val="18"/>
              </w:rPr>
              <w:t xml:space="preserve">het kabinet </w:t>
            </w:r>
            <w:r w:rsidRPr="00781A6F">
              <w:rPr>
                <w:rFonts w:ascii="Verdana" w:hAnsi="Verdana"/>
                <w:sz w:val="18"/>
                <w:szCs w:val="18"/>
              </w:rPr>
              <w:t xml:space="preserve">zelf al grotendeels uit met de inzet op basisvaardigheden in zowel het funderend als het beroepsonderwijs, waardoor op dit moment niet voor de hand </w:t>
            </w:r>
            <w:r w:rsidRPr="00781A6F" w:rsidR="000D2531">
              <w:rPr>
                <w:rFonts w:ascii="Verdana" w:hAnsi="Verdana"/>
                <w:sz w:val="18"/>
                <w:szCs w:val="18"/>
              </w:rPr>
              <w:t>ligt</w:t>
            </w:r>
            <w:r w:rsidRPr="00781A6F">
              <w:rPr>
                <w:rFonts w:ascii="Verdana" w:hAnsi="Verdana"/>
                <w:sz w:val="18"/>
                <w:szCs w:val="18"/>
              </w:rPr>
              <w:t xml:space="preserve"> om deze nationale aanpak aan te vullen door deel te nemen aan een (pilot voor) het EU-ondersteuningsmechanisme. Verder is er nog veel onduidelijkheid over de Schoolalli</w:t>
            </w:r>
            <w:r w:rsidRPr="00781A6F" w:rsidR="00EA03E6">
              <w:rPr>
                <w:rFonts w:ascii="Verdana" w:hAnsi="Verdana"/>
                <w:sz w:val="18"/>
                <w:szCs w:val="18"/>
              </w:rPr>
              <w:t>a</w:t>
            </w:r>
            <w:r w:rsidRPr="00781A6F">
              <w:rPr>
                <w:rFonts w:ascii="Verdana" w:hAnsi="Verdana"/>
                <w:sz w:val="18"/>
                <w:szCs w:val="18"/>
              </w:rPr>
              <w:t xml:space="preserve">nties in het funderend onderwijs en bestaan er met name vragen over de meerwaarde hiervan. </w:t>
            </w:r>
          </w:p>
        </w:tc>
        <w:tc>
          <w:tcPr>
            <w:tcW w:w="1985" w:type="dxa"/>
            <w:tcBorders>
              <w:top w:val="single" w:color="auto" w:sz="4" w:space="0"/>
              <w:left w:val="single" w:color="auto" w:sz="4" w:space="0"/>
              <w:bottom w:val="single" w:color="auto" w:sz="4" w:space="0"/>
              <w:right w:val="single" w:color="auto" w:sz="4" w:space="0"/>
            </w:tcBorders>
          </w:tcPr>
          <w:p w:rsidRPr="00781A6F" w:rsidR="00CD13E4" w:rsidP="00781A6F" w:rsidRDefault="00CD13E4" w14:paraId="47773E37" w14:textId="44DEF9FD">
            <w:pPr>
              <w:rPr>
                <w:rFonts w:ascii="Verdana" w:hAnsi="Verdana" w:cstheme="minorBidi"/>
                <w:color w:val="000000"/>
                <w:sz w:val="18"/>
                <w:szCs w:val="18"/>
                <w:lang w:val="en-US"/>
              </w:rPr>
            </w:pPr>
            <w:proofErr w:type="spellStart"/>
            <w:r w:rsidRPr="00781A6F">
              <w:rPr>
                <w:rFonts w:ascii="Verdana" w:hAnsi="Verdana"/>
                <w:color w:val="000000"/>
                <w:sz w:val="18"/>
                <w:szCs w:val="18"/>
                <w:lang w:val="en-US"/>
              </w:rPr>
              <w:t>Niet-wetgevend</w:t>
            </w:r>
            <w:proofErr w:type="spellEnd"/>
          </w:p>
        </w:tc>
      </w:tr>
      <w:tr w:rsidRPr="00781A6F" w:rsidR="00CD13E4" w:rsidTr="007766E6" w14:paraId="436D13C8"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781A6F" w:rsidR="00CD13E4" w:rsidP="00781A6F" w:rsidRDefault="00781A6F" w14:paraId="7A07B0CD" w14:textId="7BFF32C4">
            <w:pPr>
              <w:rPr>
                <w:rFonts w:ascii="Verdana" w:hAnsi="Verdana" w:cstheme="minorBidi"/>
                <w:color w:val="000000"/>
                <w:sz w:val="18"/>
                <w:szCs w:val="18"/>
                <w:lang w:val="en-US"/>
              </w:rPr>
            </w:pPr>
            <w:r w:rsidRPr="00781A6F">
              <w:rPr>
                <w:rFonts w:ascii="Verdana" w:hAnsi="Verdana"/>
                <w:color w:val="000000"/>
                <w:sz w:val="18"/>
                <w:szCs w:val="18"/>
                <w:lang w:val="en-US"/>
              </w:rPr>
              <w:t>44b</w:t>
            </w:r>
          </w:p>
        </w:tc>
        <w:tc>
          <w:tcPr>
            <w:tcW w:w="3403" w:type="dxa"/>
            <w:tcBorders>
              <w:top w:val="single" w:color="auto" w:sz="4" w:space="0"/>
              <w:left w:val="single" w:color="auto" w:sz="4" w:space="0"/>
              <w:bottom w:val="single" w:color="auto" w:sz="4" w:space="0"/>
              <w:right w:val="single" w:color="auto" w:sz="4" w:space="0"/>
            </w:tcBorders>
          </w:tcPr>
          <w:p w:rsidRPr="00781A6F" w:rsidR="00CD13E4" w:rsidP="00781A6F" w:rsidRDefault="004C1646" w14:paraId="1416AA07" w14:textId="0D220F47">
            <w:pPr>
              <w:rPr>
                <w:rFonts w:ascii="Verdana" w:hAnsi="Verdana" w:cstheme="minorBidi"/>
                <w:sz w:val="18"/>
                <w:szCs w:val="18"/>
              </w:rPr>
            </w:pPr>
            <w:r w:rsidRPr="00781A6F">
              <w:rPr>
                <w:rFonts w:ascii="Verdana" w:hAnsi="Verdana"/>
                <w:sz w:val="18"/>
                <w:szCs w:val="18"/>
              </w:rPr>
              <w:t>Routekaart voor de toekomst van digitaal onderwijs en digitale vaardigheden 2030</w:t>
            </w:r>
            <w:r w:rsidRPr="00781A6F" w:rsidDel="004C1646">
              <w:rPr>
                <w:rFonts w:ascii="Verdana" w:hAnsi="Verdana"/>
                <w:sz w:val="18"/>
                <w:szCs w:val="18"/>
              </w:rPr>
              <w:t xml:space="preserve"> </w:t>
            </w:r>
            <w:r w:rsidRPr="00781A6F" w:rsidR="00CD13E4">
              <w:rPr>
                <w:rFonts w:ascii="Verdana" w:hAnsi="Verdana"/>
                <w:sz w:val="18"/>
                <w:szCs w:val="18"/>
              </w:rPr>
              <w:t>(Q3 2026)</w:t>
            </w:r>
          </w:p>
        </w:tc>
        <w:tc>
          <w:tcPr>
            <w:tcW w:w="5103" w:type="dxa"/>
            <w:tcBorders>
              <w:top w:val="single" w:color="auto" w:sz="4" w:space="0"/>
              <w:left w:val="single" w:color="auto" w:sz="4" w:space="0"/>
              <w:bottom w:val="single" w:color="auto" w:sz="4" w:space="0"/>
              <w:right w:val="single" w:color="auto" w:sz="4" w:space="0"/>
            </w:tcBorders>
          </w:tcPr>
          <w:p w:rsidRPr="00781A6F" w:rsidR="00CD13E4" w:rsidP="00781A6F" w:rsidRDefault="00CD13E4" w14:paraId="052CBBEF" w14:textId="67CEB459">
            <w:pPr>
              <w:rPr>
                <w:rFonts w:ascii="Verdana" w:hAnsi="Verdana" w:cstheme="minorBidi"/>
                <w:sz w:val="18"/>
                <w:szCs w:val="18"/>
              </w:rPr>
            </w:pPr>
            <w:r w:rsidRPr="00781A6F">
              <w:rPr>
                <w:rFonts w:ascii="Verdana" w:hAnsi="Verdana"/>
                <w:sz w:val="18"/>
                <w:szCs w:val="18"/>
              </w:rPr>
              <w:t xml:space="preserve">De 2030 Routekaart </w:t>
            </w:r>
            <w:r w:rsidRPr="00781A6F" w:rsidR="004C1646">
              <w:rPr>
                <w:rFonts w:ascii="Verdana" w:hAnsi="Verdana"/>
                <w:sz w:val="18"/>
                <w:szCs w:val="18"/>
              </w:rPr>
              <w:t xml:space="preserve">voor </w:t>
            </w:r>
            <w:r w:rsidRPr="00781A6F">
              <w:rPr>
                <w:rFonts w:ascii="Verdana" w:hAnsi="Verdana"/>
                <w:sz w:val="18"/>
                <w:szCs w:val="18"/>
              </w:rPr>
              <w:t>de toekomst van digitaal onderwijs en vaardigheden is de herziening van het EU Actieplan digitaal onderwijs (DEAP) 2021-2027.</w:t>
            </w:r>
            <w:r w:rsidRPr="00781A6F" w:rsidR="000D2531">
              <w:rPr>
                <w:rStyle w:val="FootnoteReference"/>
                <w:rFonts w:ascii="Verdana" w:hAnsi="Verdana"/>
                <w:sz w:val="18"/>
                <w:szCs w:val="18"/>
              </w:rPr>
              <w:footnoteReference w:id="10"/>
            </w:r>
            <w:r w:rsidRPr="00781A6F">
              <w:rPr>
                <w:rFonts w:ascii="Verdana" w:hAnsi="Verdana"/>
                <w:sz w:val="18"/>
                <w:szCs w:val="18"/>
              </w:rPr>
              <w:t xml:space="preserve"> Naar verwachting zal er in de </w:t>
            </w:r>
            <w:r w:rsidRPr="00781A6F" w:rsidR="00B345FD">
              <w:rPr>
                <w:rFonts w:ascii="Verdana" w:hAnsi="Verdana"/>
                <w:sz w:val="18"/>
                <w:szCs w:val="18"/>
              </w:rPr>
              <w:t xml:space="preserve">Routekaart </w:t>
            </w:r>
            <w:r w:rsidRPr="00781A6F">
              <w:rPr>
                <w:rFonts w:ascii="Verdana" w:hAnsi="Verdana"/>
                <w:sz w:val="18"/>
                <w:szCs w:val="18"/>
              </w:rPr>
              <w:t xml:space="preserve">2030 aandacht zijn voor digitale vaardigheden, digitale- en mediageletterdheid, verantwoord gebruik van AI, stimuleren van Europese </w:t>
            </w:r>
            <w:r w:rsidRPr="00781A6F" w:rsidR="000D2531">
              <w:rPr>
                <w:rFonts w:ascii="Verdana" w:hAnsi="Verdana"/>
                <w:sz w:val="18"/>
                <w:szCs w:val="18"/>
              </w:rPr>
              <w:t>Onderwijstechnologie (</w:t>
            </w:r>
            <w:proofErr w:type="spellStart"/>
            <w:r w:rsidRPr="00781A6F">
              <w:rPr>
                <w:rFonts w:ascii="Verdana" w:hAnsi="Verdana"/>
                <w:sz w:val="18"/>
                <w:szCs w:val="18"/>
              </w:rPr>
              <w:t>EdTech</w:t>
            </w:r>
            <w:proofErr w:type="spellEnd"/>
            <w:r w:rsidRPr="00781A6F" w:rsidR="000D2531">
              <w:rPr>
                <w:rFonts w:ascii="Verdana" w:hAnsi="Verdana"/>
                <w:sz w:val="18"/>
                <w:szCs w:val="18"/>
              </w:rPr>
              <w:t>)</w:t>
            </w:r>
            <w:r w:rsidRPr="00781A6F">
              <w:rPr>
                <w:rFonts w:ascii="Verdana" w:hAnsi="Verdana"/>
                <w:sz w:val="18"/>
                <w:szCs w:val="18"/>
              </w:rPr>
              <w:t xml:space="preserve"> en het borgen van een robuust digitaal ecosysteem. </w:t>
            </w:r>
          </w:p>
          <w:p w:rsidRPr="00781A6F" w:rsidR="00CD13E4" w:rsidP="00781A6F" w:rsidRDefault="00CD13E4" w14:paraId="44858444" w14:textId="0AF21C1A">
            <w:pPr>
              <w:rPr>
                <w:rFonts w:ascii="Verdana" w:hAnsi="Verdana" w:cstheme="minorHAnsi"/>
                <w:color w:val="000000"/>
                <w:sz w:val="18"/>
                <w:szCs w:val="18"/>
              </w:rPr>
            </w:pPr>
          </w:p>
        </w:tc>
        <w:tc>
          <w:tcPr>
            <w:tcW w:w="4535" w:type="dxa"/>
            <w:tcBorders>
              <w:top w:val="single" w:color="auto" w:sz="4" w:space="0"/>
              <w:left w:val="single" w:color="auto" w:sz="4" w:space="0"/>
              <w:bottom w:val="single" w:color="auto" w:sz="4" w:space="0"/>
              <w:right w:val="single" w:color="auto" w:sz="4" w:space="0"/>
            </w:tcBorders>
          </w:tcPr>
          <w:p w:rsidRPr="00781A6F" w:rsidR="00CD13E4" w:rsidP="00781A6F" w:rsidRDefault="00320B91" w14:paraId="5130079C" w14:textId="7292DDAC">
            <w:pPr>
              <w:rPr>
                <w:rFonts w:ascii="Verdana" w:hAnsi="Verdana" w:cstheme="minorBidi"/>
                <w:color w:val="000000"/>
                <w:sz w:val="18"/>
                <w:szCs w:val="18"/>
              </w:rPr>
            </w:pPr>
            <w:r w:rsidRPr="00781A6F">
              <w:rPr>
                <w:rFonts w:ascii="Verdana" w:hAnsi="Verdana"/>
                <w:sz w:val="18"/>
                <w:szCs w:val="18"/>
              </w:rPr>
              <w:t>Het kabinet</w:t>
            </w:r>
            <w:r w:rsidRPr="00781A6F" w:rsidR="00CD13E4">
              <w:rPr>
                <w:rFonts w:ascii="Verdana" w:hAnsi="Verdana"/>
                <w:sz w:val="18"/>
                <w:szCs w:val="18"/>
              </w:rPr>
              <w:t xml:space="preserve"> </w:t>
            </w:r>
            <w:r w:rsidRPr="00781A6F" w:rsidR="00702608">
              <w:rPr>
                <w:rFonts w:ascii="Verdana" w:hAnsi="Verdana" w:eastAsia="Aptos" w:cs="Aptos"/>
                <w:sz w:val="18"/>
                <w:szCs w:val="18"/>
              </w:rPr>
              <w:t xml:space="preserve">kijkt uit naar </w:t>
            </w:r>
            <w:r w:rsidRPr="00781A6F" w:rsidR="00CD13E4">
              <w:rPr>
                <w:rFonts w:ascii="Verdana" w:hAnsi="Verdana"/>
                <w:sz w:val="18"/>
                <w:szCs w:val="18"/>
              </w:rPr>
              <w:t xml:space="preserve">de Routekaart als het nieuwe leidende beleidskader op het gebied van digitaal onderwijs en vaardigheden. </w:t>
            </w:r>
            <w:r w:rsidRPr="00781A6F">
              <w:rPr>
                <w:rFonts w:ascii="Verdana" w:hAnsi="Verdana"/>
                <w:sz w:val="18"/>
                <w:szCs w:val="18"/>
              </w:rPr>
              <w:t>Het kabinet</w:t>
            </w:r>
            <w:r w:rsidRPr="00781A6F" w:rsidR="00CD13E4">
              <w:rPr>
                <w:rFonts w:ascii="Verdana" w:hAnsi="Verdana"/>
                <w:sz w:val="18"/>
                <w:szCs w:val="18"/>
              </w:rPr>
              <w:t xml:space="preserve"> ziet graag dat er in de nieuwe Routekaart aandacht wordt gegeven aan een aantal nieuwe prioriteiten, zoals de stimulering van alternatieven voor </w:t>
            </w:r>
            <w:proofErr w:type="spellStart"/>
            <w:r w:rsidRPr="00781A6F" w:rsidR="00CD13E4">
              <w:rPr>
                <w:rFonts w:ascii="Verdana" w:hAnsi="Verdana"/>
                <w:sz w:val="18"/>
                <w:szCs w:val="18"/>
              </w:rPr>
              <w:t>EdTech</w:t>
            </w:r>
            <w:proofErr w:type="spellEnd"/>
            <w:r w:rsidRPr="00781A6F" w:rsidR="00CD13E4">
              <w:rPr>
                <w:rFonts w:ascii="Verdana" w:hAnsi="Verdana"/>
                <w:sz w:val="18"/>
                <w:szCs w:val="18"/>
              </w:rPr>
              <w:t xml:space="preserve"> toepassingen, het bevorderen van standaardisatie en interoperabiliteit en het beschermen van privacy, naast bestaande acties op het gebied van AI. Hierbij wordt ervoor gewaakt dat activiteiten in de Routekaart op gespannen voet kunnen staan met de beperkte EU-bevoegdheden op het gebied van onderwijs en opleidingen, en dat synergie met Europese wetgeving en beleid wordt gewaarborgd. </w:t>
            </w:r>
          </w:p>
        </w:tc>
        <w:tc>
          <w:tcPr>
            <w:tcW w:w="1985" w:type="dxa"/>
            <w:tcBorders>
              <w:top w:val="single" w:color="auto" w:sz="4" w:space="0"/>
              <w:left w:val="single" w:color="auto" w:sz="4" w:space="0"/>
              <w:bottom w:val="single" w:color="auto" w:sz="4" w:space="0"/>
              <w:right w:val="single" w:color="auto" w:sz="4" w:space="0"/>
            </w:tcBorders>
          </w:tcPr>
          <w:p w:rsidRPr="00781A6F" w:rsidR="00CD13E4" w:rsidP="00781A6F" w:rsidRDefault="00CD13E4" w14:paraId="3AA0BC85" w14:textId="11FFBC73">
            <w:pPr>
              <w:rPr>
                <w:rFonts w:ascii="Verdana" w:hAnsi="Verdana" w:cstheme="minorBidi"/>
                <w:color w:val="000000"/>
                <w:sz w:val="18"/>
                <w:szCs w:val="18"/>
                <w:lang w:val="en-US"/>
              </w:rPr>
            </w:pPr>
            <w:proofErr w:type="spellStart"/>
            <w:r w:rsidRPr="00781A6F">
              <w:rPr>
                <w:rFonts w:ascii="Verdana" w:hAnsi="Verdana"/>
                <w:color w:val="000000"/>
                <w:sz w:val="18"/>
                <w:szCs w:val="18"/>
                <w:lang w:val="en-US"/>
              </w:rPr>
              <w:t>Niet-wetgevend</w:t>
            </w:r>
            <w:proofErr w:type="spellEnd"/>
          </w:p>
        </w:tc>
      </w:tr>
      <w:tr w:rsidRPr="00781A6F" w:rsidR="009D67DA" w:rsidTr="007766E6" w14:paraId="71C72E5C" w14:textId="77777777">
        <w:trPr>
          <w:trHeight w:val="300"/>
        </w:trPr>
        <w:tc>
          <w:tcPr>
            <w:tcW w:w="15593" w:type="dxa"/>
            <w:gridSpan w:val="5"/>
            <w:tcBorders>
              <w:top w:val="single" w:color="auto" w:sz="4" w:space="0"/>
              <w:left w:val="single" w:color="auto" w:sz="4" w:space="0"/>
              <w:bottom w:val="single" w:color="auto" w:sz="4" w:space="0"/>
              <w:right w:val="single" w:color="auto" w:sz="4" w:space="0"/>
            </w:tcBorders>
          </w:tcPr>
          <w:p w:rsidRPr="00781A6F" w:rsidR="009D67DA" w:rsidP="00781A6F" w:rsidRDefault="00781A6F" w14:paraId="1756A366" w14:textId="53F4D894">
            <w:pPr>
              <w:rPr>
                <w:rFonts w:ascii="Verdana" w:hAnsi="Verdana" w:cstheme="minorHAnsi"/>
                <w:color w:val="000000"/>
                <w:sz w:val="18"/>
                <w:szCs w:val="18"/>
                <w:lang w:val="en-US"/>
              </w:rPr>
            </w:pPr>
            <w:r w:rsidRPr="00781A6F">
              <w:rPr>
                <w:rFonts w:ascii="Verdana" w:hAnsi="Verdana"/>
                <w:color w:val="000000"/>
                <w:sz w:val="18"/>
                <w:szCs w:val="18"/>
              </w:rPr>
              <w:t xml:space="preserve">45. </w:t>
            </w:r>
            <w:r w:rsidRPr="00781A6F" w:rsidR="00B345FD">
              <w:rPr>
                <w:rFonts w:ascii="Verdana" w:hAnsi="Verdana"/>
                <w:color w:val="000000"/>
                <w:sz w:val="18"/>
                <w:szCs w:val="18"/>
              </w:rPr>
              <w:t>Pakket arbeidsmobiliteit</w:t>
            </w:r>
            <w:r w:rsidRPr="00781A6F" w:rsidDel="00B345FD" w:rsidR="00B345FD">
              <w:rPr>
                <w:rFonts w:ascii="Verdana" w:hAnsi="Verdana"/>
                <w:color w:val="000000"/>
                <w:sz w:val="18"/>
                <w:szCs w:val="18"/>
              </w:rPr>
              <w:t xml:space="preserve"> </w:t>
            </w:r>
          </w:p>
        </w:tc>
      </w:tr>
      <w:tr w:rsidRPr="00781A6F" w:rsidR="0023156F" w:rsidTr="007766E6" w14:paraId="60D2B139" w14:textId="77777777">
        <w:trPr>
          <w:trHeight w:val="583"/>
        </w:trPr>
        <w:tc>
          <w:tcPr>
            <w:tcW w:w="567" w:type="dxa"/>
            <w:tcBorders>
              <w:top w:val="single" w:color="auto" w:sz="4" w:space="0"/>
              <w:left w:val="single" w:color="auto" w:sz="4" w:space="0"/>
              <w:bottom w:val="single" w:color="auto" w:sz="4" w:space="0"/>
              <w:right w:val="single" w:color="auto" w:sz="4" w:space="0"/>
            </w:tcBorders>
          </w:tcPr>
          <w:p w:rsidRPr="00781A6F" w:rsidR="0023156F" w:rsidP="00781A6F" w:rsidRDefault="00781A6F" w14:paraId="720BEC9D" w14:textId="75BBF1FA">
            <w:pPr>
              <w:rPr>
                <w:rFonts w:ascii="Verdana" w:hAnsi="Verdana" w:cstheme="minorBidi"/>
                <w:sz w:val="18"/>
                <w:szCs w:val="18"/>
              </w:rPr>
            </w:pPr>
            <w:r w:rsidRPr="00781A6F">
              <w:rPr>
                <w:rFonts w:ascii="Verdana" w:hAnsi="Verdana"/>
                <w:color w:val="000000"/>
                <w:sz w:val="18"/>
                <w:szCs w:val="18"/>
              </w:rPr>
              <w:lastRenderedPageBreak/>
              <w:t>45a</w:t>
            </w:r>
          </w:p>
        </w:tc>
        <w:tc>
          <w:tcPr>
            <w:tcW w:w="3403" w:type="dxa"/>
            <w:tcBorders>
              <w:top w:val="single" w:color="auto" w:sz="4" w:space="0"/>
              <w:left w:val="single" w:color="auto" w:sz="4" w:space="0"/>
              <w:bottom w:val="single" w:color="auto" w:sz="4" w:space="0"/>
              <w:right w:val="single" w:color="auto" w:sz="4" w:space="0"/>
            </w:tcBorders>
          </w:tcPr>
          <w:p w:rsidRPr="00781A6F" w:rsidR="0023156F" w:rsidP="00781A6F" w:rsidRDefault="00B345FD" w14:paraId="4E8142F0" w14:textId="2209BDCD">
            <w:pPr>
              <w:rPr>
                <w:rFonts w:ascii="Verdana" w:hAnsi="Verdana" w:cstheme="minorBidi"/>
                <w:sz w:val="18"/>
                <w:szCs w:val="18"/>
              </w:rPr>
            </w:pPr>
            <w:r w:rsidRPr="00781A6F">
              <w:rPr>
                <w:rFonts w:ascii="Verdana" w:hAnsi="Verdana"/>
                <w:sz w:val="18"/>
                <w:szCs w:val="18"/>
              </w:rPr>
              <w:t xml:space="preserve">Voorstel voor een Europese </w:t>
            </w:r>
            <w:proofErr w:type="spellStart"/>
            <w:r w:rsidRPr="00781A6F">
              <w:rPr>
                <w:rFonts w:ascii="Verdana" w:hAnsi="Verdana"/>
                <w:sz w:val="18"/>
                <w:szCs w:val="18"/>
              </w:rPr>
              <w:t>socialezekerheidskaart</w:t>
            </w:r>
            <w:proofErr w:type="spellEnd"/>
            <w:r w:rsidRPr="00781A6F">
              <w:rPr>
                <w:rFonts w:ascii="Verdana" w:hAnsi="Verdana"/>
                <w:sz w:val="18"/>
                <w:szCs w:val="18"/>
              </w:rPr>
              <w:t xml:space="preserve"> </w:t>
            </w:r>
            <w:r w:rsidRPr="00781A6F" w:rsidR="0023156F">
              <w:rPr>
                <w:rFonts w:ascii="Verdana" w:hAnsi="Verdana"/>
                <w:sz w:val="18"/>
                <w:szCs w:val="18"/>
              </w:rPr>
              <w:t>(Q3 2026)</w:t>
            </w:r>
          </w:p>
        </w:tc>
        <w:tc>
          <w:tcPr>
            <w:tcW w:w="5103"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4FF1CD6C" w14:textId="3AB36575">
            <w:pPr>
              <w:rPr>
                <w:rFonts w:ascii="Verdana" w:hAnsi="Verdana" w:cstheme="minorBidi"/>
                <w:sz w:val="18"/>
                <w:szCs w:val="18"/>
              </w:rPr>
            </w:pPr>
            <w:r w:rsidRPr="00781A6F">
              <w:rPr>
                <w:rFonts w:ascii="Verdana" w:hAnsi="Verdana"/>
                <w:color w:val="000000"/>
                <w:sz w:val="18"/>
                <w:szCs w:val="18"/>
              </w:rPr>
              <w:t>Het voorstel voor een EU sociale zekerheidspas (ESSPASS) beoogt een digitale pas in te voeren waarmee werknemers en zelfstandigen in de EU gemakkelijk hun socialezekerheidsrechten en -bijdragen grensoverschrijdend kunnen aantonen en beheren. De ESSPASS heeft de potentie om handhaving van sociale zekerheidsrechten te bevorderen, doordat snel over de grenzen heen kan worden nagegaan of de digitale documenten geldig zijn en of er wijzigingen hebben plaatsgevonden.</w:t>
            </w:r>
          </w:p>
        </w:tc>
        <w:tc>
          <w:tcPr>
            <w:tcW w:w="4535"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0A629914" w14:textId="0C29519A">
            <w:pPr>
              <w:rPr>
                <w:rFonts w:ascii="Verdana" w:hAnsi="Verdana" w:cstheme="minorBidi"/>
                <w:sz w:val="18"/>
                <w:szCs w:val="18"/>
              </w:rPr>
            </w:pPr>
            <w:bookmarkStart w:name="_Hlk212467509" w:id="6"/>
            <w:bookmarkStart w:name="_Hlk212542153" w:id="7"/>
            <w:r w:rsidRPr="00781A6F">
              <w:rPr>
                <w:rFonts w:ascii="Verdana" w:hAnsi="Verdana"/>
                <w:color w:val="000000"/>
                <w:sz w:val="18"/>
                <w:szCs w:val="18"/>
              </w:rPr>
              <w:t>Digitaliseringsinitiatieven, zoals de ESSPASS kunnen voordelen brengen voor zowel de dienstverlening aan burgers als de handhaving. Het kabinet vindt het daarbij belangrijk om naast de bijdrage die digitalisering</w:t>
            </w:r>
            <w:r w:rsidRPr="00781A6F">
              <w:rPr>
                <w:rFonts w:ascii="Verdana" w:hAnsi="Verdana" w:cstheme="minorHAnsi"/>
                <w:color w:val="000000"/>
                <w:sz w:val="18"/>
                <w:szCs w:val="18"/>
              </w:rPr>
              <w:br/>
            </w:r>
            <w:r w:rsidRPr="00781A6F">
              <w:rPr>
                <w:rFonts w:ascii="Verdana" w:hAnsi="Verdana"/>
                <w:color w:val="000000"/>
                <w:sz w:val="18"/>
                <w:szCs w:val="18"/>
              </w:rPr>
              <w:t>kan leveren aan eerlijke arbeidsmobiliteit, ook in kaart te brengen hoe een ESSPASS</w:t>
            </w:r>
            <w:r w:rsidRPr="00781A6F">
              <w:rPr>
                <w:rFonts w:ascii="Verdana" w:hAnsi="Verdana" w:cstheme="minorHAnsi"/>
                <w:color w:val="000000"/>
                <w:sz w:val="18"/>
                <w:szCs w:val="18"/>
              </w:rPr>
              <w:br/>
            </w:r>
            <w:r w:rsidRPr="00781A6F">
              <w:rPr>
                <w:rFonts w:ascii="Verdana" w:hAnsi="Verdana"/>
                <w:color w:val="000000"/>
                <w:sz w:val="18"/>
                <w:szCs w:val="18"/>
              </w:rPr>
              <w:t>kan bijdragen aan verbeterde dienstverlening aan EU-burgers en het vereenvoudigen</w:t>
            </w:r>
            <w:r w:rsidRPr="00781A6F">
              <w:rPr>
                <w:rFonts w:ascii="Verdana" w:hAnsi="Verdana" w:cstheme="minorHAnsi"/>
                <w:color w:val="000000"/>
                <w:sz w:val="18"/>
                <w:szCs w:val="18"/>
              </w:rPr>
              <w:br/>
            </w:r>
            <w:r w:rsidRPr="00781A6F">
              <w:rPr>
                <w:rFonts w:ascii="Verdana" w:hAnsi="Verdana"/>
                <w:color w:val="000000"/>
                <w:sz w:val="18"/>
                <w:szCs w:val="18"/>
              </w:rPr>
              <w:t>van de internationale uitvoering en handhaving. Bij de beoordeling van een toekomstig</w:t>
            </w:r>
            <w:r w:rsidRPr="00781A6F" w:rsidR="000D2531">
              <w:rPr>
                <w:rFonts w:ascii="Verdana" w:hAnsi="Verdana"/>
                <w:color w:val="000000"/>
                <w:sz w:val="18"/>
                <w:szCs w:val="18"/>
              </w:rPr>
              <w:t xml:space="preserve"> </w:t>
            </w:r>
            <w:r w:rsidRPr="00781A6F">
              <w:rPr>
                <w:rFonts w:ascii="Verdana" w:hAnsi="Verdana"/>
                <w:color w:val="000000"/>
                <w:sz w:val="18"/>
                <w:szCs w:val="18"/>
              </w:rPr>
              <w:t>voorstel zal het kabinet ook aandacht geven aan belangrijke randvoorwaarden zoals</w:t>
            </w:r>
            <w:r w:rsidRPr="00781A6F">
              <w:rPr>
                <w:rFonts w:ascii="Verdana" w:hAnsi="Verdana" w:cstheme="minorHAnsi"/>
                <w:color w:val="000000"/>
                <w:sz w:val="18"/>
                <w:szCs w:val="18"/>
              </w:rPr>
              <w:br/>
            </w:r>
            <w:r w:rsidRPr="00781A6F">
              <w:rPr>
                <w:rFonts w:ascii="Verdana" w:hAnsi="Verdana"/>
                <w:color w:val="000000"/>
                <w:sz w:val="18"/>
                <w:szCs w:val="18"/>
              </w:rPr>
              <w:t>privacy, dataveiligheid en vrijwillig gebruik. </w:t>
            </w:r>
            <w:bookmarkEnd w:id="6"/>
            <w:bookmarkEnd w:id="7"/>
          </w:p>
        </w:tc>
        <w:tc>
          <w:tcPr>
            <w:tcW w:w="1985"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03975CE0" w14:textId="2FFA0625">
            <w:pPr>
              <w:rPr>
                <w:rFonts w:ascii="Verdana" w:hAnsi="Verdana" w:cstheme="minorBidi"/>
                <w:color w:val="000000"/>
                <w:sz w:val="18"/>
                <w:szCs w:val="18"/>
              </w:rPr>
            </w:pPr>
            <w:proofErr w:type="spellStart"/>
            <w:r w:rsidRPr="00781A6F">
              <w:rPr>
                <w:rFonts w:ascii="Verdana" w:hAnsi="Verdana"/>
                <w:color w:val="000000"/>
                <w:sz w:val="18"/>
                <w:szCs w:val="18"/>
                <w:lang w:val="en-US"/>
              </w:rPr>
              <w:t>Wetgevend</w:t>
            </w:r>
            <w:proofErr w:type="spellEnd"/>
          </w:p>
        </w:tc>
      </w:tr>
      <w:tr w:rsidRPr="00781A6F" w:rsidR="0023156F" w:rsidTr="007766E6" w14:paraId="77B6A53D" w14:textId="77777777">
        <w:trPr>
          <w:trHeight w:val="725"/>
        </w:trPr>
        <w:tc>
          <w:tcPr>
            <w:tcW w:w="567" w:type="dxa"/>
            <w:tcBorders>
              <w:top w:val="single" w:color="auto" w:sz="4" w:space="0"/>
              <w:left w:val="single" w:color="auto" w:sz="4" w:space="0"/>
              <w:bottom w:val="single" w:color="auto" w:sz="4" w:space="0"/>
              <w:right w:val="single" w:color="auto" w:sz="4" w:space="0"/>
            </w:tcBorders>
          </w:tcPr>
          <w:p w:rsidRPr="00781A6F" w:rsidR="0023156F" w:rsidP="00781A6F" w:rsidRDefault="00781A6F" w14:paraId="16BB3CE1" w14:textId="62C07670">
            <w:pPr>
              <w:rPr>
                <w:rFonts w:ascii="Verdana" w:hAnsi="Verdana" w:cstheme="minorBidi"/>
                <w:sz w:val="18"/>
                <w:szCs w:val="18"/>
              </w:rPr>
            </w:pPr>
            <w:r w:rsidRPr="00781A6F">
              <w:rPr>
                <w:rFonts w:ascii="Verdana" w:hAnsi="Verdana"/>
                <w:color w:val="000000"/>
                <w:sz w:val="18"/>
                <w:szCs w:val="18"/>
              </w:rPr>
              <w:t>45b</w:t>
            </w:r>
          </w:p>
        </w:tc>
        <w:tc>
          <w:tcPr>
            <w:tcW w:w="3403" w:type="dxa"/>
            <w:tcBorders>
              <w:top w:val="single" w:color="auto" w:sz="4" w:space="0"/>
              <w:left w:val="single" w:color="auto" w:sz="4" w:space="0"/>
              <w:bottom w:val="single" w:color="auto" w:sz="4" w:space="0"/>
              <w:right w:val="single" w:color="auto" w:sz="4" w:space="0"/>
            </w:tcBorders>
          </w:tcPr>
          <w:p w:rsidRPr="00781A6F" w:rsidR="0023156F" w:rsidP="00781A6F" w:rsidRDefault="00B345FD" w14:paraId="281B4CDF" w14:textId="1CCB2134">
            <w:pPr>
              <w:rPr>
                <w:rFonts w:ascii="Verdana" w:hAnsi="Verdana" w:cstheme="minorBidi"/>
                <w:sz w:val="18"/>
                <w:szCs w:val="18"/>
              </w:rPr>
            </w:pPr>
            <w:r w:rsidRPr="00781A6F">
              <w:rPr>
                <w:rFonts w:ascii="Verdana" w:hAnsi="Verdana"/>
                <w:sz w:val="18"/>
                <w:szCs w:val="18"/>
              </w:rPr>
              <w:t xml:space="preserve">Versterking van de Europese Arbeidsautoriteit </w:t>
            </w:r>
            <w:r w:rsidRPr="00781A6F" w:rsidR="0023156F">
              <w:rPr>
                <w:rFonts w:ascii="Verdana" w:hAnsi="Verdana"/>
                <w:sz w:val="18"/>
                <w:szCs w:val="18"/>
              </w:rPr>
              <w:t xml:space="preserve">(Q3 2026) </w:t>
            </w:r>
          </w:p>
        </w:tc>
        <w:tc>
          <w:tcPr>
            <w:tcW w:w="5103"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3A60C547" w14:textId="2590572B">
            <w:pPr>
              <w:rPr>
                <w:rFonts w:ascii="Verdana" w:hAnsi="Verdana" w:cstheme="minorBidi"/>
                <w:sz w:val="18"/>
                <w:szCs w:val="18"/>
              </w:rPr>
            </w:pPr>
            <w:r w:rsidRPr="00781A6F">
              <w:rPr>
                <w:rFonts w:ascii="Verdana" w:hAnsi="Verdana"/>
                <w:color w:val="000000"/>
                <w:sz w:val="18"/>
                <w:szCs w:val="18"/>
              </w:rPr>
              <w:t xml:space="preserve">De </w:t>
            </w:r>
            <w:r w:rsidRPr="00781A6F" w:rsidR="006B0323">
              <w:rPr>
                <w:rFonts w:ascii="Verdana" w:hAnsi="Verdana"/>
                <w:color w:val="000000"/>
                <w:sz w:val="18"/>
                <w:szCs w:val="18"/>
              </w:rPr>
              <w:t>Commissie</w:t>
            </w:r>
            <w:r w:rsidRPr="00781A6F">
              <w:rPr>
                <w:rFonts w:ascii="Verdana" w:hAnsi="Verdana"/>
                <w:color w:val="000000"/>
                <w:sz w:val="18"/>
                <w:szCs w:val="18"/>
              </w:rPr>
              <w:t xml:space="preserve"> kondigt een voorstel ter versterking van de Europese Arbeidsautoriteit </w:t>
            </w:r>
            <w:r w:rsidRPr="00781A6F" w:rsidR="000D2531">
              <w:rPr>
                <w:rFonts w:ascii="Verdana" w:hAnsi="Verdana"/>
                <w:color w:val="000000"/>
                <w:sz w:val="18"/>
                <w:szCs w:val="18"/>
              </w:rPr>
              <w:t xml:space="preserve">(ELA) </w:t>
            </w:r>
            <w:r w:rsidRPr="00781A6F">
              <w:rPr>
                <w:rFonts w:ascii="Verdana" w:hAnsi="Verdana"/>
                <w:color w:val="000000"/>
                <w:sz w:val="18"/>
                <w:szCs w:val="18"/>
              </w:rPr>
              <w:t>aan. De Europese Arbeidsautoriteit bevordert eerlijke arbeidsmobiliteit binnen de EU door samenwerking tussen lidstaten te versterken, grensoverschrijdende arbeidsregels te handhaven en informatie aan werknemers en werkgevers te bieden.</w:t>
            </w:r>
          </w:p>
        </w:tc>
        <w:tc>
          <w:tcPr>
            <w:tcW w:w="4535"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2D7D0C76" w14:textId="4C49CD8A">
            <w:pPr>
              <w:rPr>
                <w:rFonts w:ascii="Verdana" w:hAnsi="Verdana" w:cstheme="minorBidi"/>
                <w:sz w:val="18"/>
                <w:szCs w:val="18"/>
              </w:rPr>
            </w:pPr>
            <w:r w:rsidRPr="00781A6F">
              <w:rPr>
                <w:rFonts w:ascii="Verdana" w:hAnsi="Verdana"/>
                <w:color w:val="000000"/>
                <w:sz w:val="18"/>
                <w:szCs w:val="18"/>
              </w:rPr>
              <w:t xml:space="preserve">Het kabinet heeft eerder aangedrongen op versteking van de ELA en </w:t>
            </w:r>
            <w:r w:rsidRPr="00781A6F" w:rsidR="00702608">
              <w:rPr>
                <w:rFonts w:ascii="Verdana" w:hAnsi="Verdana" w:eastAsia="Aptos" w:cs="Aptos"/>
                <w:sz w:val="18"/>
                <w:szCs w:val="18"/>
              </w:rPr>
              <w:t xml:space="preserve">kijkt dan ook uit naar </w:t>
            </w:r>
            <w:r w:rsidRPr="00781A6F" w:rsidR="00702608">
              <w:rPr>
                <w:rFonts w:ascii="Verdana" w:hAnsi="Verdana"/>
                <w:color w:val="000000"/>
                <w:sz w:val="18"/>
                <w:szCs w:val="18"/>
              </w:rPr>
              <w:t>het</w:t>
            </w:r>
            <w:r w:rsidRPr="00781A6F">
              <w:rPr>
                <w:rFonts w:ascii="Verdana" w:hAnsi="Verdana"/>
                <w:color w:val="000000"/>
                <w:sz w:val="18"/>
                <w:szCs w:val="18"/>
              </w:rPr>
              <w:t xml:space="preserve"> voorstel. </w:t>
            </w:r>
            <w:r w:rsidRPr="00781A6F" w:rsidR="00320B91">
              <w:rPr>
                <w:rFonts w:ascii="Verdana" w:hAnsi="Verdana"/>
                <w:color w:val="000000"/>
                <w:sz w:val="18"/>
                <w:szCs w:val="18"/>
              </w:rPr>
              <w:t>Het kabinet</w:t>
            </w:r>
            <w:r w:rsidRPr="00781A6F">
              <w:rPr>
                <w:rFonts w:ascii="Verdana" w:hAnsi="Verdana"/>
                <w:color w:val="000000"/>
                <w:sz w:val="18"/>
                <w:szCs w:val="18"/>
              </w:rPr>
              <w:t xml:space="preserve"> onderschrijft het belang van een sterke ELA om misstanden aan te pakken en de grensoverschrijdende handhaving te versterken. Naast versterking van het mandaat van de ELA met betrekking tot derdelanders, pleit </w:t>
            </w:r>
            <w:r w:rsidRPr="00781A6F" w:rsidR="00320B91">
              <w:rPr>
                <w:rFonts w:ascii="Verdana" w:hAnsi="Verdana"/>
                <w:color w:val="000000"/>
                <w:sz w:val="18"/>
                <w:szCs w:val="18"/>
              </w:rPr>
              <w:t xml:space="preserve">het kabinet </w:t>
            </w:r>
            <w:r w:rsidRPr="00781A6F">
              <w:rPr>
                <w:rFonts w:ascii="Verdana" w:hAnsi="Verdana"/>
                <w:color w:val="000000"/>
                <w:sz w:val="18"/>
                <w:szCs w:val="18"/>
              </w:rPr>
              <w:t xml:space="preserve">ook voor verheldering van het juridisch kader op dit punt. </w:t>
            </w:r>
            <w:r w:rsidRPr="00781A6F" w:rsidR="00320B91">
              <w:rPr>
                <w:rFonts w:ascii="Verdana" w:hAnsi="Verdana"/>
                <w:color w:val="000000"/>
                <w:sz w:val="18"/>
                <w:szCs w:val="18"/>
              </w:rPr>
              <w:t xml:space="preserve">Het kabinet </w:t>
            </w:r>
            <w:r w:rsidRPr="00781A6F">
              <w:rPr>
                <w:rFonts w:ascii="Verdana" w:hAnsi="Verdana"/>
                <w:color w:val="000000"/>
                <w:sz w:val="18"/>
                <w:szCs w:val="18"/>
              </w:rPr>
              <w:t xml:space="preserve">zal dit blijven inbrengen. </w:t>
            </w:r>
          </w:p>
        </w:tc>
        <w:tc>
          <w:tcPr>
            <w:tcW w:w="1985"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3153D246" w14:textId="7EBCE136">
            <w:pPr>
              <w:rPr>
                <w:rFonts w:ascii="Verdana" w:hAnsi="Verdana" w:cstheme="minorBidi"/>
                <w:color w:val="000000"/>
                <w:sz w:val="18"/>
                <w:szCs w:val="18"/>
              </w:rPr>
            </w:pPr>
            <w:proofErr w:type="spellStart"/>
            <w:r w:rsidRPr="00781A6F">
              <w:rPr>
                <w:rFonts w:ascii="Verdana" w:hAnsi="Verdana"/>
                <w:color w:val="000000"/>
                <w:sz w:val="18"/>
                <w:szCs w:val="18"/>
                <w:lang w:val="en-US"/>
              </w:rPr>
              <w:t>Wetgevend</w:t>
            </w:r>
            <w:proofErr w:type="spellEnd"/>
          </w:p>
        </w:tc>
      </w:tr>
      <w:tr w:rsidRPr="00781A6F" w:rsidR="0023156F" w:rsidTr="007766E6" w14:paraId="21666B37"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781A6F" w:rsidR="0023156F" w:rsidP="00781A6F" w:rsidRDefault="00781A6F" w14:paraId="236E5367" w14:textId="09DA21F7">
            <w:pPr>
              <w:rPr>
                <w:rFonts w:ascii="Verdana" w:hAnsi="Verdana" w:cstheme="minorBidi"/>
                <w:sz w:val="18"/>
                <w:szCs w:val="18"/>
              </w:rPr>
            </w:pPr>
            <w:r w:rsidRPr="00781A6F">
              <w:rPr>
                <w:rFonts w:ascii="Verdana" w:hAnsi="Verdana"/>
                <w:color w:val="000000"/>
                <w:sz w:val="18"/>
                <w:szCs w:val="18"/>
              </w:rPr>
              <w:t>45c</w:t>
            </w:r>
          </w:p>
        </w:tc>
        <w:tc>
          <w:tcPr>
            <w:tcW w:w="3403" w:type="dxa"/>
            <w:tcBorders>
              <w:top w:val="single" w:color="auto" w:sz="4" w:space="0"/>
              <w:left w:val="single" w:color="auto" w:sz="4" w:space="0"/>
              <w:bottom w:val="single" w:color="auto" w:sz="4" w:space="0"/>
              <w:right w:val="single" w:color="auto" w:sz="4" w:space="0"/>
            </w:tcBorders>
          </w:tcPr>
          <w:p w:rsidRPr="00781A6F" w:rsidR="0023156F" w:rsidP="00781A6F" w:rsidRDefault="00B345FD" w14:paraId="5A824B9E" w14:textId="430AD1D1">
            <w:pPr>
              <w:rPr>
                <w:rFonts w:ascii="Verdana" w:hAnsi="Verdana" w:cstheme="minorBidi"/>
                <w:sz w:val="18"/>
                <w:szCs w:val="18"/>
              </w:rPr>
            </w:pPr>
            <w:r w:rsidRPr="00781A6F">
              <w:rPr>
                <w:rFonts w:ascii="Verdana" w:hAnsi="Verdana"/>
                <w:sz w:val="18"/>
                <w:szCs w:val="18"/>
              </w:rPr>
              <w:t xml:space="preserve">Initiatief voor de overdraagbaarheid van vaardigheden </w:t>
            </w:r>
            <w:r w:rsidRPr="00781A6F" w:rsidR="0023156F">
              <w:rPr>
                <w:rFonts w:ascii="Verdana" w:hAnsi="Verdana"/>
                <w:sz w:val="18"/>
                <w:szCs w:val="18"/>
              </w:rPr>
              <w:t>(Q3 2026)</w:t>
            </w:r>
          </w:p>
        </w:tc>
        <w:tc>
          <w:tcPr>
            <w:tcW w:w="5103"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539BD064" w14:textId="4076EC3A">
            <w:pPr>
              <w:rPr>
                <w:rFonts w:ascii="Verdana" w:hAnsi="Verdana" w:cstheme="minorBidi"/>
                <w:sz w:val="18"/>
                <w:szCs w:val="18"/>
              </w:rPr>
            </w:pPr>
            <w:r w:rsidRPr="00781A6F">
              <w:rPr>
                <w:rFonts w:ascii="Verdana" w:hAnsi="Verdana"/>
                <w:color w:val="000000"/>
                <w:sz w:val="18"/>
                <w:szCs w:val="18"/>
              </w:rPr>
              <w:t>De</w:t>
            </w:r>
            <w:r w:rsidRPr="00781A6F" w:rsidR="000D2531">
              <w:rPr>
                <w:rFonts w:ascii="Verdana" w:hAnsi="Verdana"/>
                <w:color w:val="000000"/>
                <w:sz w:val="18"/>
                <w:szCs w:val="18"/>
              </w:rPr>
              <w:t xml:space="preserve"> </w:t>
            </w:r>
            <w:r w:rsidRPr="00781A6F" w:rsidR="006B0323">
              <w:rPr>
                <w:rFonts w:ascii="Verdana" w:hAnsi="Verdana"/>
                <w:color w:val="000000"/>
                <w:sz w:val="18"/>
                <w:szCs w:val="18"/>
              </w:rPr>
              <w:t>Commissie</w:t>
            </w:r>
            <w:r w:rsidRPr="00781A6F">
              <w:rPr>
                <w:rFonts w:ascii="Verdana" w:hAnsi="Verdana"/>
                <w:color w:val="000000"/>
                <w:sz w:val="18"/>
                <w:szCs w:val="18"/>
              </w:rPr>
              <w:t xml:space="preserve"> kondigt een initiatief aan voor de erkenning van vaardigheden in EU-lidstaten (</w:t>
            </w:r>
            <w:r w:rsidRPr="00781A6F">
              <w:rPr>
                <w:rFonts w:ascii="Verdana" w:hAnsi="Verdana"/>
                <w:i/>
                <w:color w:val="000000"/>
                <w:sz w:val="18"/>
                <w:szCs w:val="18"/>
              </w:rPr>
              <w:t xml:space="preserve">Skills </w:t>
            </w:r>
            <w:proofErr w:type="spellStart"/>
            <w:r w:rsidRPr="00781A6F">
              <w:rPr>
                <w:rFonts w:ascii="Verdana" w:hAnsi="Verdana"/>
                <w:i/>
                <w:color w:val="000000"/>
                <w:sz w:val="18"/>
                <w:szCs w:val="18"/>
              </w:rPr>
              <w:t>Portability</w:t>
            </w:r>
            <w:proofErr w:type="spellEnd"/>
            <w:r w:rsidRPr="00781A6F">
              <w:rPr>
                <w:rFonts w:ascii="Verdana" w:hAnsi="Verdana"/>
                <w:i/>
                <w:color w:val="000000"/>
                <w:sz w:val="18"/>
                <w:szCs w:val="18"/>
              </w:rPr>
              <w:t xml:space="preserve"> Initiative</w:t>
            </w:r>
            <w:r w:rsidRPr="00781A6F">
              <w:rPr>
                <w:rFonts w:ascii="Verdana" w:hAnsi="Verdana"/>
                <w:color w:val="000000"/>
                <w:sz w:val="18"/>
                <w:szCs w:val="18"/>
              </w:rPr>
              <w:t>), onder meer gebaseerd op het huidige wettelijk kader voor gereguleerde beroepen.</w:t>
            </w:r>
          </w:p>
        </w:tc>
        <w:tc>
          <w:tcPr>
            <w:tcW w:w="4535"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1B966259" w14:textId="484D6857">
            <w:pPr>
              <w:rPr>
                <w:rFonts w:ascii="Verdana" w:hAnsi="Verdana" w:cstheme="minorBidi"/>
                <w:sz w:val="18"/>
                <w:szCs w:val="18"/>
              </w:rPr>
            </w:pPr>
            <w:r w:rsidRPr="00781A6F">
              <w:rPr>
                <w:rFonts w:ascii="Verdana" w:hAnsi="Verdana"/>
                <w:color w:val="000000"/>
                <w:sz w:val="18"/>
                <w:szCs w:val="18"/>
              </w:rPr>
              <w:t xml:space="preserve">Het kabinet kijkt met interesse naar een uitwerking van het </w:t>
            </w:r>
            <w:r w:rsidRPr="00781A6F" w:rsidR="00B345FD">
              <w:rPr>
                <w:rFonts w:ascii="Verdana" w:hAnsi="Verdana"/>
                <w:color w:val="000000"/>
                <w:sz w:val="18"/>
                <w:szCs w:val="18"/>
              </w:rPr>
              <w:t>Initiatief voor de overdraagbaarheid van vaardigheden</w:t>
            </w:r>
            <w:r w:rsidRPr="00781A6F">
              <w:rPr>
                <w:rFonts w:ascii="Verdana" w:hAnsi="Verdana"/>
                <w:color w:val="000000"/>
                <w:sz w:val="18"/>
                <w:szCs w:val="18"/>
              </w:rPr>
              <w:t>. Het kabinet onderschrijft dat vaardigheden een belangrijke randvoorwaarde zijn voor een concurrerende EU. Specifiek is het kabinet benieuwd welke obstakels er nu bestaan en waar bestaande instrumenten niet volstaan.</w:t>
            </w:r>
          </w:p>
        </w:tc>
        <w:tc>
          <w:tcPr>
            <w:tcW w:w="1985"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7347B7E3" w14:textId="55088B15">
            <w:pPr>
              <w:rPr>
                <w:rFonts w:ascii="Verdana" w:hAnsi="Verdana" w:cstheme="minorBidi"/>
                <w:color w:val="000000"/>
                <w:sz w:val="18"/>
                <w:szCs w:val="18"/>
              </w:rPr>
            </w:pPr>
            <w:proofErr w:type="spellStart"/>
            <w:r w:rsidRPr="00781A6F">
              <w:rPr>
                <w:rFonts w:ascii="Verdana" w:hAnsi="Verdana"/>
                <w:color w:val="000000"/>
                <w:sz w:val="18"/>
                <w:szCs w:val="18"/>
                <w:lang w:val="en-US"/>
              </w:rPr>
              <w:t>Wetgevend</w:t>
            </w:r>
            <w:proofErr w:type="spellEnd"/>
          </w:p>
        </w:tc>
      </w:tr>
      <w:tr w:rsidRPr="00781A6F" w:rsidR="0023156F" w:rsidTr="007766E6" w14:paraId="3BB14C2E" w14:textId="77777777">
        <w:trPr>
          <w:trHeight w:val="895"/>
        </w:trPr>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781A6F" w:rsidR="0023156F" w:rsidP="00781A6F" w:rsidRDefault="00781A6F" w14:paraId="2BBCE588" w14:textId="112E58E1">
            <w:pPr>
              <w:rPr>
                <w:rFonts w:ascii="Verdana" w:hAnsi="Verdana" w:cstheme="minorBidi"/>
                <w:color w:val="000000"/>
                <w:sz w:val="18"/>
                <w:szCs w:val="18"/>
              </w:rPr>
            </w:pPr>
            <w:r w:rsidRPr="00781A6F">
              <w:rPr>
                <w:rFonts w:ascii="Verdana" w:hAnsi="Verdana"/>
                <w:color w:val="000000"/>
                <w:sz w:val="18"/>
                <w:szCs w:val="18"/>
              </w:rPr>
              <w:t>46</w:t>
            </w:r>
            <w:r w:rsidRPr="00781A6F" w:rsidR="0023156F">
              <w:rPr>
                <w:rFonts w:ascii="Verdana" w:hAnsi="Verdana"/>
                <w:color w:val="000000"/>
                <w:sz w:val="18"/>
                <w:szCs w:val="18"/>
              </w:rPr>
              <w:t>.</w:t>
            </w:r>
          </w:p>
        </w:tc>
        <w:tc>
          <w:tcPr>
            <w:tcW w:w="3403" w:type="dxa"/>
            <w:tcBorders>
              <w:top w:val="single" w:color="auto" w:sz="4" w:space="0"/>
              <w:left w:val="single" w:color="auto" w:sz="4" w:space="0"/>
              <w:bottom w:val="single" w:color="auto" w:sz="4" w:space="0"/>
              <w:right w:val="single" w:color="auto" w:sz="4" w:space="0"/>
            </w:tcBorders>
            <w:shd w:val="clear" w:color="auto" w:fill="FFFFFF" w:themeFill="background1"/>
          </w:tcPr>
          <w:p w:rsidRPr="00781A6F" w:rsidR="0023156F" w:rsidP="00781A6F" w:rsidRDefault="00B345FD" w14:paraId="08BE6BA6" w14:textId="6A3C7F84">
            <w:pPr>
              <w:rPr>
                <w:rFonts w:ascii="Verdana" w:hAnsi="Verdana" w:cstheme="minorBidi"/>
                <w:sz w:val="18"/>
                <w:szCs w:val="18"/>
                <w:lang w:val="en-US"/>
              </w:rPr>
            </w:pPr>
            <w:r w:rsidRPr="00781A6F">
              <w:rPr>
                <w:rFonts w:ascii="Verdana" w:hAnsi="Verdana"/>
                <w:sz w:val="18"/>
                <w:szCs w:val="18"/>
              </w:rPr>
              <w:t xml:space="preserve">Omnibus burgers </w:t>
            </w:r>
            <w:r w:rsidRPr="00781A6F" w:rsidR="0023156F">
              <w:rPr>
                <w:rFonts w:ascii="Verdana" w:hAnsi="Verdana"/>
                <w:sz w:val="18"/>
                <w:szCs w:val="18"/>
              </w:rPr>
              <w:t>(Q4 2026)</w:t>
            </w:r>
          </w:p>
        </w:tc>
        <w:tc>
          <w:tcPr>
            <w:tcW w:w="5103" w:type="dxa"/>
            <w:tcBorders>
              <w:top w:val="single" w:color="auto" w:sz="4" w:space="0"/>
              <w:left w:val="single" w:color="auto" w:sz="4" w:space="0"/>
              <w:bottom w:val="single" w:color="auto" w:sz="4" w:space="0"/>
              <w:right w:val="single" w:color="auto" w:sz="4" w:space="0"/>
            </w:tcBorders>
            <w:shd w:val="clear" w:color="auto" w:fill="FFFFFF" w:themeFill="background1"/>
          </w:tcPr>
          <w:p w:rsidRPr="00781A6F" w:rsidR="0023156F" w:rsidP="00781A6F" w:rsidRDefault="0023156F" w14:paraId="0C347F99" w14:textId="0C70F014">
            <w:pPr>
              <w:rPr>
                <w:rFonts w:ascii="Verdana" w:hAnsi="Verdana" w:cstheme="minorBidi"/>
                <w:color w:val="000000"/>
                <w:sz w:val="18"/>
                <w:szCs w:val="18"/>
              </w:rPr>
            </w:pPr>
            <w:r w:rsidRPr="00781A6F">
              <w:rPr>
                <w:rFonts w:ascii="Verdana" w:hAnsi="Verdana"/>
                <w:color w:val="000000"/>
                <w:sz w:val="18"/>
                <w:szCs w:val="18"/>
              </w:rPr>
              <w:t xml:space="preserve">De </w:t>
            </w:r>
            <w:r w:rsidRPr="00781A6F" w:rsidR="006B0323">
              <w:rPr>
                <w:rFonts w:ascii="Verdana" w:hAnsi="Verdana"/>
                <w:color w:val="000000"/>
                <w:sz w:val="18"/>
                <w:szCs w:val="18"/>
              </w:rPr>
              <w:t>Commissie</w:t>
            </w:r>
            <w:r w:rsidRPr="00781A6F">
              <w:rPr>
                <w:rFonts w:ascii="Verdana" w:hAnsi="Verdana"/>
                <w:color w:val="000000"/>
                <w:sz w:val="18"/>
                <w:szCs w:val="18"/>
              </w:rPr>
              <w:t xml:space="preserve"> is voornemens een </w:t>
            </w:r>
            <w:r w:rsidRPr="00781A6F" w:rsidR="00B345FD">
              <w:rPr>
                <w:rFonts w:ascii="Verdana" w:hAnsi="Verdana"/>
                <w:color w:val="000000"/>
                <w:sz w:val="18"/>
                <w:szCs w:val="18"/>
              </w:rPr>
              <w:t>Omnibus burgers</w:t>
            </w:r>
            <w:r w:rsidRPr="00781A6F" w:rsidR="00B345FD">
              <w:rPr>
                <w:rFonts w:ascii="Verdana" w:hAnsi="Verdana"/>
                <w:i/>
                <w:iCs/>
                <w:color w:val="000000"/>
                <w:sz w:val="18"/>
                <w:szCs w:val="18"/>
              </w:rPr>
              <w:t xml:space="preserve"> </w:t>
            </w:r>
            <w:r w:rsidRPr="00781A6F">
              <w:rPr>
                <w:rFonts w:ascii="Verdana" w:hAnsi="Verdana"/>
                <w:color w:val="000000"/>
                <w:sz w:val="18"/>
                <w:szCs w:val="18"/>
              </w:rPr>
              <w:t>te publiceren en om daarmee administratieve lasten voor EU-burgers te verminderen. Op dit moment is nog onduidelijk op welke beleidsdomeinen het omnibus voorstel betrekking zal hebben.</w:t>
            </w:r>
          </w:p>
        </w:tc>
        <w:tc>
          <w:tcPr>
            <w:tcW w:w="4535" w:type="dxa"/>
            <w:tcBorders>
              <w:top w:val="single" w:color="auto" w:sz="4" w:space="0"/>
              <w:left w:val="single" w:color="auto" w:sz="4" w:space="0"/>
              <w:bottom w:val="single" w:color="auto" w:sz="4" w:space="0"/>
              <w:right w:val="single" w:color="auto" w:sz="4" w:space="0"/>
            </w:tcBorders>
            <w:shd w:val="clear" w:color="auto" w:fill="FFFFFF" w:themeFill="background1"/>
          </w:tcPr>
          <w:p w:rsidRPr="00781A6F" w:rsidR="0023156F" w:rsidP="00781A6F" w:rsidRDefault="0023156F" w14:paraId="550FBE36" w14:textId="3C1114E1">
            <w:pPr>
              <w:rPr>
                <w:rFonts w:ascii="Verdana" w:hAnsi="Verdana" w:cstheme="minorBidi"/>
                <w:color w:val="000000"/>
                <w:sz w:val="18"/>
                <w:szCs w:val="18"/>
              </w:rPr>
            </w:pPr>
            <w:r w:rsidRPr="00781A6F">
              <w:rPr>
                <w:rFonts w:ascii="Verdana" w:hAnsi="Verdana"/>
                <w:color w:val="000000"/>
                <w:sz w:val="18"/>
                <w:szCs w:val="18"/>
              </w:rPr>
              <w:t>Het kabinet steunt het doel om administratieve lasten te verminderen voor EU-burgers. Uitgangspunt voor het kabinet is dat het voorstel geen afbreuk mag doen aan de rechten van EU-burgers.</w:t>
            </w:r>
          </w:p>
        </w:tc>
        <w:tc>
          <w:tcPr>
            <w:tcW w:w="1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781A6F" w:rsidR="0023156F" w:rsidP="00781A6F" w:rsidRDefault="0023156F" w14:paraId="58010F35" w14:textId="3645C644">
            <w:pPr>
              <w:rPr>
                <w:rFonts w:ascii="Verdana" w:hAnsi="Verdana" w:cstheme="minorBidi"/>
                <w:color w:val="000000"/>
                <w:sz w:val="18"/>
                <w:szCs w:val="18"/>
                <w:lang w:val="en-US"/>
              </w:rPr>
            </w:pPr>
            <w:proofErr w:type="spellStart"/>
            <w:r w:rsidRPr="00781A6F">
              <w:rPr>
                <w:rFonts w:ascii="Verdana" w:hAnsi="Verdana"/>
                <w:color w:val="000000"/>
                <w:sz w:val="18"/>
                <w:szCs w:val="18"/>
                <w:lang w:val="en-US"/>
              </w:rPr>
              <w:t>Wetgevend</w:t>
            </w:r>
            <w:proofErr w:type="spellEnd"/>
          </w:p>
        </w:tc>
      </w:tr>
      <w:tr w:rsidRPr="00781A6F" w:rsidR="009D67DA" w:rsidTr="007766E6" w14:paraId="3BF19C9D"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781A6F" w:rsidR="009D67DA" w:rsidP="00781A6F" w:rsidRDefault="00781A6F" w14:paraId="47FD7C84" w14:textId="19AE9BF9">
            <w:pPr>
              <w:rPr>
                <w:rFonts w:ascii="Verdana" w:hAnsi="Verdana" w:cstheme="minorBidi"/>
                <w:sz w:val="18"/>
                <w:szCs w:val="18"/>
              </w:rPr>
            </w:pPr>
            <w:r w:rsidRPr="00781A6F">
              <w:rPr>
                <w:rFonts w:ascii="Verdana" w:hAnsi="Verdana"/>
                <w:sz w:val="18"/>
                <w:szCs w:val="18"/>
              </w:rPr>
              <w:t>47</w:t>
            </w:r>
            <w:r w:rsidRPr="00781A6F" w:rsidR="009D67DA">
              <w:rPr>
                <w:rFonts w:ascii="Verdana" w:hAnsi="Verdana"/>
                <w:sz w:val="18"/>
                <w:szCs w:val="18"/>
              </w:rPr>
              <w:t>.</w:t>
            </w:r>
          </w:p>
        </w:tc>
        <w:tc>
          <w:tcPr>
            <w:tcW w:w="3403" w:type="dxa"/>
            <w:tcBorders>
              <w:top w:val="single" w:color="auto" w:sz="4" w:space="0"/>
              <w:left w:val="single" w:color="auto" w:sz="4" w:space="0"/>
              <w:bottom w:val="single" w:color="auto" w:sz="4" w:space="0"/>
              <w:right w:val="single" w:color="auto" w:sz="4" w:space="0"/>
            </w:tcBorders>
          </w:tcPr>
          <w:p w:rsidRPr="00781A6F" w:rsidR="009D67DA" w:rsidP="00781A6F" w:rsidRDefault="00B345FD" w14:paraId="5A3468C5" w14:textId="5DCF0BB6">
            <w:pPr>
              <w:rPr>
                <w:rFonts w:ascii="Verdana" w:hAnsi="Verdana" w:cstheme="minorBidi"/>
                <w:sz w:val="18"/>
                <w:szCs w:val="18"/>
              </w:rPr>
            </w:pPr>
            <w:r w:rsidRPr="00781A6F">
              <w:rPr>
                <w:rFonts w:ascii="Verdana" w:hAnsi="Verdana"/>
                <w:sz w:val="18"/>
                <w:szCs w:val="18"/>
              </w:rPr>
              <w:t xml:space="preserve">Strategie voor rechtvaardigheid tussen de generaties </w:t>
            </w:r>
            <w:r w:rsidRPr="00781A6F" w:rsidR="009D67DA">
              <w:rPr>
                <w:rFonts w:ascii="Verdana" w:hAnsi="Verdana"/>
                <w:sz w:val="18"/>
                <w:szCs w:val="18"/>
              </w:rPr>
              <w:t>(Q1 2026)</w:t>
            </w:r>
          </w:p>
        </w:tc>
        <w:tc>
          <w:tcPr>
            <w:tcW w:w="5103" w:type="dxa"/>
            <w:tcBorders>
              <w:top w:val="single" w:color="auto" w:sz="4" w:space="0"/>
              <w:left w:val="single" w:color="auto" w:sz="4" w:space="0"/>
              <w:bottom w:val="single" w:color="auto" w:sz="4" w:space="0"/>
              <w:right w:val="single" w:color="auto" w:sz="4" w:space="0"/>
            </w:tcBorders>
          </w:tcPr>
          <w:p w:rsidRPr="00781A6F" w:rsidR="009D67DA" w:rsidP="00781A6F" w:rsidRDefault="00306969" w14:paraId="18F6D372" w14:textId="01B5CC35">
            <w:pPr>
              <w:rPr>
                <w:rFonts w:ascii="Verdana" w:hAnsi="Verdana" w:cstheme="minorBidi"/>
                <w:sz w:val="18"/>
                <w:szCs w:val="18"/>
              </w:rPr>
            </w:pPr>
            <w:r w:rsidRPr="00781A6F">
              <w:rPr>
                <w:rFonts w:ascii="Verdana" w:hAnsi="Verdana"/>
                <w:sz w:val="18"/>
                <w:szCs w:val="18"/>
              </w:rPr>
              <w:t>De intergenerationele rechtvaardigheidsstrategie wil ervoor zorgen dat EU-beleid de belangen van toekomstige generaties evenwichtig meeweegt en geen oneerlijke lasten op hen afwentelt.</w:t>
            </w:r>
          </w:p>
        </w:tc>
        <w:tc>
          <w:tcPr>
            <w:tcW w:w="4535" w:type="dxa"/>
            <w:tcBorders>
              <w:top w:val="single" w:color="auto" w:sz="4" w:space="0"/>
              <w:left w:val="single" w:color="auto" w:sz="4" w:space="0"/>
              <w:bottom w:val="single" w:color="auto" w:sz="4" w:space="0"/>
              <w:right w:val="single" w:color="auto" w:sz="4" w:space="0"/>
            </w:tcBorders>
          </w:tcPr>
          <w:p w:rsidRPr="00781A6F" w:rsidR="009D67DA" w:rsidP="00781A6F" w:rsidRDefault="00306969" w14:paraId="6EA59B62" w14:textId="28CD9AA4">
            <w:pPr>
              <w:rPr>
                <w:rFonts w:ascii="Verdana" w:hAnsi="Verdana" w:cstheme="minorBidi"/>
                <w:sz w:val="18"/>
                <w:szCs w:val="18"/>
              </w:rPr>
            </w:pPr>
            <w:r w:rsidRPr="00781A6F">
              <w:rPr>
                <w:rFonts w:ascii="Verdana" w:hAnsi="Verdana"/>
                <w:sz w:val="18"/>
                <w:szCs w:val="18"/>
              </w:rPr>
              <w:t>Het kabinet kijkt met interesse uit naar de intergenerationele rechtvaardigheidsstrategie. Een dergelijke strategie kan bijdragen aan een meer toekomstgericht, inclusief en verantwoord beleid binnen de EU.</w:t>
            </w:r>
          </w:p>
        </w:tc>
        <w:tc>
          <w:tcPr>
            <w:tcW w:w="1985" w:type="dxa"/>
            <w:tcBorders>
              <w:top w:val="single" w:color="auto" w:sz="4" w:space="0"/>
              <w:left w:val="single" w:color="auto" w:sz="4" w:space="0"/>
              <w:bottom w:val="single" w:color="auto" w:sz="4" w:space="0"/>
              <w:right w:val="single" w:color="auto" w:sz="4" w:space="0"/>
            </w:tcBorders>
          </w:tcPr>
          <w:p w:rsidRPr="00781A6F" w:rsidR="009D67DA" w:rsidP="00781A6F" w:rsidRDefault="009D67DA" w14:paraId="4F2790FA" w14:textId="48A49141">
            <w:pPr>
              <w:rPr>
                <w:rFonts w:ascii="Verdana" w:hAnsi="Verdana" w:cstheme="minorBidi"/>
                <w:color w:val="000000"/>
                <w:sz w:val="18"/>
                <w:szCs w:val="18"/>
              </w:rPr>
            </w:pPr>
            <w:r w:rsidRPr="00781A6F">
              <w:rPr>
                <w:rFonts w:ascii="Verdana" w:hAnsi="Verdana"/>
                <w:color w:val="000000"/>
                <w:sz w:val="18"/>
                <w:szCs w:val="18"/>
              </w:rPr>
              <w:t>Niet-wetgevend</w:t>
            </w:r>
          </w:p>
        </w:tc>
      </w:tr>
      <w:tr w:rsidRPr="00781A6F" w:rsidR="0023156F" w:rsidTr="007766E6" w14:paraId="06646049"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781A6F" w:rsidR="0023156F" w:rsidP="00781A6F" w:rsidRDefault="00781A6F" w14:paraId="3F120C0D" w14:textId="222AFE07">
            <w:pPr>
              <w:rPr>
                <w:rFonts w:ascii="Verdana" w:hAnsi="Verdana" w:cstheme="minorBidi"/>
                <w:sz w:val="18"/>
                <w:szCs w:val="18"/>
              </w:rPr>
            </w:pPr>
            <w:r w:rsidRPr="00781A6F">
              <w:rPr>
                <w:rFonts w:ascii="Verdana" w:hAnsi="Verdana"/>
                <w:color w:val="000000"/>
                <w:sz w:val="18"/>
                <w:szCs w:val="18"/>
              </w:rPr>
              <w:lastRenderedPageBreak/>
              <w:t>48</w:t>
            </w:r>
            <w:r w:rsidRPr="00781A6F" w:rsidR="0023156F">
              <w:rPr>
                <w:rFonts w:ascii="Verdana" w:hAnsi="Verdana"/>
                <w:color w:val="000000"/>
                <w:sz w:val="18"/>
                <w:szCs w:val="18"/>
              </w:rPr>
              <w:t>.</w:t>
            </w:r>
          </w:p>
        </w:tc>
        <w:tc>
          <w:tcPr>
            <w:tcW w:w="3403" w:type="dxa"/>
            <w:tcBorders>
              <w:top w:val="single" w:color="auto" w:sz="4" w:space="0"/>
              <w:left w:val="single" w:color="auto" w:sz="4" w:space="0"/>
              <w:bottom w:val="single" w:color="auto" w:sz="4" w:space="0"/>
              <w:right w:val="single" w:color="auto" w:sz="4" w:space="0"/>
            </w:tcBorders>
          </w:tcPr>
          <w:p w:rsidRPr="00781A6F" w:rsidR="0023156F" w:rsidP="00781A6F" w:rsidRDefault="00B345FD" w14:paraId="3BAEB98C" w14:textId="689A16F8">
            <w:pPr>
              <w:rPr>
                <w:rFonts w:ascii="Verdana" w:hAnsi="Verdana" w:cstheme="minorBidi"/>
                <w:sz w:val="18"/>
                <w:szCs w:val="18"/>
              </w:rPr>
            </w:pPr>
            <w:r w:rsidRPr="00781A6F">
              <w:rPr>
                <w:rFonts w:ascii="Verdana" w:hAnsi="Verdana"/>
                <w:sz w:val="18"/>
                <w:szCs w:val="18"/>
              </w:rPr>
              <w:t xml:space="preserve">EU-strategie tegen armoede </w:t>
            </w:r>
            <w:r w:rsidRPr="00781A6F" w:rsidR="0023156F">
              <w:rPr>
                <w:rFonts w:ascii="Verdana" w:hAnsi="Verdana"/>
                <w:sz w:val="18"/>
                <w:szCs w:val="18"/>
              </w:rPr>
              <w:t>(Q2 2026)</w:t>
            </w:r>
          </w:p>
          <w:p w:rsidRPr="00781A6F" w:rsidR="0023156F" w:rsidP="00781A6F" w:rsidRDefault="0023156F" w14:paraId="32652078" w14:textId="1E86FD43">
            <w:pPr>
              <w:rPr>
                <w:rFonts w:ascii="Verdana" w:hAnsi="Verdana" w:cstheme="minorHAnsi"/>
                <w:sz w:val="18"/>
                <w:szCs w:val="18"/>
              </w:rPr>
            </w:pPr>
          </w:p>
        </w:tc>
        <w:tc>
          <w:tcPr>
            <w:tcW w:w="5103"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6C9B7BF3" w14:textId="18154DE1">
            <w:pPr>
              <w:rPr>
                <w:rFonts w:ascii="Verdana" w:hAnsi="Verdana" w:cstheme="minorBidi"/>
                <w:sz w:val="18"/>
                <w:szCs w:val="18"/>
              </w:rPr>
            </w:pPr>
            <w:r w:rsidRPr="00781A6F">
              <w:rPr>
                <w:rFonts w:ascii="Verdana" w:hAnsi="Verdana"/>
                <w:color w:val="000000"/>
                <w:sz w:val="18"/>
                <w:szCs w:val="18"/>
              </w:rPr>
              <w:t xml:space="preserve">De </w:t>
            </w:r>
            <w:r w:rsidRPr="00781A6F" w:rsidR="006B0323">
              <w:rPr>
                <w:rFonts w:ascii="Verdana" w:hAnsi="Verdana"/>
                <w:color w:val="000000"/>
                <w:sz w:val="18"/>
                <w:szCs w:val="18"/>
              </w:rPr>
              <w:t>Commissie</w:t>
            </w:r>
            <w:r w:rsidRPr="00781A6F">
              <w:rPr>
                <w:rFonts w:ascii="Verdana" w:hAnsi="Verdana"/>
                <w:color w:val="000000"/>
                <w:sz w:val="18"/>
                <w:szCs w:val="18"/>
              </w:rPr>
              <w:t xml:space="preserve"> kondigt een Europese anti-armoedestrategie aan waarmee het wil bijdragen aan de implementatie van de Europese Pijler van Sociale Rechten, en het EU-doel op armoedebestrijding in 2030 wil bereiken. Het is een initiatief dat lidstaten ondersteunt bij het verminderen van armoede en sociale uitsluiting en de structurele oorzaken van sociale exclusie zal aanpakken en ondersteunende diensten zal versterken.</w:t>
            </w:r>
          </w:p>
        </w:tc>
        <w:tc>
          <w:tcPr>
            <w:tcW w:w="4535"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23EF09BF" w14:textId="73C84AC3">
            <w:pPr>
              <w:rPr>
                <w:rFonts w:ascii="Verdana" w:hAnsi="Verdana" w:cstheme="minorBidi"/>
                <w:sz w:val="18"/>
                <w:szCs w:val="18"/>
              </w:rPr>
            </w:pPr>
            <w:r w:rsidRPr="00781A6F">
              <w:rPr>
                <w:rFonts w:ascii="Verdana" w:hAnsi="Verdana"/>
                <w:color w:val="000000"/>
                <w:sz w:val="18"/>
                <w:szCs w:val="18"/>
              </w:rPr>
              <w:t xml:space="preserve">Het kabinet verwelkomt het voornemen van de </w:t>
            </w:r>
            <w:r w:rsidRPr="00781A6F" w:rsidR="006B0323">
              <w:rPr>
                <w:rFonts w:ascii="Verdana" w:hAnsi="Verdana"/>
                <w:color w:val="000000"/>
                <w:sz w:val="18"/>
                <w:szCs w:val="18"/>
              </w:rPr>
              <w:t>Commissie</w:t>
            </w:r>
            <w:r w:rsidRPr="00781A6F">
              <w:rPr>
                <w:rFonts w:ascii="Verdana" w:hAnsi="Verdana"/>
                <w:color w:val="000000"/>
                <w:sz w:val="18"/>
                <w:szCs w:val="18"/>
              </w:rPr>
              <w:t xml:space="preserve"> om een anti-armoedestrategie te presenteren. Het kabinet vraagt daarbij aandacht voor het belang van een geïntegreerde aanpak, met nadruk op preventie, het doorbreken van intergenerationele armoede en betrokkenheid van ervaringsdeskundigen bij beleidsvorming. Armoedebeleid is primair een nationale bevoegdheid, dit dient gerespecteerd te worden bij de uitwerking van de strategie. </w:t>
            </w:r>
          </w:p>
        </w:tc>
        <w:tc>
          <w:tcPr>
            <w:tcW w:w="1985"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2455B097" w14:textId="77777777">
            <w:pPr>
              <w:rPr>
                <w:rFonts w:ascii="Verdana" w:hAnsi="Verdana" w:cstheme="minorBidi"/>
                <w:color w:val="000000"/>
                <w:sz w:val="18"/>
                <w:szCs w:val="18"/>
                <w:lang w:val="en-US"/>
              </w:rPr>
            </w:pPr>
            <w:proofErr w:type="spellStart"/>
            <w:r w:rsidRPr="00781A6F">
              <w:rPr>
                <w:rFonts w:ascii="Verdana" w:hAnsi="Verdana"/>
                <w:color w:val="000000"/>
                <w:sz w:val="18"/>
                <w:szCs w:val="18"/>
                <w:lang w:val="en-US"/>
              </w:rPr>
              <w:t>Niet-wetgevend</w:t>
            </w:r>
            <w:proofErr w:type="spellEnd"/>
          </w:p>
        </w:tc>
      </w:tr>
      <w:tr w:rsidRPr="00781A6F" w:rsidR="0023156F" w:rsidTr="007766E6" w14:paraId="23C3B1B3"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781A6F" w:rsidR="0023156F" w:rsidP="00781A6F" w:rsidRDefault="00781A6F" w14:paraId="666D3411" w14:textId="08FFE52E">
            <w:pPr>
              <w:rPr>
                <w:rFonts w:ascii="Verdana" w:hAnsi="Verdana" w:cstheme="minorBidi"/>
                <w:color w:val="000000"/>
                <w:sz w:val="18"/>
                <w:szCs w:val="18"/>
              </w:rPr>
            </w:pPr>
            <w:r w:rsidRPr="00781A6F">
              <w:rPr>
                <w:rFonts w:ascii="Verdana" w:hAnsi="Verdana"/>
                <w:color w:val="000000"/>
                <w:sz w:val="18"/>
                <w:szCs w:val="18"/>
              </w:rPr>
              <w:t>49</w:t>
            </w:r>
            <w:r w:rsidRPr="00781A6F" w:rsidR="0023156F">
              <w:rPr>
                <w:rFonts w:ascii="Verdana" w:hAnsi="Verdana"/>
                <w:color w:val="000000"/>
                <w:sz w:val="18"/>
                <w:szCs w:val="18"/>
              </w:rPr>
              <w:t xml:space="preserve">. </w:t>
            </w:r>
          </w:p>
        </w:tc>
        <w:tc>
          <w:tcPr>
            <w:tcW w:w="3403" w:type="dxa"/>
            <w:tcBorders>
              <w:top w:val="single" w:color="auto" w:sz="4" w:space="0"/>
              <w:left w:val="single" w:color="auto" w:sz="4" w:space="0"/>
              <w:bottom w:val="single" w:color="auto" w:sz="4" w:space="0"/>
              <w:right w:val="single" w:color="auto" w:sz="4" w:space="0"/>
            </w:tcBorders>
          </w:tcPr>
          <w:p w:rsidRPr="00781A6F" w:rsidR="0023156F" w:rsidP="00781A6F" w:rsidRDefault="00B345FD" w14:paraId="06735076" w14:textId="0685322B">
            <w:pPr>
              <w:rPr>
                <w:rFonts w:ascii="Verdana" w:hAnsi="Verdana" w:cstheme="minorBidi"/>
                <w:sz w:val="18"/>
                <w:szCs w:val="18"/>
              </w:rPr>
            </w:pPr>
            <w:r w:rsidRPr="00781A6F">
              <w:rPr>
                <w:rFonts w:ascii="Verdana" w:hAnsi="Verdana"/>
                <w:sz w:val="18"/>
                <w:szCs w:val="18"/>
              </w:rPr>
              <w:t xml:space="preserve">Versterking van de kindergarantie </w:t>
            </w:r>
            <w:r w:rsidRPr="00781A6F" w:rsidR="0023156F">
              <w:rPr>
                <w:rFonts w:ascii="Verdana" w:hAnsi="Verdana"/>
                <w:sz w:val="18"/>
                <w:szCs w:val="18"/>
              </w:rPr>
              <w:t>(Q2 2026)</w:t>
            </w:r>
          </w:p>
        </w:tc>
        <w:tc>
          <w:tcPr>
            <w:tcW w:w="5103"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10E28202" w14:textId="3A26EDAC">
            <w:pPr>
              <w:rPr>
                <w:rFonts w:ascii="Verdana" w:hAnsi="Verdana" w:cstheme="minorBidi"/>
                <w:color w:val="000000"/>
                <w:sz w:val="18"/>
                <w:szCs w:val="18"/>
              </w:rPr>
            </w:pPr>
            <w:r w:rsidRPr="00781A6F">
              <w:rPr>
                <w:rFonts w:ascii="Verdana" w:hAnsi="Verdana"/>
                <w:color w:val="000000"/>
                <w:sz w:val="18"/>
                <w:szCs w:val="18"/>
              </w:rPr>
              <w:t xml:space="preserve">De </w:t>
            </w:r>
            <w:r w:rsidRPr="00781A6F" w:rsidR="006B0323">
              <w:rPr>
                <w:rFonts w:ascii="Verdana" w:hAnsi="Verdana"/>
                <w:color w:val="000000"/>
                <w:sz w:val="18"/>
                <w:szCs w:val="18"/>
              </w:rPr>
              <w:t>Commissie</w:t>
            </w:r>
            <w:r w:rsidRPr="00781A6F">
              <w:rPr>
                <w:rFonts w:ascii="Verdana" w:hAnsi="Verdana"/>
                <w:color w:val="000000"/>
                <w:sz w:val="18"/>
                <w:szCs w:val="18"/>
              </w:rPr>
              <w:t xml:space="preserve"> komt met een versterking van de Europese Kindergarantie, die lidstaten ondersteunt met het voorkomen van kinderarmoede en sociale uitsluiting van kinderen in nood. </w:t>
            </w:r>
          </w:p>
        </w:tc>
        <w:tc>
          <w:tcPr>
            <w:tcW w:w="4535" w:type="dxa"/>
            <w:tcBorders>
              <w:top w:val="single" w:color="auto" w:sz="4" w:space="0"/>
              <w:left w:val="single" w:color="auto" w:sz="4" w:space="0"/>
              <w:bottom w:val="single" w:color="auto" w:sz="4" w:space="0"/>
              <w:right w:val="single" w:color="auto" w:sz="4" w:space="0"/>
            </w:tcBorders>
          </w:tcPr>
          <w:p w:rsidRPr="00781A6F" w:rsidR="0023156F" w:rsidP="00781A6F" w:rsidRDefault="00320B91" w14:paraId="5CA2309C" w14:textId="52BE0475">
            <w:pPr>
              <w:rPr>
                <w:rFonts w:ascii="Verdana" w:hAnsi="Verdana" w:cstheme="minorBidi"/>
                <w:color w:val="000000"/>
                <w:sz w:val="18"/>
                <w:szCs w:val="18"/>
              </w:rPr>
            </w:pPr>
            <w:r w:rsidRPr="00781A6F">
              <w:rPr>
                <w:rFonts w:ascii="Verdana" w:hAnsi="Verdana"/>
                <w:color w:val="000000"/>
                <w:sz w:val="18"/>
                <w:szCs w:val="18"/>
              </w:rPr>
              <w:t>Het kabinet</w:t>
            </w:r>
            <w:r w:rsidRPr="00781A6F" w:rsidR="0023156F">
              <w:rPr>
                <w:rFonts w:ascii="Verdana" w:hAnsi="Verdana"/>
                <w:color w:val="000000"/>
                <w:sz w:val="18"/>
                <w:szCs w:val="18"/>
              </w:rPr>
              <w:t xml:space="preserve"> onderschrijft het belang van een gedegen aanpak om kinderarmoede te bestrijden en verwelkomt het voornemen om de Kindergarantie te versterken. Het kabinet streeft ernaar om de versterking aan te laten sluiten bij al bestaande initiatieven, om zo mogelijke extra administratieve lasten te beperken. </w:t>
            </w:r>
          </w:p>
        </w:tc>
        <w:tc>
          <w:tcPr>
            <w:tcW w:w="1985"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552FBF1D" w14:textId="7F6C2E64">
            <w:pPr>
              <w:rPr>
                <w:rFonts w:ascii="Verdana" w:hAnsi="Verdana" w:cstheme="minorBidi"/>
                <w:color w:val="000000"/>
                <w:sz w:val="18"/>
                <w:szCs w:val="18"/>
                <w:lang w:val="en-US"/>
              </w:rPr>
            </w:pPr>
            <w:proofErr w:type="spellStart"/>
            <w:r w:rsidRPr="00781A6F">
              <w:rPr>
                <w:rFonts w:ascii="Verdana" w:hAnsi="Verdana"/>
                <w:color w:val="000000"/>
                <w:sz w:val="18"/>
                <w:szCs w:val="18"/>
                <w:lang w:val="en-US"/>
              </w:rPr>
              <w:t>Niet-wetgevend</w:t>
            </w:r>
            <w:proofErr w:type="spellEnd"/>
          </w:p>
        </w:tc>
      </w:tr>
    </w:tbl>
    <w:p w:rsidRPr="00781A6F" w:rsidR="00BC4B31" w:rsidP="00781A6F" w:rsidRDefault="00BC4B31" w14:paraId="18A794D6" w14:textId="77777777">
      <w:pPr>
        <w:pStyle w:val="NormalWeb"/>
        <w:rPr>
          <w:rFonts w:ascii="Verdana" w:hAnsi="Verdana" w:eastAsiaTheme="minorHAnsi" w:cstheme="minorBidi"/>
          <w:b/>
          <w:bCs/>
          <w:sz w:val="18"/>
          <w:szCs w:val="18"/>
          <w:lang w:val="en-US" w:eastAsia="en-US"/>
        </w:rPr>
      </w:pPr>
    </w:p>
    <w:p w:rsidRPr="00781A6F" w:rsidR="00BC4B31" w:rsidP="00781A6F" w:rsidRDefault="00BC4B31" w14:paraId="21AA0148" w14:textId="77777777">
      <w:pPr>
        <w:spacing w:line="240" w:lineRule="auto"/>
        <w:rPr>
          <w:rFonts w:ascii="Verdana" w:hAnsi="Verdana"/>
          <w:b/>
          <w:bCs/>
          <w:sz w:val="18"/>
          <w:szCs w:val="18"/>
          <w:lang w:val="en-US"/>
        </w:rPr>
      </w:pPr>
      <w:r w:rsidRPr="00781A6F">
        <w:rPr>
          <w:rFonts w:ascii="Verdana" w:hAnsi="Verdana"/>
          <w:b/>
          <w:bCs/>
          <w:sz w:val="18"/>
          <w:szCs w:val="18"/>
          <w:lang w:val="en-US"/>
        </w:rPr>
        <w:br w:type="page"/>
      </w:r>
    </w:p>
    <w:p w:rsidRPr="00781A6F" w:rsidR="007E5965" w:rsidP="00781A6F" w:rsidRDefault="007E5965" w14:paraId="143F85CB" w14:textId="70059820">
      <w:pPr>
        <w:pStyle w:val="NormalWeb"/>
        <w:rPr>
          <w:rFonts w:ascii="Verdana" w:hAnsi="Verdana" w:eastAsiaTheme="minorEastAsia" w:cstheme="minorBidi"/>
          <w:b/>
          <w:bCs/>
          <w:sz w:val="18"/>
          <w:szCs w:val="18"/>
          <w:lang w:eastAsia="en-US"/>
        </w:rPr>
      </w:pPr>
      <w:r w:rsidRPr="00781A6F">
        <w:rPr>
          <w:rFonts w:ascii="Verdana" w:hAnsi="Verdana" w:eastAsiaTheme="minorEastAsia" w:cstheme="minorBidi"/>
          <w:b/>
          <w:bCs/>
          <w:sz w:val="18"/>
          <w:szCs w:val="18"/>
          <w:lang w:eastAsia="en-US"/>
        </w:rPr>
        <w:lastRenderedPageBreak/>
        <w:t xml:space="preserve">Prioriteit 4: </w:t>
      </w:r>
      <w:r w:rsidRPr="00781A6F" w:rsidR="00BC4B31">
        <w:rPr>
          <w:rFonts w:ascii="Verdana" w:hAnsi="Verdana" w:eastAsiaTheme="minorEastAsia" w:cstheme="minorBidi"/>
          <w:b/>
          <w:bCs/>
          <w:sz w:val="18"/>
          <w:szCs w:val="18"/>
          <w:lang w:eastAsia="en-US"/>
        </w:rPr>
        <w:t>Onze levenskwaliteit in stand houden: voedselzekerheid, water en natuur</w:t>
      </w:r>
    </w:p>
    <w:tbl>
      <w:tblPr>
        <w:tblStyle w:val="TableGrid"/>
        <w:tblW w:w="15593" w:type="dxa"/>
        <w:tblInd w:w="-5" w:type="dxa"/>
        <w:tblLayout w:type="fixed"/>
        <w:tblLook w:val="04A0" w:firstRow="1" w:lastRow="0" w:firstColumn="1" w:lastColumn="0" w:noHBand="0" w:noVBand="1"/>
      </w:tblPr>
      <w:tblGrid>
        <w:gridCol w:w="567"/>
        <w:gridCol w:w="3403"/>
        <w:gridCol w:w="5103"/>
        <w:gridCol w:w="4535"/>
        <w:gridCol w:w="1985"/>
      </w:tblGrid>
      <w:tr w:rsidRPr="00781A6F" w:rsidR="0088029E" w:rsidTr="007766E6" w14:paraId="3BF4B1AC" w14:textId="77777777">
        <w:trPr>
          <w:trHeight w:val="634"/>
        </w:trPr>
        <w:tc>
          <w:tcPr>
            <w:tcW w:w="567" w:type="dxa"/>
            <w:tcBorders>
              <w:top w:val="single" w:color="auto" w:sz="4" w:space="0"/>
              <w:left w:val="single" w:color="auto" w:sz="4" w:space="0"/>
              <w:bottom w:val="single" w:color="auto" w:sz="4" w:space="0"/>
              <w:right w:val="single" w:color="auto" w:sz="4" w:space="0"/>
            </w:tcBorders>
          </w:tcPr>
          <w:p w:rsidRPr="00781A6F" w:rsidR="0088029E" w:rsidP="00781A6F" w:rsidRDefault="0088029E" w14:paraId="6654FECA" w14:textId="77777777">
            <w:pPr>
              <w:rPr>
                <w:rFonts w:ascii="Verdana" w:hAnsi="Verdana" w:cstheme="minorBidi"/>
                <w:b/>
                <w:sz w:val="18"/>
                <w:szCs w:val="18"/>
              </w:rPr>
            </w:pPr>
            <w:r w:rsidRPr="00781A6F">
              <w:rPr>
                <w:rFonts w:ascii="Verdana" w:hAnsi="Verdana"/>
                <w:b/>
                <w:sz w:val="18"/>
                <w:szCs w:val="18"/>
              </w:rPr>
              <w:t>No.</w:t>
            </w:r>
          </w:p>
        </w:tc>
        <w:tc>
          <w:tcPr>
            <w:tcW w:w="3403" w:type="dxa"/>
            <w:tcBorders>
              <w:top w:val="single" w:color="auto" w:sz="4" w:space="0"/>
              <w:left w:val="single" w:color="auto" w:sz="4" w:space="0"/>
              <w:bottom w:val="single" w:color="auto" w:sz="4" w:space="0"/>
              <w:right w:val="single" w:color="auto" w:sz="4" w:space="0"/>
            </w:tcBorders>
            <w:hideMark/>
          </w:tcPr>
          <w:p w:rsidRPr="00781A6F" w:rsidR="0088029E" w:rsidP="00781A6F" w:rsidRDefault="0088029E" w14:paraId="65BF6DB0" w14:textId="77777777">
            <w:pPr>
              <w:rPr>
                <w:rFonts w:ascii="Verdana" w:hAnsi="Verdana" w:cstheme="minorBidi"/>
                <w:b/>
                <w:sz w:val="18"/>
                <w:szCs w:val="18"/>
              </w:rPr>
            </w:pPr>
            <w:r w:rsidRPr="00781A6F">
              <w:rPr>
                <w:rFonts w:ascii="Verdana" w:hAnsi="Verdana"/>
                <w:b/>
                <w:sz w:val="18"/>
                <w:szCs w:val="18"/>
              </w:rPr>
              <w:t>Titel (publicatiedatum)</w:t>
            </w:r>
          </w:p>
        </w:tc>
        <w:tc>
          <w:tcPr>
            <w:tcW w:w="5103" w:type="dxa"/>
            <w:tcBorders>
              <w:top w:val="single" w:color="auto" w:sz="4" w:space="0"/>
              <w:left w:val="single" w:color="auto" w:sz="4" w:space="0"/>
              <w:bottom w:val="single" w:color="auto" w:sz="4" w:space="0"/>
              <w:right w:val="single" w:color="auto" w:sz="4" w:space="0"/>
            </w:tcBorders>
            <w:hideMark/>
          </w:tcPr>
          <w:p w:rsidRPr="00781A6F" w:rsidR="0088029E" w:rsidP="00781A6F" w:rsidRDefault="0088029E" w14:paraId="7BDFDEC3" w14:textId="77777777">
            <w:pPr>
              <w:rPr>
                <w:rFonts w:ascii="Verdana" w:hAnsi="Verdana" w:cstheme="minorBidi"/>
                <w:b/>
                <w:sz w:val="18"/>
                <w:szCs w:val="18"/>
              </w:rPr>
            </w:pPr>
            <w:r w:rsidRPr="00781A6F">
              <w:rPr>
                <w:rFonts w:ascii="Verdana" w:hAnsi="Verdana"/>
                <w:b/>
                <w:sz w:val="18"/>
                <w:szCs w:val="18"/>
              </w:rPr>
              <w:t>Korte beschrijving</w:t>
            </w:r>
          </w:p>
        </w:tc>
        <w:tc>
          <w:tcPr>
            <w:tcW w:w="4535" w:type="dxa"/>
            <w:tcBorders>
              <w:top w:val="single" w:color="auto" w:sz="4" w:space="0"/>
              <w:left w:val="single" w:color="auto" w:sz="4" w:space="0"/>
              <w:bottom w:val="single" w:color="auto" w:sz="4" w:space="0"/>
              <w:right w:val="single" w:color="auto" w:sz="4" w:space="0"/>
            </w:tcBorders>
            <w:hideMark/>
          </w:tcPr>
          <w:p w:rsidRPr="00781A6F" w:rsidR="0088029E" w:rsidP="00781A6F" w:rsidRDefault="0088029E" w14:paraId="5671D946" w14:textId="77777777">
            <w:pPr>
              <w:rPr>
                <w:rFonts w:ascii="Verdana" w:hAnsi="Verdana" w:cstheme="minorBidi"/>
                <w:b/>
                <w:sz w:val="18"/>
                <w:szCs w:val="18"/>
              </w:rPr>
            </w:pPr>
            <w:r w:rsidRPr="00781A6F">
              <w:rPr>
                <w:rFonts w:ascii="Verdana" w:hAnsi="Verdana"/>
                <w:b/>
                <w:sz w:val="18"/>
                <w:szCs w:val="18"/>
              </w:rPr>
              <w:t>Kabinetsappreciatie</w:t>
            </w:r>
          </w:p>
        </w:tc>
        <w:tc>
          <w:tcPr>
            <w:tcW w:w="1985" w:type="dxa"/>
            <w:tcBorders>
              <w:top w:val="single" w:color="auto" w:sz="4" w:space="0"/>
              <w:left w:val="single" w:color="auto" w:sz="4" w:space="0"/>
              <w:bottom w:val="single" w:color="auto" w:sz="4" w:space="0"/>
              <w:right w:val="single" w:color="auto" w:sz="4" w:space="0"/>
            </w:tcBorders>
          </w:tcPr>
          <w:p w:rsidRPr="00781A6F" w:rsidR="0088029E" w:rsidP="00781A6F" w:rsidRDefault="0088029E" w14:paraId="68A924C6" w14:textId="77777777">
            <w:pPr>
              <w:rPr>
                <w:rFonts w:ascii="Verdana" w:hAnsi="Verdana" w:cstheme="minorBidi"/>
                <w:b/>
                <w:sz w:val="18"/>
                <w:szCs w:val="18"/>
              </w:rPr>
            </w:pPr>
            <w:r w:rsidRPr="00781A6F">
              <w:rPr>
                <w:rFonts w:ascii="Verdana" w:hAnsi="Verdana"/>
                <w:b/>
                <w:sz w:val="18"/>
                <w:szCs w:val="18"/>
              </w:rPr>
              <w:t>Wetgevend/niet-Wetgevend</w:t>
            </w:r>
          </w:p>
        </w:tc>
      </w:tr>
      <w:tr w:rsidRPr="00781A6F" w:rsidR="0023156F" w:rsidTr="007766E6" w14:paraId="7020F7A5" w14:textId="77777777">
        <w:trPr>
          <w:trHeight w:val="979"/>
        </w:trPr>
        <w:tc>
          <w:tcPr>
            <w:tcW w:w="567" w:type="dxa"/>
            <w:tcBorders>
              <w:top w:val="single" w:color="auto" w:sz="4" w:space="0"/>
              <w:left w:val="single" w:color="auto" w:sz="4" w:space="0"/>
              <w:bottom w:val="single" w:color="auto" w:sz="4" w:space="0"/>
              <w:right w:val="single" w:color="auto" w:sz="4" w:space="0"/>
            </w:tcBorders>
          </w:tcPr>
          <w:p w:rsidRPr="00781A6F" w:rsidR="0023156F" w:rsidP="00781A6F" w:rsidRDefault="00781A6F" w14:paraId="3550E2FC" w14:textId="4EA97963">
            <w:pPr>
              <w:rPr>
                <w:rFonts w:ascii="Verdana" w:hAnsi="Verdana" w:cstheme="minorBidi"/>
                <w:sz w:val="18"/>
                <w:szCs w:val="18"/>
                <w:lang w:val="en-US"/>
              </w:rPr>
            </w:pPr>
            <w:r w:rsidRPr="00781A6F">
              <w:rPr>
                <w:rFonts w:ascii="Verdana" w:hAnsi="Verdana"/>
                <w:sz w:val="18"/>
                <w:szCs w:val="18"/>
                <w:lang w:val="en-US"/>
              </w:rPr>
              <w:t>50</w:t>
            </w:r>
            <w:r w:rsidRPr="00781A6F" w:rsidR="0023156F">
              <w:rPr>
                <w:rFonts w:ascii="Verdana" w:hAnsi="Verdana"/>
                <w:sz w:val="18"/>
                <w:szCs w:val="18"/>
                <w:lang w:val="en-US"/>
              </w:rPr>
              <w:t>.</w:t>
            </w:r>
          </w:p>
        </w:tc>
        <w:tc>
          <w:tcPr>
            <w:tcW w:w="3403" w:type="dxa"/>
            <w:tcBorders>
              <w:top w:val="single" w:color="auto" w:sz="4" w:space="0"/>
              <w:left w:val="single" w:color="auto" w:sz="4" w:space="0"/>
              <w:bottom w:val="single" w:color="auto" w:sz="4" w:space="0"/>
              <w:right w:val="single" w:color="auto" w:sz="4" w:space="0"/>
            </w:tcBorders>
          </w:tcPr>
          <w:p w:rsidRPr="00781A6F" w:rsidR="0023156F" w:rsidP="00781A6F" w:rsidRDefault="00B345FD" w14:paraId="7B20ACAB" w14:textId="40B3FEAA">
            <w:pPr>
              <w:rPr>
                <w:rFonts w:ascii="Verdana" w:hAnsi="Verdana" w:cstheme="minorBidi"/>
                <w:sz w:val="18"/>
                <w:szCs w:val="18"/>
              </w:rPr>
            </w:pPr>
            <w:r w:rsidRPr="00781A6F">
              <w:rPr>
                <w:rFonts w:ascii="Verdana" w:hAnsi="Verdana"/>
                <w:sz w:val="18"/>
                <w:szCs w:val="18"/>
              </w:rPr>
              <w:t>Veeteeltstrategie met aspecten voor dierenwelzijn</w:t>
            </w:r>
            <w:r w:rsidRPr="00781A6F" w:rsidDel="00B345FD">
              <w:rPr>
                <w:rFonts w:ascii="Verdana" w:hAnsi="Verdana"/>
                <w:sz w:val="18"/>
                <w:szCs w:val="18"/>
              </w:rPr>
              <w:t xml:space="preserve"> </w:t>
            </w:r>
            <w:r w:rsidRPr="00781A6F" w:rsidR="0023156F">
              <w:rPr>
                <w:rFonts w:ascii="Verdana" w:hAnsi="Verdana"/>
                <w:sz w:val="18"/>
                <w:szCs w:val="18"/>
              </w:rPr>
              <w:t>(Q2 2026)</w:t>
            </w:r>
          </w:p>
        </w:tc>
        <w:tc>
          <w:tcPr>
            <w:tcW w:w="5103"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2F8D1522" w14:textId="6CAC93D9">
            <w:pPr>
              <w:rPr>
                <w:rFonts w:ascii="Verdana" w:hAnsi="Verdana" w:cstheme="minorBidi"/>
                <w:color w:val="000000"/>
                <w:sz w:val="18"/>
                <w:szCs w:val="18"/>
              </w:rPr>
            </w:pPr>
            <w:r w:rsidRPr="00781A6F">
              <w:rPr>
                <w:rFonts w:ascii="Verdana" w:hAnsi="Verdana"/>
                <w:color w:val="000000"/>
                <w:sz w:val="18"/>
                <w:szCs w:val="18"/>
              </w:rPr>
              <w:t xml:space="preserve">In de op 19 februari 2025 gepubliceerde Visie voor landbouw en voedsel kondigde de </w:t>
            </w:r>
            <w:r w:rsidRPr="00781A6F" w:rsidR="006B0323">
              <w:rPr>
                <w:rFonts w:ascii="Verdana" w:hAnsi="Verdana"/>
                <w:color w:val="000000"/>
                <w:sz w:val="18"/>
                <w:szCs w:val="18"/>
              </w:rPr>
              <w:t>Commissie</w:t>
            </w:r>
            <w:r w:rsidRPr="00781A6F">
              <w:rPr>
                <w:rFonts w:ascii="Verdana" w:hAnsi="Verdana"/>
                <w:color w:val="000000"/>
                <w:sz w:val="18"/>
                <w:szCs w:val="18"/>
              </w:rPr>
              <w:t xml:space="preserve"> aan een ‘</w:t>
            </w:r>
            <w:proofErr w:type="spellStart"/>
            <w:r w:rsidRPr="00781A6F">
              <w:rPr>
                <w:rFonts w:ascii="Verdana" w:hAnsi="Verdana"/>
                <w:i/>
                <w:color w:val="000000"/>
                <w:sz w:val="18"/>
                <w:szCs w:val="18"/>
              </w:rPr>
              <w:t>workstream</w:t>
            </w:r>
            <w:proofErr w:type="spellEnd"/>
            <w:r w:rsidRPr="00781A6F">
              <w:rPr>
                <w:rFonts w:ascii="Verdana" w:hAnsi="Verdana"/>
                <w:i/>
                <w:color w:val="000000"/>
                <w:sz w:val="18"/>
                <w:szCs w:val="18"/>
              </w:rPr>
              <w:t xml:space="preserve"> on </w:t>
            </w:r>
            <w:proofErr w:type="spellStart"/>
            <w:r w:rsidRPr="00781A6F">
              <w:rPr>
                <w:rFonts w:ascii="Verdana" w:hAnsi="Verdana"/>
                <w:i/>
                <w:color w:val="000000"/>
                <w:sz w:val="18"/>
                <w:szCs w:val="18"/>
              </w:rPr>
              <w:t>sustainable</w:t>
            </w:r>
            <w:proofErr w:type="spellEnd"/>
            <w:r w:rsidRPr="00781A6F">
              <w:rPr>
                <w:rFonts w:ascii="Verdana" w:hAnsi="Verdana"/>
                <w:i/>
                <w:color w:val="000000"/>
                <w:sz w:val="18"/>
                <w:szCs w:val="18"/>
              </w:rPr>
              <w:t xml:space="preserve"> livestock’</w:t>
            </w:r>
            <w:r w:rsidRPr="00781A6F">
              <w:rPr>
                <w:rFonts w:ascii="Verdana" w:hAnsi="Verdana"/>
                <w:color w:val="000000"/>
                <w:sz w:val="18"/>
                <w:szCs w:val="18"/>
              </w:rPr>
              <w:t xml:space="preserve"> te lanceren. In dit initiatief mogen verschillende partijen meedenken over de toekomst van de veehouderij in de EU. Op basis van de inbreng in deze </w:t>
            </w:r>
            <w:proofErr w:type="spellStart"/>
            <w:r w:rsidRPr="00781A6F">
              <w:rPr>
                <w:rFonts w:ascii="Verdana" w:hAnsi="Verdana"/>
                <w:i/>
                <w:color w:val="000000"/>
                <w:sz w:val="18"/>
                <w:szCs w:val="18"/>
              </w:rPr>
              <w:t>workstream</w:t>
            </w:r>
            <w:proofErr w:type="spellEnd"/>
            <w:r w:rsidRPr="00781A6F">
              <w:rPr>
                <w:rFonts w:ascii="Verdana" w:hAnsi="Verdana"/>
                <w:i/>
                <w:color w:val="000000"/>
                <w:sz w:val="18"/>
                <w:szCs w:val="18"/>
              </w:rPr>
              <w:t xml:space="preserve"> </w:t>
            </w:r>
            <w:r w:rsidRPr="00781A6F">
              <w:rPr>
                <w:rFonts w:ascii="Verdana" w:hAnsi="Verdana"/>
                <w:color w:val="000000"/>
                <w:sz w:val="18"/>
                <w:szCs w:val="18"/>
              </w:rPr>
              <w:t xml:space="preserve">zal de Commissie een strategie voor de veehouderij publiceren en daarmee een verdere invulling geven aan de Visie voor landbouw en voedsel. </w:t>
            </w:r>
          </w:p>
        </w:tc>
        <w:tc>
          <w:tcPr>
            <w:tcW w:w="4535"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52707A50" w14:textId="5AC3CFE4">
            <w:pPr>
              <w:rPr>
                <w:rFonts w:ascii="Verdana" w:hAnsi="Verdana" w:cstheme="minorBidi"/>
                <w:color w:val="000000"/>
                <w:sz w:val="18"/>
                <w:szCs w:val="18"/>
              </w:rPr>
            </w:pPr>
            <w:r w:rsidRPr="00781A6F">
              <w:rPr>
                <w:rFonts w:ascii="Verdana" w:hAnsi="Verdana"/>
                <w:color w:val="000000"/>
                <w:sz w:val="18"/>
                <w:szCs w:val="18"/>
              </w:rPr>
              <w:t xml:space="preserve">Het kabinet </w:t>
            </w:r>
            <w:r w:rsidRPr="00781A6F" w:rsidR="00EA03E6">
              <w:rPr>
                <w:rFonts w:ascii="Verdana" w:hAnsi="Verdana"/>
                <w:color w:val="000000"/>
                <w:sz w:val="18"/>
                <w:szCs w:val="18"/>
              </w:rPr>
              <w:t>verwelkomt</w:t>
            </w:r>
            <w:r w:rsidRPr="00781A6F">
              <w:rPr>
                <w:rFonts w:ascii="Verdana" w:hAnsi="Verdana"/>
                <w:color w:val="000000"/>
                <w:sz w:val="18"/>
                <w:szCs w:val="18"/>
              </w:rPr>
              <w:t xml:space="preserve"> dat meerdere partijen betrokken worden bij het verder ontwikkelen van denkbeelden en ideeën over de toekomst van de veehouderij in de EU. Een toekomstbestendige landbouw, waar duurzame, weerbare en </w:t>
            </w:r>
            <w:r w:rsidRPr="00781A6F" w:rsidR="00E7186A">
              <w:rPr>
                <w:rFonts w:ascii="Verdana" w:hAnsi="Verdana"/>
                <w:color w:val="000000"/>
                <w:sz w:val="18"/>
                <w:szCs w:val="18"/>
              </w:rPr>
              <w:t xml:space="preserve">concurrerende </w:t>
            </w:r>
            <w:r w:rsidRPr="00781A6F">
              <w:rPr>
                <w:rFonts w:ascii="Verdana" w:hAnsi="Verdana"/>
                <w:color w:val="000000"/>
                <w:sz w:val="18"/>
                <w:szCs w:val="18"/>
              </w:rPr>
              <w:t>veeteelt deel van uit maakt, staat hoog op de agenda van het kabinet. Het kabinet vindt het van belang dat dierenwelzijn wordt meegenomen in de uitwerking van de strategie, met oog voor een gelijk speelveld.</w:t>
            </w:r>
          </w:p>
        </w:tc>
        <w:tc>
          <w:tcPr>
            <w:tcW w:w="1985"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40113B69" w14:textId="1C32A515">
            <w:pPr>
              <w:rPr>
                <w:rFonts w:ascii="Verdana" w:hAnsi="Verdana" w:cstheme="minorBidi"/>
                <w:color w:val="000000"/>
                <w:sz w:val="18"/>
                <w:szCs w:val="18"/>
              </w:rPr>
            </w:pPr>
            <w:r w:rsidRPr="00781A6F">
              <w:rPr>
                <w:rFonts w:ascii="Verdana" w:hAnsi="Verdana"/>
                <w:color w:val="000000"/>
                <w:sz w:val="18"/>
                <w:szCs w:val="18"/>
              </w:rPr>
              <w:t xml:space="preserve">Niet-wetgevend </w:t>
            </w:r>
          </w:p>
        </w:tc>
      </w:tr>
      <w:tr w:rsidRPr="00781A6F" w:rsidR="0023156F" w:rsidTr="007766E6" w14:paraId="459A893B"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781A6F" w:rsidR="0023156F" w:rsidP="00781A6F" w:rsidRDefault="00781A6F" w14:paraId="3BC9603D" w14:textId="50F550B7">
            <w:pPr>
              <w:rPr>
                <w:rFonts w:ascii="Verdana" w:hAnsi="Verdana" w:cstheme="minorBidi"/>
                <w:sz w:val="18"/>
                <w:szCs w:val="18"/>
                <w:lang w:val="en-US"/>
              </w:rPr>
            </w:pPr>
            <w:r w:rsidRPr="00781A6F">
              <w:rPr>
                <w:rFonts w:ascii="Verdana" w:hAnsi="Verdana"/>
                <w:sz w:val="18"/>
                <w:szCs w:val="18"/>
                <w:lang w:val="en-US"/>
              </w:rPr>
              <w:t>51</w:t>
            </w:r>
            <w:r w:rsidRPr="00781A6F" w:rsidR="0023156F">
              <w:rPr>
                <w:rFonts w:ascii="Verdana" w:hAnsi="Verdana"/>
                <w:sz w:val="18"/>
                <w:szCs w:val="18"/>
                <w:lang w:val="en-US"/>
              </w:rPr>
              <w:t>.</w:t>
            </w:r>
          </w:p>
        </w:tc>
        <w:tc>
          <w:tcPr>
            <w:tcW w:w="3403" w:type="dxa"/>
            <w:tcBorders>
              <w:top w:val="single" w:color="auto" w:sz="4" w:space="0"/>
              <w:left w:val="single" w:color="auto" w:sz="4" w:space="0"/>
              <w:bottom w:val="single" w:color="auto" w:sz="4" w:space="0"/>
              <w:right w:val="single" w:color="auto" w:sz="4" w:space="0"/>
            </w:tcBorders>
          </w:tcPr>
          <w:p w:rsidRPr="00781A6F" w:rsidR="0023156F" w:rsidP="00781A6F" w:rsidRDefault="00B345FD" w14:paraId="377DE232" w14:textId="3A278F00">
            <w:pPr>
              <w:rPr>
                <w:rFonts w:ascii="Verdana" w:hAnsi="Verdana" w:cstheme="minorBidi"/>
                <w:b/>
                <w:sz w:val="18"/>
                <w:szCs w:val="18"/>
              </w:rPr>
            </w:pPr>
            <w:r w:rsidRPr="00781A6F">
              <w:rPr>
                <w:rFonts w:ascii="Verdana" w:hAnsi="Verdana"/>
                <w:sz w:val="18"/>
                <w:szCs w:val="18"/>
              </w:rPr>
              <w:t xml:space="preserve">Actualisering van de regels inzake oneerlijke handelspraktijken in de voedselketen </w:t>
            </w:r>
            <w:r w:rsidRPr="00781A6F" w:rsidR="0023156F">
              <w:rPr>
                <w:rFonts w:ascii="Verdana" w:hAnsi="Verdana"/>
                <w:sz w:val="18"/>
                <w:szCs w:val="18"/>
              </w:rPr>
              <w:t>(Q3 2026)</w:t>
            </w:r>
          </w:p>
        </w:tc>
        <w:tc>
          <w:tcPr>
            <w:tcW w:w="5103"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735B706D" w14:textId="4F1EF5EF">
            <w:pPr>
              <w:rPr>
                <w:rFonts w:ascii="Verdana" w:hAnsi="Verdana" w:cstheme="minorBidi"/>
                <w:color w:val="000000"/>
                <w:sz w:val="18"/>
                <w:szCs w:val="18"/>
              </w:rPr>
            </w:pPr>
            <w:r w:rsidRPr="00781A6F">
              <w:rPr>
                <w:rFonts w:ascii="Verdana" w:hAnsi="Verdana"/>
                <w:color w:val="000000"/>
                <w:sz w:val="18"/>
                <w:szCs w:val="18"/>
              </w:rPr>
              <w:t xml:space="preserve">De </w:t>
            </w:r>
            <w:r w:rsidRPr="00781A6F" w:rsidR="006B0323">
              <w:rPr>
                <w:rFonts w:ascii="Verdana" w:hAnsi="Verdana"/>
                <w:color w:val="000000"/>
                <w:sz w:val="18"/>
                <w:szCs w:val="18"/>
              </w:rPr>
              <w:t>Commissie</w:t>
            </w:r>
            <w:r w:rsidRPr="00781A6F">
              <w:rPr>
                <w:rFonts w:ascii="Verdana" w:hAnsi="Verdana"/>
                <w:color w:val="000000"/>
                <w:sz w:val="18"/>
                <w:szCs w:val="18"/>
              </w:rPr>
              <w:t xml:space="preserve"> heeft recent een evaluatie van de </w:t>
            </w:r>
            <w:r w:rsidRPr="00781A6F" w:rsidR="001274D0">
              <w:rPr>
                <w:rFonts w:ascii="Verdana" w:hAnsi="Verdana"/>
                <w:color w:val="000000"/>
                <w:sz w:val="18"/>
                <w:szCs w:val="18"/>
              </w:rPr>
              <w:t>R</w:t>
            </w:r>
            <w:r w:rsidRPr="00781A6F">
              <w:rPr>
                <w:rFonts w:ascii="Verdana" w:hAnsi="Verdana"/>
                <w:color w:val="000000"/>
                <w:sz w:val="18"/>
                <w:szCs w:val="18"/>
              </w:rPr>
              <w:t xml:space="preserve">ichtlijn Oneerlijke handelspraktijken uitgevoerd. De resultaten van deze evaluatie zijn nog niet gepubliceerd. Op basis van onder andere deze evaluatie zal de richtlijn worden aangepast. De Commissie heeft aangegeven dat het doel is om transparantie te vergroten in de voedselvoorzieningsketen, samenwerking en capaciteitsopbouw te ondersteunen, juridische zekerheid te bieden aan boeren en te voorkomen dat agrariërs worden gedwongen systematisch producten onder kostprijzen te verkopen. </w:t>
            </w:r>
          </w:p>
        </w:tc>
        <w:tc>
          <w:tcPr>
            <w:tcW w:w="4535"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15F504C1" w14:textId="6A4607C8">
            <w:pPr>
              <w:rPr>
                <w:rFonts w:ascii="Verdana" w:hAnsi="Verdana" w:cstheme="minorBidi"/>
                <w:color w:val="000000"/>
                <w:sz w:val="18"/>
                <w:szCs w:val="18"/>
              </w:rPr>
            </w:pPr>
            <w:r w:rsidRPr="00781A6F">
              <w:rPr>
                <w:rFonts w:ascii="Verdana" w:hAnsi="Verdana"/>
                <w:color w:val="000000"/>
                <w:sz w:val="18"/>
                <w:szCs w:val="18"/>
              </w:rPr>
              <w:t xml:space="preserve">Het kabinet is in afwachting van de uitkomsten van de evaluatie van de </w:t>
            </w:r>
            <w:r w:rsidRPr="00781A6F" w:rsidR="001274D0">
              <w:rPr>
                <w:rFonts w:ascii="Verdana" w:hAnsi="Verdana"/>
                <w:color w:val="000000"/>
                <w:sz w:val="18"/>
                <w:szCs w:val="18"/>
              </w:rPr>
              <w:t>R</w:t>
            </w:r>
            <w:r w:rsidRPr="00781A6F">
              <w:rPr>
                <w:rFonts w:ascii="Verdana" w:hAnsi="Verdana"/>
                <w:color w:val="000000"/>
                <w:sz w:val="18"/>
                <w:szCs w:val="18"/>
              </w:rPr>
              <w:t xml:space="preserve">ichtlijn Oneerlijke </w:t>
            </w:r>
            <w:r w:rsidRPr="00781A6F" w:rsidR="001274D0">
              <w:rPr>
                <w:rFonts w:ascii="Verdana" w:hAnsi="Verdana"/>
                <w:color w:val="000000"/>
                <w:sz w:val="18"/>
                <w:szCs w:val="18"/>
              </w:rPr>
              <w:t>H</w:t>
            </w:r>
            <w:r w:rsidRPr="00781A6F">
              <w:rPr>
                <w:rFonts w:ascii="Verdana" w:hAnsi="Verdana"/>
                <w:color w:val="000000"/>
                <w:sz w:val="18"/>
                <w:szCs w:val="18"/>
              </w:rPr>
              <w:t xml:space="preserve">andelspraktijken en staat in principe positief tegenover aanpassingen die bijdragen aan transparantie in de voedselketen, het ondersteunen van samenwerking en capaciteitsopbouw en het bieden van juridische zekerheid aan boeren. Ten aanzien van het voornemen van de </w:t>
            </w:r>
            <w:r w:rsidRPr="00781A6F" w:rsidR="006B0323">
              <w:rPr>
                <w:rFonts w:ascii="Verdana" w:hAnsi="Verdana"/>
                <w:color w:val="000000"/>
                <w:sz w:val="18"/>
                <w:szCs w:val="18"/>
              </w:rPr>
              <w:t>Commissie</w:t>
            </w:r>
            <w:r w:rsidRPr="00781A6F">
              <w:rPr>
                <w:rFonts w:ascii="Verdana" w:hAnsi="Verdana"/>
                <w:color w:val="000000"/>
                <w:sz w:val="18"/>
                <w:szCs w:val="18"/>
              </w:rPr>
              <w:t xml:space="preserve"> om te bewerkstellingen dat boeren niet gedwongen mogen worden om hun producten systematisch onder de productiekosten te verkopen, wil het kabinet eerst weten wat de beoogde effectiviteit is van deze maatregel en wat de impact is op de administratieve lasten voor boeren.</w:t>
            </w:r>
          </w:p>
        </w:tc>
        <w:tc>
          <w:tcPr>
            <w:tcW w:w="1985"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73C41D07" w14:textId="029EB667">
            <w:pPr>
              <w:rPr>
                <w:rFonts w:ascii="Verdana" w:hAnsi="Verdana" w:cstheme="minorBidi"/>
                <w:color w:val="000000"/>
                <w:sz w:val="18"/>
                <w:szCs w:val="18"/>
              </w:rPr>
            </w:pPr>
            <w:r w:rsidRPr="00781A6F">
              <w:rPr>
                <w:rFonts w:ascii="Verdana" w:hAnsi="Verdana"/>
                <w:color w:val="000000"/>
                <w:sz w:val="18"/>
                <w:szCs w:val="18"/>
              </w:rPr>
              <w:t>Wetgevend</w:t>
            </w:r>
          </w:p>
        </w:tc>
      </w:tr>
      <w:tr w:rsidRPr="00781A6F" w:rsidR="0023156F" w:rsidTr="007766E6" w14:paraId="431A98EA"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781A6F" w:rsidR="0023156F" w:rsidP="00781A6F" w:rsidRDefault="00781A6F" w14:paraId="548F87A8" w14:textId="4DAD60C3">
            <w:pPr>
              <w:rPr>
                <w:rFonts w:ascii="Verdana" w:hAnsi="Verdana" w:cstheme="minorBidi"/>
                <w:sz w:val="18"/>
                <w:szCs w:val="18"/>
              </w:rPr>
            </w:pPr>
            <w:r w:rsidRPr="00781A6F">
              <w:rPr>
                <w:rFonts w:ascii="Verdana" w:hAnsi="Verdana"/>
                <w:sz w:val="18"/>
                <w:szCs w:val="18"/>
              </w:rPr>
              <w:t>52</w:t>
            </w:r>
            <w:r w:rsidRPr="00781A6F" w:rsidR="0023156F">
              <w:rPr>
                <w:rFonts w:ascii="Verdana" w:hAnsi="Verdana"/>
                <w:sz w:val="18"/>
                <w:szCs w:val="18"/>
              </w:rPr>
              <w:t>.</w:t>
            </w:r>
          </w:p>
        </w:tc>
        <w:tc>
          <w:tcPr>
            <w:tcW w:w="3403" w:type="dxa"/>
            <w:tcBorders>
              <w:top w:val="single" w:color="auto" w:sz="4" w:space="0"/>
              <w:left w:val="single" w:color="auto" w:sz="4" w:space="0"/>
              <w:bottom w:val="single" w:color="auto" w:sz="4" w:space="0"/>
              <w:right w:val="single" w:color="auto" w:sz="4" w:space="0"/>
            </w:tcBorders>
          </w:tcPr>
          <w:p w:rsidRPr="00781A6F" w:rsidR="0023156F" w:rsidP="00781A6F" w:rsidRDefault="00B345FD" w14:paraId="21540F1A" w14:textId="345D22AE">
            <w:pPr>
              <w:rPr>
                <w:rFonts w:ascii="Verdana" w:hAnsi="Verdana" w:cstheme="minorBidi"/>
                <w:sz w:val="18"/>
                <w:szCs w:val="18"/>
              </w:rPr>
            </w:pPr>
            <w:r w:rsidRPr="00781A6F">
              <w:rPr>
                <w:rFonts w:ascii="Verdana" w:hAnsi="Verdana"/>
                <w:sz w:val="18"/>
                <w:szCs w:val="18"/>
              </w:rPr>
              <w:t xml:space="preserve">Visie 2040 voor visserij en aquacultuur </w:t>
            </w:r>
            <w:r w:rsidRPr="00781A6F" w:rsidR="0023156F">
              <w:rPr>
                <w:rFonts w:ascii="Verdana" w:hAnsi="Verdana"/>
                <w:sz w:val="18"/>
                <w:szCs w:val="18"/>
              </w:rPr>
              <w:t>(Q3 2026)</w:t>
            </w:r>
          </w:p>
        </w:tc>
        <w:tc>
          <w:tcPr>
            <w:tcW w:w="5103"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30D40E78" w14:textId="7B7684F7">
            <w:pPr>
              <w:rPr>
                <w:rFonts w:ascii="Verdana" w:hAnsi="Verdana" w:cstheme="minorBidi"/>
                <w:sz w:val="18"/>
                <w:szCs w:val="18"/>
              </w:rPr>
            </w:pPr>
            <w:r w:rsidRPr="00781A6F">
              <w:rPr>
                <w:rFonts w:ascii="Verdana" w:hAnsi="Verdana"/>
                <w:sz w:val="18"/>
                <w:szCs w:val="18"/>
              </w:rPr>
              <w:t xml:space="preserve">De </w:t>
            </w:r>
            <w:r w:rsidRPr="00781A6F" w:rsidR="006B0323">
              <w:rPr>
                <w:rFonts w:ascii="Verdana" w:hAnsi="Verdana"/>
                <w:sz w:val="18"/>
                <w:szCs w:val="18"/>
              </w:rPr>
              <w:t>Commissie</w:t>
            </w:r>
            <w:r w:rsidRPr="00781A6F">
              <w:rPr>
                <w:rFonts w:ascii="Verdana" w:hAnsi="Verdana"/>
                <w:sz w:val="18"/>
                <w:szCs w:val="18"/>
              </w:rPr>
              <w:t xml:space="preserve"> wil met deze visie richting geven aan het visserij- en aquacultuurbeleid tot 2040. In de visie zal de Commissie uiteenzetten hoe de visserij- en aquacultuursector duurzamer en </w:t>
            </w:r>
            <w:r w:rsidRPr="00781A6F" w:rsidR="000D2531">
              <w:rPr>
                <w:rFonts w:ascii="Verdana" w:hAnsi="Verdana"/>
                <w:sz w:val="18"/>
                <w:szCs w:val="18"/>
              </w:rPr>
              <w:t>concurrerender</w:t>
            </w:r>
            <w:r w:rsidRPr="00781A6F" w:rsidR="00E7186A">
              <w:rPr>
                <w:rFonts w:ascii="Verdana" w:hAnsi="Verdana"/>
                <w:sz w:val="18"/>
                <w:szCs w:val="18"/>
              </w:rPr>
              <w:t xml:space="preserve"> </w:t>
            </w:r>
            <w:r w:rsidRPr="00781A6F">
              <w:rPr>
                <w:rFonts w:ascii="Verdana" w:hAnsi="Verdana"/>
                <w:sz w:val="18"/>
                <w:szCs w:val="18"/>
              </w:rPr>
              <w:t>kan worden. Deze visie zal waarschijnlijk volgen op de evaluatie van het Gemeenschappelijk Visserijbeleid (GVB).</w:t>
            </w:r>
          </w:p>
        </w:tc>
        <w:tc>
          <w:tcPr>
            <w:tcW w:w="4535"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5F8D3574" w14:textId="051C4FD1">
            <w:pPr>
              <w:rPr>
                <w:rFonts w:ascii="Verdana" w:hAnsi="Verdana" w:cstheme="minorBidi"/>
                <w:sz w:val="18"/>
                <w:szCs w:val="18"/>
              </w:rPr>
            </w:pPr>
            <w:r w:rsidRPr="00781A6F">
              <w:rPr>
                <w:rFonts w:ascii="Verdana" w:hAnsi="Verdana"/>
                <w:sz w:val="18"/>
                <w:szCs w:val="18"/>
              </w:rPr>
              <w:t xml:space="preserve">Het kabinet verwelkomt het feit dat de </w:t>
            </w:r>
            <w:r w:rsidRPr="00781A6F" w:rsidR="006B0323">
              <w:rPr>
                <w:rFonts w:ascii="Verdana" w:hAnsi="Verdana"/>
                <w:sz w:val="18"/>
                <w:szCs w:val="18"/>
              </w:rPr>
              <w:t>Commissie</w:t>
            </w:r>
            <w:r w:rsidRPr="00781A6F">
              <w:rPr>
                <w:rFonts w:ascii="Verdana" w:hAnsi="Verdana"/>
                <w:sz w:val="18"/>
                <w:szCs w:val="18"/>
              </w:rPr>
              <w:t xml:space="preserve"> serieuze stappen zet om een meerjarige visie op visserij- en aquacultuurbeleid te ontwikkelen. Hierin moet oog zijn voor de kansen en uitdagingen voor beide sectoren, voor </w:t>
            </w:r>
            <w:r w:rsidRPr="00781A6F" w:rsidR="00320B91">
              <w:rPr>
                <w:rFonts w:ascii="Verdana" w:hAnsi="Verdana"/>
                <w:color w:val="000000"/>
                <w:sz w:val="18"/>
                <w:szCs w:val="18"/>
              </w:rPr>
              <w:t>het kabinet</w:t>
            </w:r>
            <w:r w:rsidRPr="00781A6F">
              <w:rPr>
                <w:rFonts w:ascii="Verdana" w:hAnsi="Verdana"/>
                <w:sz w:val="18"/>
                <w:szCs w:val="18"/>
              </w:rPr>
              <w:t xml:space="preserve"> is daarbij het behoud van een gelijk speelveld van belang. Daarnaast moet de visserij- en aquacultuursector voldoende ruimte krijgen om te innoveren en te verduurzamen en de mogelijkheid krijgen om bewezen innovaties toe te passen in de praktijk.</w:t>
            </w:r>
          </w:p>
        </w:tc>
        <w:tc>
          <w:tcPr>
            <w:tcW w:w="1985"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47487E1A" w14:textId="449A0A8F">
            <w:pPr>
              <w:rPr>
                <w:rFonts w:ascii="Verdana" w:hAnsi="Verdana" w:cstheme="minorBidi"/>
                <w:color w:val="000000"/>
                <w:sz w:val="18"/>
                <w:szCs w:val="18"/>
              </w:rPr>
            </w:pPr>
            <w:r w:rsidRPr="00781A6F">
              <w:rPr>
                <w:rFonts w:ascii="Verdana" w:hAnsi="Verdana"/>
                <w:color w:val="000000"/>
                <w:sz w:val="18"/>
                <w:szCs w:val="18"/>
              </w:rPr>
              <w:t xml:space="preserve">Niet-wetgevend </w:t>
            </w:r>
          </w:p>
        </w:tc>
      </w:tr>
      <w:tr w:rsidRPr="00781A6F" w:rsidR="0023156F" w:rsidTr="007766E6" w14:paraId="1E117E3C"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781A6F" w:rsidR="0023156F" w:rsidDel="009D67DA" w:rsidP="00781A6F" w:rsidRDefault="00781A6F" w14:paraId="5E6EB7CD" w14:textId="3857E963">
            <w:pPr>
              <w:rPr>
                <w:rFonts w:ascii="Verdana" w:hAnsi="Verdana" w:cstheme="minorBidi"/>
                <w:sz w:val="18"/>
                <w:szCs w:val="18"/>
              </w:rPr>
            </w:pPr>
            <w:r w:rsidRPr="00781A6F">
              <w:rPr>
                <w:rFonts w:ascii="Verdana" w:hAnsi="Verdana"/>
                <w:sz w:val="18"/>
                <w:szCs w:val="18"/>
              </w:rPr>
              <w:lastRenderedPageBreak/>
              <w:t>53</w:t>
            </w:r>
            <w:r w:rsidRPr="00781A6F" w:rsidR="0023156F">
              <w:rPr>
                <w:rFonts w:ascii="Verdana" w:hAnsi="Verdana"/>
                <w:sz w:val="18"/>
                <w:szCs w:val="18"/>
              </w:rPr>
              <w:t>.</w:t>
            </w:r>
          </w:p>
        </w:tc>
        <w:tc>
          <w:tcPr>
            <w:tcW w:w="3403" w:type="dxa"/>
            <w:tcBorders>
              <w:top w:val="single" w:color="auto" w:sz="4" w:space="0"/>
              <w:left w:val="single" w:color="auto" w:sz="4" w:space="0"/>
              <w:bottom w:val="single" w:color="auto" w:sz="4" w:space="0"/>
              <w:right w:val="single" w:color="auto" w:sz="4" w:space="0"/>
            </w:tcBorders>
          </w:tcPr>
          <w:p w:rsidRPr="00781A6F" w:rsidR="0023156F" w:rsidP="00781A6F" w:rsidRDefault="00B345FD" w14:paraId="588E1986" w14:textId="7EC0E60D">
            <w:pPr>
              <w:rPr>
                <w:rFonts w:ascii="Verdana" w:hAnsi="Verdana" w:cstheme="minorBidi"/>
                <w:sz w:val="18"/>
                <w:szCs w:val="18"/>
                <w:lang w:val="en-US"/>
              </w:rPr>
            </w:pPr>
            <w:r w:rsidRPr="00781A6F">
              <w:rPr>
                <w:rFonts w:ascii="Verdana" w:hAnsi="Verdana"/>
                <w:sz w:val="18"/>
                <w:szCs w:val="18"/>
              </w:rPr>
              <w:t xml:space="preserve">Wetgevingshandeling over oceanen </w:t>
            </w:r>
            <w:r w:rsidRPr="00781A6F" w:rsidR="0023156F">
              <w:rPr>
                <w:rFonts w:ascii="Verdana" w:hAnsi="Verdana"/>
                <w:sz w:val="18"/>
                <w:szCs w:val="18"/>
              </w:rPr>
              <w:t>(Q4 2026)</w:t>
            </w:r>
          </w:p>
        </w:tc>
        <w:tc>
          <w:tcPr>
            <w:tcW w:w="5103"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5E7612A7" w14:textId="262D91BB">
            <w:pPr>
              <w:rPr>
                <w:rFonts w:ascii="Verdana" w:hAnsi="Verdana" w:cstheme="minorBidi"/>
                <w:sz w:val="18"/>
                <w:szCs w:val="18"/>
              </w:rPr>
            </w:pPr>
            <w:r w:rsidRPr="00781A6F">
              <w:rPr>
                <w:rFonts w:ascii="Verdana" w:hAnsi="Verdana"/>
                <w:sz w:val="18"/>
                <w:szCs w:val="18"/>
              </w:rPr>
              <w:t xml:space="preserve">De Europese Oceaanwet zal in het kader van een coherente uitvoering de verschillende EU doelen voor natuur, voedsel, energie, transport, en het omgaan met de ruimte op zee voor de Europese zeeën op één plek samenbrengen. De Oceaanwet is ook een herziening van de Europese </w:t>
            </w:r>
            <w:r w:rsidRPr="00781A6F" w:rsidR="001274D0">
              <w:rPr>
                <w:rFonts w:ascii="Verdana" w:hAnsi="Verdana"/>
                <w:sz w:val="18"/>
                <w:szCs w:val="18"/>
              </w:rPr>
              <w:t>R</w:t>
            </w:r>
            <w:r w:rsidRPr="00781A6F">
              <w:rPr>
                <w:rFonts w:ascii="Verdana" w:hAnsi="Verdana"/>
                <w:sz w:val="18"/>
                <w:szCs w:val="18"/>
              </w:rPr>
              <w:t>ichtlijn Maritieme Ruimtelijke Planning (MRP; 89/2014)</w:t>
            </w:r>
            <w:r w:rsidRPr="00781A6F" w:rsidR="000D2531">
              <w:rPr>
                <w:rStyle w:val="FootnoteReference"/>
                <w:rFonts w:ascii="Verdana" w:hAnsi="Verdana"/>
                <w:sz w:val="18"/>
                <w:szCs w:val="18"/>
              </w:rPr>
              <w:footnoteReference w:id="11"/>
            </w:r>
            <w:r w:rsidRPr="00781A6F">
              <w:rPr>
                <w:rFonts w:ascii="Verdana" w:hAnsi="Verdana"/>
                <w:sz w:val="18"/>
                <w:szCs w:val="18"/>
              </w:rPr>
              <w:t xml:space="preserve"> die</w:t>
            </w:r>
            <w:r w:rsidRPr="00781A6F" w:rsidR="000D2531">
              <w:rPr>
                <w:rFonts w:ascii="Verdana" w:hAnsi="Verdana"/>
                <w:sz w:val="18"/>
                <w:szCs w:val="18"/>
              </w:rPr>
              <w:t xml:space="preserve"> EU</w:t>
            </w:r>
            <w:r w:rsidRPr="00781A6F">
              <w:rPr>
                <w:rFonts w:ascii="Verdana" w:hAnsi="Verdana"/>
                <w:sz w:val="18"/>
                <w:szCs w:val="18"/>
              </w:rPr>
              <w:t xml:space="preserve"> lidstaten aanmoedigt op </w:t>
            </w:r>
            <w:proofErr w:type="spellStart"/>
            <w:r w:rsidRPr="00781A6F">
              <w:rPr>
                <w:rFonts w:ascii="Verdana" w:hAnsi="Verdana"/>
                <w:sz w:val="18"/>
                <w:szCs w:val="18"/>
              </w:rPr>
              <w:t>zeebekkenniveau</w:t>
            </w:r>
            <w:proofErr w:type="spellEnd"/>
            <w:r w:rsidRPr="00781A6F">
              <w:rPr>
                <w:rFonts w:ascii="Verdana" w:hAnsi="Verdana"/>
                <w:sz w:val="18"/>
                <w:szCs w:val="18"/>
              </w:rPr>
              <w:t xml:space="preserve"> met andere landen samen te werken. Dit kondigde de </w:t>
            </w:r>
            <w:r w:rsidRPr="00781A6F" w:rsidR="006B0323">
              <w:rPr>
                <w:rFonts w:ascii="Verdana" w:hAnsi="Verdana"/>
                <w:sz w:val="18"/>
                <w:szCs w:val="18"/>
              </w:rPr>
              <w:t>Commissie</w:t>
            </w:r>
            <w:r w:rsidRPr="00781A6F">
              <w:rPr>
                <w:rFonts w:ascii="Verdana" w:hAnsi="Verdana"/>
                <w:sz w:val="18"/>
                <w:szCs w:val="18"/>
              </w:rPr>
              <w:t xml:space="preserve"> al aan in het Europees Oceaanpact van juni 2025.</w:t>
            </w:r>
            <w:r w:rsidRPr="00781A6F" w:rsidR="00480A70">
              <w:rPr>
                <w:rStyle w:val="FootnoteReference"/>
                <w:rFonts w:ascii="Verdana" w:hAnsi="Verdana"/>
                <w:sz w:val="18"/>
                <w:szCs w:val="18"/>
              </w:rPr>
              <w:footnoteReference w:id="12"/>
            </w:r>
          </w:p>
        </w:tc>
        <w:tc>
          <w:tcPr>
            <w:tcW w:w="4535"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72B67CDD" w14:textId="137CF99D">
            <w:pPr>
              <w:rPr>
                <w:rFonts w:ascii="Verdana" w:hAnsi="Verdana" w:cstheme="minorBidi"/>
                <w:sz w:val="18"/>
                <w:szCs w:val="18"/>
              </w:rPr>
            </w:pPr>
            <w:r w:rsidRPr="00781A6F">
              <w:rPr>
                <w:rFonts w:ascii="Verdana" w:hAnsi="Verdana"/>
                <w:sz w:val="18"/>
                <w:szCs w:val="18"/>
              </w:rPr>
              <w:t>Het kabinet steunt de herziening van de Richtlijn Maritieme Ruimtelijke Planning in 2026 als basis voor een EU Oceaanwet. Het kabinet zet er op in dat het wetstraject in samenhang wordt gedaan met de herziening van de Kaderrichtlijn Mariene Strategie (KRM)</w:t>
            </w:r>
            <w:r w:rsidRPr="00781A6F" w:rsidR="00480A70">
              <w:rPr>
                <w:rStyle w:val="FootnoteReference"/>
                <w:rFonts w:ascii="Verdana" w:hAnsi="Verdana"/>
                <w:sz w:val="18"/>
                <w:szCs w:val="18"/>
              </w:rPr>
              <w:footnoteReference w:id="13"/>
            </w:r>
            <w:r w:rsidRPr="00781A6F">
              <w:rPr>
                <w:rFonts w:ascii="Verdana" w:hAnsi="Verdana"/>
                <w:sz w:val="18"/>
                <w:szCs w:val="18"/>
              </w:rPr>
              <w:t xml:space="preserve"> en de Oceaanwet richting geeft aan en coherentie bevordert tussen uitvoering van de Vogel en Habitat Richtlijn (VHR), de Natuur Herstel Verordening (NHV), het Gemeenschappelijk Visserij Beleid (GVB) en het beleid voor energie en transport op zee..</w:t>
            </w:r>
          </w:p>
        </w:tc>
        <w:tc>
          <w:tcPr>
            <w:tcW w:w="1985"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5DE10F36" w14:textId="674B7A3B">
            <w:pPr>
              <w:rPr>
                <w:rFonts w:ascii="Verdana" w:hAnsi="Verdana" w:cstheme="minorBidi"/>
                <w:color w:val="000000"/>
                <w:sz w:val="18"/>
                <w:szCs w:val="18"/>
              </w:rPr>
            </w:pPr>
            <w:r w:rsidRPr="00781A6F">
              <w:rPr>
                <w:rFonts w:ascii="Verdana" w:hAnsi="Verdana"/>
                <w:color w:val="000000"/>
                <w:sz w:val="18"/>
                <w:szCs w:val="18"/>
              </w:rPr>
              <w:t xml:space="preserve">Wetgevend </w:t>
            </w:r>
          </w:p>
        </w:tc>
      </w:tr>
    </w:tbl>
    <w:p w:rsidRPr="00781A6F" w:rsidR="00BC4B31" w:rsidP="00781A6F" w:rsidRDefault="00BC4B31" w14:paraId="1B5AB7F6" w14:textId="77777777">
      <w:pPr>
        <w:spacing w:line="240" w:lineRule="auto"/>
        <w:rPr>
          <w:rFonts w:ascii="Verdana" w:hAnsi="Verdana"/>
          <w:b/>
          <w:bCs/>
          <w:sz w:val="18"/>
          <w:szCs w:val="18"/>
          <w:lang w:val="en-US"/>
        </w:rPr>
      </w:pPr>
      <w:r w:rsidRPr="00781A6F">
        <w:rPr>
          <w:rFonts w:ascii="Verdana" w:hAnsi="Verdana"/>
          <w:b/>
          <w:bCs/>
          <w:sz w:val="18"/>
          <w:szCs w:val="18"/>
          <w:lang w:val="en-US"/>
        </w:rPr>
        <w:br w:type="page"/>
      </w:r>
    </w:p>
    <w:p w:rsidRPr="00781A6F" w:rsidR="00BC4B31" w:rsidP="00781A6F" w:rsidRDefault="007E5965" w14:paraId="15810852" w14:textId="295B4C17">
      <w:pPr>
        <w:pStyle w:val="NormalWeb"/>
        <w:rPr>
          <w:rFonts w:ascii="Verdana" w:hAnsi="Verdana" w:eastAsiaTheme="minorEastAsia" w:cstheme="minorBidi"/>
          <w:b/>
          <w:bCs/>
          <w:sz w:val="18"/>
          <w:szCs w:val="18"/>
          <w:lang w:eastAsia="en-US"/>
        </w:rPr>
      </w:pPr>
      <w:r w:rsidRPr="00781A6F">
        <w:rPr>
          <w:rFonts w:ascii="Verdana" w:hAnsi="Verdana" w:eastAsiaTheme="minorEastAsia" w:cstheme="minorBidi"/>
          <w:b/>
          <w:bCs/>
          <w:sz w:val="18"/>
          <w:szCs w:val="18"/>
          <w:lang w:eastAsia="en-US"/>
        </w:rPr>
        <w:lastRenderedPageBreak/>
        <w:t xml:space="preserve">Prioriteit 5: </w:t>
      </w:r>
      <w:r w:rsidRPr="00781A6F" w:rsidR="00BC4B31">
        <w:rPr>
          <w:rFonts w:ascii="Verdana" w:hAnsi="Verdana" w:eastAsiaTheme="minorEastAsia" w:cstheme="minorBidi"/>
          <w:b/>
          <w:bCs/>
          <w:sz w:val="18"/>
          <w:szCs w:val="18"/>
          <w:lang w:eastAsia="en-US"/>
        </w:rPr>
        <w:t>Onze democratie beschermen en onze waarden hooghouden</w:t>
      </w:r>
    </w:p>
    <w:tbl>
      <w:tblPr>
        <w:tblStyle w:val="TableGrid"/>
        <w:tblW w:w="15593" w:type="dxa"/>
        <w:tblInd w:w="-5" w:type="dxa"/>
        <w:tblLayout w:type="fixed"/>
        <w:tblLook w:val="04A0" w:firstRow="1" w:lastRow="0" w:firstColumn="1" w:lastColumn="0" w:noHBand="0" w:noVBand="1"/>
      </w:tblPr>
      <w:tblGrid>
        <w:gridCol w:w="567"/>
        <w:gridCol w:w="3403"/>
        <w:gridCol w:w="5103"/>
        <w:gridCol w:w="4535"/>
        <w:gridCol w:w="1985"/>
      </w:tblGrid>
      <w:tr w:rsidRPr="00781A6F" w:rsidR="0088029E" w:rsidTr="007766E6" w14:paraId="534C5841" w14:textId="77777777">
        <w:trPr>
          <w:trHeight w:val="634"/>
        </w:trPr>
        <w:tc>
          <w:tcPr>
            <w:tcW w:w="567" w:type="dxa"/>
            <w:tcBorders>
              <w:top w:val="single" w:color="auto" w:sz="4" w:space="0"/>
              <w:left w:val="single" w:color="auto" w:sz="4" w:space="0"/>
              <w:bottom w:val="single" w:color="auto" w:sz="4" w:space="0"/>
              <w:right w:val="single" w:color="auto" w:sz="4" w:space="0"/>
            </w:tcBorders>
          </w:tcPr>
          <w:p w:rsidRPr="00781A6F" w:rsidR="0088029E" w:rsidP="00781A6F" w:rsidRDefault="0088029E" w14:paraId="49DF6C52" w14:textId="77777777">
            <w:pPr>
              <w:rPr>
                <w:rFonts w:ascii="Verdana" w:hAnsi="Verdana" w:cstheme="minorBidi"/>
                <w:b/>
                <w:sz w:val="18"/>
                <w:szCs w:val="18"/>
              </w:rPr>
            </w:pPr>
            <w:r w:rsidRPr="00781A6F">
              <w:rPr>
                <w:rFonts w:ascii="Verdana" w:hAnsi="Verdana"/>
                <w:b/>
                <w:sz w:val="18"/>
                <w:szCs w:val="18"/>
              </w:rPr>
              <w:t>No.</w:t>
            </w:r>
          </w:p>
        </w:tc>
        <w:tc>
          <w:tcPr>
            <w:tcW w:w="3403" w:type="dxa"/>
            <w:tcBorders>
              <w:top w:val="single" w:color="auto" w:sz="4" w:space="0"/>
              <w:left w:val="single" w:color="auto" w:sz="4" w:space="0"/>
              <w:bottom w:val="single" w:color="auto" w:sz="4" w:space="0"/>
              <w:right w:val="single" w:color="auto" w:sz="4" w:space="0"/>
            </w:tcBorders>
            <w:hideMark/>
          </w:tcPr>
          <w:p w:rsidRPr="00781A6F" w:rsidR="0088029E" w:rsidP="00781A6F" w:rsidRDefault="0088029E" w14:paraId="1B4B5344" w14:textId="77777777">
            <w:pPr>
              <w:rPr>
                <w:rFonts w:ascii="Verdana" w:hAnsi="Verdana" w:cstheme="minorBidi"/>
                <w:b/>
                <w:sz w:val="18"/>
                <w:szCs w:val="18"/>
              </w:rPr>
            </w:pPr>
            <w:r w:rsidRPr="00781A6F">
              <w:rPr>
                <w:rFonts w:ascii="Verdana" w:hAnsi="Verdana"/>
                <w:b/>
                <w:sz w:val="18"/>
                <w:szCs w:val="18"/>
              </w:rPr>
              <w:t>Titel (publicatiedatum)</w:t>
            </w:r>
          </w:p>
        </w:tc>
        <w:tc>
          <w:tcPr>
            <w:tcW w:w="5103" w:type="dxa"/>
            <w:tcBorders>
              <w:top w:val="single" w:color="auto" w:sz="4" w:space="0"/>
              <w:left w:val="single" w:color="auto" w:sz="4" w:space="0"/>
              <w:bottom w:val="single" w:color="auto" w:sz="4" w:space="0"/>
              <w:right w:val="single" w:color="auto" w:sz="4" w:space="0"/>
            </w:tcBorders>
            <w:hideMark/>
          </w:tcPr>
          <w:p w:rsidRPr="00781A6F" w:rsidR="0088029E" w:rsidP="00781A6F" w:rsidRDefault="0088029E" w14:paraId="33C62A80" w14:textId="77777777">
            <w:pPr>
              <w:rPr>
                <w:rFonts w:ascii="Verdana" w:hAnsi="Verdana" w:cstheme="minorBidi"/>
                <w:b/>
                <w:sz w:val="18"/>
                <w:szCs w:val="18"/>
              </w:rPr>
            </w:pPr>
            <w:r w:rsidRPr="00781A6F">
              <w:rPr>
                <w:rFonts w:ascii="Verdana" w:hAnsi="Verdana"/>
                <w:b/>
                <w:sz w:val="18"/>
                <w:szCs w:val="18"/>
              </w:rPr>
              <w:t>Korte beschrijving</w:t>
            </w:r>
          </w:p>
        </w:tc>
        <w:tc>
          <w:tcPr>
            <w:tcW w:w="4535" w:type="dxa"/>
            <w:tcBorders>
              <w:top w:val="single" w:color="auto" w:sz="4" w:space="0"/>
              <w:left w:val="single" w:color="auto" w:sz="4" w:space="0"/>
              <w:bottom w:val="single" w:color="auto" w:sz="4" w:space="0"/>
              <w:right w:val="single" w:color="auto" w:sz="4" w:space="0"/>
            </w:tcBorders>
            <w:hideMark/>
          </w:tcPr>
          <w:p w:rsidRPr="00781A6F" w:rsidR="0088029E" w:rsidP="00781A6F" w:rsidRDefault="0088029E" w14:paraId="54593F53" w14:textId="77777777">
            <w:pPr>
              <w:rPr>
                <w:rFonts w:ascii="Verdana" w:hAnsi="Verdana" w:cstheme="minorBidi"/>
                <w:b/>
                <w:sz w:val="18"/>
                <w:szCs w:val="18"/>
              </w:rPr>
            </w:pPr>
            <w:r w:rsidRPr="00781A6F">
              <w:rPr>
                <w:rFonts w:ascii="Verdana" w:hAnsi="Verdana"/>
                <w:b/>
                <w:sz w:val="18"/>
                <w:szCs w:val="18"/>
              </w:rPr>
              <w:t>Kabinetsappreciatie</w:t>
            </w:r>
          </w:p>
        </w:tc>
        <w:tc>
          <w:tcPr>
            <w:tcW w:w="1985" w:type="dxa"/>
            <w:tcBorders>
              <w:top w:val="single" w:color="auto" w:sz="4" w:space="0"/>
              <w:left w:val="single" w:color="auto" w:sz="4" w:space="0"/>
              <w:bottom w:val="single" w:color="auto" w:sz="4" w:space="0"/>
              <w:right w:val="single" w:color="auto" w:sz="4" w:space="0"/>
            </w:tcBorders>
          </w:tcPr>
          <w:p w:rsidRPr="00781A6F" w:rsidR="0088029E" w:rsidP="00781A6F" w:rsidRDefault="0088029E" w14:paraId="7EDF3049" w14:textId="77777777">
            <w:pPr>
              <w:rPr>
                <w:rFonts w:ascii="Verdana" w:hAnsi="Verdana" w:cstheme="minorBidi"/>
                <w:b/>
                <w:sz w:val="18"/>
                <w:szCs w:val="18"/>
              </w:rPr>
            </w:pPr>
            <w:r w:rsidRPr="00781A6F">
              <w:rPr>
                <w:rFonts w:ascii="Verdana" w:hAnsi="Verdana"/>
                <w:b/>
                <w:sz w:val="18"/>
                <w:szCs w:val="18"/>
              </w:rPr>
              <w:t>Wetgevend/niet-Wetgevend</w:t>
            </w:r>
          </w:p>
        </w:tc>
      </w:tr>
      <w:tr w:rsidRPr="00781A6F" w:rsidR="008D7270" w:rsidTr="007766E6" w14:paraId="459F7EAC" w14:textId="77777777">
        <w:trPr>
          <w:trHeight w:val="798"/>
        </w:trPr>
        <w:tc>
          <w:tcPr>
            <w:tcW w:w="567" w:type="dxa"/>
            <w:tcBorders>
              <w:top w:val="single" w:color="auto" w:sz="4" w:space="0"/>
              <w:left w:val="single" w:color="auto" w:sz="4" w:space="0"/>
              <w:bottom w:val="single" w:color="auto" w:sz="4" w:space="0"/>
              <w:right w:val="single" w:color="auto" w:sz="4" w:space="0"/>
            </w:tcBorders>
          </w:tcPr>
          <w:p w:rsidRPr="00781A6F" w:rsidR="008D7270" w:rsidP="00781A6F" w:rsidRDefault="00781A6F" w14:paraId="32E299A5" w14:textId="18C11F06">
            <w:pPr>
              <w:rPr>
                <w:rFonts w:ascii="Verdana" w:hAnsi="Verdana" w:cstheme="minorBidi"/>
                <w:sz w:val="18"/>
                <w:szCs w:val="18"/>
                <w:lang w:val="en-US"/>
              </w:rPr>
            </w:pPr>
            <w:r w:rsidRPr="00781A6F">
              <w:rPr>
                <w:rFonts w:ascii="Verdana" w:hAnsi="Verdana"/>
                <w:sz w:val="18"/>
                <w:szCs w:val="18"/>
                <w:lang w:val="en-US"/>
              </w:rPr>
              <w:t>54</w:t>
            </w:r>
            <w:r w:rsidRPr="00781A6F" w:rsidR="008D7270">
              <w:rPr>
                <w:rFonts w:ascii="Verdana" w:hAnsi="Verdana"/>
                <w:sz w:val="18"/>
                <w:szCs w:val="18"/>
                <w:lang w:val="en-US"/>
              </w:rPr>
              <w:t>.</w:t>
            </w:r>
          </w:p>
        </w:tc>
        <w:tc>
          <w:tcPr>
            <w:tcW w:w="3403" w:type="dxa"/>
            <w:tcBorders>
              <w:top w:val="single" w:color="auto" w:sz="4" w:space="0"/>
              <w:left w:val="single" w:color="auto" w:sz="4" w:space="0"/>
              <w:bottom w:val="single" w:color="auto" w:sz="4" w:space="0"/>
              <w:right w:val="single" w:color="auto" w:sz="4" w:space="0"/>
            </w:tcBorders>
          </w:tcPr>
          <w:p w:rsidRPr="00781A6F" w:rsidR="008D7270" w:rsidP="00781A6F" w:rsidRDefault="00B345FD" w14:paraId="3A2D153A" w14:textId="7FB497FA">
            <w:pPr>
              <w:rPr>
                <w:rFonts w:ascii="Verdana" w:hAnsi="Verdana" w:cstheme="minorBidi"/>
                <w:sz w:val="18"/>
                <w:szCs w:val="18"/>
                <w:lang w:val="en-US"/>
              </w:rPr>
            </w:pPr>
            <w:proofErr w:type="spellStart"/>
            <w:r w:rsidRPr="00781A6F">
              <w:rPr>
                <w:rFonts w:ascii="Verdana" w:hAnsi="Verdana"/>
                <w:sz w:val="18"/>
                <w:szCs w:val="18"/>
                <w:lang w:val="en-US"/>
              </w:rPr>
              <w:t>Verordening</w:t>
            </w:r>
            <w:proofErr w:type="spellEnd"/>
            <w:r w:rsidRPr="00781A6F">
              <w:rPr>
                <w:rFonts w:ascii="Verdana" w:hAnsi="Verdana"/>
                <w:sz w:val="18"/>
                <w:szCs w:val="18"/>
                <w:lang w:val="en-US"/>
              </w:rPr>
              <w:t xml:space="preserve"> </w:t>
            </w:r>
            <w:proofErr w:type="spellStart"/>
            <w:r w:rsidRPr="00781A6F">
              <w:rPr>
                <w:rFonts w:ascii="Verdana" w:hAnsi="Verdana"/>
                <w:sz w:val="18"/>
                <w:szCs w:val="18"/>
                <w:lang w:val="en-US"/>
              </w:rPr>
              <w:t>digitale</w:t>
            </w:r>
            <w:proofErr w:type="spellEnd"/>
            <w:r w:rsidRPr="00781A6F">
              <w:rPr>
                <w:rFonts w:ascii="Verdana" w:hAnsi="Verdana"/>
                <w:sz w:val="18"/>
                <w:szCs w:val="18"/>
                <w:lang w:val="en-US"/>
              </w:rPr>
              <w:t xml:space="preserve"> </w:t>
            </w:r>
            <w:proofErr w:type="spellStart"/>
            <w:r w:rsidRPr="00781A6F">
              <w:rPr>
                <w:rFonts w:ascii="Verdana" w:hAnsi="Verdana"/>
                <w:sz w:val="18"/>
                <w:szCs w:val="18"/>
                <w:lang w:val="en-US"/>
              </w:rPr>
              <w:t>rechtvaardigheid</w:t>
            </w:r>
            <w:proofErr w:type="spellEnd"/>
            <w:r w:rsidRPr="00781A6F">
              <w:rPr>
                <w:rFonts w:ascii="Verdana" w:hAnsi="Verdana"/>
                <w:sz w:val="18"/>
                <w:szCs w:val="18"/>
                <w:lang w:val="en-US"/>
              </w:rPr>
              <w:t xml:space="preserve"> </w:t>
            </w:r>
            <w:r w:rsidRPr="00781A6F" w:rsidR="008D7270">
              <w:rPr>
                <w:rFonts w:ascii="Verdana" w:hAnsi="Verdana"/>
                <w:sz w:val="18"/>
                <w:szCs w:val="18"/>
                <w:lang w:val="en-US"/>
              </w:rPr>
              <w:t>(Q4 2026)</w:t>
            </w:r>
          </w:p>
        </w:tc>
        <w:tc>
          <w:tcPr>
            <w:tcW w:w="5103" w:type="dxa"/>
            <w:tcBorders>
              <w:top w:val="single" w:color="auto" w:sz="4" w:space="0"/>
              <w:left w:val="single" w:color="auto" w:sz="4" w:space="0"/>
              <w:bottom w:val="single" w:color="auto" w:sz="4" w:space="0"/>
              <w:right w:val="single" w:color="auto" w:sz="4" w:space="0"/>
            </w:tcBorders>
          </w:tcPr>
          <w:p w:rsidRPr="00781A6F" w:rsidR="008D7270" w:rsidP="00781A6F" w:rsidRDefault="00480A70" w14:paraId="2D532BCC" w14:textId="6E3EE05B">
            <w:pPr>
              <w:rPr>
                <w:rFonts w:ascii="Verdana" w:hAnsi="Verdana" w:cstheme="minorBidi"/>
                <w:color w:val="000000"/>
                <w:sz w:val="18"/>
                <w:szCs w:val="18"/>
              </w:rPr>
            </w:pPr>
            <w:r w:rsidRPr="00781A6F">
              <w:rPr>
                <w:rFonts w:ascii="Verdana" w:hAnsi="Verdana"/>
                <w:color w:val="000000"/>
                <w:sz w:val="18"/>
                <w:szCs w:val="18"/>
              </w:rPr>
              <w:t xml:space="preserve">De aangekondigde </w:t>
            </w:r>
            <w:r w:rsidRPr="00781A6F" w:rsidR="00B345FD">
              <w:rPr>
                <w:rFonts w:ascii="Verdana" w:hAnsi="Verdana"/>
                <w:sz w:val="18"/>
                <w:szCs w:val="18"/>
              </w:rPr>
              <w:t>Verordening Digitale Rechtvaardigheid (VDR)</w:t>
            </w:r>
            <w:r w:rsidRPr="00781A6F">
              <w:rPr>
                <w:rFonts w:ascii="Verdana" w:hAnsi="Verdana"/>
                <w:i/>
                <w:sz w:val="18"/>
                <w:szCs w:val="18"/>
              </w:rPr>
              <w:t xml:space="preserve"> </w:t>
            </w:r>
            <w:r w:rsidRPr="00781A6F">
              <w:rPr>
                <w:rFonts w:ascii="Verdana" w:hAnsi="Verdana"/>
                <w:color w:val="000000"/>
                <w:sz w:val="18"/>
                <w:szCs w:val="18"/>
              </w:rPr>
              <w:t>h</w:t>
            </w:r>
            <w:r w:rsidRPr="00781A6F" w:rsidR="008D7270">
              <w:rPr>
                <w:rFonts w:ascii="Verdana" w:hAnsi="Verdana"/>
                <w:color w:val="000000"/>
                <w:sz w:val="18"/>
                <w:szCs w:val="18"/>
              </w:rPr>
              <w:t xml:space="preserve">eeft tot doel de consumentenbescherming in de digitale wereld te versterken door specifieke praktijken aan te pakken zoals manipulerende ontwerpen </w:t>
            </w:r>
            <w:r w:rsidRPr="00781A6F" w:rsidR="00374774">
              <w:rPr>
                <w:rFonts w:ascii="Verdana" w:hAnsi="Verdana"/>
                <w:color w:val="000000"/>
                <w:sz w:val="18"/>
                <w:szCs w:val="18"/>
              </w:rPr>
              <w:t xml:space="preserve">van online interfaces, zoals websites, die de keuzes van consumenten beïnvloeden </w:t>
            </w:r>
            <w:r w:rsidRPr="00781A6F" w:rsidR="008D7270">
              <w:rPr>
                <w:rFonts w:ascii="Verdana" w:hAnsi="Verdana"/>
                <w:color w:val="000000"/>
                <w:sz w:val="18"/>
                <w:szCs w:val="18"/>
              </w:rPr>
              <w:t>(“</w:t>
            </w:r>
            <w:proofErr w:type="spellStart"/>
            <w:r w:rsidRPr="00781A6F" w:rsidR="008D7270">
              <w:rPr>
                <w:rFonts w:ascii="Verdana" w:hAnsi="Verdana"/>
                <w:i/>
                <w:color w:val="000000"/>
                <w:sz w:val="18"/>
                <w:szCs w:val="18"/>
              </w:rPr>
              <w:t>dark</w:t>
            </w:r>
            <w:proofErr w:type="spellEnd"/>
            <w:r w:rsidRPr="00781A6F" w:rsidR="008D7270">
              <w:rPr>
                <w:rFonts w:ascii="Verdana" w:hAnsi="Verdana"/>
                <w:i/>
                <w:color w:val="000000"/>
                <w:sz w:val="18"/>
                <w:szCs w:val="18"/>
              </w:rPr>
              <w:t xml:space="preserve"> </w:t>
            </w:r>
            <w:proofErr w:type="spellStart"/>
            <w:r w:rsidRPr="00781A6F" w:rsidR="008D7270">
              <w:rPr>
                <w:rFonts w:ascii="Verdana" w:hAnsi="Verdana"/>
                <w:i/>
                <w:color w:val="000000"/>
                <w:sz w:val="18"/>
                <w:szCs w:val="18"/>
              </w:rPr>
              <w:t>patterns</w:t>
            </w:r>
            <w:proofErr w:type="spellEnd"/>
            <w:r w:rsidRPr="00781A6F" w:rsidR="008D7270">
              <w:rPr>
                <w:rFonts w:ascii="Verdana" w:hAnsi="Verdana"/>
                <w:color w:val="000000"/>
                <w:sz w:val="18"/>
                <w:szCs w:val="18"/>
              </w:rPr>
              <w:t>”), verslavend ontwerp van digitale diensten, in-game aankopen of</w:t>
            </w:r>
            <w:r w:rsidRPr="00781A6F">
              <w:rPr>
                <w:rFonts w:ascii="Verdana" w:hAnsi="Verdana"/>
                <w:color w:val="000000"/>
                <w:sz w:val="18"/>
                <w:szCs w:val="18"/>
              </w:rPr>
              <w:t xml:space="preserve"> </w:t>
            </w:r>
            <w:r w:rsidRPr="00781A6F" w:rsidR="008D7270">
              <w:rPr>
                <w:rFonts w:ascii="Verdana" w:hAnsi="Verdana"/>
                <w:color w:val="000000"/>
                <w:sz w:val="18"/>
                <w:szCs w:val="18"/>
              </w:rPr>
              <w:t xml:space="preserve">misleidende </w:t>
            </w:r>
            <w:proofErr w:type="spellStart"/>
            <w:r w:rsidRPr="00781A6F" w:rsidR="008D7270">
              <w:rPr>
                <w:rFonts w:ascii="Verdana" w:hAnsi="Verdana"/>
                <w:color w:val="000000"/>
                <w:sz w:val="18"/>
                <w:szCs w:val="18"/>
              </w:rPr>
              <w:t>influencer</w:t>
            </w:r>
            <w:proofErr w:type="spellEnd"/>
            <w:r w:rsidRPr="00781A6F" w:rsidR="008D7270">
              <w:rPr>
                <w:rFonts w:ascii="Verdana" w:hAnsi="Verdana"/>
                <w:color w:val="000000"/>
                <w:sz w:val="18"/>
                <w:szCs w:val="18"/>
              </w:rPr>
              <w:t xml:space="preserve">-marketing. </w:t>
            </w:r>
          </w:p>
          <w:p w:rsidRPr="00781A6F" w:rsidR="008D7270" w:rsidP="00781A6F" w:rsidRDefault="008D7270" w14:paraId="6E941414" w14:textId="66D9A7EE">
            <w:pPr>
              <w:rPr>
                <w:rFonts w:ascii="Verdana" w:hAnsi="Verdana" w:cstheme="minorHAnsi"/>
                <w:color w:val="000000"/>
                <w:sz w:val="18"/>
                <w:szCs w:val="18"/>
              </w:rPr>
            </w:pPr>
          </w:p>
        </w:tc>
        <w:tc>
          <w:tcPr>
            <w:tcW w:w="4535" w:type="dxa"/>
            <w:tcBorders>
              <w:top w:val="single" w:color="auto" w:sz="4" w:space="0"/>
              <w:left w:val="single" w:color="auto" w:sz="4" w:space="0"/>
              <w:bottom w:val="single" w:color="auto" w:sz="4" w:space="0"/>
              <w:right w:val="single" w:color="auto" w:sz="4" w:space="0"/>
            </w:tcBorders>
          </w:tcPr>
          <w:p w:rsidRPr="00781A6F" w:rsidR="008D7270" w:rsidP="00781A6F" w:rsidRDefault="008D7270" w14:paraId="41D34471" w14:textId="221347E4">
            <w:pPr>
              <w:rPr>
                <w:rFonts w:ascii="Verdana" w:hAnsi="Verdana" w:cstheme="minorBidi"/>
                <w:color w:val="000000" w:themeColor="text1"/>
                <w:sz w:val="18"/>
                <w:szCs w:val="18"/>
              </w:rPr>
            </w:pPr>
            <w:r w:rsidRPr="00781A6F">
              <w:rPr>
                <w:rFonts w:ascii="Verdana" w:hAnsi="Verdana"/>
                <w:color w:val="000000"/>
                <w:sz w:val="18"/>
                <w:szCs w:val="18"/>
              </w:rPr>
              <w:t xml:space="preserve">Het kabinet verwelkomt het voornemen voor betere consumentenbescherming in de digitale wereld. De </w:t>
            </w:r>
            <w:r w:rsidRPr="00781A6F" w:rsidR="00B345FD">
              <w:rPr>
                <w:rFonts w:ascii="Verdana" w:hAnsi="Verdana"/>
                <w:color w:val="000000"/>
                <w:sz w:val="18"/>
                <w:szCs w:val="18"/>
              </w:rPr>
              <w:t>VDR</w:t>
            </w:r>
            <w:r w:rsidRPr="00781A6F">
              <w:rPr>
                <w:rFonts w:ascii="Verdana" w:hAnsi="Verdana"/>
                <w:color w:val="000000"/>
                <w:sz w:val="18"/>
                <w:szCs w:val="18"/>
              </w:rPr>
              <w:t xml:space="preserve"> </w:t>
            </w:r>
            <w:r w:rsidRPr="00781A6F" w:rsidR="00374774">
              <w:rPr>
                <w:rFonts w:ascii="Verdana" w:hAnsi="Verdana"/>
                <w:color w:val="000000"/>
                <w:sz w:val="18"/>
                <w:szCs w:val="18"/>
              </w:rPr>
              <w:t xml:space="preserve">kan </w:t>
            </w:r>
            <w:r w:rsidRPr="00781A6F" w:rsidR="00480A70">
              <w:rPr>
                <w:rFonts w:ascii="Verdana" w:hAnsi="Verdana"/>
                <w:color w:val="000000"/>
                <w:sz w:val="18"/>
                <w:szCs w:val="18"/>
              </w:rPr>
              <w:t>daarbij</w:t>
            </w:r>
            <w:r w:rsidRPr="00781A6F">
              <w:rPr>
                <w:rFonts w:ascii="Verdana" w:hAnsi="Verdana"/>
                <w:color w:val="000000"/>
                <w:sz w:val="18"/>
                <w:szCs w:val="18"/>
              </w:rPr>
              <w:t xml:space="preserve"> dienen als gerichte maatregel en </w:t>
            </w:r>
            <w:r w:rsidRPr="00781A6F" w:rsidR="00480A70">
              <w:rPr>
                <w:rFonts w:ascii="Verdana" w:hAnsi="Verdana"/>
                <w:color w:val="000000"/>
                <w:sz w:val="18"/>
                <w:szCs w:val="18"/>
              </w:rPr>
              <w:t>zorgen voor</w:t>
            </w:r>
            <w:r w:rsidRPr="00781A6F">
              <w:rPr>
                <w:rFonts w:ascii="Verdana" w:hAnsi="Verdana"/>
                <w:color w:val="000000"/>
                <w:sz w:val="18"/>
                <w:szCs w:val="18"/>
              </w:rPr>
              <w:t xml:space="preserve"> harmonisatie in de EU</w:t>
            </w:r>
            <w:r w:rsidRPr="00781A6F" w:rsidR="00480A70">
              <w:rPr>
                <w:rFonts w:ascii="Verdana" w:hAnsi="Verdana"/>
                <w:color w:val="000000"/>
                <w:sz w:val="18"/>
                <w:szCs w:val="18"/>
              </w:rPr>
              <w:t xml:space="preserve">. </w:t>
            </w:r>
            <w:r w:rsidRPr="00781A6F" w:rsidR="00374774">
              <w:rPr>
                <w:rFonts w:ascii="Verdana" w:hAnsi="Verdana"/>
                <w:color w:val="000000" w:themeColor="text1"/>
                <w:sz w:val="18"/>
                <w:szCs w:val="18"/>
              </w:rPr>
              <w:t>H</w:t>
            </w:r>
            <w:r w:rsidRPr="00781A6F">
              <w:rPr>
                <w:rFonts w:ascii="Verdana" w:hAnsi="Verdana"/>
                <w:color w:val="000000" w:themeColor="text1"/>
                <w:sz w:val="18"/>
                <w:szCs w:val="18"/>
              </w:rPr>
              <w:t xml:space="preserve">et kabinet </w:t>
            </w:r>
            <w:r w:rsidRPr="00781A6F" w:rsidR="00374774">
              <w:rPr>
                <w:rFonts w:ascii="Verdana" w:hAnsi="Verdana"/>
                <w:color w:val="000000" w:themeColor="text1"/>
                <w:sz w:val="18"/>
                <w:szCs w:val="18"/>
              </w:rPr>
              <w:t xml:space="preserve">pleit voor een focus op </w:t>
            </w:r>
            <w:r w:rsidRPr="00781A6F">
              <w:rPr>
                <w:rFonts w:ascii="Verdana" w:hAnsi="Verdana"/>
                <w:color w:val="000000" w:themeColor="text1"/>
                <w:sz w:val="18"/>
                <w:szCs w:val="18"/>
              </w:rPr>
              <w:t xml:space="preserve">handhaving van bestaande regelgeving in de digitale economie en ondersteuning van ondernemers bij de toepassing. Het kabinet heeft </w:t>
            </w:r>
            <w:r w:rsidRPr="00781A6F" w:rsidR="00480A70">
              <w:rPr>
                <w:rFonts w:ascii="Verdana" w:hAnsi="Verdana"/>
                <w:color w:val="000000" w:themeColor="text1"/>
                <w:sz w:val="18"/>
                <w:szCs w:val="18"/>
              </w:rPr>
              <w:t>daarom</w:t>
            </w:r>
            <w:r w:rsidRPr="00781A6F">
              <w:rPr>
                <w:rFonts w:ascii="Verdana" w:hAnsi="Verdana"/>
                <w:color w:val="000000" w:themeColor="text1"/>
                <w:sz w:val="18"/>
                <w:szCs w:val="18"/>
              </w:rPr>
              <w:t xml:space="preserve"> gevraagd aan de </w:t>
            </w:r>
            <w:r w:rsidRPr="00781A6F" w:rsidR="006B0323">
              <w:rPr>
                <w:rFonts w:ascii="Verdana" w:hAnsi="Verdana"/>
                <w:color w:val="000000" w:themeColor="text1"/>
                <w:sz w:val="18"/>
                <w:szCs w:val="18"/>
              </w:rPr>
              <w:t>Commissie</w:t>
            </w:r>
            <w:r w:rsidRPr="00781A6F">
              <w:rPr>
                <w:rFonts w:ascii="Verdana" w:hAnsi="Verdana"/>
                <w:color w:val="000000" w:themeColor="text1"/>
                <w:sz w:val="18"/>
                <w:szCs w:val="18"/>
              </w:rPr>
              <w:t xml:space="preserve"> om spoedig met een voorstel te komen om ook op Europees niveau handhavende bevoegdheden voor consumentenwetgeving te organiseren</w:t>
            </w:r>
            <w:r w:rsidRPr="00781A6F" w:rsidR="00480A70">
              <w:rPr>
                <w:rFonts w:ascii="Verdana" w:hAnsi="Verdana"/>
                <w:color w:val="000000" w:themeColor="text1"/>
                <w:sz w:val="18"/>
                <w:szCs w:val="18"/>
              </w:rPr>
              <w:t xml:space="preserve"> via een </w:t>
            </w:r>
            <w:r w:rsidRPr="00781A6F">
              <w:rPr>
                <w:rFonts w:ascii="Verdana" w:hAnsi="Verdana"/>
                <w:color w:val="000000" w:themeColor="text1"/>
                <w:sz w:val="18"/>
                <w:szCs w:val="18"/>
              </w:rPr>
              <w:t>herziening van de Verordening Samenwerking Consumentenbescherming</w:t>
            </w:r>
            <w:r w:rsidRPr="00781A6F" w:rsidR="00480A70">
              <w:rPr>
                <w:rFonts w:ascii="Verdana" w:hAnsi="Verdana"/>
                <w:color w:val="000000" w:themeColor="text1"/>
                <w:sz w:val="18"/>
                <w:szCs w:val="18"/>
              </w:rPr>
              <w:t xml:space="preserve">. </w:t>
            </w:r>
            <w:r w:rsidRPr="00781A6F">
              <w:rPr>
                <w:rFonts w:ascii="Verdana" w:hAnsi="Verdana"/>
                <w:color w:val="000000" w:themeColor="text1"/>
                <w:sz w:val="18"/>
                <w:szCs w:val="18"/>
              </w:rPr>
              <w:t xml:space="preserve">Dit moet ook zorgen voor een gelijk speelveld tussen bedrijven binnen en buiten de EU. </w:t>
            </w:r>
            <w:r w:rsidRPr="00781A6F" w:rsidR="00374774">
              <w:rPr>
                <w:rFonts w:ascii="Verdana" w:hAnsi="Verdana"/>
                <w:color w:val="000000" w:themeColor="text1"/>
                <w:sz w:val="18"/>
                <w:szCs w:val="18"/>
              </w:rPr>
              <w:t xml:space="preserve"> </w:t>
            </w:r>
          </w:p>
        </w:tc>
        <w:tc>
          <w:tcPr>
            <w:tcW w:w="1985" w:type="dxa"/>
            <w:tcBorders>
              <w:top w:val="single" w:color="auto" w:sz="4" w:space="0"/>
              <w:left w:val="single" w:color="auto" w:sz="4" w:space="0"/>
              <w:bottom w:val="single" w:color="auto" w:sz="4" w:space="0"/>
              <w:right w:val="single" w:color="auto" w:sz="4" w:space="0"/>
            </w:tcBorders>
          </w:tcPr>
          <w:p w:rsidRPr="00781A6F" w:rsidR="008D7270" w:rsidP="00781A6F" w:rsidRDefault="008D7270" w14:paraId="60F58295" w14:textId="0564D8E3">
            <w:pPr>
              <w:rPr>
                <w:rFonts w:ascii="Verdana" w:hAnsi="Verdana" w:cstheme="minorBidi"/>
                <w:color w:val="000000"/>
                <w:sz w:val="18"/>
                <w:szCs w:val="18"/>
              </w:rPr>
            </w:pPr>
            <w:r w:rsidRPr="00781A6F">
              <w:rPr>
                <w:rFonts w:ascii="Verdana" w:hAnsi="Verdana"/>
                <w:color w:val="000000"/>
                <w:sz w:val="18"/>
                <w:szCs w:val="18"/>
              </w:rPr>
              <w:t>Wetgevend</w:t>
            </w:r>
          </w:p>
        </w:tc>
      </w:tr>
      <w:tr w:rsidRPr="00781A6F" w:rsidR="00D967E5" w:rsidTr="007766E6" w14:paraId="4E4ADE01"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781A6F" w:rsidR="00D967E5" w:rsidP="00781A6F" w:rsidRDefault="00781A6F" w14:paraId="12CB5F95" w14:textId="5938FFC6">
            <w:pPr>
              <w:rPr>
                <w:rFonts w:ascii="Verdana" w:hAnsi="Verdana" w:cstheme="minorBidi"/>
                <w:sz w:val="18"/>
                <w:szCs w:val="18"/>
                <w:lang w:val="en-US"/>
              </w:rPr>
            </w:pPr>
            <w:r w:rsidRPr="00781A6F">
              <w:rPr>
                <w:rFonts w:ascii="Verdana" w:hAnsi="Verdana"/>
                <w:sz w:val="18"/>
                <w:szCs w:val="18"/>
                <w:lang w:val="en-US"/>
              </w:rPr>
              <w:t>55</w:t>
            </w:r>
            <w:r w:rsidRPr="00781A6F" w:rsidR="00D967E5">
              <w:rPr>
                <w:rFonts w:ascii="Verdana" w:hAnsi="Verdana"/>
                <w:sz w:val="18"/>
                <w:szCs w:val="18"/>
                <w:lang w:val="en-US"/>
              </w:rPr>
              <w:t>.</w:t>
            </w:r>
          </w:p>
        </w:tc>
        <w:tc>
          <w:tcPr>
            <w:tcW w:w="3403" w:type="dxa"/>
            <w:tcBorders>
              <w:top w:val="single" w:color="auto" w:sz="4" w:space="0"/>
              <w:left w:val="single" w:color="auto" w:sz="4" w:space="0"/>
              <w:bottom w:val="single" w:color="auto" w:sz="4" w:space="0"/>
              <w:right w:val="single" w:color="auto" w:sz="4" w:space="0"/>
            </w:tcBorders>
          </w:tcPr>
          <w:p w:rsidRPr="00781A6F" w:rsidR="00D967E5" w:rsidP="00781A6F" w:rsidRDefault="00B345FD" w14:paraId="1F1E9B77" w14:textId="3B32B394">
            <w:pPr>
              <w:rPr>
                <w:rFonts w:ascii="Verdana" w:hAnsi="Verdana" w:cstheme="minorBidi"/>
                <w:b/>
                <w:sz w:val="18"/>
                <w:szCs w:val="18"/>
                <w:lang w:val="en-US"/>
              </w:rPr>
            </w:pPr>
            <w:proofErr w:type="spellStart"/>
            <w:r w:rsidRPr="00781A6F">
              <w:rPr>
                <w:rFonts w:ascii="Verdana" w:hAnsi="Verdana"/>
                <w:sz w:val="18"/>
                <w:szCs w:val="18"/>
                <w:lang w:val="en-US"/>
              </w:rPr>
              <w:t>Versterking</w:t>
            </w:r>
            <w:proofErr w:type="spellEnd"/>
            <w:r w:rsidRPr="00781A6F">
              <w:rPr>
                <w:rFonts w:ascii="Verdana" w:hAnsi="Verdana"/>
                <w:sz w:val="18"/>
                <w:szCs w:val="18"/>
                <w:lang w:val="en-US"/>
              </w:rPr>
              <w:t xml:space="preserve"> van Eurojust </w:t>
            </w:r>
            <w:r w:rsidRPr="00781A6F" w:rsidR="00D967E5">
              <w:rPr>
                <w:rFonts w:ascii="Verdana" w:hAnsi="Verdana"/>
                <w:sz w:val="18"/>
                <w:szCs w:val="18"/>
                <w:lang w:val="en-US"/>
              </w:rPr>
              <w:t>(Q2 2026)</w:t>
            </w:r>
          </w:p>
        </w:tc>
        <w:tc>
          <w:tcPr>
            <w:tcW w:w="5103" w:type="dxa"/>
            <w:tcBorders>
              <w:top w:val="single" w:color="auto" w:sz="4" w:space="0"/>
              <w:left w:val="single" w:color="auto" w:sz="4" w:space="0"/>
              <w:bottom w:val="single" w:color="auto" w:sz="4" w:space="0"/>
              <w:right w:val="single" w:color="auto" w:sz="4" w:space="0"/>
            </w:tcBorders>
          </w:tcPr>
          <w:p w:rsidRPr="00781A6F" w:rsidR="00D967E5" w:rsidP="00781A6F" w:rsidRDefault="00D967E5" w14:paraId="648A51EC" w14:textId="77777777">
            <w:pPr>
              <w:rPr>
                <w:rFonts w:ascii="Verdana" w:hAnsi="Verdana" w:cstheme="minorBidi"/>
                <w:color w:val="000000"/>
                <w:sz w:val="18"/>
                <w:szCs w:val="18"/>
              </w:rPr>
            </w:pPr>
            <w:r w:rsidRPr="00781A6F">
              <w:rPr>
                <w:rFonts w:ascii="Verdana" w:hAnsi="Verdana"/>
                <w:color w:val="000000"/>
                <w:sz w:val="18"/>
                <w:szCs w:val="18"/>
              </w:rPr>
              <w:t>Dit voorstel heeft als doelstelling om het mandaat van Eurojust verder te versterken onder meer door een nauwere samenwerking tussen Eurojust en Europol mogelijk te maken.</w:t>
            </w:r>
          </w:p>
          <w:p w:rsidRPr="00781A6F" w:rsidR="00D967E5" w:rsidP="00781A6F" w:rsidRDefault="00D967E5" w14:paraId="743EF0E1" w14:textId="7216821C">
            <w:pPr>
              <w:rPr>
                <w:rFonts w:ascii="Verdana" w:hAnsi="Verdana" w:cstheme="minorHAnsi"/>
                <w:color w:val="000000"/>
                <w:sz w:val="18"/>
                <w:szCs w:val="18"/>
              </w:rPr>
            </w:pPr>
          </w:p>
        </w:tc>
        <w:tc>
          <w:tcPr>
            <w:tcW w:w="4535" w:type="dxa"/>
            <w:tcBorders>
              <w:top w:val="single" w:color="auto" w:sz="4" w:space="0"/>
              <w:left w:val="single" w:color="auto" w:sz="4" w:space="0"/>
              <w:bottom w:val="single" w:color="auto" w:sz="4" w:space="0"/>
              <w:right w:val="single" w:color="auto" w:sz="4" w:space="0"/>
            </w:tcBorders>
          </w:tcPr>
          <w:p w:rsidRPr="00781A6F" w:rsidR="00D967E5" w:rsidP="00781A6F" w:rsidRDefault="00D967E5" w14:paraId="2DABE0F9" w14:textId="48EF298F">
            <w:pPr>
              <w:rPr>
                <w:rFonts w:ascii="Verdana" w:hAnsi="Verdana" w:cstheme="minorBidi"/>
                <w:color w:val="000000"/>
                <w:sz w:val="18"/>
                <w:szCs w:val="18"/>
              </w:rPr>
            </w:pPr>
            <w:r w:rsidRPr="00781A6F">
              <w:rPr>
                <w:rFonts w:ascii="Verdana" w:hAnsi="Verdana"/>
                <w:color w:val="000000"/>
                <w:sz w:val="18"/>
                <w:szCs w:val="18"/>
              </w:rPr>
              <w:t xml:space="preserve">Het kabinet ziet geen noodzaak tot uitbreiding van het mandaat van Eurojust. Echter, </w:t>
            </w:r>
            <w:r w:rsidRPr="00781A6F" w:rsidR="00320B91">
              <w:rPr>
                <w:rFonts w:ascii="Verdana" w:hAnsi="Verdana"/>
                <w:color w:val="000000"/>
                <w:sz w:val="18"/>
                <w:szCs w:val="18"/>
              </w:rPr>
              <w:t>het kabinet</w:t>
            </w:r>
            <w:r w:rsidRPr="00781A6F">
              <w:rPr>
                <w:rFonts w:ascii="Verdana" w:hAnsi="Verdana"/>
                <w:color w:val="000000"/>
                <w:sz w:val="18"/>
                <w:szCs w:val="18"/>
              </w:rPr>
              <w:t xml:space="preserve"> ziet wel kansen in het versterken van de </w:t>
            </w:r>
            <w:r w:rsidRPr="00781A6F">
              <w:rPr>
                <w:rFonts w:ascii="Verdana" w:hAnsi="Verdana"/>
                <w:i/>
                <w:color w:val="000000"/>
                <w:sz w:val="18"/>
                <w:szCs w:val="18"/>
              </w:rPr>
              <w:t>governance</w:t>
            </w:r>
            <w:r w:rsidRPr="00781A6F">
              <w:rPr>
                <w:rFonts w:ascii="Verdana" w:hAnsi="Verdana"/>
                <w:color w:val="000000"/>
                <w:sz w:val="18"/>
                <w:szCs w:val="18"/>
              </w:rPr>
              <w:t xml:space="preserve"> structuur van het agentschap en optimalisering van de samenwerking met Europol, </w:t>
            </w:r>
            <w:r w:rsidRPr="00781A6F" w:rsidR="00480A70">
              <w:rPr>
                <w:rFonts w:ascii="Verdana" w:hAnsi="Verdana"/>
                <w:color w:val="000000"/>
                <w:sz w:val="18"/>
                <w:szCs w:val="18"/>
              </w:rPr>
              <w:t>het Europees bureau voor fraudebestrijding (</w:t>
            </w:r>
            <w:r w:rsidRPr="00781A6F">
              <w:rPr>
                <w:rFonts w:ascii="Verdana" w:hAnsi="Verdana"/>
                <w:color w:val="000000"/>
                <w:sz w:val="18"/>
                <w:szCs w:val="18"/>
              </w:rPr>
              <w:t>OLAF</w:t>
            </w:r>
            <w:r w:rsidRPr="00781A6F" w:rsidR="00480A70">
              <w:rPr>
                <w:rFonts w:ascii="Verdana" w:hAnsi="Verdana"/>
                <w:color w:val="000000"/>
                <w:sz w:val="18"/>
                <w:szCs w:val="18"/>
              </w:rPr>
              <w:t>)</w:t>
            </w:r>
            <w:r w:rsidRPr="00781A6F">
              <w:rPr>
                <w:rFonts w:ascii="Verdana" w:hAnsi="Verdana"/>
                <w:color w:val="000000"/>
                <w:sz w:val="18"/>
                <w:szCs w:val="18"/>
              </w:rPr>
              <w:t xml:space="preserve"> en het </w:t>
            </w:r>
            <w:r w:rsidRPr="00781A6F" w:rsidR="00480A70">
              <w:rPr>
                <w:rFonts w:ascii="Verdana" w:hAnsi="Verdana"/>
                <w:color w:val="000000"/>
                <w:sz w:val="18"/>
                <w:szCs w:val="18"/>
              </w:rPr>
              <w:t>Europees Openbaar Ministerie (</w:t>
            </w:r>
            <w:r w:rsidRPr="00781A6F">
              <w:rPr>
                <w:rFonts w:ascii="Verdana" w:hAnsi="Verdana"/>
                <w:color w:val="000000"/>
                <w:sz w:val="18"/>
                <w:szCs w:val="18"/>
              </w:rPr>
              <w:t>EOM</w:t>
            </w:r>
            <w:r w:rsidRPr="00781A6F" w:rsidR="00480A70">
              <w:rPr>
                <w:rFonts w:ascii="Verdana" w:hAnsi="Verdana"/>
                <w:color w:val="000000"/>
                <w:sz w:val="18"/>
                <w:szCs w:val="18"/>
              </w:rPr>
              <w:t>).</w:t>
            </w:r>
          </w:p>
        </w:tc>
        <w:tc>
          <w:tcPr>
            <w:tcW w:w="1985" w:type="dxa"/>
            <w:tcBorders>
              <w:top w:val="single" w:color="auto" w:sz="4" w:space="0"/>
              <w:left w:val="single" w:color="auto" w:sz="4" w:space="0"/>
              <w:bottom w:val="single" w:color="auto" w:sz="4" w:space="0"/>
              <w:right w:val="single" w:color="auto" w:sz="4" w:space="0"/>
            </w:tcBorders>
          </w:tcPr>
          <w:p w:rsidRPr="00781A6F" w:rsidR="00D967E5" w:rsidP="00781A6F" w:rsidRDefault="00D967E5" w14:paraId="35E28667" w14:textId="750A0E01">
            <w:pPr>
              <w:rPr>
                <w:rFonts w:ascii="Verdana" w:hAnsi="Verdana" w:cstheme="minorBidi"/>
                <w:color w:val="000000"/>
                <w:sz w:val="18"/>
                <w:szCs w:val="18"/>
              </w:rPr>
            </w:pPr>
            <w:r w:rsidRPr="00781A6F">
              <w:rPr>
                <w:rFonts w:ascii="Verdana" w:hAnsi="Verdana"/>
                <w:color w:val="000000"/>
                <w:sz w:val="18"/>
                <w:szCs w:val="18"/>
              </w:rPr>
              <w:t>Wetgevend</w:t>
            </w:r>
          </w:p>
        </w:tc>
      </w:tr>
      <w:tr w:rsidRPr="00781A6F" w:rsidR="00CD13E4" w:rsidTr="007766E6" w14:paraId="284E0484"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781A6F" w:rsidR="00CD13E4" w:rsidP="00781A6F" w:rsidRDefault="00781A6F" w14:paraId="2933BC3C" w14:textId="47B12A94">
            <w:pPr>
              <w:rPr>
                <w:rFonts w:ascii="Verdana" w:hAnsi="Verdana" w:cstheme="minorBidi"/>
                <w:sz w:val="18"/>
                <w:szCs w:val="18"/>
              </w:rPr>
            </w:pPr>
            <w:r w:rsidRPr="00781A6F">
              <w:rPr>
                <w:rFonts w:ascii="Verdana" w:hAnsi="Verdana"/>
                <w:sz w:val="18"/>
                <w:szCs w:val="18"/>
              </w:rPr>
              <w:t>56</w:t>
            </w:r>
            <w:r w:rsidRPr="00781A6F" w:rsidR="00CD13E4">
              <w:rPr>
                <w:rFonts w:ascii="Verdana" w:hAnsi="Verdana"/>
                <w:sz w:val="18"/>
                <w:szCs w:val="18"/>
              </w:rPr>
              <w:t>.</w:t>
            </w:r>
          </w:p>
        </w:tc>
        <w:tc>
          <w:tcPr>
            <w:tcW w:w="3403" w:type="dxa"/>
            <w:tcBorders>
              <w:top w:val="single" w:color="auto" w:sz="4" w:space="0"/>
              <w:left w:val="single" w:color="auto" w:sz="4" w:space="0"/>
              <w:bottom w:val="single" w:color="auto" w:sz="4" w:space="0"/>
              <w:right w:val="single" w:color="auto" w:sz="4" w:space="0"/>
            </w:tcBorders>
          </w:tcPr>
          <w:p w:rsidRPr="00781A6F" w:rsidR="00CD13E4" w:rsidP="00781A6F" w:rsidRDefault="00B345FD" w14:paraId="40C9048A" w14:textId="45F2BCC4">
            <w:pPr>
              <w:rPr>
                <w:rFonts w:ascii="Verdana" w:hAnsi="Verdana" w:cstheme="minorBidi"/>
                <w:sz w:val="18"/>
                <w:szCs w:val="18"/>
              </w:rPr>
            </w:pPr>
            <w:r w:rsidRPr="00781A6F">
              <w:rPr>
                <w:rFonts w:ascii="Verdana" w:hAnsi="Verdana"/>
                <w:sz w:val="18"/>
                <w:szCs w:val="18"/>
              </w:rPr>
              <w:t xml:space="preserve">Actualisering van de regels inzake audiovisuele mediadiensten </w:t>
            </w:r>
            <w:r w:rsidRPr="00781A6F" w:rsidR="00CD13E4">
              <w:rPr>
                <w:rFonts w:ascii="Verdana" w:hAnsi="Verdana"/>
                <w:sz w:val="18"/>
                <w:szCs w:val="18"/>
              </w:rPr>
              <w:t>(Q3 2026)</w:t>
            </w:r>
          </w:p>
        </w:tc>
        <w:tc>
          <w:tcPr>
            <w:tcW w:w="5103" w:type="dxa"/>
            <w:tcBorders>
              <w:top w:val="single" w:color="auto" w:sz="4" w:space="0"/>
              <w:left w:val="single" w:color="auto" w:sz="4" w:space="0"/>
              <w:bottom w:val="single" w:color="auto" w:sz="4" w:space="0"/>
              <w:right w:val="single" w:color="auto" w:sz="4" w:space="0"/>
            </w:tcBorders>
          </w:tcPr>
          <w:p w:rsidRPr="00781A6F" w:rsidR="00CD13E4" w:rsidP="00781A6F" w:rsidRDefault="00CD13E4" w14:paraId="7AC00B8E" w14:textId="5968544C">
            <w:pPr>
              <w:rPr>
                <w:rFonts w:ascii="Verdana" w:hAnsi="Verdana" w:cstheme="minorBidi"/>
                <w:sz w:val="18"/>
                <w:szCs w:val="18"/>
              </w:rPr>
            </w:pPr>
            <w:r w:rsidRPr="00781A6F">
              <w:rPr>
                <w:rFonts w:ascii="Verdana" w:hAnsi="Verdana"/>
                <w:color w:val="000000"/>
                <w:sz w:val="18"/>
                <w:szCs w:val="18"/>
              </w:rPr>
              <w:t xml:space="preserve">De </w:t>
            </w:r>
            <w:r w:rsidRPr="00781A6F" w:rsidR="001274D0">
              <w:rPr>
                <w:rFonts w:ascii="Verdana" w:hAnsi="Verdana"/>
                <w:color w:val="000000"/>
                <w:sz w:val="18"/>
                <w:szCs w:val="18"/>
              </w:rPr>
              <w:t>R</w:t>
            </w:r>
            <w:r w:rsidRPr="00781A6F">
              <w:rPr>
                <w:rFonts w:ascii="Verdana" w:hAnsi="Verdana"/>
                <w:color w:val="000000"/>
                <w:sz w:val="18"/>
                <w:szCs w:val="18"/>
              </w:rPr>
              <w:t xml:space="preserve">ichtlijn audiovisuele mediadiensten (AVMSD) wordt momenteel door de </w:t>
            </w:r>
            <w:r w:rsidRPr="00781A6F" w:rsidR="006B0323">
              <w:rPr>
                <w:rFonts w:ascii="Verdana" w:hAnsi="Verdana"/>
                <w:color w:val="000000"/>
                <w:sz w:val="18"/>
                <w:szCs w:val="18"/>
              </w:rPr>
              <w:t>Commissie</w:t>
            </w:r>
            <w:r w:rsidRPr="00781A6F">
              <w:rPr>
                <w:rFonts w:ascii="Verdana" w:hAnsi="Verdana"/>
                <w:color w:val="000000"/>
                <w:sz w:val="18"/>
                <w:szCs w:val="18"/>
              </w:rPr>
              <w:t xml:space="preserve"> geëvalueerd met een mogelijk herzieningsvoorstel tot gevolg.</w:t>
            </w:r>
          </w:p>
        </w:tc>
        <w:tc>
          <w:tcPr>
            <w:tcW w:w="4535" w:type="dxa"/>
            <w:tcBorders>
              <w:top w:val="single" w:color="auto" w:sz="4" w:space="0"/>
              <w:left w:val="single" w:color="auto" w:sz="4" w:space="0"/>
              <w:bottom w:val="single" w:color="auto" w:sz="4" w:space="0"/>
              <w:right w:val="single" w:color="auto" w:sz="4" w:space="0"/>
            </w:tcBorders>
          </w:tcPr>
          <w:p w:rsidRPr="00781A6F" w:rsidR="00CD13E4" w:rsidP="00781A6F" w:rsidRDefault="00320B91" w14:paraId="689541C9" w14:textId="6D80F957">
            <w:pPr>
              <w:rPr>
                <w:rFonts w:ascii="Verdana" w:hAnsi="Verdana" w:cstheme="minorBidi"/>
                <w:sz w:val="18"/>
                <w:szCs w:val="18"/>
              </w:rPr>
            </w:pPr>
            <w:r w:rsidRPr="00781A6F">
              <w:rPr>
                <w:rFonts w:ascii="Verdana" w:hAnsi="Verdana"/>
                <w:color w:val="000000"/>
                <w:sz w:val="18"/>
                <w:szCs w:val="18"/>
              </w:rPr>
              <w:t>Het kabinet</w:t>
            </w:r>
            <w:r w:rsidRPr="00781A6F" w:rsidR="00480A70">
              <w:rPr>
                <w:rFonts w:ascii="Verdana" w:hAnsi="Verdana"/>
                <w:sz w:val="18"/>
                <w:szCs w:val="18"/>
              </w:rPr>
              <w:t xml:space="preserve"> </w:t>
            </w:r>
            <w:r w:rsidRPr="00781A6F" w:rsidR="00CD13E4">
              <w:rPr>
                <w:rFonts w:ascii="Verdana" w:hAnsi="Verdana"/>
                <w:sz w:val="18"/>
                <w:szCs w:val="18"/>
              </w:rPr>
              <w:t xml:space="preserve">verwelkomt het initiatief voor een update van de regels voor audiovisuele mediadiensten en benadrukt het belang van de evaluatie van de huidige regels als basis van een eventuele herziening. </w:t>
            </w:r>
          </w:p>
        </w:tc>
        <w:tc>
          <w:tcPr>
            <w:tcW w:w="1985" w:type="dxa"/>
            <w:tcBorders>
              <w:top w:val="single" w:color="auto" w:sz="4" w:space="0"/>
              <w:left w:val="single" w:color="auto" w:sz="4" w:space="0"/>
              <w:bottom w:val="single" w:color="auto" w:sz="4" w:space="0"/>
              <w:right w:val="single" w:color="auto" w:sz="4" w:space="0"/>
            </w:tcBorders>
          </w:tcPr>
          <w:p w:rsidRPr="00781A6F" w:rsidR="00CD13E4" w:rsidP="00781A6F" w:rsidRDefault="00CD13E4" w14:paraId="41099961" w14:textId="7D5583E9">
            <w:pPr>
              <w:rPr>
                <w:rFonts w:ascii="Verdana" w:hAnsi="Verdana" w:cstheme="minorBidi"/>
                <w:color w:val="000000"/>
                <w:sz w:val="18"/>
                <w:szCs w:val="18"/>
              </w:rPr>
            </w:pPr>
            <w:r w:rsidRPr="00781A6F">
              <w:rPr>
                <w:rFonts w:ascii="Verdana" w:hAnsi="Verdana"/>
                <w:color w:val="000000"/>
                <w:sz w:val="18"/>
                <w:szCs w:val="18"/>
              </w:rPr>
              <w:t>Wetgevend</w:t>
            </w:r>
          </w:p>
        </w:tc>
      </w:tr>
      <w:tr w:rsidRPr="00781A6F" w:rsidR="00D967E5" w:rsidTr="007766E6" w14:paraId="661CC85F" w14:textId="77777777">
        <w:trPr>
          <w:trHeight w:val="441"/>
        </w:trPr>
        <w:tc>
          <w:tcPr>
            <w:tcW w:w="567" w:type="dxa"/>
            <w:tcBorders>
              <w:top w:val="single" w:color="auto" w:sz="4" w:space="0"/>
              <w:left w:val="single" w:color="auto" w:sz="4" w:space="0"/>
              <w:bottom w:val="single" w:color="auto" w:sz="4" w:space="0"/>
              <w:right w:val="single" w:color="auto" w:sz="4" w:space="0"/>
            </w:tcBorders>
          </w:tcPr>
          <w:p w:rsidRPr="00781A6F" w:rsidR="00D967E5" w:rsidP="00781A6F" w:rsidRDefault="00781A6F" w14:paraId="36AB76BC" w14:textId="0C94A2A1">
            <w:pPr>
              <w:rPr>
                <w:rFonts w:ascii="Verdana" w:hAnsi="Verdana" w:cstheme="minorBidi"/>
                <w:sz w:val="18"/>
                <w:szCs w:val="18"/>
              </w:rPr>
            </w:pPr>
            <w:r w:rsidRPr="00781A6F">
              <w:rPr>
                <w:rFonts w:ascii="Verdana" w:hAnsi="Verdana"/>
                <w:sz w:val="18"/>
                <w:szCs w:val="18"/>
              </w:rPr>
              <w:t>57</w:t>
            </w:r>
            <w:r w:rsidRPr="00781A6F" w:rsidR="00D967E5">
              <w:rPr>
                <w:rFonts w:ascii="Verdana" w:hAnsi="Verdana"/>
                <w:sz w:val="18"/>
                <w:szCs w:val="18"/>
              </w:rPr>
              <w:t xml:space="preserve">. </w:t>
            </w:r>
          </w:p>
        </w:tc>
        <w:tc>
          <w:tcPr>
            <w:tcW w:w="3403" w:type="dxa"/>
            <w:tcBorders>
              <w:top w:val="single" w:color="auto" w:sz="4" w:space="0"/>
              <w:left w:val="single" w:color="auto" w:sz="4" w:space="0"/>
              <w:bottom w:val="single" w:color="auto" w:sz="4" w:space="0"/>
              <w:right w:val="single" w:color="auto" w:sz="4" w:space="0"/>
            </w:tcBorders>
          </w:tcPr>
          <w:p w:rsidRPr="00781A6F" w:rsidR="00D967E5" w:rsidP="00781A6F" w:rsidRDefault="00B345FD" w14:paraId="6AF6D692" w14:textId="3173B420">
            <w:pPr>
              <w:rPr>
                <w:rFonts w:ascii="Verdana" w:hAnsi="Verdana" w:cstheme="minorBidi"/>
                <w:sz w:val="18"/>
                <w:szCs w:val="18"/>
                <w:lang w:val="en-US"/>
              </w:rPr>
            </w:pPr>
            <w:proofErr w:type="spellStart"/>
            <w:r w:rsidRPr="00781A6F">
              <w:rPr>
                <w:rFonts w:ascii="Verdana" w:hAnsi="Verdana"/>
                <w:sz w:val="18"/>
                <w:szCs w:val="18"/>
                <w:lang w:val="en-US"/>
              </w:rPr>
              <w:t>Corruptiebestrijdingsstrategie</w:t>
            </w:r>
            <w:proofErr w:type="spellEnd"/>
            <w:r w:rsidRPr="00781A6F">
              <w:rPr>
                <w:rFonts w:ascii="Verdana" w:hAnsi="Verdana"/>
                <w:sz w:val="18"/>
                <w:szCs w:val="18"/>
                <w:lang w:val="en-US"/>
              </w:rPr>
              <w:t xml:space="preserve"> </w:t>
            </w:r>
            <w:r w:rsidRPr="00781A6F" w:rsidR="00D967E5">
              <w:rPr>
                <w:rFonts w:ascii="Verdana" w:hAnsi="Verdana"/>
                <w:sz w:val="18"/>
                <w:szCs w:val="18"/>
                <w:lang w:val="en-US"/>
              </w:rPr>
              <w:t>(Q4 2026)</w:t>
            </w:r>
          </w:p>
        </w:tc>
        <w:tc>
          <w:tcPr>
            <w:tcW w:w="5103" w:type="dxa"/>
            <w:tcBorders>
              <w:top w:val="single" w:color="auto" w:sz="4" w:space="0"/>
              <w:left w:val="single" w:color="auto" w:sz="4" w:space="0"/>
              <w:bottom w:val="single" w:color="auto" w:sz="4" w:space="0"/>
              <w:right w:val="single" w:color="auto" w:sz="4" w:space="0"/>
            </w:tcBorders>
          </w:tcPr>
          <w:p w:rsidRPr="00781A6F" w:rsidR="00D967E5" w:rsidP="00781A6F" w:rsidRDefault="00D967E5" w14:paraId="61415270" w14:textId="07833B32">
            <w:pPr>
              <w:rPr>
                <w:rFonts w:ascii="Verdana" w:hAnsi="Verdana" w:cstheme="minorBidi"/>
                <w:color w:val="000000"/>
                <w:sz w:val="18"/>
                <w:szCs w:val="18"/>
              </w:rPr>
            </w:pPr>
            <w:r w:rsidRPr="00781A6F">
              <w:rPr>
                <w:rFonts w:ascii="Verdana" w:hAnsi="Verdana"/>
                <w:color w:val="000000"/>
                <w:sz w:val="18"/>
                <w:szCs w:val="18"/>
              </w:rPr>
              <w:t xml:space="preserve">Het voorstel betreft een nieuwe EU-strategie tegen corruptie, gericht op preventie en bestrijding van corruptie in de gehele EU. </w:t>
            </w:r>
          </w:p>
          <w:p w:rsidRPr="00781A6F" w:rsidR="00D967E5" w:rsidP="00781A6F" w:rsidRDefault="00D967E5" w14:paraId="1A929BCC" w14:textId="063CB03A">
            <w:pPr>
              <w:rPr>
                <w:rFonts w:ascii="Verdana" w:hAnsi="Verdana" w:cstheme="minorHAnsi"/>
                <w:color w:val="000000"/>
                <w:sz w:val="18"/>
                <w:szCs w:val="18"/>
              </w:rPr>
            </w:pPr>
          </w:p>
        </w:tc>
        <w:tc>
          <w:tcPr>
            <w:tcW w:w="4535" w:type="dxa"/>
            <w:tcBorders>
              <w:top w:val="single" w:color="auto" w:sz="4" w:space="0"/>
              <w:left w:val="single" w:color="auto" w:sz="4" w:space="0"/>
              <w:bottom w:val="single" w:color="auto" w:sz="4" w:space="0"/>
              <w:right w:val="single" w:color="auto" w:sz="4" w:space="0"/>
            </w:tcBorders>
          </w:tcPr>
          <w:p w:rsidRPr="00781A6F" w:rsidR="00D967E5" w:rsidP="00781A6F" w:rsidRDefault="00D967E5" w14:paraId="056FA539" w14:textId="3E339508">
            <w:pPr>
              <w:rPr>
                <w:rFonts w:ascii="Verdana" w:hAnsi="Verdana" w:cstheme="minorBidi"/>
                <w:color w:val="000000" w:themeColor="text1"/>
                <w:sz w:val="18"/>
                <w:szCs w:val="18"/>
              </w:rPr>
            </w:pPr>
            <w:r w:rsidRPr="00781A6F">
              <w:rPr>
                <w:rFonts w:ascii="Verdana" w:hAnsi="Verdana"/>
                <w:color w:val="000000"/>
                <w:sz w:val="18"/>
                <w:szCs w:val="18"/>
              </w:rPr>
              <w:t>Het kabinet</w:t>
            </w:r>
            <w:r w:rsidR="00743617">
              <w:rPr>
                <w:rFonts w:ascii="Verdana" w:hAnsi="Verdana"/>
                <w:color w:val="000000"/>
                <w:sz w:val="18"/>
                <w:szCs w:val="18"/>
              </w:rPr>
              <w:t xml:space="preserve"> wacht</w:t>
            </w:r>
            <w:r w:rsidRPr="00781A6F" w:rsidR="00702608">
              <w:rPr>
                <w:rFonts w:ascii="Verdana" w:hAnsi="Verdana" w:eastAsia="Aptos" w:cs="Aptos"/>
                <w:sz w:val="18"/>
                <w:szCs w:val="18"/>
              </w:rPr>
              <w:t xml:space="preserve"> </w:t>
            </w:r>
            <w:r w:rsidRPr="00781A6F" w:rsidR="00480A70">
              <w:rPr>
                <w:rFonts w:ascii="Verdana" w:hAnsi="Verdana"/>
                <w:color w:val="000000"/>
                <w:sz w:val="18"/>
                <w:szCs w:val="18"/>
              </w:rPr>
              <w:t>de aangekondigde</w:t>
            </w:r>
            <w:r w:rsidRPr="00781A6F">
              <w:rPr>
                <w:rFonts w:ascii="Verdana" w:hAnsi="Verdana"/>
                <w:color w:val="000000"/>
                <w:sz w:val="18"/>
                <w:szCs w:val="18"/>
              </w:rPr>
              <w:t xml:space="preserve"> strategie</w:t>
            </w:r>
            <w:r w:rsidRPr="00781A6F" w:rsidR="00480A70">
              <w:rPr>
                <w:rFonts w:ascii="Verdana" w:hAnsi="Verdana"/>
                <w:color w:val="000000"/>
                <w:sz w:val="18"/>
                <w:szCs w:val="18"/>
              </w:rPr>
              <w:t xml:space="preserve"> </w:t>
            </w:r>
            <w:r w:rsidR="00743617">
              <w:rPr>
                <w:rFonts w:ascii="Verdana" w:hAnsi="Verdana"/>
                <w:color w:val="000000"/>
                <w:sz w:val="18"/>
                <w:szCs w:val="18"/>
              </w:rPr>
              <w:t xml:space="preserve">af </w:t>
            </w:r>
            <w:r w:rsidRPr="00781A6F" w:rsidR="00480A70">
              <w:rPr>
                <w:rFonts w:ascii="Verdana" w:hAnsi="Verdana"/>
                <w:color w:val="000000"/>
                <w:sz w:val="18"/>
                <w:szCs w:val="18"/>
              </w:rPr>
              <w:t xml:space="preserve">en </w:t>
            </w:r>
            <w:r w:rsidRPr="00781A6F">
              <w:rPr>
                <w:rFonts w:ascii="Verdana" w:hAnsi="Verdana"/>
                <w:color w:val="000000"/>
                <w:sz w:val="18"/>
                <w:szCs w:val="18"/>
              </w:rPr>
              <w:t xml:space="preserve">verwacht hierbij dat de </w:t>
            </w:r>
            <w:r w:rsidRPr="00781A6F" w:rsidR="006B0323">
              <w:rPr>
                <w:rFonts w:ascii="Verdana" w:hAnsi="Verdana"/>
                <w:color w:val="000000"/>
                <w:sz w:val="18"/>
                <w:szCs w:val="18"/>
              </w:rPr>
              <w:t>Commissie</w:t>
            </w:r>
            <w:r w:rsidRPr="00781A6F">
              <w:rPr>
                <w:rFonts w:ascii="Verdana" w:hAnsi="Verdana"/>
                <w:color w:val="000000"/>
                <w:sz w:val="18"/>
                <w:szCs w:val="18"/>
              </w:rPr>
              <w:t xml:space="preserve"> vasthoudt aan de kaders uit de Mededeling van 2023, zoals consultatie van het </w:t>
            </w:r>
            <w:r w:rsidRPr="00781A6F" w:rsidR="00480A70">
              <w:rPr>
                <w:rFonts w:ascii="Verdana" w:hAnsi="Verdana"/>
                <w:color w:val="000000"/>
                <w:sz w:val="18"/>
                <w:szCs w:val="18"/>
              </w:rPr>
              <w:t xml:space="preserve">Europees Parlement </w:t>
            </w:r>
            <w:r w:rsidRPr="00781A6F">
              <w:rPr>
                <w:rFonts w:ascii="Verdana" w:hAnsi="Verdana"/>
                <w:color w:val="000000"/>
                <w:sz w:val="18"/>
                <w:szCs w:val="18"/>
              </w:rPr>
              <w:t xml:space="preserve">en de </w:t>
            </w:r>
            <w:r w:rsidRPr="00781A6F" w:rsidR="00480A70">
              <w:rPr>
                <w:rFonts w:ascii="Verdana" w:hAnsi="Verdana"/>
                <w:color w:val="000000"/>
                <w:sz w:val="18"/>
                <w:szCs w:val="18"/>
              </w:rPr>
              <w:t>EU</w:t>
            </w:r>
            <w:r w:rsidRPr="00781A6F" w:rsidR="00EA03E6">
              <w:rPr>
                <w:rFonts w:ascii="Verdana" w:hAnsi="Verdana"/>
                <w:color w:val="000000"/>
                <w:sz w:val="18"/>
                <w:szCs w:val="18"/>
              </w:rPr>
              <w:t>-</w:t>
            </w:r>
            <w:r w:rsidRPr="00781A6F">
              <w:rPr>
                <w:rFonts w:ascii="Verdana" w:hAnsi="Verdana"/>
                <w:color w:val="000000"/>
                <w:sz w:val="18"/>
                <w:szCs w:val="18"/>
              </w:rPr>
              <w:t xml:space="preserve">lidstaten, en beziet met interesse de wijze waarop het strategievoorstel aansluit bij het voorstel voor een anti-corruptierichtlijn. De middelen voor de uitvoering en implementatie van de strategie </w:t>
            </w:r>
            <w:r w:rsidRPr="00781A6F">
              <w:rPr>
                <w:rFonts w:ascii="Verdana" w:hAnsi="Verdana"/>
                <w:color w:val="000000"/>
                <w:sz w:val="18"/>
                <w:szCs w:val="18"/>
              </w:rPr>
              <w:lastRenderedPageBreak/>
              <w:t>moeten wel passen binnen de huidige financiële kaders van de EU</w:t>
            </w:r>
            <w:r w:rsidRPr="00781A6F" w:rsidR="00EA03E6">
              <w:rPr>
                <w:rFonts w:ascii="Verdana" w:hAnsi="Verdana"/>
                <w:color w:val="000000"/>
                <w:sz w:val="18"/>
                <w:szCs w:val="18"/>
              </w:rPr>
              <w:t>-</w:t>
            </w:r>
            <w:r w:rsidRPr="00781A6F">
              <w:rPr>
                <w:rFonts w:ascii="Verdana" w:hAnsi="Verdana"/>
                <w:color w:val="000000"/>
                <w:sz w:val="18"/>
                <w:szCs w:val="18"/>
              </w:rPr>
              <w:t xml:space="preserve">begroting. </w:t>
            </w:r>
          </w:p>
        </w:tc>
        <w:tc>
          <w:tcPr>
            <w:tcW w:w="1985" w:type="dxa"/>
            <w:tcBorders>
              <w:top w:val="single" w:color="auto" w:sz="4" w:space="0"/>
              <w:left w:val="single" w:color="auto" w:sz="4" w:space="0"/>
              <w:bottom w:val="single" w:color="auto" w:sz="4" w:space="0"/>
              <w:right w:val="single" w:color="auto" w:sz="4" w:space="0"/>
            </w:tcBorders>
          </w:tcPr>
          <w:p w:rsidRPr="00781A6F" w:rsidR="00D967E5" w:rsidP="00781A6F" w:rsidRDefault="00D967E5" w14:paraId="27223375" w14:textId="4A115605">
            <w:pPr>
              <w:rPr>
                <w:rFonts w:ascii="Verdana" w:hAnsi="Verdana" w:cstheme="minorBidi"/>
                <w:color w:val="000000"/>
                <w:sz w:val="18"/>
                <w:szCs w:val="18"/>
              </w:rPr>
            </w:pPr>
            <w:r w:rsidRPr="00781A6F">
              <w:rPr>
                <w:rFonts w:ascii="Verdana" w:hAnsi="Verdana"/>
                <w:color w:val="000000"/>
                <w:sz w:val="18"/>
                <w:szCs w:val="18"/>
              </w:rPr>
              <w:lastRenderedPageBreak/>
              <w:t>Niet-wetgevend</w:t>
            </w:r>
          </w:p>
        </w:tc>
      </w:tr>
      <w:tr w:rsidRPr="00781A6F" w:rsidR="00D967E5" w:rsidTr="007766E6" w14:paraId="53C03F33"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781A6F" w:rsidR="00D967E5" w:rsidP="00781A6F" w:rsidRDefault="00781A6F" w14:paraId="2D652957" w14:textId="2C28B583">
            <w:pPr>
              <w:rPr>
                <w:rFonts w:ascii="Verdana" w:hAnsi="Verdana" w:cstheme="minorBidi"/>
                <w:sz w:val="18"/>
                <w:szCs w:val="18"/>
              </w:rPr>
            </w:pPr>
            <w:r w:rsidRPr="00781A6F">
              <w:rPr>
                <w:rFonts w:ascii="Verdana" w:hAnsi="Verdana"/>
                <w:sz w:val="18"/>
                <w:szCs w:val="18"/>
              </w:rPr>
              <w:t>58</w:t>
            </w:r>
            <w:r w:rsidRPr="00781A6F" w:rsidR="00D967E5">
              <w:rPr>
                <w:rFonts w:ascii="Verdana" w:hAnsi="Verdana"/>
                <w:sz w:val="18"/>
                <w:szCs w:val="18"/>
              </w:rPr>
              <w:t>.</w:t>
            </w:r>
          </w:p>
        </w:tc>
        <w:tc>
          <w:tcPr>
            <w:tcW w:w="3403" w:type="dxa"/>
            <w:tcBorders>
              <w:top w:val="single" w:color="auto" w:sz="4" w:space="0"/>
              <w:left w:val="single" w:color="auto" w:sz="4" w:space="0"/>
              <w:bottom w:val="single" w:color="auto" w:sz="4" w:space="0"/>
              <w:right w:val="single" w:color="auto" w:sz="4" w:space="0"/>
            </w:tcBorders>
          </w:tcPr>
          <w:p w:rsidRPr="00781A6F" w:rsidR="00D967E5" w:rsidP="00781A6F" w:rsidRDefault="00B345FD" w14:paraId="1CEFC30D" w14:textId="7483234C">
            <w:pPr>
              <w:rPr>
                <w:rFonts w:ascii="Verdana" w:hAnsi="Verdana" w:cstheme="minorBidi"/>
                <w:sz w:val="18"/>
                <w:szCs w:val="18"/>
              </w:rPr>
            </w:pPr>
            <w:r w:rsidRPr="00781A6F">
              <w:rPr>
                <w:rFonts w:ascii="Verdana" w:hAnsi="Verdana"/>
                <w:sz w:val="18"/>
                <w:szCs w:val="18"/>
              </w:rPr>
              <w:t xml:space="preserve">Herziening van de fraudebestrijdingsarchitectuur van de EU </w:t>
            </w:r>
            <w:r w:rsidRPr="00781A6F" w:rsidR="00D967E5">
              <w:rPr>
                <w:rFonts w:ascii="Verdana" w:hAnsi="Verdana"/>
                <w:sz w:val="18"/>
                <w:szCs w:val="18"/>
              </w:rPr>
              <w:t>(Q4 2026)</w:t>
            </w:r>
          </w:p>
        </w:tc>
        <w:tc>
          <w:tcPr>
            <w:tcW w:w="5103" w:type="dxa"/>
            <w:tcBorders>
              <w:top w:val="single" w:color="auto" w:sz="4" w:space="0"/>
              <w:left w:val="single" w:color="auto" w:sz="4" w:space="0"/>
              <w:bottom w:val="single" w:color="auto" w:sz="4" w:space="0"/>
              <w:right w:val="single" w:color="auto" w:sz="4" w:space="0"/>
            </w:tcBorders>
          </w:tcPr>
          <w:p w:rsidRPr="00781A6F" w:rsidR="00D967E5" w:rsidP="00781A6F" w:rsidRDefault="00D967E5" w14:paraId="351A9866" w14:textId="5FA3C460">
            <w:pPr>
              <w:rPr>
                <w:rFonts w:ascii="Verdana" w:hAnsi="Verdana" w:cstheme="minorBidi"/>
                <w:color w:val="000000"/>
                <w:sz w:val="18"/>
                <w:szCs w:val="18"/>
              </w:rPr>
            </w:pPr>
            <w:r w:rsidRPr="00781A6F">
              <w:rPr>
                <w:rFonts w:ascii="Verdana" w:hAnsi="Verdana"/>
                <w:color w:val="000000"/>
                <w:sz w:val="18"/>
                <w:szCs w:val="18"/>
              </w:rPr>
              <w:t xml:space="preserve">Het voorstel betreft de herziening van de EU-fraudebestrijdingsarchitectuur en beoogt een evaluatie van de effectiviteit van de huidige anti-fraude-instrumenten en de actoren die een rol spelen bij de bestrijding van EU-fraude. Het richt zich op verbetering van de samenwerking tussen de EU-actoren onderling en met de </w:t>
            </w:r>
            <w:r w:rsidRPr="00781A6F" w:rsidR="00480A70">
              <w:rPr>
                <w:rFonts w:ascii="Verdana" w:hAnsi="Verdana"/>
                <w:color w:val="000000"/>
                <w:sz w:val="18"/>
                <w:szCs w:val="18"/>
              </w:rPr>
              <w:t xml:space="preserve">EU </w:t>
            </w:r>
            <w:r w:rsidRPr="00781A6F">
              <w:rPr>
                <w:rFonts w:ascii="Verdana" w:hAnsi="Verdana"/>
                <w:color w:val="000000"/>
                <w:sz w:val="18"/>
                <w:szCs w:val="18"/>
              </w:rPr>
              <w:t>lidstaten, met als doel de bescherming van de EU-begroting tegen fraude te versterken.</w:t>
            </w:r>
          </w:p>
        </w:tc>
        <w:tc>
          <w:tcPr>
            <w:tcW w:w="4535" w:type="dxa"/>
            <w:tcBorders>
              <w:top w:val="single" w:color="auto" w:sz="4" w:space="0"/>
              <w:left w:val="single" w:color="auto" w:sz="4" w:space="0"/>
              <w:bottom w:val="single" w:color="auto" w:sz="4" w:space="0"/>
              <w:right w:val="single" w:color="auto" w:sz="4" w:space="0"/>
            </w:tcBorders>
          </w:tcPr>
          <w:p w:rsidRPr="00781A6F" w:rsidR="00D967E5" w:rsidP="00781A6F" w:rsidRDefault="00D967E5" w14:paraId="58555041" w14:textId="23E7F7F2">
            <w:pPr>
              <w:rPr>
                <w:rFonts w:ascii="Verdana" w:hAnsi="Verdana" w:cstheme="minorBidi"/>
                <w:color w:val="000000"/>
                <w:sz w:val="18"/>
                <w:szCs w:val="18"/>
              </w:rPr>
            </w:pPr>
            <w:r w:rsidRPr="00781A6F">
              <w:rPr>
                <w:rFonts w:ascii="Verdana" w:hAnsi="Verdana"/>
                <w:color w:val="000000"/>
                <w:sz w:val="18"/>
                <w:szCs w:val="18"/>
              </w:rPr>
              <w:t xml:space="preserve">Het kabinet </w:t>
            </w:r>
            <w:r w:rsidRPr="00781A6F" w:rsidR="00702608">
              <w:rPr>
                <w:rFonts w:ascii="Verdana" w:hAnsi="Verdana" w:eastAsia="Aptos" w:cs="Aptos"/>
                <w:sz w:val="18"/>
                <w:szCs w:val="18"/>
              </w:rPr>
              <w:t xml:space="preserve">kijkt uit naar </w:t>
            </w:r>
            <w:r w:rsidRPr="00781A6F">
              <w:rPr>
                <w:rFonts w:ascii="Verdana" w:hAnsi="Verdana"/>
                <w:color w:val="000000"/>
                <w:sz w:val="18"/>
                <w:szCs w:val="18"/>
              </w:rPr>
              <w:t xml:space="preserve">de lopende evaluatie  van de EU anti-fraude architectuur af en wacht het voorstel op basis daarvan af, waarbij wel nauwe samenhang moet bestaan met de voorstellen voor Eurojust, Europol en </w:t>
            </w:r>
            <w:r w:rsidRPr="00781A6F" w:rsidR="00480A70">
              <w:rPr>
                <w:rFonts w:ascii="Verdana" w:hAnsi="Verdana"/>
                <w:color w:val="000000"/>
                <w:sz w:val="18"/>
                <w:szCs w:val="18"/>
              </w:rPr>
              <w:t xml:space="preserve">het Europees bureau voor fraudebestrijding (OLAF) </w:t>
            </w:r>
            <w:r w:rsidRPr="00781A6F">
              <w:rPr>
                <w:rFonts w:ascii="Verdana" w:hAnsi="Verdana"/>
                <w:color w:val="000000"/>
                <w:sz w:val="18"/>
                <w:szCs w:val="18"/>
              </w:rPr>
              <w:t>die ook in de loop van 2026 op de rol staan.</w:t>
            </w:r>
          </w:p>
        </w:tc>
        <w:tc>
          <w:tcPr>
            <w:tcW w:w="1985" w:type="dxa"/>
            <w:tcBorders>
              <w:top w:val="single" w:color="auto" w:sz="4" w:space="0"/>
              <w:left w:val="single" w:color="auto" w:sz="4" w:space="0"/>
              <w:bottom w:val="single" w:color="auto" w:sz="4" w:space="0"/>
              <w:right w:val="single" w:color="auto" w:sz="4" w:space="0"/>
            </w:tcBorders>
          </w:tcPr>
          <w:p w:rsidRPr="00781A6F" w:rsidR="00D967E5" w:rsidP="00781A6F" w:rsidRDefault="00D967E5" w14:paraId="5BF4A73A" w14:textId="0D4ED576">
            <w:pPr>
              <w:rPr>
                <w:rFonts w:ascii="Verdana" w:hAnsi="Verdana" w:cstheme="minorBidi"/>
                <w:color w:val="000000"/>
                <w:sz w:val="18"/>
                <w:szCs w:val="18"/>
              </w:rPr>
            </w:pPr>
            <w:r w:rsidRPr="00781A6F">
              <w:rPr>
                <w:rFonts w:ascii="Verdana" w:hAnsi="Verdana"/>
                <w:color w:val="000000"/>
                <w:sz w:val="18"/>
                <w:szCs w:val="18"/>
              </w:rPr>
              <w:t>Niet-wetgevend en Wetgevend</w:t>
            </w:r>
          </w:p>
        </w:tc>
      </w:tr>
      <w:tr w:rsidRPr="00781A6F" w:rsidR="00D967E5" w:rsidTr="007766E6" w14:paraId="12AE92EB"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781A6F" w:rsidR="00D967E5" w:rsidP="00781A6F" w:rsidRDefault="00781A6F" w14:paraId="3B323E81" w14:textId="51F629B2">
            <w:pPr>
              <w:rPr>
                <w:rFonts w:ascii="Verdana" w:hAnsi="Verdana" w:cstheme="minorBidi"/>
                <w:sz w:val="18"/>
                <w:szCs w:val="18"/>
              </w:rPr>
            </w:pPr>
            <w:r w:rsidRPr="00781A6F">
              <w:rPr>
                <w:rFonts w:ascii="Verdana" w:hAnsi="Verdana"/>
                <w:sz w:val="18"/>
                <w:szCs w:val="18"/>
              </w:rPr>
              <w:t>59</w:t>
            </w:r>
            <w:r w:rsidRPr="00781A6F" w:rsidR="00D967E5">
              <w:rPr>
                <w:rFonts w:ascii="Verdana" w:hAnsi="Verdana"/>
                <w:sz w:val="18"/>
                <w:szCs w:val="18"/>
              </w:rPr>
              <w:t>.</w:t>
            </w:r>
          </w:p>
        </w:tc>
        <w:tc>
          <w:tcPr>
            <w:tcW w:w="3403" w:type="dxa"/>
            <w:tcBorders>
              <w:top w:val="single" w:color="auto" w:sz="4" w:space="0"/>
              <w:left w:val="single" w:color="auto" w:sz="4" w:space="0"/>
              <w:bottom w:val="single" w:color="auto" w:sz="4" w:space="0"/>
              <w:right w:val="single" w:color="auto" w:sz="4" w:space="0"/>
            </w:tcBorders>
          </w:tcPr>
          <w:p w:rsidRPr="00781A6F" w:rsidR="00D967E5" w:rsidP="00781A6F" w:rsidRDefault="00B345FD" w14:paraId="1194B48E" w14:textId="2585DC33">
            <w:pPr>
              <w:rPr>
                <w:rFonts w:ascii="Verdana" w:hAnsi="Verdana" w:cstheme="minorBidi"/>
                <w:sz w:val="18"/>
                <w:szCs w:val="18"/>
                <w:lang w:val="en-US"/>
              </w:rPr>
            </w:pPr>
            <w:proofErr w:type="spellStart"/>
            <w:r w:rsidRPr="00781A6F">
              <w:rPr>
                <w:rFonts w:ascii="Verdana" w:hAnsi="Verdana"/>
                <w:sz w:val="18"/>
                <w:szCs w:val="18"/>
                <w:lang w:val="en-US"/>
              </w:rPr>
              <w:t>Actieplan</w:t>
            </w:r>
            <w:proofErr w:type="spellEnd"/>
            <w:r w:rsidRPr="00781A6F">
              <w:rPr>
                <w:rFonts w:ascii="Verdana" w:hAnsi="Verdana"/>
                <w:sz w:val="18"/>
                <w:szCs w:val="18"/>
                <w:lang w:val="en-US"/>
              </w:rPr>
              <w:t xml:space="preserve"> </w:t>
            </w:r>
            <w:proofErr w:type="spellStart"/>
            <w:r w:rsidRPr="00781A6F">
              <w:rPr>
                <w:rFonts w:ascii="Verdana" w:hAnsi="Verdana"/>
                <w:sz w:val="18"/>
                <w:szCs w:val="18"/>
                <w:lang w:val="en-US"/>
              </w:rPr>
              <w:t>tegen</w:t>
            </w:r>
            <w:proofErr w:type="spellEnd"/>
            <w:r w:rsidRPr="00781A6F">
              <w:rPr>
                <w:rFonts w:ascii="Verdana" w:hAnsi="Verdana"/>
                <w:sz w:val="18"/>
                <w:szCs w:val="18"/>
                <w:lang w:val="en-US"/>
              </w:rPr>
              <w:t xml:space="preserve"> </w:t>
            </w:r>
            <w:proofErr w:type="spellStart"/>
            <w:r w:rsidRPr="00781A6F">
              <w:rPr>
                <w:rFonts w:ascii="Verdana" w:hAnsi="Verdana"/>
                <w:sz w:val="18"/>
                <w:szCs w:val="18"/>
                <w:lang w:val="en-US"/>
              </w:rPr>
              <w:t>cyberpesten</w:t>
            </w:r>
            <w:proofErr w:type="spellEnd"/>
            <w:r w:rsidRPr="00781A6F">
              <w:rPr>
                <w:rFonts w:ascii="Verdana" w:hAnsi="Verdana"/>
                <w:sz w:val="18"/>
                <w:szCs w:val="18"/>
                <w:lang w:val="en-US"/>
              </w:rPr>
              <w:t xml:space="preserve"> </w:t>
            </w:r>
            <w:r w:rsidRPr="00781A6F" w:rsidR="00D967E5">
              <w:rPr>
                <w:rFonts w:ascii="Verdana" w:hAnsi="Verdana"/>
                <w:sz w:val="18"/>
                <w:szCs w:val="18"/>
                <w:lang w:val="en-US"/>
              </w:rPr>
              <w:t>(Q1 2026)</w:t>
            </w:r>
          </w:p>
        </w:tc>
        <w:tc>
          <w:tcPr>
            <w:tcW w:w="5103" w:type="dxa"/>
            <w:tcBorders>
              <w:top w:val="single" w:color="auto" w:sz="4" w:space="0"/>
              <w:left w:val="single" w:color="auto" w:sz="4" w:space="0"/>
              <w:bottom w:val="single" w:color="auto" w:sz="4" w:space="0"/>
              <w:right w:val="single" w:color="auto" w:sz="4" w:space="0"/>
            </w:tcBorders>
          </w:tcPr>
          <w:p w:rsidRPr="00781A6F" w:rsidR="00D967E5" w:rsidP="00781A6F" w:rsidRDefault="00D967E5" w14:paraId="10DF6F53" w14:textId="40815783">
            <w:pPr>
              <w:rPr>
                <w:rFonts w:ascii="Verdana" w:hAnsi="Verdana" w:cstheme="minorBidi"/>
                <w:color w:val="000000"/>
                <w:sz w:val="18"/>
                <w:szCs w:val="18"/>
              </w:rPr>
            </w:pPr>
            <w:r w:rsidRPr="00781A6F">
              <w:rPr>
                <w:rFonts w:ascii="Verdana" w:hAnsi="Verdana"/>
                <w:color w:val="000000"/>
                <w:sz w:val="18"/>
                <w:szCs w:val="18"/>
              </w:rPr>
              <w:t xml:space="preserve">Een actieplan van de </w:t>
            </w:r>
            <w:r w:rsidRPr="00781A6F" w:rsidR="006B0323">
              <w:rPr>
                <w:rFonts w:ascii="Verdana" w:hAnsi="Verdana"/>
                <w:color w:val="000000"/>
                <w:sz w:val="18"/>
                <w:szCs w:val="18"/>
              </w:rPr>
              <w:t>Commissie</w:t>
            </w:r>
            <w:r w:rsidRPr="00781A6F">
              <w:rPr>
                <w:rFonts w:ascii="Verdana" w:hAnsi="Verdana"/>
                <w:color w:val="000000"/>
                <w:sz w:val="18"/>
                <w:szCs w:val="18"/>
              </w:rPr>
              <w:t xml:space="preserve"> om cyberpesten (online pesten) te bestrijden, met name bij jongeren. Naar verwachting omvat het actieplan niet-wetgevende maatregelen zoals voorlichting en richtsnoeren, om de online veiligheid van kinderen te vergroten en pestgedrag op internet tegen te gaan.</w:t>
            </w:r>
          </w:p>
        </w:tc>
        <w:tc>
          <w:tcPr>
            <w:tcW w:w="4535" w:type="dxa"/>
            <w:tcBorders>
              <w:top w:val="single" w:color="auto" w:sz="4" w:space="0"/>
              <w:left w:val="single" w:color="auto" w:sz="4" w:space="0"/>
              <w:bottom w:val="single" w:color="auto" w:sz="4" w:space="0"/>
              <w:right w:val="single" w:color="auto" w:sz="4" w:space="0"/>
            </w:tcBorders>
          </w:tcPr>
          <w:p w:rsidRPr="00781A6F" w:rsidR="00D967E5" w:rsidP="00781A6F" w:rsidRDefault="00D967E5" w14:paraId="66BE7E6B" w14:textId="50C9B01A">
            <w:pPr>
              <w:rPr>
                <w:rFonts w:ascii="Verdana" w:hAnsi="Verdana" w:cstheme="minorBidi"/>
                <w:color w:val="000000"/>
                <w:sz w:val="18"/>
                <w:szCs w:val="18"/>
              </w:rPr>
            </w:pPr>
            <w:r w:rsidRPr="00781A6F">
              <w:rPr>
                <w:rFonts w:ascii="Verdana" w:hAnsi="Verdana"/>
                <w:color w:val="000000"/>
                <w:sz w:val="18"/>
                <w:szCs w:val="18"/>
              </w:rPr>
              <w:t xml:space="preserve">Het kabinet </w:t>
            </w:r>
            <w:r w:rsidRPr="00781A6F" w:rsidR="00186531">
              <w:rPr>
                <w:rFonts w:ascii="Verdana" w:hAnsi="Verdana"/>
                <w:color w:val="000000"/>
                <w:sz w:val="18"/>
                <w:szCs w:val="18"/>
              </w:rPr>
              <w:t xml:space="preserve">kijkt uit </w:t>
            </w:r>
            <w:r w:rsidRPr="00781A6F">
              <w:rPr>
                <w:rFonts w:ascii="Verdana" w:hAnsi="Verdana"/>
                <w:color w:val="000000"/>
                <w:sz w:val="18"/>
                <w:szCs w:val="18"/>
              </w:rPr>
              <w:t>naar het actieplan</w:t>
            </w:r>
            <w:r w:rsidRPr="00781A6F" w:rsidR="00186531">
              <w:rPr>
                <w:rFonts w:ascii="Verdana" w:hAnsi="Verdana"/>
                <w:color w:val="000000"/>
                <w:sz w:val="18"/>
                <w:szCs w:val="18"/>
              </w:rPr>
              <w:t xml:space="preserve"> van de </w:t>
            </w:r>
            <w:r w:rsidRPr="00781A6F" w:rsidR="006B0323">
              <w:rPr>
                <w:rFonts w:ascii="Verdana" w:hAnsi="Verdana"/>
                <w:color w:val="000000"/>
                <w:sz w:val="18"/>
                <w:szCs w:val="18"/>
              </w:rPr>
              <w:t>Commissie</w:t>
            </w:r>
            <w:r w:rsidRPr="00781A6F" w:rsidR="00186531">
              <w:rPr>
                <w:rFonts w:ascii="Verdana" w:hAnsi="Verdana"/>
                <w:color w:val="000000"/>
                <w:sz w:val="18"/>
                <w:szCs w:val="18"/>
              </w:rPr>
              <w:t xml:space="preserve"> om cyberpesten te bestrijden. </w:t>
            </w:r>
          </w:p>
        </w:tc>
        <w:tc>
          <w:tcPr>
            <w:tcW w:w="1985" w:type="dxa"/>
            <w:tcBorders>
              <w:top w:val="single" w:color="auto" w:sz="4" w:space="0"/>
              <w:left w:val="single" w:color="auto" w:sz="4" w:space="0"/>
              <w:bottom w:val="single" w:color="auto" w:sz="4" w:space="0"/>
              <w:right w:val="single" w:color="auto" w:sz="4" w:space="0"/>
            </w:tcBorders>
          </w:tcPr>
          <w:p w:rsidRPr="00781A6F" w:rsidR="00D967E5" w:rsidP="00781A6F" w:rsidRDefault="00D967E5" w14:paraId="3504C2B6" w14:textId="6E087753">
            <w:pPr>
              <w:rPr>
                <w:rFonts w:ascii="Verdana" w:hAnsi="Verdana" w:cstheme="minorBidi"/>
                <w:color w:val="000000"/>
                <w:sz w:val="18"/>
                <w:szCs w:val="18"/>
              </w:rPr>
            </w:pPr>
            <w:r w:rsidRPr="00781A6F">
              <w:rPr>
                <w:rFonts w:ascii="Verdana" w:hAnsi="Verdana"/>
                <w:color w:val="000000"/>
                <w:sz w:val="18"/>
                <w:szCs w:val="18"/>
              </w:rPr>
              <w:t>Niet-wetgevend</w:t>
            </w:r>
          </w:p>
        </w:tc>
      </w:tr>
      <w:tr w:rsidRPr="00781A6F" w:rsidR="00CD13E4" w:rsidTr="007766E6" w14:paraId="6EC3833B"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781A6F" w:rsidR="00CD13E4" w:rsidP="00781A6F" w:rsidRDefault="00781A6F" w14:paraId="7F8E7B8A" w14:textId="7013FB88">
            <w:pPr>
              <w:rPr>
                <w:rFonts w:ascii="Verdana" w:hAnsi="Verdana" w:cstheme="minorBidi"/>
                <w:sz w:val="18"/>
                <w:szCs w:val="18"/>
              </w:rPr>
            </w:pPr>
            <w:r w:rsidRPr="00781A6F">
              <w:rPr>
                <w:rFonts w:ascii="Verdana" w:hAnsi="Verdana"/>
                <w:sz w:val="18"/>
                <w:szCs w:val="18"/>
              </w:rPr>
              <w:t>60</w:t>
            </w:r>
            <w:r w:rsidRPr="00781A6F" w:rsidR="00CD13E4">
              <w:rPr>
                <w:rFonts w:ascii="Verdana" w:hAnsi="Verdana"/>
                <w:sz w:val="18"/>
                <w:szCs w:val="18"/>
              </w:rPr>
              <w:t>.</w:t>
            </w:r>
          </w:p>
        </w:tc>
        <w:tc>
          <w:tcPr>
            <w:tcW w:w="3403" w:type="dxa"/>
            <w:tcBorders>
              <w:top w:val="single" w:color="auto" w:sz="4" w:space="0"/>
              <w:left w:val="single" w:color="auto" w:sz="4" w:space="0"/>
              <w:bottom w:val="single" w:color="auto" w:sz="4" w:space="0"/>
              <w:right w:val="single" w:color="auto" w:sz="4" w:space="0"/>
            </w:tcBorders>
          </w:tcPr>
          <w:p w:rsidRPr="00781A6F" w:rsidR="00CD13E4" w:rsidP="00781A6F" w:rsidRDefault="00B345FD" w14:paraId="182659AB" w14:textId="1861D219">
            <w:pPr>
              <w:rPr>
                <w:rFonts w:ascii="Verdana" w:hAnsi="Verdana" w:cstheme="minorBidi"/>
                <w:sz w:val="18"/>
                <w:szCs w:val="18"/>
                <w:lang w:val="en-US"/>
              </w:rPr>
            </w:pPr>
            <w:proofErr w:type="spellStart"/>
            <w:r w:rsidRPr="00781A6F">
              <w:rPr>
                <w:rFonts w:ascii="Verdana" w:hAnsi="Verdana"/>
                <w:sz w:val="18"/>
                <w:szCs w:val="18"/>
                <w:lang w:val="en-US"/>
              </w:rPr>
              <w:t>Strategie</w:t>
            </w:r>
            <w:proofErr w:type="spellEnd"/>
            <w:r w:rsidRPr="00781A6F">
              <w:rPr>
                <w:rFonts w:ascii="Verdana" w:hAnsi="Verdana"/>
                <w:sz w:val="18"/>
                <w:szCs w:val="18"/>
                <w:lang w:val="en-US"/>
              </w:rPr>
              <w:t xml:space="preserve"> </w:t>
            </w:r>
            <w:proofErr w:type="spellStart"/>
            <w:r w:rsidRPr="00781A6F">
              <w:rPr>
                <w:rFonts w:ascii="Verdana" w:hAnsi="Verdana"/>
                <w:sz w:val="18"/>
                <w:szCs w:val="18"/>
                <w:lang w:val="en-US"/>
              </w:rPr>
              <w:t>voor</w:t>
            </w:r>
            <w:proofErr w:type="spellEnd"/>
            <w:r w:rsidRPr="00781A6F">
              <w:rPr>
                <w:rFonts w:ascii="Verdana" w:hAnsi="Verdana"/>
                <w:sz w:val="18"/>
                <w:szCs w:val="18"/>
                <w:lang w:val="en-US"/>
              </w:rPr>
              <w:t xml:space="preserve"> </w:t>
            </w:r>
            <w:proofErr w:type="spellStart"/>
            <w:r w:rsidRPr="00781A6F">
              <w:rPr>
                <w:rFonts w:ascii="Verdana" w:hAnsi="Verdana"/>
                <w:sz w:val="18"/>
                <w:szCs w:val="18"/>
                <w:lang w:val="en-US"/>
              </w:rPr>
              <w:t>gendergelijkheid</w:t>
            </w:r>
            <w:proofErr w:type="spellEnd"/>
            <w:r w:rsidRPr="00781A6F">
              <w:rPr>
                <w:rFonts w:ascii="Verdana" w:hAnsi="Verdana"/>
                <w:sz w:val="18"/>
                <w:szCs w:val="18"/>
                <w:lang w:val="en-US"/>
              </w:rPr>
              <w:t xml:space="preserve"> 2026-2030 </w:t>
            </w:r>
            <w:r w:rsidRPr="00781A6F" w:rsidR="00CD13E4">
              <w:rPr>
                <w:rFonts w:ascii="Verdana" w:hAnsi="Verdana"/>
                <w:sz w:val="18"/>
                <w:szCs w:val="18"/>
                <w:lang w:val="en-US"/>
              </w:rPr>
              <w:t>(Q1 2026)</w:t>
            </w:r>
          </w:p>
        </w:tc>
        <w:tc>
          <w:tcPr>
            <w:tcW w:w="5103" w:type="dxa"/>
            <w:tcBorders>
              <w:top w:val="single" w:color="auto" w:sz="4" w:space="0"/>
              <w:left w:val="single" w:color="auto" w:sz="4" w:space="0"/>
              <w:bottom w:val="single" w:color="auto" w:sz="4" w:space="0"/>
              <w:right w:val="single" w:color="auto" w:sz="4" w:space="0"/>
            </w:tcBorders>
          </w:tcPr>
          <w:p w:rsidRPr="00781A6F" w:rsidR="00CD13E4" w:rsidP="00781A6F" w:rsidRDefault="00CD13E4" w14:paraId="272D8BD1" w14:textId="13704292">
            <w:pPr>
              <w:rPr>
                <w:rFonts w:ascii="Verdana" w:hAnsi="Verdana" w:cstheme="minorBidi"/>
                <w:color w:val="000000"/>
                <w:sz w:val="18"/>
                <w:szCs w:val="18"/>
              </w:rPr>
            </w:pPr>
            <w:r w:rsidRPr="00781A6F">
              <w:rPr>
                <w:rFonts w:ascii="Verdana" w:hAnsi="Verdana"/>
                <w:color w:val="000000"/>
                <w:sz w:val="18"/>
                <w:szCs w:val="18"/>
              </w:rPr>
              <w:t xml:space="preserve">De Europese strategie voor gendergelijkheid 2026-2030 betreft het vervolg van de huidige strategie voor 2020-2025. Deze wordt gepubliceerd rondom Internationale Vrouwendag (8 maart 2026) en bouwt tevens voort op de routekaart voor vrouwenrechten van de </w:t>
            </w:r>
            <w:r w:rsidRPr="00781A6F" w:rsidR="006B0323">
              <w:rPr>
                <w:rFonts w:ascii="Verdana" w:hAnsi="Verdana"/>
                <w:color w:val="000000"/>
                <w:sz w:val="18"/>
                <w:szCs w:val="18"/>
              </w:rPr>
              <w:t>Commissie</w:t>
            </w:r>
            <w:r w:rsidRPr="00781A6F">
              <w:rPr>
                <w:rFonts w:ascii="Verdana" w:hAnsi="Verdana"/>
                <w:color w:val="000000"/>
                <w:sz w:val="18"/>
                <w:szCs w:val="18"/>
              </w:rPr>
              <w:t xml:space="preserve"> (maart 2025), die het kabinet </w:t>
            </w:r>
            <w:r w:rsidRPr="00781A6F" w:rsidR="00186531">
              <w:rPr>
                <w:rFonts w:ascii="Verdana" w:hAnsi="Verdana"/>
                <w:color w:val="000000"/>
                <w:sz w:val="18"/>
                <w:szCs w:val="18"/>
              </w:rPr>
              <w:t xml:space="preserve">reeds </w:t>
            </w:r>
            <w:r w:rsidRPr="00781A6F">
              <w:rPr>
                <w:rFonts w:ascii="Verdana" w:hAnsi="Verdana"/>
                <w:color w:val="000000"/>
                <w:sz w:val="18"/>
                <w:szCs w:val="18"/>
              </w:rPr>
              <w:t>verwelkomde</w:t>
            </w:r>
            <w:r w:rsidRPr="00781A6F" w:rsidR="00186531">
              <w:rPr>
                <w:rFonts w:ascii="Verdana" w:hAnsi="Verdana"/>
                <w:color w:val="000000"/>
                <w:sz w:val="18"/>
                <w:szCs w:val="18"/>
              </w:rPr>
              <w:t>.</w:t>
            </w:r>
            <w:r w:rsidRPr="00781A6F" w:rsidR="00186531">
              <w:rPr>
                <w:rStyle w:val="FootnoteReference"/>
                <w:rFonts w:ascii="Verdana" w:hAnsi="Verdana"/>
                <w:color w:val="000000"/>
                <w:sz w:val="18"/>
                <w:szCs w:val="18"/>
              </w:rPr>
              <w:footnoteReference w:id="14"/>
            </w:r>
          </w:p>
          <w:p w:rsidRPr="00781A6F" w:rsidR="00CD13E4" w:rsidP="00781A6F" w:rsidRDefault="00CD13E4" w14:paraId="124AA467" w14:textId="6A53AD55">
            <w:pPr>
              <w:rPr>
                <w:rFonts w:ascii="Verdana" w:hAnsi="Verdana" w:cstheme="minorHAnsi"/>
                <w:color w:val="000000"/>
                <w:sz w:val="18"/>
                <w:szCs w:val="18"/>
              </w:rPr>
            </w:pPr>
          </w:p>
        </w:tc>
        <w:tc>
          <w:tcPr>
            <w:tcW w:w="4535" w:type="dxa"/>
            <w:tcBorders>
              <w:top w:val="single" w:color="auto" w:sz="4" w:space="0"/>
              <w:left w:val="single" w:color="auto" w:sz="4" w:space="0"/>
              <w:bottom w:val="single" w:color="auto" w:sz="4" w:space="0"/>
              <w:right w:val="single" w:color="auto" w:sz="4" w:space="0"/>
            </w:tcBorders>
          </w:tcPr>
          <w:p w:rsidRPr="00781A6F" w:rsidR="00CD13E4" w:rsidP="00781A6F" w:rsidRDefault="00CD13E4" w14:paraId="5491CE7F" w14:textId="2CEA4546">
            <w:pPr>
              <w:rPr>
                <w:rFonts w:ascii="Verdana" w:hAnsi="Verdana" w:cstheme="minorBidi"/>
                <w:color w:val="000000"/>
                <w:sz w:val="18"/>
                <w:szCs w:val="18"/>
              </w:rPr>
            </w:pPr>
            <w:r w:rsidRPr="00781A6F">
              <w:rPr>
                <w:rFonts w:ascii="Verdana" w:hAnsi="Verdana"/>
                <w:color w:val="000000"/>
                <w:sz w:val="18"/>
                <w:szCs w:val="18"/>
              </w:rPr>
              <w:t xml:space="preserve">Het kabinet </w:t>
            </w:r>
            <w:r w:rsidRPr="00781A6F" w:rsidR="00702608">
              <w:rPr>
                <w:rFonts w:ascii="Verdana" w:hAnsi="Verdana" w:eastAsia="Aptos" w:cs="Aptos"/>
                <w:sz w:val="18"/>
                <w:szCs w:val="18"/>
              </w:rPr>
              <w:t xml:space="preserve">kijkt uit naar </w:t>
            </w:r>
            <w:r w:rsidRPr="00781A6F">
              <w:rPr>
                <w:rFonts w:ascii="Verdana" w:hAnsi="Verdana"/>
                <w:color w:val="000000"/>
                <w:sz w:val="18"/>
                <w:szCs w:val="18"/>
              </w:rPr>
              <w:t xml:space="preserve">de Europese strategie voor gendergelijkheid 2026-2030 en ziet graag verdere inspanningen die nodig zijn om de kabinetsbrede prioriteiten voor het Nederlands emancipatiebeleid te realiseren. Deze twee prioriteiten zijn: 1) iedereen moet veilig kunnen zijn en; 2) iedereen moet kunnen meedoen. Het kabinet kijkt ook met interesse naar de toepassing van gendergelijkheid van de </w:t>
            </w:r>
            <w:r w:rsidRPr="00781A6F" w:rsidR="006B0323">
              <w:rPr>
                <w:rFonts w:ascii="Verdana" w:hAnsi="Verdana"/>
                <w:color w:val="000000"/>
                <w:sz w:val="18"/>
                <w:szCs w:val="18"/>
              </w:rPr>
              <w:t>Commissie</w:t>
            </w:r>
            <w:r w:rsidRPr="00781A6F">
              <w:rPr>
                <w:rFonts w:ascii="Verdana" w:hAnsi="Verdana"/>
                <w:color w:val="000000"/>
                <w:sz w:val="18"/>
                <w:szCs w:val="18"/>
              </w:rPr>
              <w:t xml:space="preserve"> als horizontaal principe in andere strategieën, programma’s en budgetten.</w:t>
            </w:r>
          </w:p>
        </w:tc>
        <w:tc>
          <w:tcPr>
            <w:tcW w:w="1985" w:type="dxa"/>
            <w:tcBorders>
              <w:top w:val="single" w:color="auto" w:sz="4" w:space="0"/>
              <w:left w:val="single" w:color="auto" w:sz="4" w:space="0"/>
              <w:bottom w:val="single" w:color="auto" w:sz="4" w:space="0"/>
              <w:right w:val="single" w:color="auto" w:sz="4" w:space="0"/>
            </w:tcBorders>
          </w:tcPr>
          <w:p w:rsidRPr="00781A6F" w:rsidR="00CD13E4" w:rsidP="00781A6F" w:rsidRDefault="00CD13E4" w14:paraId="78ABB81F" w14:textId="5B80985A">
            <w:pPr>
              <w:rPr>
                <w:rFonts w:ascii="Verdana" w:hAnsi="Verdana" w:cstheme="minorBidi"/>
                <w:color w:val="000000"/>
                <w:sz w:val="18"/>
                <w:szCs w:val="18"/>
              </w:rPr>
            </w:pPr>
            <w:r w:rsidRPr="00781A6F">
              <w:rPr>
                <w:rFonts w:ascii="Verdana" w:hAnsi="Verdana"/>
                <w:color w:val="000000"/>
                <w:sz w:val="18"/>
                <w:szCs w:val="18"/>
              </w:rPr>
              <w:t>Niet-wetgevend</w:t>
            </w:r>
          </w:p>
        </w:tc>
      </w:tr>
      <w:tr w:rsidRPr="00781A6F" w:rsidR="0023156F" w:rsidTr="007766E6" w14:paraId="59E230D9"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781A6F" w:rsidR="0023156F" w:rsidP="00781A6F" w:rsidRDefault="00781A6F" w14:paraId="53DFDD38" w14:textId="303BC49D">
            <w:pPr>
              <w:rPr>
                <w:rFonts w:ascii="Verdana" w:hAnsi="Verdana" w:cstheme="minorBidi"/>
                <w:sz w:val="18"/>
                <w:szCs w:val="18"/>
              </w:rPr>
            </w:pPr>
            <w:r w:rsidRPr="00781A6F">
              <w:rPr>
                <w:rFonts w:ascii="Verdana" w:hAnsi="Verdana"/>
                <w:sz w:val="18"/>
                <w:szCs w:val="18"/>
              </w:rPr>
              <w:t>61</w:t>
            </w:r>
            <w:r w:rsidRPr="00781A6F" w:rsidR="0023156F">
              <w:rPr>
                <w:rFonts w:ascii="Verdana" w:hAnsi="Verdana"/>
                <w:sz w:val="18"/>
                <w:szCs w:val="18"/>
              </w:rPr>
              <w:t xml:space="preserve">. </w:t>
            </w:r>
          </w:p>
        </w:tc>
        <w:tc>
          <w:tcPr>
            <w:tcW w:w="3403" w:type="dxa"/>
            <w:tcBorders>
              <w:top w:val="single" w:color="auto" w:sz="4" w:space="0"/>
              <w:left w:val="single" w:color="auto" w:sz="4" w:space="0"/>
              <w:bottom w:val="single" w:color="auto" w:sz="4" w:space="0"/>
              <w:right w:val="single" w:color="auto" w:sz="4" w:space="0"/>
            </w:tcBorders>
          </w:tcPr>
          <w:p w:rsidRPr="00781A6F" w:rsidR="0023156F" w:rsidP="00781A6F" w:rsidRDefault="00B345FD" w14:paraId="4E36A155" w14:textId="4AF6C585">
            <w:pPr>
              <w:rPr>
                <w:rFonts w:ascii="Verdana" w:hAnsi="Verdana" w:cstheme="minorBidi"/>
                <w:sz w:val="18"/>
                <w:szCs w:val="18"/>
              </w:rPr>
            </w:pPr>
            <w:r w:rsidRPr="00781A6F">
              <w:rPr>
                <w:rFonts w:ascii="Verdana" w:hAnsi="Verdana"/>
                <w:sz w:val="18"/>
                <w:szCs w:val="18"/>
              </w:rPr>
              <w:t>Verbetering van de strategie voor de rechten van personen met een handicap tot 2030</w:t>
            </w:r>
            <w:r w:rsidRPr="00781A6F" w:rsidR="0023156F">
              <w:rPr>
                <w:rFonts w:ascii="Verdana" w:hAnsi="Verdana"/>
                <w:sz w:val="18"/>
                <w:szCs w:val="18"/>
              </w:rPr>
              <w:t xml:space="preserve"> (Q2 2026)</w:t>
            </w:r>
          </w:p>
        </w:tc>
        <w:tc>
          <w:tcPr>
            <w:tcW w:w="5103"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20D81A9D" w14:textId="312C7A31">
            <w:pPr>
              <w:rPr>
                <w:rFonts w:ascii="Verdana" w:hAnsi="Verdana" w:cstheme="minorBidi"/>
                <w:color w:val="000000"/>
                <w:sz w:val="18"/>
                <w:szCs w:val="18"/>
              </w:rPr>
            </w:pPr>
            <w:r w:rsidRPr="00781A6F">
              <w:rPr>
                <w:rFonts w:ascii="Verdana" w:hAnsi="Verdana"/>
                <w:sz w:val="18"/>
                <w:szCs w:val="18"/>
              </w:rPr>
              <w:t xml:space="preserve">De </w:t>
            </w:r>
            <w:r w:rsidRPr="00781A6F" w:rsidR="006B0323">
              <w:rPr>
                <w:rFonts w:ascii="Verdana" w:hAnsi="Verdana"/>
                <w:sz w:val="18"/>
                <w:szCs w:val="18"/>
              </w:rPr>
              <w:t>Commissie</w:t>
            </w:r>
            <w:r w:rsidRPr="00781A6F">
              <w:rPr>
                <w:rFonts w:ascii="Verdana" w:hAnsi="Verdana"/>
                <w:sz w:val="18"/>
                <w:szCs w:val="18"/>
              </w:rPr>
              <w:t xml:space="preserve"> stelt voor om de bestaande strategie voor de rechten van mensen met een beperking (2021-2030) met nieuwe maatregelen te versterken. Deze versterking moet de inclusie en gelijke kansen voor mensen met een beperking verder bevorderen in de EU. </w:t>
            </w:r>
          </w:p>
        </w:tc>
        <w:tc>
          <w:tcPr>
            <w:tcW w:w="4535"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1D81BF9F" w14:textId="07886277">
            <w:pPr>
              <w:rPr>
                <w:rFonts w:ascii="Verdana" w:hAnsi="Verdana" w:cstheme="minorBidi"/>
                <w:color w:val="000000"/>
                <w:sz w:val="18"/>
                <w:szCs w:val="18"/>
              </w:rPr>
            </w:pPr>
            <w:r w:rsidRPr="00781A6F">
              <w:rPr>
                <w:rFonts w:ascii="Verdana" w:hAnsi="Verdana"/>
                <w:sz w:val="18"/>
                <w:szCs w:val="18"/>
              </w:rPr>
              <w:t>Het kabinet steunt de versterking van de strategie en is benieuwd naar wat de nieuwe maatregelen precies inhouden. Verder, ziet het kabinet graag dat dat deze versterking gepaard gaat met financiële middelen vanuit de EU zodat de lidstaten ondersteund worden bij het realiseren van de nieuwe plannen.</w:t>
            </w:r>
          </w:p>
        </w:tc>
        <w:tc>
          <w:tcPr>
            <w:tcW w:w="1985"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15A0EE49" w14:textId="043BC933">
            <w:pPr>
              <w:rPr>
                <w:rFonts w:ascii="Verdana" w:hAnsi="Verdana" w:cstheme="minorBidi"/>
                <w:color w:val="000000"/>
                <w:sz w:val="18"/>
                <w:szCs w:val="18"/>
                <w:lang w:val="en-US"/>
              </w:rPr>
            </w:pPr>
            <w:proofErr w:type="spellStart"/>
            <w:r w:rsidRPr="00781A6F">
              <w:rPr>
                <w:rFonts w:ascii="Verdana" w:hAnsi="Verdana"/>
                <w:color w:val="000000"/>
                <w:sz w:val="18"/>
                <w:szCs w:val="18"/>
                <w:lang w:val="en-US"/>
              </w:rPr>
              <w:t>Niet-wetgevend</w:t>
            </w:r>
            <w:proofErr w:type="spellEnd"/>
          </w:p>
        </w:tc>
      </w:tr>
    </w:tbl>
    <w:p w:rsidRPr="00781A6F" w:rsidR="00BC4B31" w:rsidP="00781A6F" w:rsidRDefault="00BC4B31" w14:paraId="086E994D" w14:textId="77777777">
      <w:pPr>
        <w:spacing w:line="240" w:lineRule="auto"/>
        <w:rPr>
          <w:rFonts w:ascii="Verdana" w:hAnsi="Verdana"/>
          <w:b/>
          <w:bCs/>
          <w:sz w:val="18"/>
          <w:szCs w:val="18"/>
          <w:lang w:val="en-US"/>
        </w:rPr>
      </w:pPr>
      <w:r w:rsidRPr="00781A6F">
        <w:rPr>
          <w:rFonts w:ascii="Verdana" w:hAnsi="Verdana"/>
          <w:b/>
          <w:bCs/>
          <w:sz w:val="18"/>
          <w:szCs w:val="18"/>
          <w:lang w:val="en-US"/>
        </w:rPr>
        <w:br w:type="page"/>
      </w:r>
    </w:p>
    <w:p w:rsidRPr="00781A6F" w:rsidR="007E5965" w:rsidP="00781A6F" w:rsidRDefault="00BC4B31" w14:paraId="69E93FE5" w14:textId="35D6B1C5">
      <w:pPr>
        <w:pStyle w:val="NormalWeb"/>
        <w:rPr>
          <w:rFonts w:ascii="Verdana" w:hAnsi="Verdana" w:eastAsiaTheme="minorEastAsia" w:cstheme="minorBidi"/>
          <w:b/>
          <w:bCs/>
          <w:sz w:val="18"/>
          <w:szCs w:val="18"/>
          <w:lang w:eastAsia="en-US"/>
        </w:rPr>
      </w:pPr>
      <w:r w:rsidRPr="00781A6F">
        <w:rPr>
          <w:rFonts w:ascii="Verdana" w:hAnsi="Verdana" w:eastAsiaTheme="minorEastAsia" w:cstheme="minorBidi"/>
          <w:b/>
          <w:bCs/>
          <w:sz w:val="18"/>
          <w:szCs w:val="18"/>
          <w:lang w:eastAsia="en-US"/>
        </w:rPr>
        <w:lastRenderedPageBreak/>
        <w:t>Prioriteit 6: Europa in de wereld: onze invloed en partnerschappen benutten</w:t>
      </w:r>
    </w:p>
    <w:tbl>
      <w:tblPr>
        <w:tblStyle w:val="TableGrid"/>
        <w:tblW w:w="15593" w:type="dxa"/>
        <w:tblInd w:w="-5" w:type="dxa"/>
        <w:tblLayout w:type="fixed"/>
        <w:tblLook w:val="04A0" w:firstRow="1" w:lastRow="0" w:firstColumn="1" w:lastColumn="0" w:noHBand="0" w:noVBand="1"/>
      </w:tblPr>
      <w:tblGrid>
        <w:gridCol w:w="567"/>
        <w:gridCol w:w="3403"/>
        <w:gridCol w:w="5103"/>
        <w:gridCol w:w="4535"/>
        <w:gridCol w:w="1985"/>
      </w:tblGrid>
      <w:tr w:rsidRPr="00781A6F" w:rsidR="007D4768" w:rsidTr="007766E6" w14:paraId="05AC970C" w14:textId="77777777">
        <w:trPr>
          <w:trHeight w:val="634"/>
        </w:trPr>
        <w:tc>
          <w:tcPr>
            <w:tcW w:w="567" w:type="dxa"/>
            <w:tcBorders>
              <w:top w:val="single" w:color="auto" w:sz="4" w:space="0"/>
              <w:left w:val="single" w:color="auto" w:sz="4" w:space="0"/>
              <w:bottom w:val="single" w:color="auto" w:sz="4" w:space="0"/>
              <w:right w:val="single" w:color="auto" w:sz="4" w:space="0"/>
            </w:tcBorders>
          </w:tcPr>
          <w:p w:rsidRPr="00781A6F" w:rsidR="007D4768" w:rsidP="00781A6F" w:rsidRDefault="007D4768" w14:paraId="61ABA5A0" w14:textId="77777777">
            <w:pPr>
              <w:rPr>
                <w:rFonts w:ascii="Verdana" w:hAnsi="Verdana" w:cstheme="minorBidi"/>
                <w:b/>
                <w:sz w:val="18"/>
                <w:szCs w:val="18"/>
              </w:rPr>
            </w:pPr>
            <w:r w:rsidRPr="00781A6F">
              <w:rPr>
                <w:rFonts w:ascii="Verdana" w:hAnsi="Verdana"/>
                <w:b/>
                <w:sz w:val="18"/>
                <w:szCs w:val="18"/>
              </w:rPr>
              <w:t>No.</w:t>
            </w:r>
          </w:p>
        </w:tc>
        <w:tc>
          <w:tcPr>
            <w:tcW w:w="3403" w:type="dxa"/>
            <w:tcBorders>
              <w:top w:val="single" w:color="auto" w:sz="4" w:space="0"/>
              <w:left w:val="single" w:color="auto" w:sz="4" w:space="0"/>
              <w:bottom w:val="single" w:color="auto" w:sz="4" w:space="0"/>
              <w:right w:val="single" w:color="auto" w:sz="4" w:space="0"/>
            </w:tcBorders>
            <w:hideMark/>
          </w:tcPr>
          <w:p w:rsidRPr="00781A6F" w:rsidR="007D4768" w:rsidP="00781A6F" w:rsidRDefault="007D4768" w14:paraId="10FDD6CD" w14:textId="77777777">
            <w:pPr>
              <w:rPr>
                <w:rFonts w:ascii="Verdana" w:hAnsi="Verdana" w:cstheme="minorBidi"/>
                <w:b/>
                <w:sz w:val="18"/>
                <w:szCs w:val="18"/>
              </w:rPr>
            </w:pPr>
            <w:r w:rsidRPr="00781A6F">
              <w:rPr>
                <w:rFonts w:ascii="Verdana" w:hAnsi="Verdana"/>
                <w:b/>
                <w:sz w:val="18"/>
                <w:szCs w:val="18"/>
              </w:rPr>
              <w:t>Titel (publicatiedatum)</w:t>
            </w:r>
          </w:p>
        </w:tc>
        <w:tc>
          <w:tcPr>
            <w:tcW w:w="5103" w:type="dxa"/>
            <w:tcBorders>
              <w:top w:val="single" w:color="auto" w:sz="4" w:space="0"/>
              <w:left w:val="single" w:color="auto" w:sz="4" w:space="0"/>
              <w:bottom w:val="single" w:color="auto" w:sz="4" w:space="0"/>
              <w:right w:val="single" w:color="auto" w:sz="4" w:space="0"/>
            </w:tcBorders>
            <w:hideMark/>
          </w:tcPr>
          <w:p w:rsidRPr="00781A6F" w:rsidR="007D4768" w:rsidP="00781A6F" w:rsidRDefault="007D4768" w14:paraId="75262A9F" w14:textId="77777777">
            <w:pPr>
              <w:rPr>
                <w:rFonts w:ascii="Verdana" w:hAnsi="Verdana" w:cstheme="minorBidi"/>
                <w:b/>
                <w:sz w:val="18"/>
                <w:szCs w:val="18"/>
              </w:rPr>
            </w:pPr>
            <w:r w:rsidRPr="00781A6F">
              <w:rPr>
                <w:rFonts w:ascii="Verdana" w:hAnsi="Verdana"/>
                <w:b/>
                <w:sz w:val="18"/>
                <w:szCs w:val="18"/>
              </w:rPr>
              <w:t>Korte beschrijving</w:t>
            </w:r>
          </w:p>
        </w:tc>
        <w:tc>
          <w:tcPr>
            <w:tcW w:w="4535" w:type="dxa"/>
            <w:tcBorders>
              <w:top w:val="single" w:color="auto" w:sz="4" w:space="0"/>
              <w:left w:val="single" w:color="auto" w:sz="4" w:space="0"/>
              <w:bottom w:val="single" w:color="auto" w:sz="4" w:space="0"/>
              <w:right w:val="single" w:color="auto" w:sz="4" w:space="0"/>
            </w:tcBorders>
            <w:hideMark/>
          </w:tcPr>
          <w:p w:rsidRPr="00781A6F" w:rsidR="007D4768" w:rsidP="00781A6F" w:rsidRDefault="007D4768" w14:paraId="543DFFC9" w14:textId="77777777">
            <w:pPr>
              <w:rPr>
                <w:rFonts w:ascii="Verdana" w:hAnsi="Verdana" w:cstheme="minorBidi"/>
                <w:b/>
                <w:sz w:val="18"/>
                <w:szCs w:val="18"/>
              </w:rPr>
            </w:pPr>
            <w:r w:rsidRPr="00781A6F">
              <w:rPr>
                <w:rFonts w:ascii="Verdana" w:hAnsi="Verdana"/>
                <w:b/>
                <w:sz w:val="18"/>
                <w:szCs w:val="18"/>
              </w:rPr>
              <w:t>Kabinetsappreciatie</w:t>
            </w:r>
          </w:p>
        </w:tc>
        <w:tc>
          <w:tcPr>
            <w:tcW w:w="1985" w:type="dxa"/>
            <w:tcBorders>
              <w:top w:val="single" w:color="auto" w:sz="4" w:space="0"/>
              <w:left w:val="single" w:color="auto" w:sz="4" w:space="0"/>
              <w:bottom w:val="single" w:color="auto" w:sz="4" w:space="0"/>
              <w:right w:val="single" w:color="auto" w:sz="4" w:space="0"/>
            </w:tcBorders>
          </w:tcPr>
          <w:p w:rsidRPr="00781A6F" w:rsidR="007D4768" w:rsidP="00781A6F" w:rsidRDefault="007D4768" w14:paraId="698A9CC1" w14:textId="77777777">
            <w:pPr>
              <w:rPr>
                <w:rFonts w:ascii="Verdana" w:hAnsi="Verdana" w:cstheme="minorBidi"/>
                <w:b/>
                <w:sz w:val="18"/>
                <w:szCs w:val="18"/>
              </w:rPr>
            </w:pPr>
            <w:r w:rsidRPr="00781A6F">
              <w:rPr>
                <w:rFonts w:ascii="Verdana" w:hAnsi="Verdana"/>
                <w:b/>
                <w:sz w:val="18"/>
                <w:szCs w:val="18"/>
              </w:rPr>
              <w:t>Wetgevend/niet-Wetgevend</w:t>
            </w:r>
          </w:p>
        </w:tc>
      </w:tr>
      <w:tr w:rsidRPr="00781A6F" w:rsidR="00CD13E4" w:rsidTr="007766E6" w14:paraId="0A56CD2D" w14:textId="77777777">
        <w:trPr>
          <w:trHeight w:val="979"/>
        </w:trPr>
        <w:tc>
          <w:tcPr>
            <w:tcW w:w="567" w:type="dxa"/>
            <w:tcBorders>
              <w:top w:val="single" w:color="auto" w:sz="4" w:space="0"/>
              <w:left w:val="single" w:color="auto" w:sz="4" w:space="0"/>
              <w:bottom w:val="single" w:color="auto" w:sz="4" w:space="0"/>
              <w:right w:val="single" w:color="auto" w:sz="4" w:space="0"/>
            </w:tcBorders>
          </w:tcPr>
          <w:p w:rsidRPr="00781A6F" w:rsidR="00CD13E4" w:rsidP="00781A6F" w:rsidRDefault="00781A6F" w14:paraId="492B4F4C" w14:textId="5D0265F2">
            <w:pPr>
              <w:rPr>
                <w:rFonts w:ascii="Verdana" w:hAnsi="Verdana" w:cstheme="minorBidi"/>
                <w:sz w:val="18"/>
                <w:szCs w:val="18"/>
                <w:lang w:val="en-US"/>
              </w:rPr>
            </w:pPr>
            <w:r w:rsidRPr="00781A6F">
              <w:rPr>
                <w:rFonts w:ascii="Verdana" w:hAnsi="Verdana"/>
                <w:sz w:val="18"/>
                <w:szCs w:val="18"/>
                <w:lang w:val="en-US"/>
              </w:rPr>
              <w:t>62</w:t>
            </w:r>
            <w:r w:rsidRPr="00781A6F" w:rsidR="00CD13E4">
              <w:rPr>
                <w:rFonts w:ascii="Verdana" w:hAnsi="Verdana"/>
                <w:sz w:val="18"/>
                <w:szCs w:val="18"/>
                <w:lang w:val="en-US"/>
              </w:rPr>
              <w:t>.</w:t>
            </w:r>
          </w:p>
        </w:tc>
        <w:tc>
          <w:tcPr>
            <w:tcW w:w="3403" w:type="dxa"/>
            <w:tcBorders>
              <w:top w:val="single" w:color="auto" w:sz="4" w:space="0"/>
              <w:left w:val="single" w:color="auto" w:sz="4" w:space="0"/>
              <w:bottom w:val="single" w:color="auto" w:sz="4" w:space="0"/>
              <w:right w:val="single" w:color="auto" w:sz="4" w:space="0"/>
            </w:tcBorders>
          </w:tcPr>
          <w:p w:rsidRPr="00781A6F" w:rsidR="00CD13E4" w:rsidP="00781A6F" w:rsidRDefault="00B345FD" w14:paraId="0D76F28F" w14:textId="46A7F456">
            <w:pPr>
              <w:rPr>
                <w:rFonts w:ascii="Verdana" w:hAnsi="Verdana" w:cstheme="minorBidi"/>
                <w:sz w:val="18"/>
                <w:szCs w:val="18"/>
              </w:rPr>
            </w:pPr>
            <w:r w:rsidRPr="00781A6F">
              <w:rPr>
                <w:rFonts w:ascii="Verdana" w:hAnsi="Verdana"/>
                <w:sz w:val="18"/>
                <w:szCs w:val="18"/>
              </w:rPr>
              <w:t xml:space="preserve">Gezamenlijke mededeling over een strategie voor het Midden-Oosten, onder meer ter ondersteuning van de transitie in Syrië en Libanon </w:t>
            </w:r>
            <w:r w:rsidRPr="00781A6F" w:rsidR="00CD13E4">
              <w:rPr>
                <w:rFonts w:ascii="Verdana" w:hAnsi="Verdana"/>
                <w:sz w:val="18"/>
                <w:szCs w:val="18"/>
              </w:rPr>
              <w:t>(Q2 2026)</w:t>
            </w:r>
          </w:p>
        </w:tc>
        <w:tc>
          <w:tcPr>
            <w:tcW w:w="5103" w:type="dxa"/>
            <w:tcBorders>
              <w:top w:val="single" w:color="auto" w:sz="4" w:space="0"/>
              <w:left w:val="single" w:color="auto" w:sz="4" w:space="0"/>
              <w:bottom w:val="single" w:color="auto" w:sz="4" w:space="0"/>
              <w:right w:val="single" w:color="auto" w:sz="4" w:space="0"/>
            </w:tcBorders>
          </w:tcPr>
          <w:p w:rsidRPr="00781A6F" w:rsidR="00CD13E4" w:rsidP="00781A6F" w:rsidRDefault="00CD13E4" w14:paraId="4518A4E1" w14:textId="6546C436">
            <w:pPr>
              <w:rPr>
                <w:rFonts w:ascii="Verdana" w:hAnsi="Verdana" w:cstheme="minorBidi"/>
                <w:color w:val="000000"/>
                <w:sz w:val="18"/>
                <w:szCs w:val="18"/>
              </w:rPr>
            </w:pPr>
            <w:r w:rsidRPr="00781A6F">
              <w:rPr>
                <w:rFonts w:ascii="Verdana" w:hAnsi="Verdana"/>
                <w:sz w:val="18"/>
                <w:szCs w:val="18"/>
              </w:rPr>
              <w:t xml:space="preserve">De </w:t>
            </w:r>
            <w:r w:rsidRPr="00781A6F" w:rsidR="006B0323">
              <w:rPr>
                <w:rFonts w:ascii="Verdana" w:hAnsi="Verdana"/>
                <w:sz w:val="18"/>
                <w:szCs w:val="18"/>
              </w:rPr>
              <w:t>Commissie</w:t>
            </w:r>
            <w:r w:rsidRPr="00781A6F" w:rsidR="00186531">
              <w:rPr>
                <w:rFonts w:ascii="Verdana" w:hAnsi="Verdana"/>
                <w:sz w:val="18"/>
                <w:szCs w:val="18"/>
              </w:rPr>
              <w:t xml:space="preserve"> </w:t>
            </w:r>
            <w:r w:rsidRPr="00781A6F">
              <w:rPr>
                <w:rFonts w:ascii="Verdana" w:hAnsi="Verdana"/>
                <w:sz w:val="18"/>
                <w:szCs w:val="18"/>
              </w:rPr>
              <w:t>tracht middels een nieuwe Midden-Oosten strategie actief bij te dragen aan duurzame stabiliteit van de regio. Deze strategie zal zich primair focussen op het verbeteren van de (humanitaire) situatie in Gaza en hervorming van de Palestijnse Autoriteit. Hiernaast zal aandacht zijn voor het ondersteunen van inclusieve en duurzame ontwikkelingen in Syrië en Libanon.</w:t>
            </w:r>
          </w:p>
        </w:tc>
        <w:tc>
          <w:tcPr>
            <w:tcW w:w="4535" w:type="dxa"/>
            <w:tcBorders>
              <w:top w:val="single" w:color="auto" w:sz="4" w:space="0"/>
              <w:left w:val="single" w:color="auto" w:sz="4" w:space="0"/>
              <w:bottom w:val="single" w:color="auto" w:sz="4" w:space="0"/>
              <w:right w:val="single" w:color="auto" w:sz="4" w:space="0"/>
            </w:tcBorders>
          </w:tcPr>
          <w:p w:rsidRPr="00781A6F" w:rsidR="00FA4FF9" w:rsidP="00781A6F" w:rsidRDefault="00CD13E4" w14:paraId="11F4F21B" w14:textId="33920583">
            <w:pPr>
              <w:rPr>
                <w:rFonts w:ascii="Verdana" w:hAnsi="Verdana"/>
                <w:sz w:val="18"/>
                <w:szCs w:val="18"/>
              </w:rPr>
            </w:pPr>
            <w:r w:rsidRPr="00781A6F">
              <w:rPr>
                <w:rFonts w:ascii="Verdana" w:hAnsi="Verdana"/>
                <w:sz w:val="18"/>
                <w:szCs w:val="18"/>
              </w:rPr>
              <w:t xml:space="preserve">Het </w:t>
            </w:r>
            <w:r w:rsidRPr="00781A6F" w:rsidR="00186531">
              <w:rPr>
                <w:rFonts w:ascii="Verdana" w:hAnsi="Verdana"/>
                <w:sz w:val="18"/>
                <w:szCs w:val="18"/>
              </w:rPr>
              <w:t>k</w:t>
            </w:r>
            <w:r w:rsidRPr="00781A6F">
              <w:rPr>
                <w:rFonts w:ascii="Verdana" w:hAnsi="Verdana"/>
                <w:sz w:val="18"/>
                <w:szCs w:val="18"/>
              </w:rPr>
              <w:t>abinet onderschrijft het belang van een stabiel Midden-Oosten en verwelkomt daarom inspanningen om een nieuwe strategie voor de regio te ontwikkelen.</w:t>
            </w:r>
            <w:r w:rsidRPr="00781A6F" w:rsidR="00FA4FF9">
              <w:rPr>
                <w:rFonts w:ascii="Verdana" w:hAnsi="Verdana"/>
                <w:sz w:val="18"/>
                <w:szCs w:val="18"/>
              </w:rPr>
              <w:t xml:space="preserve"> Daarnaast onderstreept het kabinet het belang van een gecoördineerde aanpak op migratie ten aanzien van de regio met focus op Syrië om irreguliere migratie tegen te gaan, terugkeer te bevorderen en bescherming van vluchten te ondersteunen. </w:t>
            </w:r>
          </w:p>
          <w:p w:rsidRPr="00781A6F" w:rsidR="00CD13E4" w:rsidP="00781A6F" w:rsidRDefault="00CD13E4" w14:paraId="2AF2E2CB" w14:textId="7CF8A383">
            <w:pPr>
              <w:rPr>
                <w:rFonts w:ascii="Verdana" w:hAnsi="Verdana" w:cstheme="minorBidi"/>
                <w:color w:val="000000"/>
                <w:sz w:val="18"/>
                <w:szCs w:val="18"/>
              </w:rPr>
            </w:pPr>
          </w:p>
        </w:tc>
        <w:tc>
          <w:tcPr>
            <w:tcW w:w="1985" w:type="dxa"/>
            <w:tcBorders>
              <w:top w:val="single" w:color="auto" w:sz="4" w:space="0"/>
              <w:left w:val="single" w:color="auto" w:sz="4" w:space="0"/>
              <w:bottom w:val="single" w:color="auto" w:sz="4" w:space="0"/>
              <w:right w:val="single" w:color="auto" w:sz="4" w:space="0"/>
            </w:tcBorders>
          </w:tcPr>
          <w:p w:rsidRPr="00781A6F" w:rsidR="00CD13E4" w:rsidP="00781A6F" w:rsidRDefault="00CD13E4" w14:paraId="42F342BD" w14:textId="77777777">
            <w:pPr>
              <w:rPr>
                <w:rFonts w:ascii="Verdana" w:hAnsi="Verdana" w:cstheme="minorBidi"/>
                <w:color w:val="000000"/>
                <w:sz w:val="18"/>
                <w:szCs w:val="18"/>
              </w:rPr>
            </w:pPr>
            <w:r w:rsidRPr="00781A6F">
              <w:rPr>
                <w:rFonts w:ascii="Verdana" w:hAnsi="Verdana"/>
                <w:color w:val="000000"/>
                <w:sz w:val="18"/>
                <w:szCs w:val="18"/>
              </w:rPr>
              <w:t>Niet-wetgevend</w:t>
            </w:r>
          </w:p>
          <w:p w:rsidRPr="00781A6F" w:rsidR="00CD13E4" w:rsidP="00781A6F" w:rsidRDefault="00CD13E4" w14:paraId="095420F5" w14:textId="77777777">
            <w:pPr>
              <w:rPr>
                <w:rFonts w:ascii="Verdana" w:hAnsi="Verdana" w:cstheme="minorHAnsi"/>
                <w:color w:val="000000"/>
                <w:sz w:val="18"/>
                <w:szCs w:val="18"/>
              </w:rPr>
            </w:pPr>
          </w:p>
          <w:p w:rsidRPr="00781A6F" w:rsidR="00CD13E4" w:rsidP="00781A6F" w:rsidRDefault="00CD13E4" w14:paraId="7B8117BD" w14:textId="77777777">
            <w:pPr>
              <w:rPr>
                <w:rFonts w:ascii="Verdana" w:hAnsi="Verdana" w:cstheme="minorHAnsi"/>
                <w:color w:val="000000"/>
                <w:sz w:val="18"/>
                <w:szCs w:val="18"/>
              </w:rPr>
            </w:pPr>
          </w:p>
          <w:p w:rsidRPr="00781A6F" w:rsidR="00CD13E4" w:rsidP="00781A6F" w:rsidRDefault="00CD13E4" w14:paraId="2278AB78" w14:textId="1B08FB12">
            <w:pPr>
              <w:rPr>
                <w:rFonts w:ascii="Verdana" w:hAnsi="Verdana" w:cstheme="minorHAnsi"/>
                <w:color w:val="000000"/>
                <w:sz w:val="18"/>
                <w:szCs w:val="18"/>
              </w:rPr>
            </w:pPr>
          </w:p>
        </w:tc>
      </w:tr>
      <w:tr w:rsidRPr="00781A6F" w:rsidR="0023156F" w:rsidTr="007766E6" w14:paraId="581CC626"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781A6F" w:rsidR="0023156F" w:rsidP="00781A6F" w:rsidRDefault="00781A6F" w14:paraId="3F09DBC3" w14:textId="08893B56">
            <w:pPr>
              <w:rPr>
                <w:rFonts w:ascii="Verdana" w:hAnsi="Verdana" w:cstheme="minorBidi"/>
                <w:sz w:val="18"/>
                <w:szCs w:val="18"/>
                <w:lang w:val="en-US"/>
              </w:rPr>
            </w:pPr>
            <w:r w:rsidRPr="00781A6F">
              <w:rPr>
                <w:rFonts w:ascii="Verdana" w:hAnsi="Verdana"/>
                <w:sz w:val="18"/>
                <w:szCs w:val="18"/>
                <w:lang w:val="en-US"/>
              </w:rPr>
              <w:t>63</w:t>
            </w:r>
            <w:r w:rsidRPr="00781A6F" w:rsidR="0023156F">
              <w:rPr>
                <w:rFonts w:ascii="Verdana" w:hAnsi="Verdana"/>
                <w:sz w:val="18"/>
                <w:szCs w:val="18"/>
                <w:lang w:val="en-US"/>
              </w:rPr>
              <w:t>.</w:t>
            </w:r>
          </w:p>
        </w:tc>
        <w:tc>
          <w:tcPr>
            <w:tcW w:w="3403" w:type="dxa"/>
            <w:tcBorders>
              <w:top w:val="single" w:color="auto" w:sz="4" w:space="0"/>
              <w:left w:val="single" w:color="auto" w:sz="4" w:space="0"/>
              <w:bottom w:val="single" w:color="auto" w:sz="4" w:space="0"/>
              <w:right w:val="single" w:color="auto" w:sz="4" w:space="0"/>
            </w:tcBorders>
          </w:tcPr>
          <w:p w:rsidRPr="00781A6F" w:rsidR="0023156F" w:rsidP="00781A6F" w:rsidRDefault="00B345FD" w14:paraId="7840AC51" w14:textId="59127D82">
            <w:pPr>
              <w:rPr>
                <w:rFonts w:ascii="Verdana" w:hAnsi="Verdana" w:cstheme="minorBidi"/>
                <w:b/>
                <w:sz w:val="18"/>
                <w:szCs w:val="18"/>
              </w:rPr>
            </w:pPr>
            <w:r w:rsidRPr="00781A6F">
              <w:rPr>
                <w:rFonts w:ascii="Verdana" w:hAnsi="Verdana"/>
                <w:sz w:val="18"/>
                <w:szCs w:val="18"/>
              </w:rPr>
              <w:t xml:space="preserve">Mededeling over humanitaire hulp </w:t>
            </w:r>
            <w:r w:rsidRPr="00781A6F" w:rsidR="0023156F">
              <w:rPr>
                <w:rFonts w:ascii="Verdana" w:hAnsi="Verdana"/>
                <w:sz w:val="18"/>
                <w:szCs w:val="18"/>
              </w:rPr>
              <w:t>(Q2 2026)</w:t>
            </w:r>
          </w:p>
        </w:tc>
        <w:tc>
          <w:tcPr>
            <w:tcW w:w="5103"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641F8F84" w14:textId="0DCF1F27">
            <w:pPr>
              <w:rPr>
                <w:rFonts w:ascii="Verdana" w:hAnsi="Verdana" w:cstheme="minorBidi"/>
                <w:color w:val="000000"/>
                <w:sz w:val="18"/>
                <w:szCs w:val="18"/>
              </w:rPr>
            </w:pPr>
            <w:r w:rsidRPr="00781A6F">
              <w:rPr>
                <w:rFonts w:ascii="Verdana" w:hAnsi="Verdana"/>
                <w:color w:val="000000"/>
                <w:sz w:val="18"/>
                <w:szCs w:val="18"/>
              </w:rPr>
              <w:t xml:space="preserve">Over de aangekondigde communicatie voor humanitaire hulp van de </w:t>
            </w:r>
            <w:r w:rsidRPr="00781A6F" w:rsidR="006B0323">
              <w:rPr>
                <w:rFonts w:ascii="Verdana" w:hAnsi="Verdana"/>
                <w:color w:val="000000"/>
                <w:sz w:val="18"/>
                <w:szCs w:val="18"/>
              </w:rPr>
              <w:t>Commissie</w:t>
            </w:r>
            <w:r w:rsidRPr="00781A6F">
              <w:rPr>
                <w:rFonts w:ascii="Verdana" w:hAnsi="Verdana"/>
                <w:color w:val="000000"/>
                <w:sz w:val="18"/>
                <w:szCs w:val="18"/>
              </w:rPr>
              <w:t xml:space="preserve"> voor het tweede kwartaal van 2026 is nog weinig bekend, behalve dat de EU het voortouw zal nemen in het reeds begonnen proces van hervormingen van het humanitaire systeem, en dat de EU een kartrekker blijft op het gebied van humanitair oorlogsrecht en hulpverlening op basis van de humanitaire principes.</w:t>
            </w:r>
          </w:p>
        </w:tc>
        <w:tc>
          <w:tcPr>
            <w:tcW w:w="4535"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29D1B0F8" w14:textId="140381BF">
            <w:pPr>
              <w:rPr>
                <w:rFonts w:ascii="Verdana" w:hAnsi="Verdana" w:cstheme="minorBidi"/>
                <w:color w:val="000000"/>
                <w:sz w:val="18"/>
                <w:szCs w:val="18"/>
              </w:rPr>
            </w:pPr>
            <w:r w:rsidRPr="00781A6F">
              <w:rPr>
                <w:rFonts w:ascii="Verdana" w:hAnsi="Verdana"/>
                <w:color w:val="000000"/>
                <w:sz w:val="18"/>
                <w:szCs w:val="18"/>
              </w:rPr>
              <w:t xml:space="preserve">Hoewel er nog weinig bekend is over de aangekondigde communicatie voor humanitaire hulp van de </w:t>
            </w:r>
            <w:r w:rsidRPr="00781A6F" w:rsidR="006B0323">
              <w:rPr>
                <w:rFonts w:ascii="Verdana" w:hAnsi="Verdana"/>
                <w:color w:val="000000"/>
                <w:sz w:val="18"/>
                <w:szCs w:val="18"/>
              </w:rPr>
              <w:t>Commissie</w:t>
            </w:r>
            <w:r w:rsidRPr="00781A6F">
              <w:rPr>
                <w:rFonts w:ascii="Verdana" w:hAnsi="Verdana"/>
                <w:color w:val="000000"/>
                <w:sz w:val="18"/>
                <w:szCs w:val="18"/>
              </w:rPr>
              <w:t xml:space="preserve"> voor het tweede kwartaal van 2026, lijkt de inzet van de EU op humanitaire hulp in lijn met het Nederlandse humanitaire beleid, zoals in de Kamerbrief ‘Humanitaire Hulp en Diplomatie 2025’</w:t>
            </w:r>
            <w:r w:rsidRPr="00781A6F" w:rsidR="00186531">
              <w:rPr>
                <w:rStyle w:val="FootnoteReference"/>
                <w:rFonts w:ascii="Verdana" w:hAnsi="Verdana"/>
                <w:color w:val="000000"/>
                <w:sz w:val="18"/>
                <w:szCs w:val="18"/>
              </w:rPr>
              <w:footnoteReference w:id="15"/>
            </w:r>
            <w:r w:rsidRPr="00781A6F">
              <w:rPr>
                <w:rFonts w:ascii="Verdana" w:hAnsi="Verdana"/>
                <w:color w:val="000000"/>
                <w:sz w:val="18"/>
                <w:szCs w:val="18"/>
              </w:rPr>
              <w:t xml:space="preserve"> uiteengezet. Dit gezien de verwachte insteek van de aangekondigde communicatie, gericht op een voortrekkersrol in de huidige hervormingen van het humanitaire systeem, humanitair oorlogsrecht en hulpverlening op basis van de humanitaire principes.</w:t>
            </w:r>
          </w:p>
        </w:tc>
        <w:tc>
          <w:tcPr>
            <w:tcW w:w="1985"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6C7ED0CA" w14:textId="77777777">
            <w:pPr>
              <w:rPr>
                <w:rFonts w:ascii="Verdana" w:hAnsi="Verdana" w:cstheme="minorBidi"/>
                <w:color w:val="000000"/>
                <w:sz w:val="18"/>
                <w:szCs w:val="18"/>
              </w:rPr>
            </w:pPr>
            <w:r w:rsidRPr="00781A6F">
              <w:rPr>
                <w:rFonts w:ascii="Verdana" w:hAnsi="Verdana"/>
                <w:color w:val="000000"/>
                <w:sz w:val="18"/>
                <w:szCs w:val="18"/>
              </w:rPr>
              <w:t xml:space="preserve">Niet-wetgevend </w:t>
            </w:r>
          </w:p>
        </w:tc>
      </w:tr>
      <w:tr w:rsidRPr="00432780" w:rsidR="0023156F" w:rsidTr="007766E6" w14:paraId="7ED76CE6" w14:textId="77777777">
        <w:trPr>
          <w:trHeight w:val="583"/>
        </w:trPr>
        <w:tc>
          <w:tcPr>
            <w:tcW w:w="567" w:type="dxa"/>
            <w:tcBorders>
              <w:top w:val="single" w:color="auto" w:sz="4" w:space="0"/>
              <w:left w:val="single" w:color="auto" w:sz="4" w:space="0"/>
              <w:bottom w:val="single" w:color="auto" w:sz="4" w:space="0"/>
              <w:right w:val="single" w:color="auto" w:sz="4" w:space="0"/>
            </w:tcBorders>
          </w:tcPr>
          <w:p w:rsidRPr="00781A6F" w:rsidR="0023156F" w:rsidP="00781A6F" w:rsidRDefault="00781A6F" w14:paraId="79CEF9D0" w14:textId="35BF10E7">
            <w:pPr>
              <w:rPr>
                <w:rFonts w:ascii="Verdana" w:hAnsi="Verdana" w:cstheme="minorBidi"/>
                <w:sz w:val="18"/>
                <w:szCs w:val="18"/>
                <w:lang w:val="en-US"/>
              </w:rPr>
            </w:pPr>
            <w:r w:rsidRPr="00781A6F">
              <w:rPr>
                <w:rFonts w:ascii="Verdana" w:hAnsi="Verdana"/>
                <w:color w:val="000000"/>
                <w:sz w:val="18"/>
                <w:szCs w:val="18"/>
                <w:lang w:val="en-US"/>
              </w:rPr>
              <w:t>64</w:t>
            </w:r>
            <w:r w:rsidRPr="00781A6F" w:rsidR="0023156F">
              <w:rPr>
                <w:rFonts w:ascii="Verdana" w:hAnsi="Verdana"/>
                <w:color w:val="000000"/>
                <w:sz w:val="18"/>
                <w:szCs w:val="18"/>
                <w:lang w:val="en-US"/>
              </w:rPr>
              <w:t>.</w:t>
            </w:r>
          </w:p>
        </w:tc>
        <w:tc>
          <w:tcPr>
            <w:tcW w:w="3403" w:type="dxa"/>
            <w:tcBorders>
              <w:top w:val="single" w:color="auto" w:sz="4" w:space="0"/>
              <w:left w:val="single" w:color="auto" w:sz="4" w:space="0"/>
              <w:bottom w:val="single" w:color="auto" w:sz="4" w:space="0"/>
              <w:right w:val="single" w:color="auto" w:sz="4" w:space="0"/>
            </w:tcBorders>
          </w:tcPr>
          <w:p w:rsidRPr="00781A6F" w:rsidR="0023156F" w:rsidP="00781A6F" w:rsidRDefault="00B345FD" w14:paraId="14529155" w14:textId="512369E2">
            <w:pPr>
              <w:rPr>
                <w:rFonts w:ascii="Verdana" w:hAnsi="Verdana" w:cstheme="minorBidi"/>
                <w:sz w:val="18"/>
                <w:szCs w:val="18"/>
              </w:rPr>
            </w:pPr>
            <w:r w:rsidRPr="00781A6F">
              <w:rPr>
                <w:rFonts w:ascii="Verdana" w:hAnsi="Verdana"/>
                <w:sz w:val="18"/>
                <w:szCs w:val="18"/>
              </w:rPr>
              <w:t xml:space="preserve">Initiatief voor wereldwijde veerkracht op gezondheidsgebied </w:t>
            </w:r>
            <w:r w:rsidRPr="00781A6F" w:rsidR="0023156F">
              <w:rPr>
                <w:rFonts w:ascii="Verdana" w:hAnsi="Verdana"/>
                <w:sz w:val="18"/>
                <w:szCs w:val="18"/>
              </w:rPr>
              <w:t>(Q2 2026)</w:t>
            </w:r>
          </w:p>
        </w:tc>
        <w:tc>
          <w:tcPr>
            <w:tcW w:w="5103"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2D27E0DB" w14:textId="07E7C570">
            <w:pPr>
              <w:rPr>
                <w:rFonts w:ascii="Verdana" w:hAnsi="Verdana" w:cstheme="minorBidi"/>
                <w:color w:val="000000"/>
                <w:sz w:val="18"/>
                <w:szCs w:val="18"/>
              </w:rPr>
            </w:pPr>
            <w:r w:rsidRPr="00781A6F">
              <w:rPr>
                <w:rFonts w:ascii="Verdana" w:hAnsi="Verdana"/>
                <w:color w:val="000000"/>
                <w:sz w:val="18"/>
                <w:szCs w:val="18"/>
              </w:rPr>
              <w:t xml:space="preserve">Dit initiatief is aangekondigd in de </w:t>
            </w:r>
            <w:r w:rsidRPr="00781A6F" w:rsidR="00186531">
              <w:rPr>
                <w:rFonts w:ascii="Verdana" w:hAnsi="Verdana"/>
                <w:i/>
                <w:color w:val="000000"/>
                <w:sz w:val="18"/>
                <w:szCs w:val="18"/>
              </w:rPr>
              <w:t xml:space="preserve">2025 </w:t>
            </w:r>
            <w:r w:rsidRPr="00781A6F">
              <w:rPr>
                <w:rFonts w:ascii="Verdana" w:hAnsi="Verdana"/>
                <w:i/>
                <w:color w:val="000000"/>
                <w:sz w:val="18"/>
                <w:szCs w:val="18"/>
              </w:rPr>
              <w:t xml:space="preserve">State of the Union </w:t>
            </w:r>
            <w:r w:rsidRPr="00781A6F">
              <w:rPr>
                <w:rFonts w:ascii="Verdana" w:hAnsi="Verdana"/>
                <w:color w:val="000000"/>
                <w:sz w:val="18"/>
                <w:szCs w:val="18"/>
              </w:rPr>
              <w:t xml:space="preserve">toespraak van </w:t>
            </w:r>
            <w:r w:rsidRPr="00781A6F" w:rsidR="000A43D1">
              <w:rPr>
                <w:rFonts w:ascii="Verdana" w:hAnsi="Verdana"/>
                <w:color w:val="000000"/>
                <w:sz w:val="18"/>
                <w:szCs w:val="18"/>
              </w:rPr>
              <w:t xml:space="preserve">Commissievoorzitter Ursula </w:t>
            </w:r>
            <w:proofErr w:type="spellStart"/>
            <w:r w:rsidRPr="00781A6F" w:rsidR="000A43D1">
              <w:rPr>
                <w:rFonts w:ascii="Verdana" w:hAnsi="Verdana"/>
                <w:color w:val="000000"/>
                <w:sz w:val="18"/>
                <w:szCs w:val="18"/>
              </w:rPr>
              <w:t>von</w:t>
            </w:r>
            <w:proofErr w:type="spellEnd"/>
            <w:r w:rsidRPr="00781A6F" w:rsidR="000A43D1">
              <w:rPr>
                <w:rFonts w:ascii="Verdana" w:hAnsi="Verdana"/>
                <w:color w:val="000000"/>
                <w:sz w:val="18"/>
                <w:szCs w:val="18"/>
              </w:rPr>
              <w:t xml:space="preserve"> der Leyen. Dit </w:t>
            </w:r>
            <w:r w:rsidRPr="00781A6F" w:rsidR="004573AB">
              <w:rPr>
                <w:rFonts w:ascii="Verdana" w:hAnsi="Verdana"/>
                <w:color w:val="000000"/>
                <w:sz w:val="18"/>
                <w:szCs w:val="18"/>
              </w:rPr>
              <w:t>initiatie dient</w:t>
            </w:r>
            <w:r w:rsidRPr="00781A6F">
              <w:rPr>
                <w:rFonts w:ascii="Verdana" w:hAnsi="Verdana"/>
                <w:color w:val="000000"/>
                <w:sz w:val="18"/>
                <w:szCs w:val="18"/>
              </w:rPr>
              <w:t xml:space="preserve"> </w:t>
            </w:r>
            <w:r w:rsidRPr="00781A6F" w:rsidR="000A43D1">
              <w:rPr>
                <w:rFonts w:ascii="Verdana" w:hAnsi="Verdana"/>
                <w:color w:val="000000"/>
                <w:sz w:val="18"/>
                <w:szCs w:val="18"/>
              </w:rPr>
              <w:t xml:space="preserve">ervoor </w:t>
            </w:r>
            <w:r w:rsidRPr="00781A6F">
              <w:rPr>
                <w:rFonts w:ascii="Verdana" w:hAnsi="Verdana"/>
                <w:color w:val="000000"/>
                <w:sz w:val="18"/>
                <w:szCs w:val="18"/>
              </w:rPr>
              <w:t xml:space="preserve">te zorgen dat de EU over de nodige instrumenten en mechanismen beschikt om snel te kunnen reageren op mogelijke nieuwe gezondheidsbedreigingen. </w:t>
            </w:r>
          </w:p>
          <w:p w:rsidRPr="00781A6F" w:rsidR="0023156F" w:rsidP="00781A6F" w:rsidRDefault="0023156F" w14:paraId="6DE9FA3D" w14:textId="77777777">
            <w:pPr>
              <w:rPr>
                <w:rFonts w:ascii="Verdana" w:hAnsi="Verdana" w:cstheme="minorHAnsi"/>
                <w:color w:val="000000"/>
                <w:sz w:val="18"/>
                <w:szCs w:val="18"/>
              </w:rPr>
            </w:pPr>
          </w:p>
          <w:p w:rsidRPr="00781A6F" w:rsidR="0023156F" w:rsidP="00781A6F" w:rsidRDefault="0023156F" w14:paraId="3E9E2B97" w14:textId="23C73ACF">
            <w:pPr>
              <w:rPr>
                <w:rFonts w:ascii="Verdana" w:hAnsi="Verdana" w:cstheme="minorHAnsi"/>
                <w:color w:val="000000"/>
                <w:sz w:val="18"/>
                <w:szCs w:val="18"/>
              </w:rPr>
            </w:pPr>
          </w:p>
        </w:tc>
        <w:tc>
          <w:tcPr>
            <w:tcW w:w="4535" w:type="dxa"/>
            <w:tcBorders>
              <w:top w:val="single" w:color="auto" w:sz="4" w:space="0"/>
              <w:left w:val="single" w:color="auto" w:sz="4" w:space="0"/>
              <w:bottom w:val="single" w:color="auto" w:sz="4" w:space="0"/>
              <w:right w:val="single" w:color="auto" w:sz="4" w:space="0"/>
            </w:tcBorders>
          </w:tcPr>
          <w:p w:rsidRPr="00781A6F" w:rsidR="0023156F" w:rsidP="00781A6F" w:rsidRDefault="0023156F" w14:paraId="54FB2528" w14:textId="14676321">
            <w:pPr>
              <w:rPr>
                <w:rFonts w:ascii="Verdana" w:hAnsi="Verdana" w:cstheme="minorBidi"/>
                <w:color w:val="000000"/>
                <w:sz w:val="18"/>
                <w:szCs w:val="18"/>
              </w:rPr>
            </w:pPr>
            <w:r w:rsidRPr="00781A6F">
              <w:rPr>
                <w:rFonts w:ascii="Verdana" w:hAnsi="Verdana"/>
                <w:color w:val="000000"/>
                <w:sz w:val="18"/>
                <w:szCs w:val="18"/>
              </w:rPr>
              <w:t xml:space="preserve">Het kabinet steunt de intentie van het initiatief gelet op toenemende grensoverschrijdende gezondheidsdreigingen en huidige geopolitieke ontwikkelingen. Voor het kabinet is het van belang dat het initiatief 1) niet alleen verdere uitvoering geeft aan de </w:t>
            </w:r>
            <w:r w:rsidRPr="00781A6F">
              <w:rPr>
                <w:rFonts w:ascii="Verdana" w:hAnsi="Verdana"/>
                <w:i/>
                <w:color w:val="000000"/>
                <w:sz w:val="18"/>
                <w:szCs w:val="18"/>
              </w:rPr>
              <w:t>EU Global Health Strategy</w:t>
            </w:r>
            <w:r w:rsidRPr="00781A6F">
              <w:rPr>
                <w:rFonts w:ascii="Verdana" w:hAnsi="Verdana"/>
                <w:color w:val="000000"/>
                <w:sz w:val="18"/>
                <w:szCs w:val="18"/>
              </w:rPr>
              <w:t>,</w:t>
            </w:r>
            <w:r w:rsidRPr="00781A6F" w:rsidR="00186531">
              <w:rPr>
                <w:rStyle w:val="FootnoteReference"/>
                <w:rFonts w:ascii="Verdana" w:hAnsi="Verdana"/>
                <w:color w:val="000000"/>
                <w:sz w:val="18"/>
                <w:szCs w:val="18"/>
              </w:rPr>
              <w:footnoteReference w:id="16"/>
            </w:r>
            <w:r w:rsidRPr="00781A6F">
              <w:rPr>
                <w:rFonts w:ascii="Verdana" w:hAnsi="Verdana"/>
                <w:color w:val="000000"/>
                <w:sz w:val="18"/>
                <w:szCs w:val="18"/>
              </w:rPr>
              <w:t xml:space="preserve"> maar ook aansluit bij bredere EU</w:t>
            </w:r>
            <w:r w:rsidRPr="00781A6F" w:rsidR="000A43D1">
              <w:rPr>
                <w:rFonts w:ascii="Verdana" w:hAnsi="Verdana"/>
                <w:color w:val="000000"/>
                <w:sz w:val="18"/>
                <w:szCs w:val="18"/>
              </w:rPr>
              <w:t>-</w:t>
            </w:r>
            <w:r w:rsidRPr="00781A6F">
              <w:rPr>
                <w:rFonts w:ascii="Verdana" w:hAnsi="Verdana"/>
                <w:color w:val="000000"/>
                <w:sz w:val="18"/>
                <w:szCs w:val="18"/>
              </w:rPr>
              <w:t xml:space="preserve">prioriteiten zoals veiligheid/weerbaarheid en welvaart/concurrentievermogen; 2) een wereldwijde scope heeft; 3) een </w:t>
            </w:r>
            <w:r w:rsidRPr="00781A6F" w:rsidR="00186531">
              <w:rPr>
                <w:rFonts w:ascii="Verdana" w:hAnsi="Verdana"/>
                <w:color w:val="000000"/>
                <w:sz w:val="18"/>
                <w:szCs w:val="18"/>
              </w:rPr>
              <w:t>multisectoriële</w:t>
            </w:r>
            <w:r w:rsidRPr="00781A6F">
              <w:rPr>
                <w:rFonts w:ascii="Verdana" w:hAnsi="Verdana"/>
                <w:color w:val="000000"/>
                <w:sz w:val="18"/>
                <w:szCs w:val="18"/>
              </w:rPr>
              <w:t xml:space="preserve"> aanpak nastreeft; 4) wederkerige partnerschappen nastreeft; en 5)</w:t>
            </w:r>
            <w:r w:rsidRPr="00781A6F" w:rsidR="000A3853">
              <w:rPr>
                <w:rFonts w:ascii="Verdana" w:hAnsi="Verdana"/>
                <w:color w:val="000000"/>
                <w:sz w:val="18"/>
                <w:szCs w:val="18"/>
              </w:rPr>
              <w:t xml:space="preserve"> </w:t>
            </w:r>
            <w:r w:rsidRPr="00781A6F">
              <w:rPr>
                <w:rFonts w:ascii="Verdana" w:hAnsi="Verdana"/>
                <w:color w:val="000000"/>
                <w:sz w:val="18"/>
                <w:szCs w:val="18"/>
              </w:rPr>
              <w:t xml:space="preserve">wordt gefinancierd binnen </w:t>
            </w:r>
            <w:r w:rsidRPr="00781A6F">
              <w:rPr>
                <w:rFonts w:ascii="Verdana" w:hAnsi="Verdana"/>
                <w:i/>
                <w:color w:val="000000"/>
                <w:sz w:val="18"/>
                <w:szCs w:val="18"/>
              </w:rPr>
              <w:t>Global Europe</w:t>
            </w:r>
            <w:r w:rsidRPr="00781A6F" w:rsidR="00F01DB8">
              <w:rPr>
                <w:rFonts w:ascii="Verdana" w:hAnsi="Verdana"/>
                <w:color w:val="000000"/>
                <w:sz w:val="18"/>
                <w:szCs w:val="18"/>
              </w:rPr>
              <w:t xml:space="preserve"> en </w:t>
            </w:r>
            <w:r w:rsidRPr="00781A6F" w:rsidR="00F01DB8">
              <w:rPr>
                <w:rFonts w:ascii="Verdana" w:hAnsi="Verdana"/>
                <w:color w:val="000000"/>
                <w:sz w:val="18"/>
                <w:szCs w:val="18"/>
              </w:rPr>
              <w:lastRenderedPageBreak/>
              <w:t>samenwerking</w:t>
            </w:r>
            <w:r w:rsidRPr="00781A6F" w:rsidR="00421EFA">
              <w:rPr>
                <w:rFonts w:ascii="Verdana" w:hAnsi="Verdana"/>
                <w:color w:val="000000"/>
                <w:sz w:val="18"/>
                <w:szCs w:val="18"/>
              </w:rPr>
              <w:t xml:space="preserve"> </w:t>
            </w:r>
            <w:r w:rsidRPr="00781A6F" w:rsidR="00A93788">
              <w:rPr>
                <w:rFonts w:ascii="Verdana" w:hAnsi="Verdana"/>
                <w:color w:val="000000"/>
                <w:sz w:val="18"/>
                <w:szCs w:val="18"/>
              </w:rPr>
              <w:t xml:space="preserve">versterkt </w:t>
            </w:r>
            <w:r w:rsidRPr="00781A6F" w:rsidR="000A3853">
              <w:rPr>
                <w:rFonts w:ascii="Verdana" w:hAnsi="Verdana"/>
                <w:color w:val="000000"/>
                <w:sz w:val="18"/>
                <w:szCs w:val="18"/>
              </w:rPr>
              <w:t xml:space="preserve">tussen </w:t>
            </w:r>
            <w:r w:rsidRPr="00781A6F" w:rsidR="00910B5A">
              <w:rPr>
                <w:rFonts w:ascii="Verdana" w:hAnsi="Verdana"/>
                <w:i/>
                <w:color w:val="000000"/>
                <w:sz w:val="18"/>
                <w:szCs w:val="18"/>
              </w:rPr>
              <w:t>EU Development Goals</w:t>
            </w:r>
            <w:r w:rsidRPr="00781A6F" w:rsidR="00910B5A">
              <w:rPr>
                <w:rFonts w:ascii="Verdana" w:hAnsi="Verdana"/>
                <w:color w:val="000000"/>
                <w:sz w:val="18"/>
                <w:szCs w:val="18"/>
              </w:rPr>
              <w:t xml:space="preserve"> (</w:t>
            </w:r>
            <w:proofErr w:type="spellStart"/>
            <w:r w:rsidRPr="00781A6F" w:rsidR="00910B5A">
              <w:rPr>
                <w:rFonts w:ascii="Verdana" w:hAnsi="Verdana"/>
                <w:color w:val="000000"/>
                <w:sz w:val="18"/>
                <w:szCs w:val="18"/>
              </w:rPr>
              <w:t>EUDGs</w:t>
            </w:r>
            <w:proofErr w:type="spellEnd"/>
            <w:r w:rsidRPr="00781A6F" w:rsidR="00910B5A">
              <w:rPr>
                <w:rFonts w:ascii="Verdana" w:hAnsi="Verdana"/>
                <w:color w:val="000000"/>
                <w:sz w:val="18"/>
                <w:szCs w:val="18"/>
              </w:rPr>
              <w:t>)</w:t>
            </w:r>
            <w:r w:rsidRPr="00781A6F" w:rsidR="000A3853">
              <w:rPr>
                <w:rFonts w:ascii="Verdana" w:hAnsi="Verdana"/>
                <w:color w:val="000000"/>
                <w:sz w:val="18"/>
                <w:szCs w:val="18"/>
              </w:rPr>
              <w:t xml:space="preserve"> </w:t>
            </w:r>
            <w:r w:rsidRPr="00781A6F" w:rsidR="00A93788">
              <w:rPr>
                <w:rFonts w:ascii="Verdana" w:hAnsi="Verdana"/>
                <w:color w:val="000000"/>
                <w:sz w:val="18"/>
                <w:szCs w:val="18"/>
              </w:rPr>
              <w:t>die zich inzetten op gezondheid binnen en buiten Europa</w:t>
            </w:r>
            <w:r w:rsidRPr="00781A6F" w:rsidR="00F01DB8">
              <w:rPr>
                <w:rFonts w:ascii="Verdana" w:hAnsi="Verdana"/>
                <w:color w:val="000000"/>
                <w:sz w:val="18"/>
                <w:szCs w:val="18"/>
              </w:rPr>
              <w:t>;</w:t>
            </w:r>
            <w:r w:rsidRPr="00781A6F">
              <w:rPr>
                <w:rFonts w:ascii="Verdana" w:hAnsi="Verdana"/>
                <w:color w:val="000000"/>
                <w:sz w:val="18"/>
                <w:szCs w:val="18"/>
              </w:rPr>
              <w:t>.</w:t>
            </w:r>
            <w:r w:rsidRPr="00781A6F" w:rsidR="0048238F">
              <w:rPr>
                <w:rFonts w:ascii="Verdana" w:hAnsi="Verdana"/>
                <w:color w:val="000000"/>
                <w:sz w:val="18"/>
                <w:szCs w:val="18"/>
              </w:rPr>
              <w:t xml:space="preserve"> 6) </w:t>
            </w:r>
            <w:r w:rsidRPr="00781A6F" w:rsidR="007261FE">
              <w:rPr>
                <w:rFonts w:ascii="Verdana" w:hAnsi="Verdana"/>
                <w:color w:val="000000"/>
                <w:sz w:val="18"/>
                <w:szCs w:val="18"/>
              </w:rPr>
              <w:t>Bijdraagt aan een meer coherente en minder gefragmenteerde inzet van multilaterale organisaties en initiatieven op het gebied van mondiale gezondheid</w:t>
            </w:r>
            <w:r w:rsidRPr="00781A6F" w:rsidR="0048238F">
              <w:rPr>
                <w:rFonts w:ascii="Verdana" w:hAnsi="Verdana"/>
                <w:color w:val="000000"/>
                <w:sz w:val="18"/>
                <w:szCs w:val="18"/>
              </w:rPr>
              <w:t xml:space="preserve">. </w:t>
            </w:r>
          </w:p>
        </w:tc>
        <w:tc>
          <w:tcPr>
            <w:tcW w:w="1985" w:type="dxa"/>
            <w:tcBorders>
              <w:top w:val="single" w:color="auto" w:sz="4" w:space="0"/>
              <w:left w:val="single" w:color="auto" w:sz="4" w:space="0"/>
              <w:bottom w:val="single" w:color="auto" w:sz="4" w:space="0"/>
              <w:right w:val="single" w:color="auto" w:sz="4" w:space="0"/>
            </w:tcBorders>
          </w:tcPr>
          <w:p w:rsidRPr="00432780" w:rsidR="0023156F" w:rsidP="00781A6F" w:rsidRDefault="0023156F" w14:paraId="41CD5F8D" w14:textId="5F2681C1">
            <w:pPr>
              <w:rPr>
                <w:rFonts w:ascii="Verdana" w:hAnsi="Verdana" w:cstheme="minorBidi"/>
                <w:color w:val="000000"/>
                <w:sz w:val="18"/>
                <w:szCs w:val="18"/>
              </w:rPr>
            </w:pPr>
            <w:proofErr w:type="spellStart"/>
            <w:r w:rsidRPr="00781A6F">
              <w:rPr>
                <w:rFonts w:ascii="Verdana" w:hAnsi="Verdana"/>
                <w:color w:val="000000"/>
                <w:sz w:val="18"/>
                <w:szCs w:val="18"/>
                <w:lang w:val="en-US"/>
              </w:rPr>
              <w:lastRenderedPageBreak/>
              <w:t>Niet-wetgevend</w:t>
            </w:r>
            <w:proofErr w:type="spellEnd"/>
          </w:p>
        </w:tc>
      </w:tr>
    </w:tbl>
    <w:p w:rsidRPr="00432780" w:rsidR="001444E8" w:rsidP="00781A6F" w:rsidRDefault="001444E8" w14:paraId="424A734D" w14:textId="71614A38">
      <w:pPr>
        <w:spacing w:line="240" w:lineRule="auto"/>
        <w:rPr>
          <w:rFonts w:ascii="Verdana" w:hAnsi="Verdana"/>
          <w:b/>
          <w:bCs/>
          <w:sz w:val="18"/>
          <w:szCs w:val="18"/>
        </w:rPr>
      </w:pPr>
    </w:p>
    <w:sectPr w:rsidRPr="00432780" w:rsidR="001444E8" w:rsidSect="007E5965">
      <w:footerReference w:type="default" r:id="rId12"/>
      <w:pgSz w:w="16838" w:h="11906" w:orient="landscape"/>
      <w:pgMar w:top="720" w:right="720" w:bottom="720" w:left="72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C045C" w14:textId="77777777" w:rsidR="00377DCE" w:rsidRDefault="00377DCE" w:rsidP="001B044F">
      <w:pPr>
        <w:spacing w:after="0" w:line="240" w:lineRule="auto"/>
      </w:pPr>
      <w:r>
        <w:separator/>
      </w:r>
    </w:p>
  </w:endnote>
  <w:endnote w:type="continuationSeparator" w:id="0">
    <w:p w14:paraId="127B2A6E" w14:textId="77777777" w:rsidR="00377DCE" w:rsidRDefault="00377DCE" w:rsidP="001B044F">
      <w:pPr>
        <w:spacing w:after="0" w:line="240" w:lineRule="auto"/>
      </w:pPr>
      <w:r>
        <w:continuationSeparator/>
      </w:r>
    </w:p>
  </w:endnote>
  <w:endnote w:type="continuationNotice" w:id="1">
    <w:p w14:paraId="11FCF521" w14:textId="77777777" w:rsidR="00377DCE" w:rsidRDefault="00377D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766219"/>
      <w:docPartObj>
        <w:docPartGallery w:val="Page Numbers (Bottom of Page)"/>
        <w:docPartUnique/>
      </w:docPartObj>
    </w:sdtPr>
    <w:sdtEndPr>
      <w:rPr>
        <w:noProof/>
      </w:rPr>
    </w:sdtEndPr>
    <w:sdtContent>
      <w:p w14:paraId="6FDD2056" w14:textId="5934A5C4" w:rsidR="004E0119" w:rsidRDefault="004E01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946FBA" w14:textId="54BC7BDF" w:rsidR="00CA4058" w:rsidRDefault="00CA4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9B678" w14:textId="77777777" w:rsidR="00377DCE" w:rsidRDefault="00377DCE" w:rsidP="001B044F">
      <w:pPr>
        <w:spacing w:after="0" w:line="240" w:lineRule="auto"/>
      </w:pPr>
      <w:r>
        <w:separator/>
      </w:r>
    </w:p>
  </w:footnote>
  <w:footnote w:type="continuationSeparator" w:id="0">
    <w:p w14:paraId="709AA41E" w14:textId="77777777" w:rsidR="00377DCE" w:rsidRDefault="00377DCE" w:rsidP="001B044F">
      <w:pPr>
        <w:spacing w:after="0" w:line="240" w:lineRule="auto"/>
      </w:pPr>
      <w:r>
        <w:continuationSeparator/>
      </w:r>
    </w:p>
  </w:footnote>
  <w:footnote w:type="continuationNotice" w:id="1">
    <w:p w14:paraId="7A9F145C" w14:textId="77777777" w:rsidR="00377DCE" w:rsidRDefault="00377DCE">
      <w:pPr>
        <w:spacing w:after="0" w:line="240" w:lineRule="auto"/>
      </w:pPr>
    </w:p>
  </w:footnote>
  <w:footnote w:id="2">
    <w:p w14:paraId="36E2A357" w14:textId="579A90AC" w:rsidR="005B76CB" w:rsidRPr="008B2B6E" w:rsidRDefault="005B76CB" w:rsidP="4485603B">
      <w:pPr>
        <w:pStyle w:val="FootnoteText"/>
        <w:rPr>
          <w:lang w:val="en-US"/>
        </w:rPr>
      </w:pPr>
      <w:r>
        <w:rPr>
          <w:rStyle w:val="FootnoteReference"/>
        </w:rPr>
        <w:footnoteRef/>
      </w:r>
      <w:r w:rsidRPr="008B2B6E">
        <w:rPr>
          <w:lang w:val="en-US"/>
        </w:rPr>
        <w:t xml:space="preserve"> Kamerstukken 2024/25, 21 501-07, nr. 2099 en 2025/26, 22112, nr. 4181</w:t>
      </w:r>
    </w:p>
  </w:footnote>
  <w:footnote w:id="3">
    <w:p w14:paraId="43DBA11B" w14:textId="1285D73A" w:rsidR="00BA5605" w:rsidRPr="00844997" w:rsidRDefault="00BA5605">
      <w:pPr>
        <w:pStyle w:val="FootnoteText"/>
        <w:rPr>
          <w:lang w:val="en-US"/>
        </w:rPr>
      </w:pPr>
      <w:r>
        <w:rPr>
          <w:rStyle w:val="FootnoteReference"/>
        </w:rPr>
        <w:footnoteRef/>
      </w:r>
      <w:r w:rsidRPr="00844997">
        <w:rPr>
          <w:lang w:val="en-US"/>
        </w:rPr>
        <w:t xml:space="preserve"> </w:t>
      </w:r>
      <w:hyperlink r:id="rId1" w:history="1">
        <w:r w:rsidR="00432780" w:rsidRPr="00432780">
          <w:rPr>
            <w:rStyle w:val="Hyperlink"/>
            <w:lang w:val="en-US"/>
          </w:rPr>
          <w:t>European Chips Act | Shaping Europe’s digital future</w:t>
        </w:r>
      </w:hyperlink>
    </w:p>
  </w:footnote>
  <w:footnote w:id="4">
    <w:p w14:paraId="42F3BD42" w14:textId="540E5BFC" w:rsidR="006B0323" w:rsidRPr="006B0323" w:rsidRDefault="006B0323">
      <w:pPr>
        <w:pStyle w:val="FootnoteText"/>
        <w:rPr>
          <w:lang w:val="en-US"/>
        </w:rPr>
      </w:pPr>
      <w:r>
        <w:rPr>
          <w:rStyle w:val="FootnoteReference"/>
        </w:rPr>
        <w:footnoteRef/>
      </w:r>
      <w:r w:rsidRPr="006B0323">
        <w:rPr>
          <w:lang w:val="en-US"/>
        </w:rPr>
        <w:t xml:space="preserve"> </w:t>
      </w:r>
      <w:hyperlink r:id="rId2" w:history="1">
        <w:r w:rsidR="00844997" w:rsidRPr="00844997">
          <w:rPr>
            <w:rStyle w:val="Hyperlink"/>
            <w:lang w:val="en-US"/>
          </w:rPr>
          <w:t>The Draghi report on EU competitiveness</w:t>
        </w:r>
      </w:hyperlink>
    </w:p>
  </w:footnote>
  <w:footnote w:id="5">
    <w:p w14:paraId="28693D83" w14:textId="00A42DDE" w:rsidR="00BA5605" w:rsidRDefault="00BA5605">
      <w:pPr>
        <w:pStyle w:val="FootnoteText"/>
      </w:pPr>
      <w:r>
        <w:rPr>
          <w:rStyle w:val="FootnoteReference"/>
        </w:rPr>
        <w:footnoteRef/>
      </w:r>
      <w:r>
        <w:t xml:space="preserve"> </w:t>
      </w:r>
      <w:hyperlink r:id="rId3" w:history="1">
        <w:r>
          <w:rPr>
            <w:rStyle w:val="Hyperlink"/>
          </w:rPr>
          <w:t>Kamerbrief over Nationale Grondstoffenstrategie | Kamerstuk | Rijksoverheid.nl</w:t>
        </w:r>
      </w:hyperlink>
      <w:r w:rsidR="004E76A9">
        <w:t>, Kamerstuk 32852, nr. 224</w:t>
      </w:r>
    </w:p>
  </w:footnote>
  <w:footnote w:id="6">
    <w:p w14:paraId="561A8AE9" w14:textId="41A3B10C" w:rsidR="00233CDF" w:rsidRDefault="00233CDF">
      <w:pPr>
        <w:pStyle w:val="FootnoteText"/>
      </w:pPr>
      <w:r>
        <w:rPr>
          <w:rStyle w:val="FootnoteReference"/>
        </w:rPr>
        <w:footnoteRef/>
      </w:r>
      <w:r>
        <w:t xml:space="preserve"> </w:t>
      </w:r>
      <w:hyperlink r:id="rId4" w:history="1">
        <w:r w:rsidRPr="00233CDF">
          <w:rPr>
            <w:rStyle w:val="Hyperlink"/>
          </w:rPr>
          <w:t>Richtlijn (EU) 2023/… van het Europees Parlement en de Raad van 13 september 2023 betreffende energie-efficiëntie en tot wijziging van Verordening (EU) 2023/955 (herschikking)</w:t>
        </w:r>
      </w:hyperlink>
    </w:p>
  </w:footnote>
  <w:footnote w:id="7">
    <w:p w14:paraId="29703F05" w14:textId="25B1DF6C" w:rsidR="003613A5" w:rsidRDefault="003613A5">
      <w:pPr>
        <w:pStyle w:val="FootnoteText"/>
      </w:pPr>
      <w:r>
        <w:rPr>
          <w:rStyle w:val="FootnoteReference"/>
        </w:rPr>
        <w:footnoteRef/>
      </w:r>
      <w:r>
        <w:t xml:space="preserve"> </w:t>
      </w:r>
      <w:hyperlink r:id="rId5" w:history="1">
        <w:r w:rsidRPr="003613A5">
          <w:rPr>
            <w:rStyle w:val="Hyperlink"/>
          </w:rPr>
          <w:t>BNC fiche 1 - Mededeling beheersing van klimaatrisico's | Publicatie | Rijksoverheid.nl</w:t>
        </w:r>
      </w:hyperlink>
      <w:r w:rsidR="003A64C8">
        <w:t>, Kamerstuk 22112, nr. 3930</w:t>
      </w:r>
    </w:p>
  </w:footnote>
  <w:footnote w:id="8">
    <w:p w14:paraId="41BE8AF4" w14:textId="5B409BDE" w:rsidR="00B41733" w:rsidRDefault="00B41733">
      <w:pPr>
        <w:pStyle w:val="FootnoteText"/>
      </w:pPr>
      <w:r>
        <w:rPr>
          <w:rStyle w:val="FootnoteReference"/>
        </w:rPr>
        <w:footnoteRef/>
      </w:r>
      <w:r>
        <w:t xml:space="preserve"> </w:t>
      </w:r>
      <w:hyperlink r:id="rId6" w:history="1">
        <w:r w:rsidRPr="00B41733">
          <w:rPr>
            <w:rStyle w:val="Hyperlink"/>
          </w:rPr>
          <w:t>Commissie stelt nieuw gemeenschappelijk Europees terugkeersysteem voor</w:t>
        </w:r>
      </w:hyperlink>
    </w:p>
  </w:footnote>
  <w:footnote w:id="9">
    <w:p w14:paraId="43BF9349" w14:textId="25EF1F1E" w:rsidR="00B41733" w:rsidRPr="00910B5A" w:rsidRDefault="00B41733">
      <w:pPr>
        <w:pStyle w:val="FootnoteText"/>
      </w:pPr>
      <w:r>
        <w:rPr>
          <w:rStyle w:val="FootnoteReference"/>
        </w:rPr>
        <w:footnoteRef/>
      </w:r>
      <w:r w:rsidRPr="00910B5A">
        <w:t xml:space="preserve"> </w:t>
      </w:r>
      <w:hyperlink r:id="rId7" w:history="1">
        <w:r w:rsidR="00910B5A" w:rsidRPr="00700AAC">
          <w:rPr>
            <w:rStyle w:val="Hyperlink"/>
          </w:rPr>
          <w:t>https://eur-lex.europa.eu/eli/dec_framw/2008/841/oj/eng</w:t>
        </w:r>
      </w:hyperlink>
      <w:r w:rsidR="00910B5A">
        <w:t xml:space="preserve"> </w:t>
      </w:r>
    </w:p>
  </w:footnote>
  <w:footnote w:id="10">
    <w:p w14:paraId="0679E4A0" w14:textId="60FC44B0" w:rsidR="000D2531" w:rsidRDefault="000D2531">
      <w:pPr>
        <w:pStyle w:val="FootnoteText"/>
      </w:pPr>
      <w:r>
        <w:rPr>
          <w:rStyle w:val="FootnoteReference"/>
        </w:rPr>
        <w:footnoteRef/>
      </w:r>
      <w:r>
        <w:t xml:space="preserve"> </w:t>
      </w:r>
      <w:hyperlink r:id="rId8" w:history="1">
        <w:r w:rsidRPr="000D2531">
          <w:rPr>
            <w:rStyle w:val="Hyperlink"/>
          </w:rPr>
          <w:t xml:space="preserve">Actieplan voor digitaal onderwijs: beleidsachtergrond - European </w:t>
        </w:r>
        <w:proofErr w:type="spellStart"/>
        <w:r w:rsidRPr="000D2531">
          <w:rPr>
            <w:rStyle w:val="Hyperlink"/>
          </w:rPr>
          <w:t>Education</w:t>
        </w:r>
        <w:proofErr w:type="spellEnd"/>
        <w:r w:rsidRPr="000D2531">
          <w:rPr>
            <w:rStyle w:val="Hyperlink"/>
          </w:rPr>
          <w:t xml:space="preserve"> Area</w:t>
        </w:r>
      </w:hyperlink>
    </w:p>
  </w:footnote>
  <w:footnote w:id="11">
    <w:p w14:paraId="6EC95A42" w14:textId="12F72C21" w:rsidR="000D2531" w:rsidRDefault="000D2531">
      <w:pPr>
        <w:pStyle w:val="FootnoteText"/>
      </w:pPr>
      <w:r>
        <w:rPr>
          <w:rStyle w:val="FootnoteReference"/>
        </w:rPr>
        <w:footnoteRef/>
      </w:r>
      <w:r>
        <w:t xml:space="preserve"> </w:t>
      </w:r>
      <w:hyperlink r:id="rId9" w:history="1">
        <w:r w:rsidRPr="000D2531">
          <w:rPr>
            <w:rStyle w:val="Hyperlink"/>
          </w:rPr>
          <w:t>Richtlijn - 2014/89 - EN - EUR-Lex</w:t>
        </w:r>
      </w:hyperlink>
    </w:p>
  </w:footnote>
  <w:footnote w:id="12">
    <w:p w14:paraId="378F20C7" w14:textId="0F1D8AD8" w:rsidR="00480A70" w:rsidRDefault="00480A70">
      <w:pPr>
        <w:pStyle w:val="FootnoteText"/>
      </w:pPr>
      <w:r>
        <w:rPr>
          <w:rStyle w:val="FootnoteReference"/>
        </w:rPr>
        <w:footnoteRef/>
      </w:r>
      <w:r>
        <w:t xml:space="preserve"> </w:t>
      </w:r>
      <w:hyperlink r:id="rId10" w:history="1">
        <w:r w:rsidRPr="00480A70">
          <w:rPr>
            <w:rStyle w:val="Hyperlink"/>
          </w:rPr>
          <w:t>Fiche 4: Mededeling Het Europees Oceaanpact | Publicatie | Rijksoverheid.nl</w:t>
        </w:r>
      </w:hyperlink>
    </w:p>
  </w:footnote>
  <w:footnote w:id="13">
    <w:p w14:paraId="6B46C637" w14:textId="013125DC" w:rsidR="00480A70" w:rsidRDefault="00480A70">
      <w:pPr>
        <w:pStyle w:val="FootnoteText"/>
      </w:pPr>
      <w:r>
        <w:rPr>
          <w:rStyle w:val="FootnoteReference"/>
        </w:rPr>
        <w:footnoteRef/>
      </w:r>
      <w:r>
        <w:t xml:space="preserve"> </w:t>
      </w:r>
      <w:hyperlink r:id="rId11" w:history="1">
        <w:r w:rsidRPr="00480A70">
          <w:rPr>
            <w:rStyle w:val="Hyperlink"/>
          </w:rPr>
          <w:t>Mariene Strategie voor het Nederlandse deel van de Noordzee 2022-2027 deel 3 | Rapport | Rijksoverheid.nl</w:t>
        </w:r>
      </w:hyperlink>
    </w:p>
  </w:footnote>
  <w:footnote w:id="14">
    <w:p w14:paraId="37438C58" w14:textId="11E242D6" w:rsidR="00186531" w:rsidRPr="00910B5A" w:rsidRDefault="00186531">
      <w:pPr>
        <w:pStyle w:val="FootnoteText"/>
      </w:pPr>
      <w:r>
        <w:rPr>
          <w:rStyle w:val="FootnoteReference"/>
        </w:rPr>
        <w:footnoteRef/>
      </w:r>
      <w:r w:rsidRPr="00910B5A">
        <w:t xml:space="preserve"> </w:t>
      </w:r>
      <w:hyperlink r:id="rId12" w:history="1">
        <w:r w:rsidR="00910B5A" w:rsidRPr="00700AAC">
          <w:rPr>
            <w:rStyle w:val="Hyperlink"/>
          </w:rPr>
          <w:t>https://commission.europa.eu/strategy-and-policy/policies/justice-and-fundamental-rights/gender-equality/declaration-principles-gender-equal-society_en</w:t>
        </w:r>
      </w:hyperlink>
      <w:r w:rsidR="00910B5A">
        <w:t xml:space="preserve"> </w:t>
      </w:r>
    </w:p>
  </w:footnote>
  <w:footnote w:id="15">
    <w:p w14:paraId="4CF67BF5" w14:textId="0E927999" w:rsidR="00186531" w:rsidRPr="005A7F6A" w:rsidRDefault="00186531">
      <w:pPr>
        <w:pStyle w:val="FootnoteText"/>
      </w:pPr>
      <w:r>
        <w:rPr>
          <w:rStyle w:val="FootnoteReference"/>
        </w:rPr>
        <w:footnoteRef/>
      </w:r>
      <w:r w:rsidRPr="005A7F6A">
        <w:t xml:space="preserve"> </w:t>
      </w:r>
      <w:r w:rsidR="005A7F6A" w:rsidRPr="005A7F6A">
        <w:t>Kamerst</w:t>
      </w:r>
      <w:r w:rsidR="005A7F6A">
        <w:t xml:space="preserve">uk 36180, nr. 136 </w:t>
      </w:r>
    </w:p>
  </w:footnote>
  <w:footnote w:id="16">
    <w:p w14:paraId="006181E0" w14:textId="5C2A9A96" w:rsidR="00186531" w:rsidRPr="005A7F6A" w:rsidRDefault="00186531">
      <w:pPr>
        <w:pStyle w:val="FootnoteText"/>
      </w:pPr>
      <w:r>
        <w:rPr>
          <w:rStyle w:val="FootnoteReference"/>
        </w:rPr>
        <w:footnoteRef/>
      </w:r>
      <w:r w:rsidRPr="005A7F6A">
        <w:t xml:space="preserve"> </w:t>
      </w:r>
      <w:hyperlink r:id="rId13" w:history="1">
        <w:r w:rsidR="00910B5A" w:rsidRPr="005A7F6A">
          <w:rPr>
            <w:rStyle w:val="Hyperlink"/>
          </w:rPr>
          <w:t>https://health.ec.europa.eu/internationalcooperation/global-health_en</w:t>
        </w:r>
      </w:hyperlink>
      <w:r w:rsidR="00910B5A" w:rsidRPr="005A7F6A">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129EB"/>
    <w:multiLevelType w:val="hybridMultilevel"/>
    <w:tmpl w:val="1592FE46"/>
    <w:lvl w:ilvl="0" w:tplc="1D3E143E">
      <w:start w:val="10"/>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3104551"/>
    <w:multiLevelType w:val="hybridMultilevel"/>
    <w:tmpl w:val="8D6CCD24"/>
    <w:lvl w:ilvl="0" w:tplc="57049EC6">
      <w:numFmt w:val="bullet"/>
      <w:lvlText w:val="-"/>
      <w:lvlJc w:val="left"/>
      <w:pPr>
        <w:ind w:left="720" w:hanging="360"/>
      </w:pPr>
      <w:rPr>
        <w:rFonts w:ascii="Calibri" w:eastAsiaTheme="minorEastAsia"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FF1E4D"/>
    <w:multiLevelType w:val="hybridMultilevel"/>
    <w:tmpl w:val="43104C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0D3D79"/>
    <w:multiLevelType w:val="hybridMultilevel"/>
    <w:tmpl w:val="FE4EA6B6"/>
    <w:lvl w:ilvl="0" w:tplc="6B2AC9AC">
      <w:numFmt w:val="bullet"/>
      <w:lvlText w:val="-"/>
      <w:lvlJc w:val="left"/>
      <w:pPr>
        <w:ind w:left="1430" w:hanging="710"/>
      </w:pPr>
      <w:rPr>
        <w:rFonts w:ascii="Calibri" w:eastAsiaTheme="minorEastAsia"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548E1C3D"/>
    <w:multiLevelType w:val="hybridMultilevel"/>
    <w:tmpl w:val="62C21E2E"/>
    <w:lvl w:ilvl="0" w:tplc="379E1966">
      <w:start w:val="1"/>
      <w:numFmt w:val="decimal"/>
      <w:lvlText w:val="%1."/>
      <w:lvlJc w:val="left"/>
      <w:pPr>
        <w:ind w:left="1070" w:hanging="710"/>
      </w:pPr>
      <w:rPr>
        <w:rFonts w:hint="default"/>
      </w:rPr>
    </w:lvl>
    <w:lvl w:ilvl="1" w:tplc="0C7EBFA4">
      <w:start w:val="1"/>
      <w:numFmt w:val="lowerLetter"/>
      <w:lvlText w:val="%2."/>
      <w:lvlJc w:val="left"/>
      <w:pPr>
        <w:ind w:left="1790" w:hanging="71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D9A28D2"/>
    <w:multiLevelType w:val="hybridMultilevel"/>
    <w:tmpl w:val="8B805A20"/>
    <w:lvl w:ilvl="0" w:tplc="6B2AC9AC">
      <w:numFmt w:val="bullet"/>
      <w:lvlText w:val="-"/>
      <w:lvlJc w:val="left"/>
      <w:pPr>
        <w:ind w:left="1070" w:hanging="71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17570B"/>
    <w:multiLevelType w:val="hybridMultilevel"/>
    <w:tmpl w:val="ED3222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C2A2518"/>
    <w:multiLevelType w:val="hybridMultilevel"/>
    <w:tmpl w:val="9524FB80"/>
    <w:lvl w:ilvl="0" w:tplc="57049EC6">
      <w:numFmt w:val="bullet"/>
      <w:lvlText w:val="-"/>
      <w:lvlJc w:val="left"/>
      <w:pPr>
        <w:ind w:left="1065" w:hanging="705"/>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DF27036"/>
    <w:multiLevelType w:val="hybridMultilevel"/>
    <w:tmpl w:val="133E88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ED15E41"/>
    <w:multiLevelType w:val="hybridMultilevel"/>
    <w:tmpl w:val="CE80B754"/>
    <w:lvl w:ilvl="0" w:tplc="1A52187C">
      <w:start w:val="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63076102">
    <w:abstractNumId w:val="4"/>
  </w:num>
  <w:num w:numId="2" w16cid:durableId="1020470497">
    <w:abstractNumId w:val="6"/>
  </w:num>
  <w:num w:numId="3" w16cid:durableId="484780718">
    <w:abstractNumId w:val="8"/>
  </w:num>
  <w:num w:numId="4" w16cid:durableId="342707693">
    <w:abstractNumId w:val="5"/>
  </w:num>
  <w:num w:numId="5" w16cid:durableId="433601674">
    <w:abstractNumId w:val="3"/>
  </w:num>
  <w:num w:numId="6" w16cid:durableId="849686707">
    <w:abstractNumId w:val="0"/>
  </w:num>
  <w:num w:numId="7" w16cid:durableId="434062193">
    <w:abstractNumId w:val="9"/>
  </w:num>
  <w:num w:numId="8" w16cid:durableId="1460034606">
    <w:abstractNumId w:val="2"/>
  </w:num>
  <w:num w:numId="9" w16cid:durableId="1776905053">
    <w:abstractNumId w:val="7"/>
  </w:num>
  <w:num w:numId="10" w16cid:durableId="165099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1B9"/>
    <w:rsid w:val="000019F1"/>
    <w:rsid w:val="00001D84"/>
    <w:rsid w:val="0000213A"/>
    <w:rsid w:val="00006BF0"/>
    <w:rsid w:val="000216CE"/>
    <w:rsid w:val="0003284B"/>
    <w:rsid w:val="000352B5"/>
    <w:rsid w:val="00036E82"/>
    <w:rsid w:val="00044A03"/>
    <w:rsid w:val="00055AE9"/>
    <w:rsid w:val="000566EB"/>
    <w:rsid w:val="00057B75"/>
    <w:rsid w:val="00065FB2"/>
    <w:rsid w:val="00067492"/>
    <w:rsid w:val="0007448C"/>
    <w:rsid w:val="0008253E"/>
    <w:rsid w:val="000937DF"/>
    <w:rsid w:val="000944E8"/>
    <w:rsid w:val="000A3444"/>
    <w:rsid w:val="000A3788"/>
    <w:rsid w:val="000A3853"/>
    <w:rsid w:val="000A43D1"/>
    <w:rsid w:val="000B1DA3"/>
    <w:rsid w:val="000B1FD6"/>
    <w:rsid w:val="000C36E7"/>
    <w:rsid w:val="000C468F"/>
    <w:rsid w:val="000C7922"/>
    <w:rsid w:val="000D2531"/>
    <w:rsid w:val="000D29F7"/>
    <w:rsid w:val="000E1FB4"/>
    <w:rsid w:val="000F588E"/>
    <w:rsid w:val="000F62C5"/>
    <w:rsid w:val="000F70CA"/>
    <w:rsid w:val="00101D55"/>
    <w:rsid w:val="00103CD6"/>
    <w:rsid w:val="0011042C"/>
    <w:rsid w:val="001124D0"/>
    <w:rsid w:val="001274D0"/>
    <w:rsid w:val="00127899"/>
    <w:rsid w:val="00132F6A"/>
    <w:rsid w:val="00133F56"/>
    <w:rsid w:val="001414E1"/>
    <w:rsid w:val="001444E8"/>
    <w:rsid w:val="00150239"/>
    <w:rsid w:val="001609D7"/>
    <w:rsid w:val="00186531"/>
    <w:rsid w:val="00197346"/>
    <w:rsid w:val="001A2E5B"/>
    <w:rsid w:val="001A3529"/>
    <w:rsid w:val="001A77C4"/>
    <w:rsid w:val="001B044F"/>
    <w:rsid w:val="001B5F27"/>
    <w:rsid w:val="001C6A07"/>
    <w:rsid w:val="001D15CB"/>
    <w:rsid w:val="001D1FCA"/>
    <w:rsid w:val="001D461C"/>
    <w:rsid w:val="001E1196"/>
    <w:rsid w:val="001F4438"/>
    <w:rsid w:val="002119C2"/>
    <w:rsid w:val="00214D1F"/>
    <w:rsid w:val="002162CF"/>
    <w:rsid w:val="0021779E"/>
    <w:rsid w:val="002236AB"/>
    <w:rsid w:val="0023156F"/>
    <w:rsid w:val="002334C1"/>
    <w:rsid w:val="00233CDF"/>
    <w:rsid w:val="00237910"/>
    <w:rsid w:val="002379F5"/>
    <w:rsid w:val="0025226E"/>
    <w:rsid w:val="002541B5"/>
    <w:rsid w:val="00255F97"/>
    <w:rsid w:val="002753B7"/>
    <w:rsid w:val="0028182A"/>
    <w:rsid w:val="00287E84"/>
    <w:rsid w:val="00295B03"/>
    <w:rsid w:val="00296879"/>
    <w:rsid w:val="002A2CB3"/>
    <w:rsid w:val="002B6F6A"/>
    <w:rsid w:val="002C49DE"/>
    <w:rsid w:val="002D3FC8"/>
    <w:rsid w:val="002E4F84"/>
    <w:rsid w:val="0030139D"/>
    <w:rsid w:val="003031C7"/>
    <w:rsid w:val="00306969"/>
    <w:rsid w:val="00313275"/>
    <w:rsid w:val="003137CB"/>
    <w:rsid w:val="00320138"/>
    <w:rsid w:val="00320B91"/>
    <w:rsid w:val="003250EA"/>
    <w:rsid w:val="00326F73"/>
    <w:rsid w:val="00330B6B"/>
    <w:rsid w:val="003315FF"/>
    <w:rsid w:val="003334A2"/>
    <w:rsid w:val="0033418F"/>
    <w:rsid w:val="0033440A"/>
    <w:rsid w:val="0033603A"/>
    <w:rsid w:val="00341DC9"/>
    <w:rsid w:val="00352F23"/>
    <w:rsid w:val="00355AAD"/>
    <w:rsid w:val="003604E1"/>
    <w:rsid w:val="003613A5"/>
    <w:rsid w:val="00365DF1"/>
    <w:rsid w:val="00366E0D"/>
    <w:rsid w:val="00374774"/>
    <w:rsid w:val="00377DCE"/>
    <w:rsid w:val="003834AA"/>
    <w:rsid w:val="003A456B"/>
    <w:rsid w:val="003A5CC7"/>
    <w:rsid w:val="003A64C8"/>
    <w:rsid w:val="003C6F7B"/>
    <w:rsid w:val="003D53E3"/>
    <w:rsid w:val="003D5ECC"/>
    <w:rsid w:val="003E534F"/>
    <w:rsid w:val="00401AFC"/>
    <w:rsid w:val="004056B1"/>
    <w:rsid w:val="00413A65"/>
    <w:rsid w:val="00421EFA"/>
    <w:rsid w:val="004277FF"/>
    <w:rsid w:val="00432780"/>
    <w:rsid w:val="004336DB"/>
    <w:rsid w:val="00440FAF"/>
    <w:rsid w:val="00447579"/>
    <w:rsid w:val="004537D6"/>
    <w:rsid w:val="004572E7"/>
    <w:rsid w:val="004573AB"/>
    <w:rsid w:val="00457F1C"/>
    <w:rsid w:val="0047001D"/>
    <w:rsid w:val="00472562"/>
    <w:rsid w:val="00480A70"/>
    <w:rsid w:val="0048238F"/>
    <w:rsid w:val="00483061"/>
    <w:rsid w:val="0048364D"/>
    <w:rsid w:val="004867B1"/>
    <w:rsid w:val="00492A6D"/>
    <w:rsid w:val="0049610F"/>
    <w:rsid w:val="004A45DC"/>
    <w:rsid w:val="004C1646"/>
    <w:rsid w:val="004D2ACE"/>
    <w:rsid w:val="004D3D5E"/>
    <w:rsid w:val="004E0119"/>
    <w:rsid w:val="004E4842"/>
    <w:rsid w:val="004E4891"/>
    <w:rsid w:val="004E76A9"/>
    <w:rsid w:val="0051500E"/>
    <w:rsid w:val="00520269"/>
    <w:rsid w:val="00521328"/>
    <w:rsid w:val="0052489F"/>
    <w:rsid w:val="00526172"/>
    <w:rsid w:val="00527025"/>
    <w:rsid w:val="00530C15"/>
    <w:rsid w:val="00531128"/>
    <w:rsid w:val="005342EF"/>
    <w:rsid w:val="005409C5"/>
    <w:rsid w:val="005728AE"/>
    <w:rsid w:val="00581E4D"/>
    <w:rsid w:val="0058443E"/>
    <w:rsid w:val="00585C75"/>
    <w:rsid w:val="00585D10"/>
    <w:rsid w:val="005871B2"/>
    <w:rsid w:val="005965A9"/>
    <w:rsid w:val="005A05BB"/>
    <w:rsid w:val="005A7F6A"/>
    <w:rsid w:val="005B76CB"/>
    <w:rsid w:val="005B795D"/>
    <w:rsid w:val="005C005B"/>
    <w:rsid w:val="005C0B88"/>
    <w:rsid w:val="005C2905"/>
    <w:rsid w:val="005C433C"/>
    <w:rsid w:val="005C4A81"/>
    <w:rsid w:val="005D3370"/>
    <w:rsid w:val="005D7637"/>
    <w:rsid w:val="005E4C3E"/>
    <w:rsid w:val="005E5C4F"/>
    <w:rsid w:val="005F0911"/>
    <w:rsid w:val="005F1DA5"/>
    <w:rsid w:val="005F2728"/>
    <w:rsid w:val="005F3768"/>
    <w:rsid w:val="006031E7"/>
    <w:rsid w:val="00605DE6"/>
    <w:rsid w:val="00611678"/>
    <w:rsid w:val="00611EF5"/>
    <w:rsid w:val="00614889"/>
    <w:rsid w:val="00614B42"/>
    <w:rsid w:val="00621113"/>
    <w:rsid w:val="00631E1D"/>
    <w:rsid w:val="00637145"/>
    <w:rsid w:val="00637953"/>
    <w:rsid w:val="00637A36"/>
    <w:rsid w:val="00651351"/>
    <w:rsid w:val="00652423"/>
    <w:rsid w:val="00654C28"/>
    <w:rsid w:val="00655AD5"/>
    <w:rsid w:val="006569BD"/>
    <w:rsid w:val="006606ED"/>
    <w:rsid w:val="00660C0C"/>
    <w:rsid w:val="00660C37"/>
    <w:rsid w:val="00660F78"/>
    <w:rsid w:val="0066685D"/>
    <w:rsid w:val="00673F98"/>
    <w:rsid w:val="0068013D"/>
    <w:rsid w:val="0068373F"/>
    <w:rsid w:val="006873DC"/>
    <w:rsid w:val="00687BF5"/>
    <w:rsid w:val="00695127"/>
    <w:rsid w:val="00697DD8"/>
    <w:rsid w:val="006A5B3C"/>
    <w:rsid w:val="006A6FC1"/>
    <w:rsid w:val="006B0323"/>
    <w:rsid w:val="006C0D9C"/>
    <w:rsid w:val="006C1DCD"/>
    <w:rsid w:val="006C5C8D"/>
    <w:rsid w:val="006D166B"/>
    <w:rsid w:val="006D6869"/>
    <w:rsid w:val="006E1A1F"/>
    <w:rsid w:val="006E5334"/>
    <w:rsid w:val="006E62E2"/>
    <w:rsid w:val="006F3B84"/>
    <w:rsid w:val="006F4217"/>
    <w:rsid w:val="006F60DB"/>
    <w:rsid w:val="006F65E3"/>
    <w:rsid w:val="00701537"/>
    <w:rsid w:val="007018CA"/>
    <w:rsid w:val="00702608"/>
    <w:rsid w:val="0070396E"/>
    <w:rsid w:val="00707DF7"/>
    <w:rsid w:val="00715E1F"/>
    <w:rsid w:val="00716B21"/>
    <w:rsid w:val="00724C03"/>
    <w:rsid w:val="007261FE"/>
    <w:rsid w:val="007273C6"/>
    <w:rsid w:val="007302D6"/>
    <w:rsid w:val="0073247F"/>
    <w:rsid w:val="00743617"/>
    <w:rsid w:val="007476DF"/>
    <w:rsid w:val="00756B12"/>
    <w:rsid w:val="00757A47"/>
    <w:rsid w:val="00773D56"/>
    <w:rsid w:val="00775DFA"/>
    <w:rsid w:val="007766E6"/>
    <w:rsid w:val="00781A6F"/>
    <w:rsid w:val="00795374"/>
    <w:rsid w:val="007A1E71"/>
    <w:rsid w:val="007B1641"/>
    <w:rsid w:val="007C5F3E"/>
    <w:rsid w:val="007D4768"/>
    <w:rsid w:val="007E345B"/>
    <w:rsid w:val="007E5965"/>
    <w:rsid w:val="007F0AB7"/>
    <w:rsid w:val="00801221"/>
    <w:rsid w:val="008029CD"/>
    <w:rsid w:val="00814007"/>
    <w:rsid w:val="00814069"/>
    <w:rsid w:val="00814F9B"/>
    <w:rsid w:val="008171E6"/>
    <w:rsid w:val="00825222"/>
    <w:rsid w:val="008266E9"/>
    <w:rsid w:val="00831C5D"/>
    <w:rsid w:val="00844997"/>
    <w:rsid w:val="008460CF"/>
    <w:rsid w:val="00852062"/>
    <w:rsid w:val="00852A63"/>
    <w:rsid w:val="008554D3"/>
    <w:rsid w:val="008577BB"/>
    <w:rsid w:val="0086453B"/>
    <w:rsid w:val="00867285"/>
    <w:rsid w:val="008675CF"/>
    <w:rsid w:val="00871152"/>
    <w:rsid w:val="008734A8"/>
    <w:rsid w:val="0088029E"/>
    <w:rsid w:val="008877A4"/>
    <w:rsid w:val="00893C35"/>
    <w:rsid w:val="008A2A38"/>
    <w:rsid w:val="008B2B6E"/>
    <w:rsid w:val="008B3266"/>
    <w:rsid w:val="008B7D15"/>
    <w:rsid w:val="008C30FB"/>
    <w:rsid w:val="008C33FB"/>
    <w:rsid w:val="008C56EB"/>
    <w:rsid w:val="008C6548"/>
    <w:rsid w:val="008C656A"/>
    <w:rsid w:val="008D7270"/>
    <w:rsid w:val="008E2299"/>
    <w:rsid w:val="008E7361"/>
    <w:rsid w:val="008F3811"/>
    <w:rsid w:val="008F791E"/>
    <w:rsid w:val="00900C09"/>
    <w:rsid w:val="00900F6D"/>
    <w:rsid w:val="00910B5A"/>
    <w:rsid w:val="009171CE"/>
    <w:rsid w:val="0092500C"/>
    <w:rsid w:val="009379C7"/>
    <w:rsid w:val="00942A6F"/>
    <w:rsid w:val="0095011E"/>
    <w:rsid w:val="009524EF"/>
    <w:rsid w:val="0095475A"/>
    <w:rsid w:val="00955FCD"/>
    <w:rsid w:val="00960F35"/>
    <w:rsid w:val="00980157"/>
    <w:rsid w:val="00982337"/>
    <w:rsid w:val="009829A0"/>
    <w:rsid w:val="009A2266"/>
    <w:rsid w:val="009A5C22"/>
    <w:rsid w:val="009A5E82"/>
    <w:rsid w:val="009D156B"/>
    <w:rsid w:val="009D38B4"/>
    <w:rsid w:val="009D67DA"/>
    <w:rsid w:val="009E177A"/>
    <w:rsid w:val="009E2499"/>
    <w:rsid w:val="009E477F"/>
    <w:rsid w:val="009E4DB0"/>
    <w:rsid w:val="009F2D67"/>
    <w:rsid w:val="009F3379"/>
    <w:rsid w:val="00A15C00"/>
    <w:rsid w:val="00A22291"/>
    <w:rsid w:val="00A22C03"/>
    <w:rsid w:val="00A35E4C"/>
    <w:rsid w:val="00A407C7"/>
    <w:rsid w:val="00A5717F"/>
    <w:rsid w:val="00A746CC"/>
    <w:rsid w:val="00A77531"/>
    <w:rsid w:val="00A91D18"/>
    <w:rsid w:val="00A93788"/>
    <w:rsid w:val="00A95CA2"/>
    <w:rsid w:val="00AA676A"/>
    <w:rsid w:val="00AB3611"/>
    <w:rsid w:val="00AB65F5"/>
    <w:rsid w:val="00AC0A47"/>
    <w:rsid w:val="00AC33D8"/>
    <w:rsid w:val="00AC44CB"/>
    <w:rsid w:val="00AC48B3"/>
    <w:rsid w:val="00B06E6A"/>
    <w:rsid w:val="00B25E80"/>
    <w:rsid w:val="00B34264"/>
    <w:rsid w:val="00B34466"/>
    <w:rsid w:val="00B345FD"/>
    <w:rsid w:val="00B3675A"/>
    <w:rsid w:val="00B40999"/>
    <w:rsid w:val="00B41733"/>
    <w:rsid w:val="00B651C1"/>
    <w:rsid w:val="00B92D41"/>
    <w:rsid w:val="00BA08DD"/>
    <w:rsid w:val="00BA255F"/>
    <w:rsid w:val="00BA5605"/>
    <w:rsid w:val="00BC191C"/>
    <w:rsid w:val="00BC40F4"/>
    <w:rsid w:val="00BC4B31"/>
    <w:rsid w:val="00BD200A"/>
    <w:rsid w:val="00BE30D6"/>
    <w:rsid w:val="00BE426D"/>
    <w:rsid w:val="00BF3415"/>
    <w:rsid w:val="00BF5381"/>
    <w:rsid w:val="00C10584"/>
    <w:rsid w:val="00C10807"/>
    <w:rsid w:val="00C15AC7"/>
    <w:rsid w:val="00C16B43"/>
    <w:rsid w:val="00C31362"/>
    <w:rsid w:val="00C32F5A"/>
    <w:rsid w:val="00C3681E"/>
    <w:rsid w:val="00C41B6E"/>
    <w:rsid w:val="00C515FB"/>
    <w:rsid w:val="00C6256E"/>
    <w:rsid w:val="00C62897"/>
    <w:rsid w:val="00C64F3A"/>
    <w:rsid w:val="00C671B9"/>
    <w:rsid w:val="00C712E9"/>
    <w:rsid w:val="00C754BB"/>
    <w:rsid w:val="00C76398"/>
    <w:rsid w:val="00C84A10"/>
    <w:rsid w:val="00C877EF"/>
    <w:rsid w:val="00CA4058"/>
    <w:rsid w:val="00CA77FD"/>
    <w:rsid w:val="00CB2050"/>
    <w:rsid w:val="00CB5F9A"/>
    <w:rsid w:val="00CD13E4"/>
    <w:rsid w:val="00CD2A9B"/>
    <w:rsid w:val="00CD4330"/>
    <w:rsid w:val="00CD6CBE"/>
    <w:rsid w:val="00CE1BCC"/>
    <w:rsid w:val="00CE5B6F"/>
    <w:rsid w:val="00CF2736"/>
    <w:rsid w:val="00D064A0"/>
    <w:rsid w:val="00D16631"/>
    <w:rsid w:val="00D16701"/>
    <w:rsid w:val="00D22999"/>
    <w:rsid w:val="00D26F56"/>
    <w:rsid w:val="00D316C4"/>
    <w:rsid w:val="00D44397"/>
    <w:rsid w:val="00D571E2"/>
    <w:rsid w:val="00D5737A"/>
    <w:rsid w:val="00D625B7"/>
    <w:rsid w:val="00D6736F"/>
    <w:rsid w:val="00D72E01"/>
    <w:rsid w:val="00D826DD"/>
    <w:rsid w:val="00D86D9F"/>
    <w:rsid w:val="00D967E5"/>
    <w:rsid w:val="00D9687D"/>
    <w:rsid w:val="00D9693F"/>
    <w:rsid w:val="00DA5608"/>
    <w:rsid w:val="00DB24AD"/>
    <w:rsid w:val="00DD02BF"/>
    <w:rsid w:val="00DD6218"/>
    <w:rsid w:val="00DE03A2"/>
    <w:rsid w:val="00DE5AE7"/>
    <w:rsid w:val="00E02BCD"/>
    <w:rsid w:val="00E11F6F"/>
    <w:rsid w:val="00E13CB4"/>
    <w:rsid w:val="00E15845"/>
    <w:rsid w:val="00E16D79"/>
    <w:rsid w:val="00E21073"/>
    <w:rsid w:val="00E31A79"/>
    <w:rsid w:val="00E3709E"/>
    <w:rsid w:val="00E46307"/>
    <w:rsid w:val="00E47962"/>
    <w:rsid w:val="00E51363"/>
    <w:rsid w:val="00E55D7E"/>
    <w:rsid w:val="00E7186A"/>
    <w:rsid w:val="00E72EDF"/>
    <w:rsid w:val="00E73396"/>
    <w:rsid w:val="00E740BE"/>
    <w:rsid w:val="00E7480F"/>
    <w:rsid w:val="00E76746"/>
    <w:rsid w:val="00E802B8"/>
    <w:rsid w:val="00E82DA1"/>
    <w:rsid w:val="00E84ECA"/>
    <w:rsid w:val="00E90B29"/>
    <w:rsid w:val="00EA03E6"/>
    <w:rsid w:val="00EA76A4"/>
    <w:rsid w:val="00EB38CF"/>
    <w:rsid w:val="00EC1A17"/>
    <w:rsid w:val="00EC2228"/>
    <w:rsid w:val="00EE417F"/>
    <w:rsid w:val="00EF5924"/>
    <w:rsid w:val="00EF68AB"/>
    <w:rsid w:val="00F01DB8"/>
    <w:rsid w:val="00F02A3D"/>
    <w:rsid w:val="00F10F70"/>
    <w:rsid w:val="00F118E5"/>
    <w:rsid w:val="00F206A4"/>
    <w:rsid w:val="00F224F9"/>
    <w:rsid w:val="00F31290"/>
    <w:rsid w:val="00F337AC"/>
    <w:rsid w:val="00F35FEC"/>
    <w:rsid w:val="00F3630E"/>
    <w:rsid w:val="00F45CA4"/>
    <w:rsid w:val="00F51073"/>
    <w:rsid w:val="00F546C1"/>
    <w:rsid w:val="00F550B5"/>
    <w:rsid w:val="00F61D02"/>
    <w:rsid w:val="00F62DA0"/>
    <w:rsid w:val="00F64836"/>
    <w:rsid w:val="00F76988"/>
    <w:rsid w:val="00F878E5"/>
    <w:rsid w:val="00F90F1D"/>
    <w:rsid w:val="00F93027"/>
    <w:rsid w:val="00F94101"/>
    <w:rsid w:val="00F94799"/>
    <w:rsid w:val="00FA2869"/>
    <w:rsid w:val="00FA4423"/>
    <w:rsid w:val="00FA4FF9"/>
    <w:rsid w:val="00FA665F"/>
    <w:rsid w:val="00FC00F6"/>
    <w:rsid w:val="00FC54E7"/>
    <w:rsid w:val="00FD06C3"/>
    <w:rsid w:val="00FE0704"/>
    <w:rsid w:val="00FF02E7"/>
    <w:rsid w:val="00FF1D4F"/>
    <w:rsid w:val="00FF1D6B"/>
    <w:rsid w:val="0FE3CFD3"/>
    <w:rsid w:val="3136BF33"/>
    <w:rsid w:val="3639D995"/>
    <w:rsid w:val="3C420412"/>
    <w:rsid w:val="3E6B872F"/>
    <w:rsid w:val="4485603B"/>
    <w:rsid w:val="4A54B3AD"/>
    <w:rsid w:val="6100BDCC"/>
    <w:rsid w:val="62BD9A3C"/>
    <w:rsid w:val="64E06323"/>
    <w:rsid w:val="6AE08EC4"/>
    <w:rsid w:val="798C028F"/>
    <w:rsid w:val="7CEF77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82DF"/>
  <w15:chartTrackingRefBased/>
  <w15:docId w15:val="{161A580A-495B-453C-B191-1267D011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0A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80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0C15"/>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leGrid">
    <w:name w:val="Table Grid"/>
    <w:basedOn w:val="TableNormal"/>
    <w:uiPriority w:val="39"/>
    <w:rsid w:val="00530C15"/>
    <w:pPr>
      <w:spacing w:after="0" w:line="240" w:lineRule="auto"/>
    </w:pPr>
    <w:rPr>
      <w:rFonts w:eastAsiaTheme="minorEastAsia" w:cs="Times New Roman"/>
      <w:lang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0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44F"/>
  </w:style>
  <w:style w:type="paragraph" w:styleId="Footer">
    <w:name w:val="footer"/>
    <w:basedOn w:val="Normal"/>
    <w:link w:val="FooterChar"/>
    <w:uiPriority w:val="99"/>
    <w:unhideWhenUsed/>
    <w:rsid w:val="001B04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44F"/>
  </w:style>
  <w:style w:type="paragraph" w:styleId="ListParagraph">
    <w:name w:val="List Paragraph"/>
    <w:basedOn w:val="Normal"/>
    <w:uiPriority w:val="34"/>
    <w:qFormat/>
    <w:rsid w:val="00585C75"/>
    <w:pPr>
      <w:ind w:left="720"/>
      <w:contextualSpacing/>
    </w:pPr>
  </w:style>
  <w:style w:type="character" w:styleId="CommentReference">
    <w:name w:val="annotation reference"/>
    <w:basedOn w:val="DefaultParagraphFont"/>
    <w:uiPriority w:val="99"/>
    <w:semiHidden/>
    <w:unhideWhenUsed/>
    <w:rsid w:val="00F02A3D"/>
    <w:rPr>
      <w:sz w:val="16"/>
      <w:szCs w:val="16"/>
    </w:rPr>
  </w:style>
  <w:style w:type="paragraph" w:styleId="CommentText">
    <w:name w:val="annotation text"/>
    <w:basedOn w:val="Normal"/>
    <w:link w:val="CommentTextChar"/>
    <w:uiPriority w:val="99"/>
    <w:unhideWhenUsed/>
    <w:rsid w:val="00F02A3D"/>
    <w:pPr>
      <w:spacing w:line="240" w:lineRule="auto"/>
    </w:pPr>
    <w:rPr>
      <w:sz w:val="20"/>
      <w:szCs w:val="20"/>
    </w:rPr>
  </w:style>
  <w:style w:type="character" w:customStyle="1" w:styleId="CommentTextChar">
    <w:name w:val="Comment Text Char"/>
    <w:basedOn w:val="DefaultParagraphFont"/>
    <w:link w:val="CommentText"/>
    <w:uiPriority w:val="99"/>
    <w:rsid w:val="00F02A3D"/>
    <w:rPr>
      <w:sz w:val="20"/>
      <w:szCs w:val="20"/>
    </w:rPr>
  </w:style>
  <w:style w:type="paragraph" w:styleId="CommentSubject">
    <w:name w:val="annotation subject"/>
    <w:basedOn w:val="CommentText"/>
    <w:next w:val="CommentText"/>
    <w:link w:val="CommentSubjectChar"/>
    <w:uiPriority w:val="99"/>
    <w:semiHidden/>
    <w:unhideWhenUsed/>
    <w:rsid w:val="00F02A3D"/>
    <w:rPr>
      <w:b/>
      <w:bCs/>
    </w:rPr>
  </w:style>
  <w:style w:type="character" w:customStyle="1" w:styleId="CommentSubjectChar">
    <w:name w:val="Comment Subject Char"/>
    <w:basedOn w:val="CommentTextChar"/>
    <w:link w:val="CommentSubject"/>
    <w:uiPriority w:val="99"/>
    <w:semiHidden/>
    <w:rsid w:val="00F02A3D"/>
    <w:rPr>
      <w:b/>
      <w:bCs/>
      <w:sz w:val="20"/>
      <w:szCs w:val="20"/>
    </w:rPr>
  </w:style>
  <w:style w:type="paragraph" w:customStyle="1" w:styleId="Default">
    <w:name w:val="Default"/>
    <w:rsid w:val="003D5ECC"/>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614B42"/>
    <w:pPr>
      <w:spacing w:after="0" w:line="240" w:lineRule="auto"/>
    </w:pPr>
  </w:style>
  <w:style w:type="character" w:styleId="Hyperlink">
    <w:name w:val="Hyperlink"/>
    <w:basedOn w:val="DefaultParagraphFont"/>
    <w:uiPriority w:val="99"/>
    <w:unhideWhenUsed/>
    <w:rsid w:val="00F64836"/>
    <w:rPr>
      <w:color w:val="0563C1" w:themeColor="hyperlink"/>
      <w:u w:val="single"/>
    </w:rPr>
  </w:style>
  <w:style w:type="character" w:styleId="UnresolvedMention">
    <w:name w:val="Unresolved Mention"/>
    <w:basedOn w:val="DefaultParagraphFont"/>
    <w:uiPriority w:val="99"/>
    <w:semiHidden/>
    <w:unhideWhenUsed/>
    <w:rsid w:val="00F64836"/>
    <w:rPr>
      <w:color w:val="605E5C"/>
      <w:shd w:val="clear" w:color="auto" w:fill="E1DFDD"/>
    </w:rPr>
  </w:style>
  <w:style w:type="paragraph" w:styleId="FootnoteText">
    <w:name w:val="footnote text"/>
    <w:basedOn w:val="Normal"/>
    <w:link w:val="FootnoteTextChar"/>
    <w:uiPriority w:val="99"/>
    <w:semiHidden/>
    <w:unhideWhenUsed/>
    <w:rsid w:val="00C5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15FB"/>
    <w:rPr>
      <w:sz w:val="20"/>
      <w:szCs w:val="20"/>
    </w:rPr>
  </w:style>
  <w:style w:type="character" w:styleId="FootnoteReference">
    <w:name w:val="footnote reference"/>
    <w:basedOn w:val="DefaultParagraphFont"/>
    <w:uiPriority w:val="99"/>
    <w:semiHidden/>
    <w:unhideWhenUsed/>
    <w:rsid w:val="00C515FB"/>
    <w:rPr>
      <w:vertAlign w:val="superscript"/>
    </w:rPr>
  </w:style>
  <w:style w:type="character" w:styleId="FollowedHyperlink">
    <w:name w:val="FollowedHyperlink"/>
    <w:basedOn w:val="DefaultParagraphFont"/>
    <w:uiPriority w:val="99"/>
    <w:semiHidden/>
    <w:unhideWhenUsed/>
    <w:rsid w:val="00BA5605"/>
    <w:rPr>
      <w:color w:val="954F72" w:themeColor="followedHyperlink"/>
      <w:u w:val="single"/>
    </w:rPr>
  </w:style>
  <w:style w:type="character" w:customStyle="1" w:styleId="Heading2Char">
    <w:name w:val="Heading 2 Char"/>
    <w:basedOn w:val="DefaultParagraphFont"/>
    <w:link w:val="Heading2"/>
    <w:uiPriority w:val="9"/>
    <w:semiHidden/>
    <w:rsid w:val="00480A7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80A7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738">
      <w:bodyDiv w:val="1"/>
      <w:marLeft w:val="0"/>
      <w:marRight w:val="0"/>
      <w:marTop w:val="0"/>
      <w:marBottom w:val="0"/>
      <w:divBdr>
        <w:top w:val="none" w:sz="0" w:space="0" w:color="auto"/>
        <w:left w:val="none" w:sz="0" w:space="0" w:color="auto"/>
        <w:bottom w:val="none" w:sz="0" w:space="0" w:color="auto"/>
        <w:right w:val="none" w:sz="0" w:space="0" w:color="auto"/>
      </w:divBdr>
    </w:div>
    <w:div w:id="21060611">
      <w:bodyDiv w:val="1"/>
      <w:marLeft w:val="0"/>
      <w:marRight w:val="0"/>
      <w:marTop w:val="0"/>
      <w:marBottom w:val="0"/>
      <w:divBdr>
        <w:top w:val="none" w:sz="0" w:space="0" w:color="auto"/>
        <w:left w:val="none" w:sz="0" w:space="0" w:color="auto"/>
        <w:bottom w:val="none" w:sz="0" w:space="0" w:color="auto"/>
        <w:right w:val="none" w:sz="0" w:space="0" w:color="auto"/>
      </w:divBdr>
    </w:div>
    <w:div w:id="22630905">
      <w:bodyDiv w:val="1"/>
      <w:marLeft w:val="0"/>
      <w:marRight w:val="0"/>
      <w:marTop w:val="0"/>
      <w:marBottom w:val="0"/>
      <w:divBdr>
        <w:top w:val="none" w:sz="0" w:space="0" w:color="auto"/>
        <w:left w:val="none" w:sz="0" w:space="0" w:color="auto"/>
        <w:bottom w:val="none" w:sz="0" w:space="0" w:color="auto"/>
        <w:right w:val="none" w:sz="0" w:space="0" w:color="auto"/>
      </w:divBdr>
    </w:div>
    <w:div w:id="78019024">
      <w:bodyDiv w:val="1"/>
      <w:marLeft w:val="0"/>
      <w:marRight w:val="0"/>
      <w:marTop w:val="0"/>
      <w:marBottom w:val="0"/>
      <w:divBdr>
        <w:top w:val="none" w:sz="0" w:space="0" w:color="auto"/>
        <w:left w:val="none" w:sz="0" w:space="0" w:color="auto"/>
        <w:bottom w:val="none" w:sz="0" w:space="0" w:color="auto"/>
        <w:right w:val="none" w:sz="0" w:space="0" w:color="auto"/>
      </w:divBdr>
    </w:div>
    <w:div w:id="81803982">
      <w:bodyDiv w:val="1"/>
      <w:marLeft w:val="0"/>
      <w:marRight w:val="0"/>
      <w:marTop w:val="0"/>
      <w:marBottom w:val="0"/>
      <w:divBdr>
        <w:top w:val="none" w:sz="0" w:space="0" w:color="auto"/>
        <w:left w:val="none" w:sz="0" w:space="0" w:color="auto"/>
        <w:bottom w:val="none" w:sz="0" w:space="0" w:color="auto"/>
        <w:right w:val="none" w:sz="0" w:space="0" w:color="auto"/>
      </w:divBdr>
    </w:div>
    <w:div w:id="137384286">
      <w:bodyDiv w:val="1"/>
      <w:marLeft w:val="0"/>
      <w:marRight w:val="0"/>
      <w:marTop w:val="0"/>
      <w:marBottom w:val="0"/>
      <w:divBdr>
        <w:top w:val="none" w:sz="0" w:space="0" w:color="auto"/>
        <w:left w:val="none" w:sz="0" w:space="0" w:color="auto"/>
        <w:bottom w:val="none" w:sz="0" w:space="0" w:color="auto"/>
        <w:right w:val="none" w:sz="0" w:space="0" w:color="auto"/>
      </w:divBdr>
    </w:div>
    <w:div w:id="148983912">
      <w:bodyDiv w:val="1"/>
      <w:marLeft w:val="0"/>
      <w:marRight w:val="0"/>
      <w:marTop w:val="0"/>
      <w:marBottom w:val="0"/>
      <w:divBdr>
        <w:top w:val="none" w:sz="0" w:space="0" w:color="auto"/>
        <w:left w:val="none" w:sz="0" w:space="0" w:color="auto"/>
        <w:bottom w:val="none" w:sz="0" w:space="0" w:color="auto"/>
        <w:right w:val="none" w:sz="0" w:space="0" w:color="auto"/>
      </w:divBdr>
    </w:div>
    <w:div w:id="150563306">
      <w:bodyDiv w:val="1"/>
      <w:marLeft w:val="0"/>
      <w:marRight w:val="0"/>
      <w:marTop w:val="0"/>
      <w:marBottom w:val="0"/>
      <w:divBdr>
        <w:top w:val="none" w:sz="0" w:space="0" w:color="auto"/>
        <w:left w:val="none" w:sz="0" w:space="0" w:color="auto"/>
        <w:bottom w:val="none" w:sz="0" w:space="0" w:color="auto"/>
        <w:right w:val="none" w:sz="0" w:space="0" w:color="auto"/>
      </w:divBdr>
    </w:div>
    <w:div w:id="153186179">
      <w:bodyDiv w:val="1"/>
      <w:marLeft w:val="0"/>
      <w:marRight w:val="0"/>
      <w:marTop w:val="0"/>
      <w:marBottom w:val="0"/>
      <w:divBdr>
        <w:top w:val="none" w:sz="0" w:space="0" w:color="auto"/>
        <w:left w:val="none" w:sz="0" w:space="0" w:color="auto"/>
        <w:bottom w:val="none" w:sz="0" w:space="0" w:color="auto"/>
        <w:right w:val="none" w:sz="0" w:space="0" w:color="auto"/>
      </w:divBdr>
    </w:div>
    <w:div w:id="166213657">
      <w:bodyDiv w:val="1"/>
      <w:marLeft w:val="0"/>
      <w:marRight w:val="0"/>
      <w:marTop w:val="0"/>
      <w:marBottom w:val="0"/>
      <w:divBdr>
        <w:top w:val="none" w:sz="0" w:space="0" w:color="auto"/>
        <w:left w:val="none" w:sz="0" w:space="0" w:color="auto"/>
        <w:bottom w:val="none" w:sz="0" w:space="0" w:color="auto"/>
        <w:right w:val="none" w:sz="0" w:space="0" w:color="auto"/>
      </w:divBdr>
    </w:div>
    <w:div w:id="228031585">
      <w:bodyDiv w:val="1"/>
      <w:marLeft w:val="0"/>
      <w:marRight w:val="0"/>
      <w:marTop w:val="0"/>
      <w:marBottom w:val="0"/>
      <w:divBdr>
        <w:top w:val="none" w:sz="0" w:space="0" w:color="auto"/>
        <w:left w:val="none" w:sz="0" w:space="0" w:color="auto"/>
        <w:bottom w:val="none" w:sz="0" w:space="0" w:color="auto"/>
        <w:right w:val="none" w:sz="0" w:space="0" w:color="auto"/>
      </w:divBdr>
    </w:div>
    <w:div w:id="236978430">
      <w:bodyDiv w:val="1"/>
      <w:marLeft w:val="0"/>
      <w:marRight w:val="0"/>
      <w:marTop w:val="0"/>
      <w:marBottom w:val="0"/>
      <w:divBdr>
        <w:top w:val="none" w:sz="0" w:space="0" w:color="auto"/>
        <w:left w:val="none" w:sz="0" w:space="0" w:color="auto"/>
        <w:bottom w:val="none" w:sz="0" w:space="0" w:color="auto"/>
        <w:right w:val="none" w:sz="0" w:space="0" w:color="auto"/>
      </w:divBdr>
    </w:div>
    <w:div w:id="238100403">
      <w:bodyDiv w:val="1"/>
      <w:marLeft w:val="0"/>
      <w:marRight w:val="0"/>
      <w:marTop w:val="0"/>
      <w:marBottom w:val="0"/>
      <w:divBdr>
        <w:top w:val="none" w:sz="0" w:space="0" w:color="auto"/>
        <w:left w:val="none" w:sz="0" w:space="0" w:color="auto"/>
        <w:bottom w:val="none" w:sz="0" w:space="0" w:color="auto"/>
        <w:right w:val="none" w:sz="0" w:space="0" w:color="auto"/>
      </w:divBdr>
    </w:div>
    <w:div w:id="263343073">
      <w:bodyDiv w:val="1"/>
      <w:marLeft w:val="0"/>
      <w:marRight w:val="0"/>
      <w:marTop w:val="0"/>
      <w:marBottom w:val="0"/>
      <w:divBdr>
        <w:top w:val="none" w:sz="0" w:space="0" w:color="auto"/>
        <w:left w:val="none" w:sz="0" w:space="0" w:color="auto"/>
        <w:bottom w:val="none" w:sz="0" w:space="0" w:color="auto"/>
        <w:right w:val="none" w:sz="0" w:space="0" w:color="auto"/>
      </w:divBdr>
    </w:div>
    <w:div w:id="267927044">
      <w:bodyDiv w:val="1"/>
      <w:marLeft w:val="0"/>
      <w:marRight w:val="0"/>
      <w:marTop w:val="0"/>
      <w:marBottom w:val="0"/>
      <w:divBdr>
        <w:top w:val="none" w:sz="0" w:space="0" w:color="auto"/>
        <w:left w:val="none" w:sz="0" w:space="0" w:color="auto"/>
        <w:bottom w:val="none" w:sz="0" w:space="0" w:color="auto"/>
        <w:right w:val="none" w:sz="0" w:space="0" w:color="auto"/>
      </w:divBdr>
    </w:div>
    <w:div w:id="276303251">
      <w:bodyDiv w:val="1"/>
      <w:marLeft w:val="0"/>
      <w:marRight w:val="0"/>
      <w:marTop w:val="0"/>
      <w:marBottom w:val="0"/>
      <w:divBdr>
        <w:top w:val="none" w:sz="0" w:space="0" w:color="auto"/>
        <w:left w:val="none" w:sz="0" w:space="0" w:color="auto"/>
        <w:bottom w:val="none" w:sz="0" w:space="0" w:color="auto"/>
        <w:right w:val="none" w:sz="0" w:space="0" w:color="auto"/>
      </w:divBdr>
    </w:div>
    <w:div w:id="345988338">
      <w:bodyDiv w:val="1"/>
      <w:marLeft w:val="0"/>
      <w:marRight w:val="0"/>
      <w:marTop w:val="0"/>
      <w:marBottom w:val="0"/>
      <w:divBdr>
        <w:top w:val="none" w:sz="0" w:space="0" w:color="auto"/>
        <w:left w:val="none" w:sz="0" w:space="0" w:color="auto"/>
        <w:bottom w:val="none" w:sz="0" w:space="0" w:color="auto"/>
        <w:right w:val="none" w:sz="0" w:space="0" w:color="auto"/>
      </w:divBdr>
    </w:div>
    <w:div w:id="382019994">
      <w:bodyDiv w:val="1"/>
      <w:marLeft w:val="0"/>
      <w:marRight w:val="0"/>
      <w:marTop w:val="0"/>
      <w:marBottom w:val="0"/>
      <w:divBdr>
        <w:top w:val="none" w:sz="0" w:space="0" w:color="auto"/>
        <w:left w:val="none" w:sz="0" w:space="0" w:color="auto"/>
        <w:bottom w:val="none" w:sz="0" w:space="0" w:color="auto"/>
        <w:right w:val="none" w:sz="0" w:space="0" w:color="auto"/>
      </w:divBdr>
    </w:div>
    <w:div w:id="387345653">
      <w:bodyDiv w:val="1"/>
      <w:marLeft w:val="0"/>
      <w:marRight w:val="0"/>
      <w:marTop w:val="0"/>
      <w:marBottom w:val="0"/>
      <w:divBdr>
        <w:top w:val="none" w:sz="0" w:space="0" w:color="auto"/>
        <w:left w:val="none" w:sz="0" w:space="0" w:color="auto"/>
        <w:bottom w:val="none" w:sz="0" w:space="0" w:color="auto"/>
        <w:right w:val="none" w:sz="0" w:space="0" w:color="auto"/>
      </w:divBdr>
    </w:div>
    <w:div w:id="393510106">
      <w:bodyDiv w:val="1"/>
      <w:marLeft w:val="0"/>
      <w:marRight w:val="0"/>
      <w:marTop w:val="0"/>
      <w:marBottom w:val="0"/>
      <w:divBdr>
        <w:top w:val="none" w:sz="0" w:space="0" w:color="auto"/>
        <w:left w:val="none" w:sz="0" w:space="0" w:color="auto"/>
        <w:bottom w:val="none" w:sz="0" w:space="0" w:color="auto"/>
        <w:right w:val="none" w:sz="0" w:space="0" w:color="auto"/>
      </w:divBdr>
    </w:div>
    <w:div w:id="430054867">
      <w:bodyDiv w:val="1"/>
      <w:marLeft w:val="0"/>
      <w:marRight w:val="0"/>
      <w:marTop w:val="0"/>
      <w:marBottom w:val="0"/>
      <w:divBdr>
        <w:top w:val="none" w:sz="0" w:space="0" w:color="auto"/>
        <w:left w:val="none" w:sz="0" w:space="0" w:color="auto"/>
        <w:bottom w:val="none" w:sz="0" w:space="0" w:color="auto"/>
        <w:right w:val="none" w:sz="0" w:space="0" w:color="auto"/>
      </w:divBdr>
    </w:div>
    <w:div w:id="483160651">
      <w:bodyDiv w:val="1"/>
      <w:marLeft w:val="0"/>
      <w:marRight w:val="0"/>
      <w:marTop w:val="0"/>
      <w:marBottom w:val="0"/>
      <w:divBdr>
        <w:top w:val="none" w:sz="0" w:space="0" w:color="auto"/>
        <w:left w:val="none" w:sz="0" w:space="0" w:color="auto"/>
        <w:bottom w:val="none" w:sz="0" w:space="0" w:color="auto"/>
        <w:right w:val="none" w:sz="0" w:space="0" w:color="auto"/>
      </w:divBdr>
    </w:div>
    <w:div w:id="494226200">
      <w:bodyDiv w:val="1"/>
      <w:marLeft w:val="0"/>
      <w:marRight w:val="0"/>
      <w:marTop w:val="0"/>
      <w:marBottom w:val="0"/>
      <w:divBdr>
        <w:top w:val="none" w:sz="0" w:space="0" w:color="auto"/>
        <w:left w:val="none" w:sz="0" w:space="0" w:color="auto"/>
        <w:bottom w:val="none" w:sz="0" w:space="0" w:color="auto"/>
        <w:right w:val="none" w:sz="0" w:space="0" w:color="auto"/>
      </w:divBdr>
    </w:div>
    <w:div w:id="542523821">
      <w:bodyDiv w:val="1"/>
      <w:marLeft w:val="0"/>
      <w:marRight w:val="0"/>
      <w:marTop w:val="0"/>
      <w:marBottom w:val="0"/>
      <w:divBdr>
        <w:top w:val="none" w:sz="0" w:space="0" w:color="auto"/>
        <w:left w:val="none" w:sz="0" w:space="0" w:color="auto"/>
        <w:bottom w:val="none" w:sz="0" w:space="0" w:color="auto"/>
        <w:right w:val="none" w:sz="0" w:space="0" w:color="auto"/>
      </w:divBdr>
    </w:div>
    <w:div w:id="560941419">
      <w:bodyDiv w:val="1"/>
      <w:marLeft w:val="0"/>
      <w:marRight w:val="0"/>
      <w:marTop w:val="0"/>
      <w:marBottom w:val="0"/>
      <w:divBdr>
        <w:top w:val="none" w:sz="0" w:space="0" w:color="auto"/>
        <w:left w:val="none" w:sz="0" w:space="0" w:color="auto"/>
        <w:bottom w:val="none" w:sz="0" w:space="0" w:color="auto"/>
        <w:right w:val="none" w:sz="0" w:space="0" w:color="auto"/>
      </w:divBdr>
    </w:div>
    <w:div w:id="591202988">
      <w:bodyDiv w:val="1"/>
      <w:marLeft w:val="0"/>
      <w:marRight w:val="0"/>
      <w:marTop w:val="0"/>
      <w:marBottom w:val="0"/>
      <w:divBdr>
        <w:top w:val="none" w:sz="0" w:space="0" w:color="auto"/>
        <w:left w:val="none" w:sz="0" w:space="0" w:color="auto"/>
        <w:bottom w:val="none" w:sz="0" w:space="0" w:color="auto"/>
        <w:right w:val="none" w:sz="0" w:space="0" w:color="auto"/>
      </w:divBdr>
    </w:div>
    <w:div w:id="632365899">
      <w:bodyDiv w:val="1"/>
      <w:marLeft w:val="0"/>
      <w:marRight w:val="0"/>
      <w:marTop w:val="0"/>
      <w:marBottom w:val="0"/>
      <w:divBdr>
        <w:top w:val="none" w:sz="0" w:space="0" w:color="auto"/>
        <w:left w:val="none" w:sz="0" w:space="0" w:color="auto"/>
        <w:bottom w:val="none" w:sz="0" w:space="0" w:color="auto"/>
        <w:right w:val="none" w:sz="0" w:space="0" w:color="auto"/>
      </w:divBdr>
    </w:div>
    <w:div w:id="633756995">
      <w:bodyDiv w:val="1"/>
      <w:marLeft w:val="0"/>
      <w:marRight w:val="0"/>
      <w:marTop w:val="0"/>
      <w:marBottom w:val="0"/>
      <w:divBdr>
        <w:top w:val="none" w:sz="0" w:space="0" w:color="auto"/>
        <w:left w:val="none" w:sz="0" w:space="0" w:color="auto"/>
        <w:bottom w:val="none" w:sz="0" w:space="0" w:color="auto"/>
        <w:right w:val="none" w:sz="0" w:space="0" w:color="auto"/>
      </w:divBdr>
    </w:div>
    <w:div w:id="676226899">
      <w:bodyDiv w:val="1"/>
      <w:marLeft w:val="0"/>
      <w:marRight w:val="0"/>
      <w:marTop w:val="0"/>
      <w:marBottom w:val="0"/>
      <w:divBdr>
        <w:top w:val="none" w:sz="0" w:space="0" w:color="auto"/>
        <w:left w:val="none" w:sz="0" w:space="0" w:color="auto"/>
        <w:bottom w:val="none" w:sz="0" w:space="0" w:color="auto"/>
        <w:right w:val="none" w:sz="0" w:space="0" w:color="auto"/>
      </w:divBdr>
    </w:div>
    <w:div w:id="683022123">
      <w:bodyDiv w:val="1"/>
      <w:marLeft w:val="0"/>
      <w:marRight w:val="0"/>
      <w:marTop w:val="0"/>
      <w:marBottom w:val="0"/>
      <w:divBdr>
        <w:top w:val="none" w:sz="0" w:space="0" w:color="auto"/>
        <w:left w:val="none" w:sz="0" w:space="0" w:color="auto"/>
        <w:bottom w:val="none" w:sz="0" w:space="0" w:color="auto"/>
        <w:right w:val="none" w:sz="0" w:space="0" w:color="auto"/>
      </w:divBdr>
    </w:div>
    <w:div w:id="698549944">
      <w:bodyDiv w:val="1"/>
      <w:marLeft w:val="0"/>
      <w:marRight w:val="0"/>
      <w:marTop w:val="0"/>
      <w:marBottom w:val="0"/>
      <w:divBdr>
        <w:top w:val="none" w:sz="0" w:space="0" w:color="auto"/>
        <w:left w:val="none" w:sz="0" w:space="0" w:color="auto"/>
        <w:bottom w:val="none" w:sz="0" w:space="0" w:color="auto"/>
        <w:right w:val="none" w:sz="0" w:space="0" w:color="auto"/>
      </w:divBdr>
    </w:div>
    <w:div w:id="699891329">
      <w:bodyDiv w:val="1"/>
      <w:marLeft w:val="0"/>
      <w:marRight w:val="0"/>
      <w:marTop w:val="0"/>
      <w:marBottom w:val="0"/>
      <w:divBdr>
        <w:top w:val="none" w:sz="0" w:space="0" w:color="auto"/>
        <w:left w:val="none" w:sz="0" w:space="0" w:color="auto"/>
        <w:bottom w:val="none" w:sz="0" w:space="0" w:color="auto"/>
        <w:right w:val="none" w:sz="0" w:space="0" w:color="auto"/>
      </w:divBdr>
    </w:div>
    <w:div w:id="708186129">
      <w:bodyDiv w:val="1"/>
      <w:marLeft w:val="0"/>
      <w:marRight w:val="0"/>
      <w:marTop w:val="0"/>
      <w:marBottom w:val="0"/>
      <w:divBdr>
        <w:top w:val="none" w:sz="0" w:space="0" w:color="auto"/>
        <w:left w:val="none" w:sz="0" w:space="0" w:color="auto"/>
        <w:bottom w:val="none" w:sz="0" w:space="0" w:color="auto"/>
        <w:right w:val="none" w:sz="0" w:space="0" w:color="auto"/>
      </w:divBdr>
    </w:div>
    <w:div w:id="719206247">
      <w:bodyDiv w:val="1"/>
      <w:marLeft w:val="0"/>
      <w:marRight w:val="0"/>
      <w:marTop w:val="0"/>
      <w:marBottom w:val="0"/>
      <w:divBdr>
        <w:top w:val="none" w:sz="0" w:space="0" w:color="auto"/>
        <w:left w:val="none" w:sz="0" w:space="0" w:color="auto"/>
        <w:bottom w:val="none" w:sz="0" w:space="0" w:color="auto"/>
        <w:right w:val="none" w:sz="0" w:space="0" w:color="auto"/>
      </w:divBdr>
    </w:div>
    <w:div w:id="784737327">
      <w:bodyDiv w:val="1"/>
      <w:marLeft w:val="0"/>
      <w:marRight w:val="0"/>
      <w:marTop w:val="0"/>
      <w:marBottom w:val="0"/>
      <w:divBdr>
        <w:top w:val="none" w:sz="0" w:space="0" w:color="auto"/>
        <w:left w:val="none" w:sz="0" w:space="0" w:color="auto"/>
        <w:bottom w:val="none" w:sz="0" w:space="0" w:color="auto"/>
        <w:right w:val="none" w:sz="0" w:space="0" w:color="auto"/>
      </w:divBdr>
    </w:div>
    <w:div w:id="799879146">
      <w:bodyDiv w:val="1"/>
      <w:marLeft w:val="0"/>
      <w:marRight w:val="0"/>
      <w:marTop w:val="0"/>
      <w:marBottom w:val="0"/>
      <w:divBdr>
        <w:top w:val="none" w:sz="0" w:space="0" w:color="auto"/>
        <w:left w:val="none" w:sz="0" w:space="0" w:color="auto"/>
        <w:bottom w:val="none" w:sz="0" w:space="0" w:color="auto"/>
        <w:right w:val="none" w:sz="0" w:space="0" w:color="auto"/>
      </w:divBdr>
    </w:div>
    <w:div w:id="800225900">
      <w:bodyDiv w:val="1"/>
      <w:marLeft w:val="0"/>
      <w:marRight w:val="0"/>
      <w:marTop w:val="0"/>
      <w:marBottom w:val="0"/>
      <w:divBdr>
        <w:top w:val="none" w:sz="0" w:space="0" w:color="auto"/>
        <w:left w:val="none" w:sz="0" w:space="0" w:color="auto"/>
        <w:bottom w:val="none" w:sz="0" w:space="0" w:color="auto"/>
        <w:right w:val="none" w:sz="0" w:space="0" w:color="auto"/>
      </w:divBdr>
    </w:div>
    <w:div w:id="810437504">
      <w:bodyDiv w:val="1"/>
      <w:marLeft w:val="0"/>
      <w:marRight w:val="0"/>
      <w:marTop w:val="0"/>
      <w:marBottom w:val="0"/>
      <w:divBdr>
        <w:top w:val="none" w:sz="0" w:space="0" w:color="auto"/>
        <w:left w:val="none" w:sz="0" w:space="0" w:color="auto"/>
        <w:bottom w:val="none" w:sz="0" w:space="0" w:color="auto"/>
        <w:right w:val="none" w:sz="0" w:space="0" w:color="auto"/>
      </w:divBdr>
    </w:div>
    <w:div w:id="835807178">
      <w:bodyDiv w:val="1"/>
      <w:marLeft w:val="0"/>
      <w:marRight w:val="0"/>
      <w:marTop w:val="0"/>
      <w:marBottom w:val="0"/>
      <w:divBdr>
        <w:top w:val="none" w:sz="0" w:space="0" w:color="auto"/>
        <w:left w:val="none" w:sz="0" w:space="0" w:color="auto"/>
        <w:bottom w:val="none" w:sz="0" w:space="0" w:color="auto"/>
        <w:right w:val="none" w:sz="0" w:space="0" w:color="auto"/>
      </w:divBdr>
    </w:div>
    <w:div w:id="852188256">
      <w:bodyDiv w:val="1"/>
      <w:marLeft w:val="0"/>
      <w:marRight w:val="0"/>
      <w:marTop w:val="0"/>
      <w:marBottom w:val="0"/>
      <w:divBdr>
        <w:top w:val="none" w:sz="0" w:space="0" w:color="auto"/>
        <w:left w:val="none" w:sz="0" w:space="0" w:color="auto"/>
        <w:bottom w:val="none" w:sz="0" w:space="0" w:color="auto"/>
        <w:right w:val="none" w:sz="0" w:space="0" w:color="auto"/>
      </w:divBdr>
    </w:div>
    <w:div w:id="863400477">
      <w:bodyDiv w:val="1"/>
      <w:marLeft w:val="0"/>
      <w:marRight w:val="0"/>
      <w:marTop w:val="0"/>
      <w:marBottom w:val="0"/>
      <w:divBdr>
        <w:top w:val="none" w:sz="0" w:space="0" w:color="auto"/>
        <w:left w:val="none" w:sz="0" w:space="0" w:color="auto"/>
        <w:bottom w:val="none" w:sz="0" w:space="0" w:color="auto"/>
        <w:right w:val="none" w:sz="0" w:space="0" w:color="auto"/>
      </w:divBdr>
    </w:div>
    <w:div w:id="907228376">
      <w:bodyDiv w:val="1"/>
      <w:marLeft w:val="0"/>
      <w:marRight w:val="0"/>
      <w:marTop w:val="0"/>
      <w:marBottom w:val="0"/>
      <w:divBdr>
        <w:top w:val="none" w:sz="0" w:space="0" w:color="auto"/>
        <w:left w:val="none" w:sz="0" w:space="0" w:color="auto"/>
        <w:bottom w:val="none" w:sz="0" w:space="0" w:color="auto"/>
        <w:right w:val="none" w:sz="0" w:space="0" w:color="auto"/>
      </w:divBdr>
    </w:div>
    <w:div w:id="920023446">
      <w:bodyDiv w:val="1"/>
      <w:marLeft w:val="0"/>
      <w:marRight w:val="0"/>
      <w:marTop w:val="0"/>
      <w:marBottom w:val="0"/>
      <w:divBdr>
        <w:top w:val="none" w:sz="0" w:space="0" w:color="auto"/>
        <w:left w:val="none" w:sz="0" w:space="0" w:color="auto"/>
        <w:bottom w:val="none" w:sz="0" w:space="0" w:color="auto"/>
        <w:right w:val="none" w:sz="0" w:space="0" w:color="auto"/>
      </w:divBdr>
    </w:div>
    <w:div w:id="957637883">
      <w:bodyDiv w:val="1"/>
      <w:marLeft w:val="0"/>
      <w:marRight w:val="0"/>
      <w:marTop w:val="0"/>
      <w:marBottom w:val="0"/>
      <w:divBdr>
        <w:top w:val="none" w:sz="0" w:space="0" w:color="auto"/>
        <w:left w:val="none" w:sz="0" w:space="0" w:color="auto"/>
        <w:bottom w:val="none" w:sz="0" w:space="0" w:color="auto"/>
        <w:right w:val="none" w:sz="0" w:space="0" w:color="auto"/>
      </w:divBdr>
    </w:div>
    <w:div w:id="970599645">
      <w:bodyDiv w:val="1"/>
      <w:marLeft w:val="0"/>
      <w:marRight w:val="0"/>
      <w:marTop w:val="0"/>
      <w:marBottom w:val="0"/>
      <w:divBdr>
        <w:top w:val="none" w:sz="0" w:space="0" w:color="auto"/>
        <w:left w:val="none" w:sz="0" w:space="0" w:color="auto"/>
        <w:bottom w:val="none" w:sz="0" w:space="0" w:color="auto"/>
        <w:right w:val="none" w:sz="0" w:space="0" w:color="auto"/>
      </w:divBdr>
    </w:div>
    <w:div w:id="1010330012">
      <w:bodyDiv w:val="1"/>
      <w:marLeft w:val="0"/>
      <w:marRight w:val="0"/>
      <w:marTop w:val="0"/>
      <w:marBottom w:val="0"/>
      <w:divBdr>
        <w:top w:val="none" w:sz="0" w:space="0" w:color="auto"/>
        <w:left w:val="none" w:sz="0" w:space="0" w:color="auto"/>
        <w:bottom w:val="none" w:sz="0" w:space="0" w:color="auto"/>
        <w:right w:val="none" w:sz="0" w:space="0" w:color="auto"/>
      </w:divBdr>
    </w:div>
    <w:div w:id="1097751786">
      <w:bodyDiv w:val="1"/>
      <w:marLeft w:val="0"/>
      <w:marRight w:val="0"/>
      <w:marTop w:val="0"/>
      <w:marBottom w:val="0"/>
      <w:divBdr>
        <w:top w:val="none" w:sz="0" w:space="0" w:color="auto"/>
        <w:left w:val="none" w:sz="0" w:space="0" w:color="auto"/>
        <w:bottom w:val="none" w:sz="0" w:space="0" w:color="auto"/>
        <w:right w:val="none" w:sz="0" w:space="0" w:color="auto"/>
      </w:divBdr>
    </w:div>
    <w:div w:id="1109396473">
      <w:bodyDiv w:val="1"/>
      <w:marLeft w:val="0"/>
      <w:marRight w:val="0"/>
      <w:marTop w:val="0"/>
      <w:marBottom w:val="0"/>
      <w:divBdr>
        <w:top w:val="none" w:sz="0" w:space="0" w:color="auto"/>
        <w:left w:val="none" w:sz="0" w:space="0" w:color="auto"/>
        <w:bottom w:val="none" w:sz="0" w:space="0" w:color="auto"/>
        <w:right w:val="none" w:sz="0" w:space="0" w:color="auto"/>
      </w:divBdr>
    </w:div>
    <w:div w:id="1110273112">
      <w:bodyDiv w:val="1"/>
      <w:marLeft w:val="0"/>
      <w:marRight w:val="0"/>
      <w:marTop w:val="0"/>
      <w:marBottom w:val="0"/>
      <w:divBdr>
        <w:top w:val="none" w:sz="0" w:space="0" w:color="auto"/>
        <w:left w:val="none" w:sz="0" w:space="0" w:color="auto"/>
        <w:bottom w:val="none" w:sz="0" w:space="0" w:color="auto"/>
        <w:right w:val="none" w:sz="0" w:space="0" w:color="auto"/>
      </w:divBdr>
    </w:div>
    <w:div w:id="1128889812">
      <w:bodyDiv w:val="1"/>
      <w:marLeft w:val="0"/>
      <w:marRight w:val="0"/>
      <w:marTop w:val="0"/>
      <w:marBottom w:val="0"/>
      <w:divBdr>
        <w:top w:val="none" w:sz="0" w:space="0" w:color="auto"/>
        <w:left w:val="none" w:sz="0" w:space="0" w:color="auto"/>
        <w:bottom w:val="none" w:sz="0" w:space="0" w:color="auto"/>
        <w:right w:val="none" w:sz="0" w:space="0" w:color="auto"/>
      </w:divBdr>
    </w:div>
    <w:div w:id="1151482054">
      <w:bodyDiv w:val="1"/>
      <w:marLeft w:val="0"/>
      <w:marRight w:val="0"/>
      <w:marTop w:val="0"/>
      <w:marBottom w:val="0"/>
      <w:divBdr>
        <w:top w:val="none" w:sz="0" w:space="0" w:color="auto"/>
        <w:left w:val="none" w:sz="0" w:space="0" w:color="auto"/>
        <w:bottom w:val="none" w:sz="0" w:space="0" w:color="auto"/>
        <w:right w:val="none" w:sz="0" w:space="0" w:color="auto"/>
      </w:divBdr>
    </w:div>
    <w:div w:id="1164706590">
      <w:bodyDiv w:val="1"/>
      <w:marLeft w:val="0"/>
      <w:marRight w:val="0"/>
      <w:marTop w:val="0"/>
      <w:marBottom w:val="0"/>
      <w:divBdr>
        <w:top w:val="none" w:sz="0" w:space="0" w:color="auto"/>
        <w:left w:val="none" w:sz="0" w:space="0" w:color="auto"/>
        <w:bottom w:val="none" w:sz="0" w:space="0" w:color="auto"/>
        <w:right w:val="none" w:sz="0" w:space="0" w:color="auto"/>
      </w:divBdr>
    </w:div>
    <w:div w:id="1208954615">
      <w:bodyDiv w:val="1"/>
      <w:marLeft w:val="0"/>
      <w:marRight w:val="0"/>
      <w:marTop w:val="0"/>
      <w:marBottom w:val="0"/>
      <w:divBdr>
        <w:top w:val="none" w:sz="0" w:space="0" w:color="auto"/>
        <w:left w:val="none" w:sz="0" w:space="0" w:color="auto"/>
        <w:bottom w:val="none" w:sz="0" w:space="0" w:color="auto"/>
        <w:right w:val="none" w:sz="0" w:space="0" w:color="auto"/>
      </w:divBdr>
    </w:div>
    <w:div w:id="1222836537">
      <w:bodyDiv w:val="1"/>
      <w:marLeft w:val="0"/>
      <w:marRight w:val="0"/>
      <w:marTop w:val="0"/>
      <w:marBottom w:val="0"/>
      <w:divBdr>
        <w:top w:val="none" w:sz="0" w:space="0" w:color="auto"/>
        <w:left w:val="none" w:sz="0" w:space="0" w:color="auto"/>
        <w:bottom w:val="none" w:sz="0" w:space="0" w:color="auto"/>
        <w:right w:val="none" w:sz="0" w:space="0" w:color="auto"/>
      </w:divBdr>
    </w:div>
    <w:div w:id="1235512008">
      <w:bodyDiv w:val="1"/>
      <w:marLeft w:val="0"/>
      <w:marRight w:val="0"/>
      <w:marTop w:val="0"/>
      <w:marBottom w:val="0"/>
      <w:divBdr>
        <w:top w:val="none" w:sz="0" w:space="0" w:color="auto"/>
        <w:left w:val="none" w:sz="0" w:space="0" w:color="auto"/>
        <w:bottom w:val="none" w:sz="0" w:space="0" w:color="auto"/>
        <w:right w:val="none" w:sz="0" w:space="0" w:color="auto"/>
      </w:divBdr>
    </w:div>
    <w:div w:id="1297880094">
      <w:bodyDiv w:val="1"/>
      <w:marLeft w:val="0"/>
      <w:marRight w:val="0"/>
      <w:marTop w:val="0"/>
      <w:marBottom w:val="0"/>
      <w:divBdr>
        <w:top w:val="none" w:sz="0" w:space="0" w:color="auto"/>
        <w:left w:val="none" w:sz="0" w:space="0" w:color="auto"/>
        <w:bottom w:val="none" w:sz="0" w:space="0" w:color="auto"/>
        <w:right w:val="none" w:sz="0" w:space="0" w:color="auto"/>
      </w:divBdr>
    </w:div>
    <w:div w:id="1306592427">
      <w:bodyDiv w:val="1"/>
      <w:marLeft w:val="0"/>
      <w:marRight w:val="0"/>
      <w:marTop w:val="0"/>
      <w:marBottom w:val="0"/>
      <w:divBdr>
        <w:top w:val="none" w:sz="0" w:space="0" w:color="auto"/>
        <w:left w:val="none" w:sz="0" w:space="0" w:color="auto"/>
        <w:bottom w:val="none" w:sz="0" w:space="0" w:color="auto"/>
        <w:right w:val="none" w:sz="0" w:space="0" w:color="auto"/>
      </w:divBdr>
    </w:div>
    <w:div w:id="1321081708">
      <w:bodyDiv w:val="1"/>
      <w:marLeft w:val="0"/>
      <w:marRight w:val="0"/>
      <w:marTop w:val="0"/>
      <w:marBottom w:val="0"/>
      <w:divBdr>
        <w:top w:val="none" w:sz="0" w:space="0" w:color="auto"/>
        <w:left w:val="none" w:sz="0" w:space="0" w:color="auto"/>
        <w:bottom w:val="none" w:sz="0" w:space="0" w:color="auto"/>
        <w:right w:val="none" w:sz="0" w:space="0" w:color="auto"/>
      </w:divBdr>
    </w:div>
    <w:div w:id="1330597588">
      <w:bodyDiv w:val="1"/>
      <w:marLeft w:val="0"/>
      <w:marRight w:val="0"/>
      <w:marTop w:val="0"/>
      <w:marBottom w:val="0"/>
      <w:divBdr>
        <w:top w:val="none" w:sz="0" w:space="0" w:color="auto"/>
        <w:left w:val="none" w:sz="0" w:space="0" w:color="auto"/>
        <w:bottom w:val="none" w:sz="0" w:space="0" w:color="auto"/>
        <w:right w:val="none" w:sz="0" w:space="0" w:color="auto"/>
      </w:divBdr>
    </w:div>
    <w:div w:id="1361665475">
      <w:bodyDiv w:val="1"/>
      <w:marLeft w:val="0"/>
      <w:marRight w:val="0"/>
      <w:marTop w:val="0"/>
      <w:marBottom w:val="0"/>
      <w:divBdr>
        <w:top w:val="none" w:sz="0" w:space="0" w:color="auto"/>
        <w:left w:val="none" w:sz="0" w:space="0" w:color="auto"/>
        <w:bottom w:val="none" w:sz="0" w:space="0" w:color="auto"/>
        <w:right w:val="none" w:sz="0" w:space="0" w:color="auto"/>
      </w:divBdr>
    </w:div>
    <w:div w:id="1377776703">
      <w:bodyDiv w:val="1"/>
      <w:marLeft w:val="0"/>
      <w:marRight w:val="0"/>
      <w:marTop w:val="0"/>
      <w:marBottom w:val="0"/>
      <w:divBdr>
        <w:top w:val="none" w:sz="0" w:space="0" w:color="auto"/>
        <w:left w:val="none" w:sz="0" w:space="0" w:color="auto"/>
        <w:bottom w:val="none" w:sz="0" w:space="0" w:color="auto"/>
        <w:right w:val="none" w:sz="0" w:space="0" w:color="auto"/>
      </w:divBdr>
    </w:div>
    <w:div w:id="1404253927">
      <w:bodyDiv w:val="1"/>
      <w:marLeft w:val="0"/>
      <w:marRight w:val="0"/>
      <w:marTop w:val="0"/>
      <w:marBottom w:val="0"/>
      <w:divBdr>
        <w:top w:val="none" w:sz="0" w:space="0" w:color="auto"/>
        <w:left w:val="none" w:sz="0" w:space="0" w:color="auto"/>
        <w:bottom w:val="none" w:sz="0" w:space="0" w:color="auto"/>
        <w:right w:val="none" w:sz="0" w:space="0" w:color="auto"/>
      </w:divBdr>
    </w:div>
    <w:div w:id="1409575167">
      <w:bodyDiv w:val="1"/>
      <w:marLeft w:val="0"/>
      <w:marRight w:val="0"/>
      <w:marTop w:val="0"/>
      <w:marBottom w:val="0"/>
      <w:divBdr>
        <w:top w:val="none" w:sz="0" w:space="0" w:color="auto"/>
        <w:left w:val="none" w:sz="0" w:space="0" w:color="auto"/>
        <w:bottom w:val="none" w:sz="0" w:space="0" w:color="auto"/>
        <w:right w:val="none" w:sz="0" w:space="0" w:color="auto"/>
      </w:divBdr>
    </w:div>
    <w:div w:id="1420708830">
      <w:bodyDiv w:val="1"/>
      <w:marLeft w:val="0"/>
      <w:marRight w:val="0"/>
      <w:marTop w:val="0"/>
      <w:marBottom w:val="0"/>
      <w:divBdr>
        <w:top w:val="none" w:sz="0" w:space="0" w:color="auto"/>
        <w:left w:val="none" w:sz="0" w:space="0" w:color="auto"/>
        <w:bottom w:val="none" w:sz="0" w:space="0" w:color="auto"/>
        <w:right w:val="none" w:sz="0" w:space="0" w:color="auto"/>
      </w:divBdr>
    </w:div>
    <w:div w:id="1423528159">
      <w:bodyDiv w:val="1"/>
      <w:marLeft w:val="0"/>
      <w:marRight w:val="0"/>
      <w:marTop w:val="0"/>
      <w:marBottom w:val="0"/>
      <w:divBdr>
        <w:top w:val="none" w:sz="0" w:space="0" w:color="auto"/>
        <w:left w:val="none" w:sz="0" w:space="0" w:color="auto"/>
        <w:bottom w:val="none" w:sz="0" w:space="0" w:color="auto"/>
        <w:right w:val="none" w:sz="0" w:space="0" w:color="auto"/>
      </w:divBdr>
    </w:div>
    <w:div w:id="1446120586">
      <w:bodyDiv w:val="1"/>
      <w:marLeft w:val="0"/>
      <w:marRight w:val="0"/>
      <w:marTop w:val="0"/>
      <w:marBottom w:val="0"/>
      <w:divBdr>
        <w:top w:val="none" w:sz="0" w:space="0" w:color="auto"/>
        <w:left w:val="none" w:sz="0" w:space="0" w:color="auto"/>
        <w:bottom w:val="none" w:sz="0" w:space="0" w:color="auto"/>
        <w:right w:val="none" w:sz="0" w:space="0" w:color="auto"/>
      </w:divBdr>
    </w:div>
    <w:div w:id="1472360980">
      <w:bodyDiv w:val="1"/>
      <w:marLeft w:val="0"/>
      <w:marRight w:val="0"/>
      <w:marTop w:val="0"/>
      <w:marBottom w:val="0"/>
      <w:divBdr>
        <w:top w:val="none" w:sz="0" w:space="0" w:color="auto"/>
        <w:left w:val="none" w:sz="0" w:space="0" w:color="auto"/>
        <w:bottom w:val="none" w:sz="0" w:space="0" w:color="auto"/>
        <w:right w:val="none" w:sz="0" w:space="0" w:color="auto"/>
      </w:divBdr>
    </w:div>
    <w:div w:id="1481995108">
      <w:bodyDiv w:val="1"/>
      <w:marLeft w:val="0"/>
      <w:marRight w:val="0"/>
      <w:marTop w:val="0"/>
      <w:marBottom w:val="0"/>
      <w:divBdr>
        <w:top w:val="none" w:sz="0" w:space="0" w:color="auto"/>
        <w:left w:val="none" w:sz="0" w:space="0" w:color="auto"/>
        <w:bottom w:val="none" w:sz="0" w:space="0" w:color="auto"/>
        <w:right w:val="none" w:sz="0" w:space="0" w:color="auto"/>
      </w:divBdr>
    </w:div>
    <w:div w:id="1497919731">
      <w:bodyDiv w:val="1"/>
      <w:marLeft w:val="0"/>
      <w:marRight w:val="0"/>
      <w:marTop w:val="0"/>
      <w:marBottom w:val="0"/>
      <w:divBdr>
        <w:top w:val="none" w:sz="0" w:space="0" w:color="auto"/>
        <w:left w:val="none" w:sz="0" w:space="0" w:color="auto"/>
        <w:bottom w:val="none" w:sz="0" w:space="0" w:color="auto"/>
        <w:right w:val="none" w:sz="0" w:space="0" w:color="auto"/>
      </w:divBdr>
    </w:div>
    <w:div w:id="1537817138">
      <w:bodyDiv w:val="1"/>
      <w:marLeft w:val="0"/>
      <w:marRight w:val="0"/>
      <w:marTop w:val="0"/>
      <w:marBottom w:val="0"/>
      <w:divBdr>
        <w:top w:val="none" w:sz="0" w:space="0" w:color="auto"/>
        <w:left w:val="none" w:sz="0" w:space="0" w:color="auto"/>
        <w:bottom w:val="none" w:sz="0" w:space="0" w:color="auto"/>
        <w:right w:val="none" w:sz="0" w:space="0" w:color="auto"/>
      </w:divBdr>
    </w:div>
    <w:div w:id="1538396526">
      <w:bodyDiv w:val="1"/>
      <w:marLeft w:val="0"/>
      <w:marRight w:val="0"/>
      <w:marTop w:val="0"/>
      <w:marBottom w:val="0"/>
      <w:divBdr>
        <w:top w:val="none" w:sz="0" w:space="0" w:color="auto"/>
        <w:left w:val="none" w:sz="0" w:space="0" w:color="auto"/>
        <w:bottom w:val="none" w:sz="0" w:space="0" w:color="auto"/>
        <w:right w:val="none" w:sz="0" w:space="0" w:color="auto"/>
      </w:divBdr>
    </w:div>
    <w:div w:id="1564371851">
      <w:bodyDiv w:val="1"/>
      <w:marLeft w:val="0"/>
      <w:marRight w:val="0"/>
      <w:marTop w:val="0"/>
      <w:marBottom w:val="0"/>
      <w:divBdr>
        <w:top w:val="none" w:sz="0" w:space="0" w:color="auto"/>
        <w:left w:val="none" w:sz="0" w:space="0" w:color="auto"/>
        <w:bottom w:val="none" w:sz="0" w:space="0" w:color="auto"/>
        <w:right w:val="none" w:sz="0" w:space="0" w:color="auto"/>
      </w:divBdr>
    </w:div>
    <w:div w:id="1574967381">
      <w:bodyDiv w:val="1"/>
      <w:marLeft w:val="0"/>
      <w:marRight w:val="0"/>
      <w:marTop w:val="0"/>
      <w:marBottom w:val="0"/>
      <w:divBdr>
        <w:top w:val="none" w:sz="0" w:space="0" w:color="auto"/>
        <w:left w:val="none" w:sz="0" w:space="0" w:color="auto"/>
        <w:bottom w:val="none" w:sz="0" w:space="0" w:color="auto"/>
        <w:right w:val="none" w:sz="0" w:space="0" w:color="auto"/>
      </w:divBdr>
    </w:div>
    <w:div w:id="1576360996">
      <w:bodyDiv w:val="1"/>
      <w:marLeft w:val="0"/>
      <w:marRight w:val="0"/>
      <w:marTop w:val="0"/>
      <w:marBottom w:val="0"/>
      <w:divBdr>
        <w:top w:val="none" w:sz="0" w:space="0" w:color="auto"/>
        <w:left w:val="none" w:sz="0" w:space="0" w:color="auto"/>
        <w:bottom w:val="none" w:sz="0" w:space="0" w:color="auto"/>
        <w:right w:val="none" w:sz="0" w:space="0" w:color="auto"/>
      </w:divBdr>
    </w:div>
    <w:div w:id="1577594168">
      <w:bodyDiv w:val="1"/>
      <w:marLeft w:val="0"/>
      <w:marRight w:val="0"/>
      <w:marTop w:val="0"/>
      <w:marBottom w:val="0"/>
      <w:divBdr>
        <w:top w:val="none" w:sz="0" w:space="0" w:color="auto"/>
        <w:left w:val="none" w:sz="0" w:space="0" w:color="auto"/>
        <w:bottom w:val="none" w:sz="0" w:space="0" w:color="auto"/>
        <w:right w:val="none" w:sz="0" w:space="0" w:color="auto"/>
      </w:divBdr>
    </w:div>
    <w:div w:id="1663242676">
      <w:bodyDiv w:val="1"/>
      <w:marLeft w:val="0"/>
      <w:marRight w:val="0"/>
      <w:marTop w:val="0"/>
      <w:marBottom w:val="0"/>
      <w:divBdr>
        <w:top w:val="none" w:sz="0" w:space="0" w:color="auto"/>
        <w:left w:val="none" w:sz="0" w:space="0" w:color="auto"/>
        <w:bottom w:val="none" w:sz="0" w:space="0" w:color="auto"/>
        <w:right w:val="none" w:sz="0" w:space="0" w:color="auto"/>
      </w:divBdr>
    </w:div>
    <w:div w:id="1696031583">
      <w:bodyDiv w:val="1"/>
      <w:marLeft w:val="0"/>
      <w:marRight w:val="0"/>
      <w:marTop w:val="0"/>
      <w:marBottom w:val="0"/>
      <w:divBdr>
        <w:top w:val="none" w:sz="0" w:space="0" w:color="auto"/>
        <w:left w:val="none" w:sz="0" w:space="0" w:color="auto"/>
        <w:bottom w:val="none" w:sz="0" w:space="0" w:color="auto"/>
        <w:right w:val="none" w:sz="0" w:space="0" w:color="auto"/>
      </w:divBdr>
    </w:div>
    <w:div w:id="1719165298">
      <w:bodyDiv w:val="1"/>
      <w:marLeft w:val="0"/>
      <w:marRight w:val="0"/>
      <w:marTop w:val="0"/>
      <w:marBottom w:val="0"/>
      <w:divBdr>
        <w:top w:val="none" w:sz="0" w:space="0" w:color="auto"/>
        <w:left w:val="none" w:sz="0" w:space="0" w:color="auto"/>
        <w:bottom w:val="none" w:sz="0" w:space="0" w:color="auto"/>
        <w:right w:val="none" w:sz="0" w:space="0" w:color="auto"/>
      </w:divBdr>
    </w:div>
    <w:div w:id="1726366420">
      <w:bodyDiv w:val="1"/>
      <w:marLeft w:val="0"/>
      <w:marRight w:val="0"/>
      <w:marTop w:val="0"/>
      <w:marBottom w:val="0"/>
      <w:divBdr>
        <w:top w:val="none" w:sz="0" w:space="0" w:color="auto"/>
        <w:left w:val="none" w:sz="0" w:space="0" w:color="auto"/>
        <w:bottom w:val="none" w:sz="0" w:space="0" w:color="auto"/>
        <w:right w:val="none" w:sz="0" w:space="0" w:color="auto"/>
      </w:divBdr>
    </w:div>
    <w:div w:id="1741059875">
      <w:bodyDiv w:val="1"/>
      <w:marLeft w:val="0"/>
      <w:marRight w:val="0"/>
      <w:marTop w:val="0"/>
      <w:marBottom w:val="0"/>
      <w:divBdr>
        <w:top w:val="none" w:sz="0" w:space="0" w:color="auto"/>
        <w:left w:val="none" w:sz="0" w:space="0" w:color="auto"/>
        <w:bottom w:val="none" w:sz="0" w:space="0" w:color="auto"/>
        <w:right w:val="none" w:sz="0" w:space="0" w:color="auto"/>
      </w:divBdr>
    </w:div>
    <w:div w:id="1741754986">
      <w:bodyDiv w:val="1"/>
      <w:marLeft w:val="0"/>
      <w:marRight w:val="0"/>
      <w:marTop w:val="0"/>
      <w:marBottom w:val="0"/>
      <w:divBdr>
        <w:top w:val="none" w:sz="0" w:space="0" w:color="auto"/>
        <w:left w:val="none" w:sz="0" w:space="0" w:color="auto"/>
        <w:bottom w:val="none" w:sz="0" w:space="0" w:color="auto"/>
        <w:right w:val="none" w:sz="0" w:space="0" w:color="auto"/>
      </w:divBdr>
    </w:div>
    <w:div w:id="1775905465">
      <w:bodyDiv w:val="1"/>
      <w:marLeft w:val="0"/>
      <w:marRight w:val="0"/>
      <w:marTop w:val="0"/>
      <w:marBottom w:val="0"/>
      <w:divBdr>
        <w:top w:val="none" w:sz="0" w:space="0" w:color="auto"/>
        <w:left w:val="none" w:sz="0" w:space="0" w:color="auto"/>
        <w:bottom w:val="none" w:sz="0" w:space="0" w:color="auto"/>
        <w:right w:val="none" w:sz="0" w:space="0" w:color="auto"/>
      </w:divBdr>
    </w:div>
    <w:div w:id="1780681681">
      <w:bodyDiv w:val="1"/>
      <w:marLeft w:val="0"/>
      <w:marRight w:val="0"/>
      <w:marTop w:val="0"/>
      <w:marBottom w:val="0"/>
      <w:divBdr>
        <w:top w:val="none" w:sz="0" w:space="0" w:color="auto"/>
        <w:left w:val="none" w:sz="0" w:space="0" w:color="auto"/>
        <w:bottom w:val="none" w:sz="0" w:space="0" w:color="auto"/>
        <w:right w:val="none" w:sz="0" w:space="0" w:color="auto"/>
      </w:divBdr>
    </w:div>
    <w:div w:id="1806697155">
      <w:bodyDiv w:val="1"/>
      <w:marLeft w:val="0"/>
      <w:marRight w:val="0"/>
      <w:marTop w:val="0"/>
      <w:marBottom w:val="0"/>
      <w:divBdr>
        <w:top w:val="none" w:sz="0" w:space="0" w:color="auto"/>
        <w:left w:val="none" w:sz="0" w:space="0" w:color="auto"/>
        <w:bottom w:val="none" w:sz="0" w:space="0" w:color="auto"/>
        <w:right w:val="none" w:sz="0" w:space="0" w:color="auto"/>
      </w:divBdr>
    </w:div>
    <w:div w:id="1816412524">
      <w:bodyDiv w:val="1"/>
      <w:marLeft w:val="0"/>
      <w:marRight w:val="0"/>
      <w:marTop w:val="0"/>
      <w:marBottom w:val="0"/>
      <w:divBdr>
        <w:top w:val="none" w:sz="0" w:space="0" w:color="auto"/>
        <w:left w:val="none" w:sz="0" w:space="0" w:color="auto"/>
        <w:bottom w:val="none" w:sz="0" w:space="0" w:color="auto"/>
        <w:right w:val="none" w:sz="0" w:space="0" w:color="auto"/>
      </w:divBdr>
    </w:div>
    <w:div w:id="1824542879">
      <w:bodyDiv w:val="1"/>
      <w:marLeft w:val="0"/>
      <w:marRight w:val="0"/>
      <w:marTop w:val="0"/>
      <w:marBottom w:val="0"/>
      <w:divBdr>
        <w:top w:val="none" w:sz="0" w:space="0" w:color="auto"/>
        <w:left w:val="none" w:sz="0" w:space="0" w:color="auto"/>
        <w:bottom w:val="none" w:sz="0" w:space="0" w:color="auto"/>
        <w:right w:val="none" w:sz="0" w:space="0" w:color="auto"/>
      </w:divBdr>
    </w:div>
    <w:div w:id="1833792808">
      <w:bodyDiv w:val="1"/>
      <w:marLeft w:val="0"/>
      <w:marRight w:val="0"/>
      <w:marTop w:val="0"/>
      <w:marBottom w:val="0"/>
      <w:divBdr>
        <w:top w:val="none" w:sz="0" w:space="0" w:color="auto"/>
        <w:left w:val="none" w:sz="0" w:space="0" w:color="auto"/>
        <w:bottom w:val="none" w:sz="0" w:space="0" w:color="auto"/>
        <w:right w:val="none" w:sz="0" w:space="0" w:color="auto"/>
      </w:divBdr>
    </w:div>
    <w:div w:id="1855534565">
      <w:bodyDiv w:val="1"/>
      <w:marLeft w:val="0"/>
      <w:marRight w:val="0"/>
      <w:marTop w:val="0"/>
      <w:marBottom w:val="0"/>
      <w:divBdr>
        <w:top w:val="none" w:sz="0" w:space="0" w:color="auto"/>
        <w:left w:val="none" w:sz="0" w:space="0" w:color="auto"/>
        <w:bottom w:val="none" w:sz="0" w:space="0" w:color="auto"/>
        <w:right w:val="none" w:sz="0" w:space="0" w:color="auto"/>
      </w:divBdr>
    </w:div>
    <w:div w:id="1857185266">
      <w:bodyDiv w:val="1"/>
      <w:marLeft w:val="0"/>
      <w:marRight w:val="0"/>
      <w:marTop w:val="0"/>
      <w:marBottom w:val="0"/>
      <w:divBdr>
        <w:top w:val="none" w:sz="0" w:space="0" w:color="auto"/>
        <w:left w:val="none" w:sz="0" w:space="0" w:color="auto"/>
        <w:bottom w:val="none" w:sz="0" w:space="0" w:color="auto"/>
        <w:right w:val="none" w:sz="0" w:space="0" w:color="auto"/>
      </w:divBdr>
    </w:div>
    <w:div w:id="1871260264">
      <w:bodyDiv w:val="1"/>
      <w:marLeft w:val="0"/>
      <w:marRight w:val="0"/>
      <w:marTop w:val="0"/>
      <w:marBottom w:val="0"/>
      <w:divBdr>
        <w:top w:val="none" w:sz="0" w:space="0" w:color="auto"/>
        <w:left w:val="none" w:sz="0" w:space="0" w:color="auto"/>
        <w:bottom w:val="none" w:sz="0" w:space="0" w:color="auto"/>
        <w:right w:val="none" w:sz="0" w:space="0" w:color="auto"/>
      </w:divBdr>
    </w:div>
    <w:div w:id="1877114154">
      <w:bodyDiv w:val="1"/>
      <w:marLeft w:val="0"/>
      <w:marRight w:val="0"/>
      <w:marTop w:val="0"/>
      <w:marBottom w:val="0"/>
      <w:divBdr>
        <w:top w:val="none" w:sz="0" w:space="0" w:color="auto"/>
        <w:left w:val="none" w:sz="0" w:space="0" w:color="auto"/>
        <w:bottom w:val="none" w:sz="0" w:space="0" w:color="auto"/>
        <w:right w:val="none" w:sz="0" w:space="0" w:color="auto"/>
      </w:divBdr>
    </w:div>
    <w:div w:id="1890452294">
      <w:bodyDiv w:val="1"/>
      <w:marLeft w:val="0"/>
      <w:marRight w:val="0"/>
      <w:marTop w:val="0"/>
      <w:marBottom w:val="0"/>
      <w:divBdr>
        <w:top w:val="none" w:sz="0" w:space="0" w:color="auto"/>
        <w:left w:val="none" w:sz="0" w:space="0" w:color="auto"/>
        <w:bottom w:val="none" w:sz="0" w:space="0" w:color="auto"/>
        <w:right w:val="none" w:sz="0" w:space="0" w:color="auto"/>
      </w:divBdr>
    </w:div>
    <w:div w:id="1921793604">
      <w:bodyDiv w:val="1"/>
      <w:marLeft w:val="0"/>
      <w:marRight w:val="0"/>
      <w:marTop w:val="0"/>
      <w:marBottom w:val="0"/>
      <w:divBdr>
        <w:top w:val="none" w:sz="0" w:space="0" w:color="auto"/>
        <w:left w:val="none" w:sz="0" w:space="0" w:color="auto"/>
        <w:bottom w:val="none" w:sz="0" w:space="0" w:color="auto"/>
        <w:right w:val="none" w:sz="0" w:space="0" w:color="auto"/>
      </w:divBdr>
    </w:div>
    <w:div w:id="1924295553">
      <w:bodyDiv w:val="1"/>
      <w:marLeft w:val="0"/>
      <w:marRight w:val="0"/>
      <w:marTop w:val="0"/>
      <w:marBottom w:val="0"/>
      <w:divBdr>
        <w:top w:val="none" w:sz="0" w:space="0" w:color="auto"/>
        <w:left w:val="none" w:sz="0" w:space="0" w:color="auto"/>
        <w:bottom w:val="none" w:sz="0" w:space="0" w:color="auto"/>
        <w:right w:val="none" w:sz="0" w:space="0" w:color="auto"/>
      </w:divBdr>
    </w:div>
    <w:div w:id="1926842676">
      <w:bodyDiv w:val="1"/>
      <w:marLeft w:val="0"/>
      <w:marRight w:val="0"/>
      <w:marTop w:val="0"/>
      <w:marBottom w:val="0"/>
      <w:divBdr>
        <w:top w:val="none" w:sz="0" w:space="0" w:color="auto"/>
        <w:left w:val="none" w:sz="0" w:space="0" w:color="auto"/>
        <w:bottom w:val="none" w:sz="0" w:space="0" w:color="auto"/>
        <w:right w:val="none" w:sz="0" w:space="0" w:color="auto"/>
      </w:divBdr>
    </w:div>
    <w:div w:id="1930190928">
      <w:bodyDiv w:val="1"/>
      <w:marLeft w:val="0"/>
      <w:marRight w:val="0"/>
      <w:marTop w:val="0"/>
      <w:marBottom w:val="0"/>
      <w:divBdr>
        <w:top w:val="none" w:sz="0" w:space="0" w:color="auto"/>
        <w:left w:val="none" w:sz="0" w:space="0" w:color="auto"/>
        <w:bottom w:val="none" w:sz="0" w:space="0" w:color="auto"/>
        <w:right w:val="none" w:sz="0" w:space="0" w:color="auto"/>
      </w:divBdr>
    </w:div>
    <w:div w:id="2002656449">
      <w:bodyDiv w:val="1"/>
      <w:marLeft w:val="0"/>
      <w:marRight w:val="0"/>
      <w:marTop w:val="0"/>
      <w:marBottom w:val="0"/>
      <w:divBdr>
        <w:top w:val="none" w:sz="0" w:space="0" w:color="auto"/>
        <w:left w:val="none" w:sz="0" w:space="0" w:color="auto"/>
        <w:bottom w:val="none" w:sz="0" w:space="0" w:color="auto"/>
        <w:right w:val="none" w:sz="0" w:space="0" w:color="auto"/>
      </w:divBdr>
    </w:div>
    <w:div w:id="2014988888">
      <w:bodyDiv w:val="1"/>
      <w:marLeft w:val="0"/>
      <w:marRight w:val="0"/>
      <w:marTop w:val="0"/>
      <w:marBottom w:val="0"/>
      <w:divBdr>
        <w:top w:val="none" w:sz="0" w:space="0" w:color="auto"/>
        <w:left w:val="none" w:sz="0" w:space="0" w:color="auto"/>
        <w:bottom w:val="none" w:sz="0" w:space="0" w:color="auto"/>
        <w:right w:val="none" w:sz="0" w:space="0" w:color="auto"/>
      </w:divBdr>
    </w:div>
    <w:div w:id="2065789837">
      <w:bodyDiv w:val="1"/>
      <w:marLeft w:val="0"/>
      <w:marRight w:val="0"/>
      <w:marTop w:val="0"/>
      <w:marBottom w:val="0"/>
      <w:divBdr>
        <w:top w:val="none" w:sz="0" w:space="0" w:color="auto"/>
        <w:left w:val="none" w:sz="0" w:space="0" w:color="auto"/>
        <w:bottom w:val="none" w:sz="0" w:space="0" w:color="auto"/>
        <w:right w:val="none" w:sz="0" w:space="0" w:color="auto"/>
      </w:divBdr>
    </w:div>
    <w:div w:id="2078629850">
      <w:bodyDiv w:val="1"/>
      <w:marLeft w:val="0"/>
      <w:marRight w:val="0"/>
      <w:marTop w:val="0"/>
      <w:marBottom w:val="0"/>
      <w:divBdr>
        <w:top w:val="none" w:sz="0" w:space="0" w:color="auto"/>
        <w:left w:val="none" w:sz="0" w:space="0" w:color="auto"/>
        <w:bottom w:val="none" w:sz="0" w:space="0" w:color="auto"/>
        <w:right w:val="none" w:sz="0" w:space="0" w:color="auto"/>
      </w:divBdr>
    </w:div>
    <w:div w:id="2088721770">
      <w:bodyDiv w:val="1"/>
      <w:marLeft w:val="0"/>
      <w:marRight w:val="0"/>
      <w:marTop w:val="0"/>
      <w:marBottom w:val="0"/>
      <w:divBdr>
        <w:top w:val="none" w:sz="0" w:space="0" w:color="auto"/>
        <w:left w:val="none" w:sz="0" w:space="0" w:color="auto"/>
        <w:bottom w:val="none" w:sz="0" w:space="0" w:color="auto"/>
        <w:right w:val="none" w:sz="0" w:space="0" w:color="auto"/>
      </w:divBdr>
    </w:div>
    <w:div w:id="2130083013">
      <w:bodyDiv w:val="1"/>
      <w:marLeft w:val="0"/>
      <w:marRight w:val="0"/>
      <w:marTop w:val="0"/>
      <w:marBottom w:val="0"/>
      <w:divBdr>
        <w:top w:val="none" w:sz="0" w:space="0" w:color="auto"/>
        <w:left w:val="none" w:sz="0" w:space="0" w:color="auto"/>
        <w:bottom w:val="none" w:sz="0" w:space="0" w:color="auto"/>
        <w:right w:val="none" w:sz="0" w:space="0" w:color="auto"/>
      </w:divBdr>
    </w:div>
    <w:div w:id="214665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education.ec.europa.eu/nl/focus-topics/digital-education/plan?authuser=3" TargetMode="External"/><Relationship Id="rId13" Type="http://schemas.openxmlformats.org/officeDocument/2006/relationships/hyperlink" Target="https://health.ec.europa.eu/internationalcooperation/global-health_en" TargetMode="External"/><Relationship Id="rId3" Type="http://schemas.openxmlformats.org/officeDocument/2006/relationships/hyperlink" Target="https://www.rijksoverheid.nl/documenten/kamerstukken/2022/12/09/nationale-grondstoffenstrategie" TargetMode="External"/><Relationship Id="rId7" Type="http://schemas.openxmlformats.org/officeDocument/2006/relationships/hyperlink" Target="https://eur-lex.europa.eu/eli/dec_framw/2008/841/oj/eng" TargetMode="External"/><Relationship Id="rId12" Type="http://schemas.openxmlformats.org/officeDocument/2006/relationships/hyperlink" Target="https://commission.europa.eu/strategy-and-policy/policies/justice-and-fundamental-rights/gender-equality/declaration-principles-gender-equal-society_en" TargetMode="External"/><Relationship Id="rId2" Type="http://schemas.openxmlformats.org/officeDocument/2006/relationships/hyperlink" Target="https://commission.europa.eu/topics/competitiveness/draghi-report_en" TargetMode="External"/><Relationship Id="rId1" Type="http://schemas.openxmlformats.org/officeDocument/2006/relationships/hyperlink" Target="https://digital-strategy.ec.europa.eu/en/policies/european-chips-act" TargetMode="External"/><Relationship Id="rId6" Type="http://schemas.openxmlformats.org/officeDocument/2006/relationships/hyperlink" Target="https://ec.europa.eu/commission/presscorner/detail/nl/ip_25_724" TargetMode="External"/><Relationship Id="rId11" Type="http://schemas.openxmlformats.org/officeDocument/2006/relationships/hyperlink" Target="https://www.rijksoverheid.nl/documenten/rapporten/2025/04/18/bijlage-3-programma-van-maatregelen-ph-correcties" TargetMode="External"/><Relationship Id="rId5" Type="http://schemas.openxmlformats.org/officeDocument/2006/relationships/hyperlink" Target="https://www.rijksoverheid.nl/documenten/publicaties/2024/04/19/bnc-fiche-1-mededeling-beheersing-van-klimaatrisico-s" TargetMode="External"/><Relationship Id="rId10" Type="http://schemas.openxmlformats.org/officeDocument/2006/relationships/hyperlink" Target="https://www.rijksoverheid.nl/documenten/publicaties/2025/07/11/fiche-mededeling-eu-oceaanpact" TargetMode="External"/><Relationship Id="rId4" Type="http://schemas.openxmlformats.org/officeDocument/2006/relationships/hyperlink" Target="https://eur-lex.europa.eu/legal-content/NL/TXT/PDF/?uri=CELEX:32023L1791" TargetMode="External"/><Relationship Id="rId9" Type="http://schemas.openxmlformats.org/officeDocument/2006/relationships/hyperlink" Target="https://eur-lex.europa.eu/legal-content/NL/TXT/?uri=CELEX:32014L00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21</ap:Pages>
  <ap:Words>9017</ap:Words>
  <ap:Characters>49599</ap:Characters>
  <ap:DocSecurity>0</ap:DocSecurity>
  <ap:Lines>413</ap:Lines>
  <ap:Paragraphs>116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58500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2025-11-21T09:42:00.0000000Z</lastPrinted>
  <dcterms:created xsi:type="dcterms:W3CDTF">2025-12-05T13:19:00.0000000Z</dcterms:created>
  <dcterms:modified xsi:type="dcterms:W3CDTF">2025-12-05T13:19:00.0000000Z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BZ_Country">
    <vt:lpwstr>2;#Not applicable|ec01d90b-9d0f-4785-8785-e1ea615196bf</vt:lpwstr>
  </property>
  <property fmtid="{D5CDD505-2E9C-101B-9397-08002B2CF9AE}" pid="4" name="BZ_Theme">
    <vt:lpwstr>8;#EU policy-making|62445f8a-7f88-4a05-90cb-30e854042045</vt:lpwstr>
  </property>
  <property fmtid="{D5CDD505-2E9C-101B-9397-08002B2CF9AE}" pid="5" name="BZ_Classification">
    <vt:lpwstr>4;#UNCLASSIFIED|d92c6340-bc14-4cb2-a9a6-6deda93c493b;#9;#NO MARKING|879e64ec-6597-483b-94db-f5f70afd7299</vt:lpwstr>
  </property>
  <property fmtid="{D5CDD505-2E9C-101B-9397-08002B2CF9AE}" pid="6" name="BZ_Forum">
    <vt:lpwstr>3;#EU|4d8f9873-61b3-4ee5-b6f7-0bb00c6df5e8</vt:lpwstr>
  </property>
  <property fmtid="{D5CDD505-2E9C-101B-9397-08002B2CF9AE}" pid="7" name="BZForumOrganisation">
    <vt:lpwstr>2;#Not applicable|0049e722-bfb1-4a3f-9d08-af7366a9af40</vt:lpwstr>
  </property>
  <property fmtid="{D5CDD505-2E9C-101B-9397-08002B2CF9AE}" pid="8" name="BZTheme">
    <vt:lpwstr>1;#Not applicable|ec01d90b-9d0f-4785-8785-e1ea615196bf</vt:lpwstr>
  </property>
  <property fmtid="{D5CDD505-2E9C-101B-9397-08002B2CF9AE}" pid="9" name="BZCountryState">
    <vt:lpwstr>3;#Not applicable|ec01d90b-9d0f-4785-8785-e1ea615196bf</vt:lpwstr>
  </property>
  <property fmtid="{D5CDD505-2E9C-101B-9397-08002B2CF9AE}" pid="10" name="BZMarking">
    <vt:lpwstr>5;#NO MARKING|0a4eb9ae-69eb-4d9e-b573-43ab99ef8592</vt:lpwstr>
  </property>
  <property fmtid="{D5CDD505-2E9C-101B-9397-08002B2CF9AE}" pid="11" name="BZClassification">
    <vt:lpwstr>4;#UNCLASSIFIED (U)|284e6a62-15ab-4017-be27-a1e965f4e940</vt:lpwstr>
  </property>
  <property fmtid="{D5CDD505-2E9C-101B-9397-08002B2CF9AE}" pid="12" name="MSIP_Label_6800fede-0e59-47ad-af95-4e63bbdb932d_Enabled">
    <vt:lpwstr>true</vt:lpwstr>
  </property>
  <property fmtid="{D5CDD505-2E9C-101B-9397-08002B2CF9AE}" pid="13" name="MSIP_Label_6800fede-0e59-47ad-af95-4e63bbdb932d_SetDate">
    <vt:lpwstr>2025-11-12T09:14:23Z</vt:lpwstr>
  </property>
  <property fmtid="{D5CDD505-2E9C-101B-9397-08002B2CF9AE}" pid="14" name="MSIP_Label_6800fede-0e59-47ad-af95-4e63bbdb932d_Method">
    <vt:lpwstr>Standard</vt:lpwstr>
  </property>
  <property fmtid="{D5CDD505-2E9C-101B-9397-08002B2CF9AE}" pid="15" name="MSIP_Label_6800fede-0e59-47ad-af95-4e63bbdb932d_Name">
    <vt:lpwstr>FIN-DGGT-Rijksoverheid</vt:lpwstr>
  </property>
  <property fmtid="{D5CDD505-2E9C-101B-9397-08002B2CF9AE}" pid="16" name="MSIP_Label_6800fede-0e59-47ad-af95-4e63bbdb932d_SiteId">
    <vt:lpwstr>84712536-f524-40a0-913b-5d25ba502732</vt:lpwstr>
  </property>
  <property fmtid="{D5CDD505-2E9C-101B-9397-08002B2CF9AE}" pid="17" name="MSIP_Label_6800fede-0e59-47ad-af95-4e63bbdb932d_ActionId">
    <vt:lpwstr>adea738b-6320-4d1f-9781-19ec8d8b026b</vt:lpwstr>
  </property>
  <property fmtid="{D5CDD505-2E9C-101B-9397-08002B2CF9AE}" pid="18" name="MSIP_Label_6800fede-0e59-47ad-af95-4e63bbdb932d_ContentBits">
    <vt:lpwstr>0</vt:lpwstr>
  </property>
  <property fmtid="{D5CDD505-2E9C-101B-9397-08002B2CF9AE}" pid="19" name="_dlc_DocIdItemGuid">
    <vt:lpwstr>5322f036-2619-43df-ae47-b7748008337b</vt:lpwstr>
  </property>
  <property fmtid="{D5CDD505-2E9C-101B-9397-08002B2CF9AE}" pid="20" name="_docset_NoMedatataSyncRequired">
    <vt:lpwstr>False</vt:lpwstr>
  </property>
  <property fmtid="{D5CDD505-2E9C-101B-9397-08002B2CF9AE}" pid="21" name="gc2efd3bfea04f7f8169be07009f5536">
    <vt:lpwstr/>
  </property>
  <property fmtid="{D5CDD505-2E9C-101B-9397-08002B2CF9AE}" pid="22" name="BZDossierResponsibleDepartment">
    <vt:lpwstr/>
  </property>
  <property fmtid="{D5CDD505-2E9C-101B-9397-08002B2CF9AE}" pid="23" name="BZDossierGovernmentOfficial">
    <vt:lpwstr/>
  </property>
  <property fmtid="{D5CDD505-2E9C-101B-9397-08002B2CF9AE}" pid="24" name="BZDossierProcessLocation">
    <vt:lpwstr/>
  </property>
  <property fmtid="{D5CDD505-2E9C-101B-9397-08002B2CF9AE}" pid="25" name="i42ef48d5fa942a0ad0d60e44f201751">
    <vt:lpwstr/>
  </property>
  <property fmtid="{D5CDD505-2E9C-101B-9397-08002B2CF9AE}" pid="26" name="BZDossierPublishingWOOCategory">
    <vt:lpwstr/>
  </property>
  <property fmtid="{D5CDD505-2E9C-101B-9397-08002B2CF9AE}" pid="27" name="f2fb2a8e39404f1ab554e4e4a49d2918">
    <vt:lpwstr/>
  </property>
  <property fmtid="{D5CDD505-2E9C-101B-9397-08002B2CF9AE}" pid="28" name="f8e003236e1c4ac2ab9051d5d8789bbb">
    <vt:lpwstr/>
  </property>
  <property fmtid="{D5CDD505-2E9C-101B-9397-08002B2CF9AE}" pid="29" name="p29721a54a5c4bbe9786e930fc91e270">
    <vt:lpwstr/>
  </property>
  <property fmtid="{D5CDD505-2E9C-101B-9397-08002B2CF9AE}" pid="30" name="e256f556a7b748329ab47889947c7d40">
    <vt:lpwstr/>
  </property>
  <property fmtid="{D5CDD505-2E9C-101B-9397-08002B2CF9AE}" pid="31" name="ed9282a3f18446ec8c17c7829edf82dd">
    <vt:lpwstr/>
  </property>
  <property fmtid="{D5CDD505-2E9C-101B-9397-08002B2CF9AE}" pid="32" name="BZDossierProcessType">
    <vt:lpwstr/>
  </property>
  <property fmtid="{D5CDD505-2E9C-101B-9397-08002B2CF9AE}" pid="33" name="BZDossierBudgetManager">
    <vt:lpwstr/>
  </property>
  <property fmtid="{D5CDD505-2E9C-101B-9397-08002B2CF9AE}" pid="34" name="BZDossierSendTo">
    <vt:lpwstr/>
  </property>
</Properties>
</file>