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E07" w:rsidR="00A57AE2" w:rsidRDefault="00C23C4B" w14:paraId="60C84268" w14:textId="77777777">
      <w:pPr>
        <w:pStyle w:val="Plattetekst"/>
        <w:spacing w:before="80"/>
        <w:ind w:left="23"/>
        <w:rPr>
          <w:rFonts w:ascii="Verdana" w:hAnsi="Verdana"/>
          <w:sz w:val="18"/>
          <w:szCs w:val="18"/>
        </w:rPr>
      </w:pPr>
      <w:r w:rsidRPr="001A6E07">
        <w:rPr>
          <w:rFonts w:ascii="Verdana" w:hAnsi="Verdana"/>
          <w:sz w:val="18"/>
          <w:szCs w:val="18"/>
        </w:rPr>
        <w:t>Bijlage</w:t>
      </w:r>
      <w:r w:rsidRPr="001A6E07">
        <w:rPr>
          <w:rFonts w:ascii="Verdana" w:hAnsi="Verdana"/>
          <w:spacing w:val="-2"/>
          <w:sz w:val="18"/>
          <w:szCs w:val="18"/>
        </w:rPr>
        <w:t xml:space="preserve"> </w:t>
      </w:r>
      <w:r w:rsidRPr="001A6E07">
        <w:rPr>
          <w:rFonts w:ascii="Verdana" w:hAnsi="Verdana"/>
          <w:sz w:val="18"/>
          <w:szCs w:val="18"/>
        </w:rPr>
        <w:t>2</w:t>
      </w:r>
      <w:r w:rsidRPr="001A6E07">
        <w:rPr>
          <w:rFonts w:ascii="Verdana" w:hAnsi="Verdana"/>
          <w:spacing w:val="54"/>
          <w:sz w:val="18"/>
          <w:szCs w:val="18"/>
        </w:rPr>
        <w:t xml:space="preserve"> </w:t>
      </w:r>
      <w:r w:rsidRPr="001A6E07">
        <w:rPr>
          <w:rFonts w:ascii="Verdana" w:hAnsi="Verdana"/>
          <w:sz w:val="18"/>
          <w:szCs w:val="18"/>
        </w:rPr>
        <w:t>Overzicht</w:t>
      </w:r>
      <w:r w:rsidRPr="001A6E07">
        <w:rPr>
          <w:rFonts w:ascii="Verdana" w:hAnsi="Verdana"/>
          <w:spacing w:val="-3"/>
          <w:sz w:val="18"/>
          <w:szCs w:val="18"/>
        </w:rPr>
        <w:t xml:space="preserve"> </w:t>
      </w:r>
      <w:r w:rsidRPr="001A6E07">
        <w:rPr>
          <w:rFonts w:ascii="Verdana" w:hAnsi="Verdana"/>
          <w:sz w:val="18"/>
          <w:szCs w:val="18"/>
        </w:rPr>
        <w:t>van</w:t>
      </w:r>
      <w:r w:rsidRPr="001A6E07">
        <w:rPr>
          <w:rFonts w:ascii="Verdana" w:hAnsi="Verdana"/>
          <w:spacing w:val="-2"/>
          <w:sz w:val="18"/>
          <w:szCs w:val="18"/>
        </w:rPr>
        <w:t xml:space="preserve"> </w:t>
      </w:r>
      <w:r w:rsidRPr="001A6E07">
        <w:rPr>
          <w:rFonts w:ascii="Verdana" w:hAnsi="Verdana"/>
          <w:sz w:val="18"/>
          <w:szCs w:val="18"/>
        </w:rPr>
        <w:t>wetten</w:t>
      </w:r>
      <w:r w:rsidRPr="001A6E07">
        <w:rPr>
          <w:rFonts w:ascii="Verdana" w:hAnsi="Verdana"/>
          <w:spacing w:val="-1"/>
          <w:sz w:val="18"/>
          <w:szCs w:val="18"/>
        </w:rPr>
        <w:t xml:space="preserve"> </w:t>
      </w:r>
      <w:r w:rsidRPr="001A6E07">
        <w:rPr>
          <w:rFonts w:ascii="Verdana" w:hAnsi="Verdana"/>
          <w:sz w:val="18"/>
          <w:szCs w:val="18"/>
        </w:rPr>
        <w:t>die</w:t>
      </w:r>
      <w:r w:rsidRPr="001A6E07">
        <w:rPr>
          <w:rFonts w:ascii="Verdana" w:hAnsi="Verdana"/>
          <w:spacing w:val="-1"/>
          <w:sz w:val="18"/>
          <w:szCs w:val="18"/>
        </w:rPr>
        <w:t xml:space="preserve"> </w:t>
      </w:r>
      <w:r w:rsidRPr="001A6E07">
        <w:rPr>
          <w:rFonts w:ascii="Verdana" w:hAnsi="Verdana"/>
          <w:sz w:val="18"/>
          <w:szCs w:val="18"/>
        </w:rPr>
        <w:t>in</w:t>
      </w:r>
      <w:r w:rsidRPr="001A6E07">
        <w:rPr>
          <w:rFonts w:ascii="Verdana" w:hAnsi="Verdana"/>
          <w:spacing w:val="-2"/>
          <w:sz w:val="18"/>
          <w:szCs w:val="18"/>
        </w:rPr>
        <w:t xml:space="preserve"> </w:t>
      </w:r>
      <w:r w:rsidRPr="001A6E07">
        <w:rPr>
          <w:rFonts w:ascii="Verdana" w:hAnsi="Verdana"/>
          <w:sz w:val="18"/>
          <w:szCs w:val="18"/>
        </w:rPr>
        <w:t>2025</w:t>
      </w:r>
      <w:r w:rsidRPr="001A6E07">
        <w:rPr>
          <w:rFonts w:ascii="Verdana" w:hAnsi="Verdana"/>
          <w:spacing w:val="-1"/>
          <w:sz w:val="18"/>
          <w:szCs w:val="18"/>
        </w:rPr>
        <w:t xml:space="preserve"> </w:t>
      </w:r>
      <w:r w:rsidRPr="001A6E07">
        <w:rPr>
          <w:rFonts w:ascii="Verdana" w:hAnsi="Verdana"/>
          <w:sz w:val="18"/>
          <w:szCs w:val="18"/>
        </w:rPr>
        <w:t>in</w:t>
      </w:r>
      <w:r w:rsidRPr="001A6E07">
        <w:rPr>
          <w:rFonts w:ascii="Verdana" w:hAnsi="Verdana"/>
          <w:spacing w:val="-2"/>
          <w:sz w:val="18"/>
          <w:szCs w:val="18"/>
        </w:rPr>
        <w:t xml:space="preserve"> </w:t>
      </w:r>
      <w:r w:rsidRPr="001A6E07">
        <w:rPr>
          <w:rFonts w:ascii="Verdana" w:hAnsi="Verdana"/>
          <w:sz w:val="18"/>
          <w:szCs w:val="18"/>
        </w:rPr>
        <w:t>werking</w:t>
      </w:r>
      <w:r w:rsidRPr="001A6E07">
        <w:rPr>
          <w:rFonts w:ascii="Verdana" w:hAnsi="Verdana"/>
          <w:spacing w:val="-1"/>
          <w:sz w:val="18"/>
          <w:szCs w:val="18"/>
        </w:rPr>
        <w:t xml:space="preserve"> </w:t>
      </w:r>
      <w:r w:rsidRPr="001A6E07">
        <w:rPr>
          <w:rFonts w:ascii="Verdana" w:hAnsi="Verdana"/>
          <w:sz w:val="18"/>
          <w:szCs w:val="18"/>
        </w:rPr>
        <w:t>zijn</w:t>
      </w:r>
      <w:r w:rsidRPr="001A6E07">
        <w:rPr>
          <w:rFonts w:ascii="Verdana" w:hAnsi="Verdana"/>
          <w:spacing w:val="-1"/>
          <w:sz w:val="18"/>
          <w:szCs w:val="18"/>
        </w:rPr>
        <w:t xml:space="preserve"> </w:t>
      </w:r>
      <w:r w:rsidRPr="001A6E07">
        <w:rPr>
          <w:rFonts w:ascii="Verdana" w:hAnsi="Verdana"/>
          <w:spacing w:val="-2"/>
          <w:sz w:val="18"/>
          <w:szCs w:val="18"/>
        </w:rPr>
        <w:t>getreden</w:t>
      </w:r>
    </w:p>
    <w:p w:rsidRPr="001A6E07" w:rsidR="00A57AE2" w:rsidRDefault="00A57AE2" w14:paraId="44EDDC23" w14:textId="77777777">
      <w:pPr>
        <w:spacing w:before="126"/>
        <w:rPr>
          <w:rFonts w:ascii="Verdana" w:hAnsi="Verdana"/>
          <w:b/>
          <w:sz w:val="18"/>
          <w:szCs w:val="18"/>
        </w:rPr>
      </w:pPr>
    </w:p>
    <w:tbl>
      <w:tblPr>
        <w:tblStyle w:val="TableNormal"/>
        <w:tblW w:w="9299"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649"/>
        <w:gridCol w:w="5650"/>
      </w:tblGrid>
      <w:tr w:rsidRPr="001A6E07" w:rsidR="00A57AE2" w:rsidTr="00C23AEE" w14:paraId="299EB0C2" w14:textId="77777777">
        <w:trPr>
          <w:trHeight w:val="497"/>
        </w:trPr>
        <w:tc>
          <w:tcPr>
            <w:tcW w:w="3649" w:type="dxa"/>
          </w:tcPr>
          <w:p w:rsidRPr="001A6E07" w:rsidR="00A57AE2" w:rsidRDefault="00C23C4B" w14:paraId="7422F291" w14:textId="77777777">
            <w:pPr>
              <w:pStyle w:val="TableParagraph"/>
              <w:ind w:left="108"/>
              <w:rPr>
                <w:rFonts w:ascii="Verdana" w:hAnsi="Verdana"/>
                <w:b/>
                <w:sz w:val="18"/>
                <w:szCs w:val="18"/>
              </w:rPr>
            </w:pPr>
            <w:r w:rsidRPr="001A6E07">
              <w:rPr>
                <w:rFonts w:ascii="Verdana" w:hAnsi="Verdana"/>
                <w:b/>
                <w:sz w:val="18"/>
                <w:szCs w:val="18"/>
              </w:rPr>
              <w:t>Datum</w:t>
            </w:r>
            <w:r w:rsidRPr="001A6E07">
              <w:rPr>
                <w:rFonts w:ascii="Verdana" w:hAnsi="Verdana"/>
                <w:b/>
                <w:spacing w:val="-4"/>
                <w:sz w:val="18"/>
                <w:szCs w:val="18"/>
              </w:rPr>
              <w:t xml:space="preserve"> </w:t>
            </w:r>
            <w:r w:rsidRPr="001A6E07">
              <w:rPr>
                <w:rFonts w:ascii="Verdana" w:hAnsi="Verdana"/>
                <w:b/>
                <w:spacing w:val="-2"/>
                <w:sz w:val="18"/>
                <w:szCs w:val="18"/>
              </w:rPr>
              <w:t>inwerkingtreding</w:t>
            </w:r>
          </w:p>
        </w:tc>
        <w:tc>
          <w:tcPr>
            <w:tcW w:w="5650" w:type="dxa"/>
          </w:tcPr>
          <w:p w:rsidRPr="001A6E07" w:rsidR="00A57AE2" w:rsidP="00BB1FE7" w:rsidRDefault="00A57AE2" w14:paraId="7BC0AC4B" w14:textId="77777777">
            <w:pPr>
              <w:rPr>
                <w:rFonts w:ascii="Verdana" w:hAnsi="Verdana"/>
                <w:sz w:val="18"/>
                <w:szCs w:val="18"/>
              </w:rPr>
            </w:pPr>
          </w:p>
        </w:tc>
      </w:tr>
      <w:tr w:rsidRPr="001A6E07" w:rsidR="00A57AE2" w:rsidTr="00C23AEE" w14:paraId="54A3C537" w14:textId="77777777">
        <w:trPr>
          <w:trHeight w:val="359"/>
        </w:trPr>
        <w:tc>
          <w:tcPr>
            <w:tcW w:w="3649" w:type="dxa"/>
          </w:tcPr>
          <w:p w:rsidRPr="001A6E07" w:rsidR="00A57AE2" w:rsidRDefault="00C23C4B" w14:paraId="47EFD187" w14:textId="77777777">
            <w:pPr>
              <w:pStyle w:val="TableParagraph"/>
              <w:spacing w:line="210" w:lineRule="exact"/>
              <w:ind w:left="108"/>
              <w:rPr>
                <w:rFonts w:ascii="Verdana" w:hAnsi="Verdana"/>
                <w:sz w:val="18"/>
                <w:szCs w:val="18"/>
              </w:rPr>
            </w:pPr>
            <w:r w:rsidRPr="001A6E07">
              <w:rPr>
                <w:rFonts w:ascii="Verdana" w:hAnsi="Verdana"/>
                <w:sz w:val="18"/>
                <w:szCs w:val="18"/>
              </w:rPr>
              <w:t>1</w:t>
            </w:r>
            <w:r w:rsidRPr="001A6E07">
              <w:rPr>
                <w:rFonts w:ascii="Verdana" w:hAnsi="Verdana"/>
                <w:spacing w:val="-3"/>
                <w:sz w:val="18"/>
                <w:szCs w:val="18"/>
              </w:rPr>
              <w:t xml:space="preserve"> </w:t>
            </w:r>
            <w:r w:rsidRPr="001A6E07">
              <w:rPr>
                <w:rFonts w:ascii="Verdana" w:hAnsi="Verdana"/>
                <w:sz w:val="18"/>
                <w:szCs w:val="18"/>
              </w:rPr>
              <w:t>januari</w:t>
            </w:r>
            <w:r w:rsidRPr="001A6E07">
              <w:rPr>
                <w:rFonts w:ascii="Verdana" w:hAnsi="Verdana"/>
                <w:spacing w:val="-2"/>
                <w:sz w:val="18"/>
                <w:szCs w:val="18"/>
              </w:rPr>
              <w:t xml:space="preserve"> </w:t>
            </w:r>
            <w:r w:rsidRPr="001A6E07">
              <w:rPr>
                <w:rFonts w:ascii="Verdana" w:hAnsi="Verdana"/>
                <w:spacing w:val="-4"/>
                <w:sz w:val="18"/>
                <w:szCs w:val="18"/>
              </w:rPr>
              <w:t>2025</w:t>
            </w:r>
          </w:p>
        </w:tc>
        <w:tc>
          <w:tcPr>
            <w:tcW w:w="5650" w:type="dxa"/>
          </w:tcPr>
          <w:p w:rsidRPr="001A6E07" w:rsidR="00A57AE2" w:rsidP="00BB1FE7" w:rsidRDefault="00C23C4B" w14:paraId="5645F3B8" w14:textId="77777777">
            <w:pPr>
              <w:rPr>
                <w:rFonts w:ascii="Verdana" w:hAnsi="Verdana"/>
                <w:sz w:val="18"/>
                <w:szCs w:val="18"/>
              </w:rPr>
            </w:pPr>
            <w:r w:rsidRPr="001A6E07">
              <w:rPr>
                <w:rFonts w:ascii="Verdana" w:hAnsi="Verdana"/>
                <w:sz w:val="18"/>
                <w:szCs w:val="18"/>
              </w:rPr>
              <w:t>Wet</w:t>
            </w:r>
            <w:r w:rsidRPr="001A6E07">
              <w:rPr>
                <w:rFonts w:ascii="Verdana" w:hAnsi="Verdana"/>
                <w:spacing w:val="-8"/>
                <w:sz w:val="18"/>
                <w:szCs w:val="18"/>
              </w:rPr>
              <w:t xml:space="preserve"> </w:t>
            </w:r>
            <w:r w:rsidRPr="001A6E07">
              <w:rPr>
                <w:rFonts w:ascii="Verdana" w:hAnsi="Verdana"/>
                <w:sz w:val="18"/>
                <w:szCs w:val="18"/>
              </w:rPr>
              <w:t>vereenvoudiging</w:t>
            </w:r>
            <w:r w:rsidRPr="001A6E07">
              <w:rPr>
                <w:rFonts w:ascii="Verdana" w:hAnsi="Verdana"/>
                <w:spacing w:val="-6"/>
                <w:sz w:val="18"/>
                <w:szCs w:val="18"/>
              </w:rPr>
              <w:t xml:space="preserve"> </w:t>
            </w:r>
            <w:r w:rsidRPr="001A6E07">
              <w:rPr>
                <w:rFonts w:ascii="Verdana" w:hAnsi="Verdana"/>
                <w:sz w:val="18"/>
                <w:szCs w:val="18"/>
              </w:rPr>
              <w:t>en</w:t>
            </w:r>
            <w:r w:rsidRPr="001A6E07">
              <w:rPr>
                <w:rFonts w:ascii="Verdana" w:hAnsi="Verdana"/>
                <w:spacing w:val="-6"/>
                <w:sz w:val="18"/>
                <w:szCs w:val="18"/>
              </w:rPr>
              <w:t xml:space="preserve"> </w:t>
            </w:r>
            <w:r w:rsidRPr="001A6E07">
              <w:rPr>
                <w:rFonts w:ascii="Verdana" w:hAnsi="Verdana"/>
                <w:sz w:val="18"/>
                <w:szCs w:val="18"/>
              </w:rPr>
              <w:t>modernisering</w:t>
            </w:r>
            <w:r w:rsidRPr="001A6E07">
              <w:rPr>
                <w:rFonts w:ascii="Verdana" w:hAnsi="Verdana"/>
                <w:spacing w:val="-6"/>
                <w:sz w:val="18"/>
                <w:szCs w:val="18"/>
              </w:rPr>
              <w:t xml:space="preserve"> </w:t>
            </w:r>
            <w:r w:rsidRPr="001A6E07">
              <w:rPr>
                <w:rFonts w:ascii="Verdana" w:hAnsi="Verdana"/>
                <w:spacing w:val="-2"/>
                <w:sz w:val="18"/>
                <w:szCs w:val="18"/>
              </w:rPr>
              <w:t>bewijsrecht</w:t>
            </w:r>
          </w:p>
        </w:tc>
      </w:tr>
      <w:tr w:rsidRPr="001A6E07" w:rsidR="00D27976" w:rsidTr="00C23AEE" w14:paraId="0C247D60" w14:textId="77777777">
        <w:trPr>
          <w:trHeight w:val="359"/>
        </w:trPr>
        <w:tc>
          <w:tcPr>
            <w:tcW w:w="3649" w:type="dxa"/>
          </w:tcPr>
          <w:p w:rsidRPr="001A6E07" w:rsidR="00D27976" w:rsidRDefault="00D27976" w14:paraId="0C46429B" w14:textId="77777777">
            <w:pPr>
              <w:pStyle w:val="TableParagraph"/>
              <w:spacing w:line="210" w:lineRule="exact"/>
              <w:ind w:left="108"/>
              <w:rPr>
                <w:rFonts w:ascii="Verdana" w:hAnsi="Verdana"/>
                <w:sz w:val="18"/>
                <w:szCs w:val="18"/>
              </w:rPr>
            </w:pPr>
          </w:p>
        </w:tc>
        <w:tc>
          <w:tcPr>
            <w:tcW w:w="5650" w:type="dxa"/>
          </w:tcPr>
          <w:p w:rsidRPr="001A6E07" w:rsidR="00D27976" w:rsidP="00BB1FE7" w:rsidRDefault="00D27976" w14:paraId="7E75E6CF" w14:textId="355BE971">
            <w:pPr>
              <w:rPr>
                <w:rFonts w:ascii="Verdana" w:hAnsi="Verdana"/>
                <w:sz w:val="18"/>
                <w:szCs w:val="18"/>
              </w:rPr>
            </w:pPr>
            <w:r w:rsidRPr="001A6E07">
              <w:rPr>
                <w:rFonts w:ascii="Verdana" w:hAnsi="Verdana"/>
                <w:sz w:val="18"/>
                <w:szCs w:val="18"/>
              </w:rPr>
              <w:t>Wet uitbreiding slachtofferrechten (Gedeeltelijke inwerkingtreding)</w:t>
            </w:r>
          </w:p>
        </w:tc>
      </w:tr>
      <w:tr w:rsidRPr="001A6E07" w:rsidR="00B55135" w:rsidTr="00C23AEE" w14:paraId="6FDF61F8" w14:textId="77777777">
        <w:trPr>
          <w:trHeight w:val="359"/>
        </w:trPr>
        <w:tc>
          <w:tcPr>
            <w:tcW w:w="3649" w:type="dxa"/>
          </w:tcPr>
          <w:p w:rsidRPr="001A6E07" w:rsidR="00B55135" w:rsidRDefault="00B55135" w14:paraId="53D450EE" w14:textId="77777777">
            <w:pPr>
              <w:pStyle w:val="TableParagraph"/>
              <w:spacing w:line="210" w:lineRule="exact"/>
              <w:ind w:left="108"/>
              <w:rPr>
                <w:rFonts w:ascii="Verdana" w:hAnsi="Verdana"/>
                <w:sz w:val="18"/>
                <w:szCs w:val="18"/>
              </w:rPr>
            </w:pPr>
          </w:p>
        </w:tc>
        <w:tc>
          <w:tcPr>
            <w:tcW w:w="5650" w:type="dxa"/>
          </w:tcPr>
          <w:p w:rsidRPr="001A6E07" w:rsidR="00B55135" w:rsidP="00BB1FE7" w:rsidRDefault="00B55135" w14:paraId="133192F4" w14:textId="590C1592">
            <w:pPr>
              <w:rPr>
                <w:rFonts w:ascii="Verdana" w:hAnsi="Verdana"/>
                <w:sz w:val="18"/>
                <w:szCs w:val="18"/>
              </w:rPr>
            </w:pPr>
            <w:r w:rsidRPr="001A6E07">
              <w:rPr>
                <w:rFonts w:ascii="Verdana" w:hAnsi="Verdana"/>
                <w:sz w:val="18"/>
                <w:szCs w:val="18"/>
              </w:rPr>
              <w:t>Wet aanpassing geschillenregeling en verduidelijking ontvankelijkheidseisen enquêteprocedure</w:t>
            </w:r>
          </w:p>
        </w:tc>
      </w:tr>
      <w:tr w:rsidRPr="001A6E07" w:rsidR="00A57AE2" w:rsidTr="00C23AEE" w14:paraId="32BEC577" w14:textId="77777777">
        <w:trPr>
          <w:trHeight w:val="1316"/>
        </w:trPr>
        <w:tc>
          <w:tcPr>
            <w:tcW w:w="3649" w:type="dxa"/>
          </w:tcPr>
          <w:p w:rsidRPr="001A6E07" w:rsidR="00A57AE2" w:rsidRDefault="00C23C4B" w14:paraId="29D1B3FC" w14:textId="77777777">
            <w:pPr>
              <w:pStyle w:val="TableParagraph"/>
              <w:ind w:left="108"/>
              <w:rPr>
                <w:rFonts w:ascii="Verdana" w:hAnsi="Verdana"/>
                <w:sz w:val="18"/>
                <w:szCs w:val="18"/>
              </w:rPr>
            </w:pPr>
            <w:r w:rsidRPr="001A6E07">
              <w:rPr>
                <w:rFonts w:ascii="Verdana" w:hAnsi="Verdana"/>
                <w:sz w:val="18"/>
                <w:szCs w:val="18"/>
              </w:rPr>
              <w:t>1</w:t>
            </w:r>
            <w:r w:rsidRPr="001A6E07">
              <w:rPr>
                <w:rFonts w:ascii="Verdana" w:hAnsi="Verdana"/>
                <w:spacing w:val="-2"/>
                <w:sz w:val="18"/>
                <w:szCs w:val="18"/>
              </w:rPr>
              <w:t xml:space="preserve"> </w:t>
            </w:r>
            <w:r w:rsidRPr="001A6E07">
              <w:rPr>
                <w:rFonts w:ascii="Verdana" w:hAnsi="Verdana"/>
                <w:sz w:val="18"/>
                <w:szCs w:val="18"/>
              </w:rPr>
              <w:t>april</w:t>
            </w:r>
            <w:r w:rsidRPr="001A6E07">
              <w:rPr>
                <w:rFonts w:ascii="Verdana" w:hAnsi="Verdana"/>
                <w:spacing w:val="-2"/>
                <w:sz w:val="18"/>
                <w:szCs w:val="18"/>
              </w:rPr>
              <w:t xml:space="preserve"> </w:t>
            </w:r>
            <w:r w:rsidRPr="001A6E07">
              <w:rPr>
                <w:rFonts w:ascii="Verdana" w:hAnsi="Verdana"/>
                <w:spacing w:val="-4"/>
                <w:sz w:val="18"/>
                <w:szCs w:val="18"/>
              </w:rPr>
              <w:t>2025</w:t>
            </w:r>
          </w:p>
        </w:tc>
        <w:tc>
          <w:tcPr>
            <w:tcW w:w="5650" w:type="dxa"/>
          </w:tcPr>
          <w:p w:rsidRPr="001A6E07" w:rsidR="00A57AE2" w:rsidP="00BB1FE7" w:rsidRDefault="00DD4A44" w14:paraId="6CF29EB0" w14:textId="70786A3E">
            <w:pPr>
              <w:rPr>
                <w:rFonts w:ascii="Verdana" w:hAnsi="Verdana"/>
                <w:sz w:val="18"/>
                <w:szCs w:val="18"/>
              </w:rPr>
            </w:pPr>
            <w:r w:rsidRPr="001A6E07">
              <w:rPr>
                <w:rFonts w:ascii="Verdana" w:hAnsi="Verdana"/>
                <w:sz w:val="18"/>
                <w:szCs w:val="18"/>
              </w:rPr>
              <w:t>Wet tot Wijziging Opiumwet 1960 BES i.v.m. de invoering van de bevoegdheid voor het lokaal gezag van de openbare lichamen</w:t>
            </w:r>
            <w:r w:rsidRPr="001A6E07">
              <w:rPr>
                <w:rFonts w:ascii="Verdana" w:hAnsi="Verdana"/>
                <w:spacing w:val="-5"/>
                <w:sz w:val="18"/>
                <w:szCs w:val="18"/>
              </w:rPr>
              <w:t xml:space="preserve"> </w:t>
            </w:r>
            <w:r w:rsidRPr="001A6E07">
              <w:rPr>
                <w:rFonts w:ascii="Verdana" w:hAnsi="Verdana"/>
                <w:sz w:val="18"/>
                <w:szCs w:val="18"/>
              </w:rPr>
              <w:t>Bonaire,</w:t>
            </w:r>
            <w:r w:rsidRPr="001A6E07">
              <w:rPr>
                <w:rFonts w:ascii="Verdana" w:hAnsi="Verdana"/>
                <w:spacing w:val="-6"/>
                <w:sz w:val="18"/>
                <w:szCs w:val="18"/>
              </w:rPr>
              <w:t xml:space="preserve"> </w:t>
            </w:r>
            <w:r w:rsidRPr="001A6E07">
              <w:rPr>
                <w:rFonts w:ascii="Verdana" w:hAnsi="Verdana"/>
                <w:sz w:val="18"/>
                <w:szCs w:val="18"/>
              </w:rPr>
              <w:t>Sint</w:t>
            </w:r>
            <w:r w:rsidRPr="001A6E07">
              <w:rPr>
                <w:rFonts w:ascii="Verdana" w:hAnsi="Verdana"/>
                <w:spacing w:val="-6"/>
                <w:sz w:val="18"/>
                <w:szCs w:val="18"/>
              </w:rPr>
              <w:t xml:space="preserve"> </w:t>
            </w:r>
            <w:r w:rsidRPr="001A6E07">
              <w:rPr>
                <w:rFonts w:ascii="Verdana" w:hAnsi="Verdana"/>
                <w:sz w:val="18"/>
                <w:szCs w:val="18"/>
              </w:rPr>
              <w:t>Eustatius</w:t>
            </w:r>
            <w:r w:rsidRPr="001A6E07">
              <w:rPr>
                <w:rFonts w:ascii="Verdana" w:hAnsi="Verdana"/>
                <w:spacing w:val="-5"/>
                <w:sz w:val="18"/>
                <w:szCs w:val="18"/>
              </w:rPr>
              <w:t xml:space="preserve"> </w:t>
            </w:r>
            <w:r w:rsidRPr="001A6E07">
              <w:rPr>
                <w:rFonts w:ascii="Verdana" w:hAnsi="Verdana"/>
                <w:sz w:val="18"/>
                <w:szCs w:val="18"/>
              </w:rPr>
              <w:t>en</w:t>
            </w:r>
            <w:r w:rsidRPr="001A6E07">
              <w:rPr>
                <w:rFonts w:ascii="Verdana" w:hAnsi="Verdana"/>
                <w:spacing w:val="-5"/>
                <w:sz w:val="18"/>
                <w:szCs w:val="18"/>
              </w:rPr>
              <w:t xml:space="preserve"> </w:t>
            </w:r>
            <w:r w:rsidRPr="001A6E07">
              <w:rPr>
                <w:rFonts w:ascii="Verdana" w:hAnsi="Verdana"/>
                <w:sz w:val="18"/>
                <w:szCs w:val="18"/>
              </w:rPr>
              <w:t>Saba</w:t>
            </w:r>
            <w:r w:rsidRPr="001A6E07">
              <w:rPr>
                <w:rFonts w:ascii="Verdana" w:hAnsi="Verdana"/>
                <w:spacing w:val="-5"/>
                <w:sz w:val="18"/>
                <w:szCs w:val="18"/>
              </w:rPr>
              <w:t xml:space="preserve"> </w:t>
            </w:r>
            <w:r w:rsidRPr="001A6E07">
              <w:rPr>
                <w:rFonts w:ascii="Verdana" w:hAnsi="Verdana"/>
                <w:sz w:val="18"/>
                <w:szCs w:val="18"/>
              </w:rPr>
              <w:t>tot</w:t>
            </w:r>
            <w:r w:rsidRPr="001A6E07">
              <w:rPr>
                <w:rFonts w:ascii="Verdana" w:hAnsi="Verdana"/>
                <w:spacing w:val="-5"/>
                <w:sz w:val="18"/>
                <w:szCs w:val="18"/>
              </w:rPr>
              <w:t xml:space="preserve"> </w:t>
            </w:r>
            <w:r w:rsidRPr="001A6E07">
              <w:rPr>
                <w:rFonts w:ascii="Verdana" w:hAnsi="Verdana"/>
                <w:sz w:val="18"/>
                <w:szCs w:val="18"/>
              </w:rPr>
              <w:t>de</w:t>
            </w:r>
            <w:r w:rsidRPr="001A6E07">
              <w:rPr>
                <w:rFonts w:ascii="Verdana" w:hAnsi="Verdana"/>
                <w:spacing w:val="-5"/>
                <w:sz w:val="18"/>
                <w:szCs w:val="18"/>
              </w:rPr>
              <w:t xml:space="preserve"> </w:t>
            </w:r>
            <w:r w:rsidRPr="001A6E07">
              <w:rPr>
                <w:rFonts w:ascii="Verdana" w:hAnsi="Verdana"/>
                <w:sz w:val="18"/>
                <w:szCs w:val="18"/>
              </w:rPr>
              <w:t xml:space="preserve">oplegging van een last onder bestuursdwang ten aanzien van </w:t>
            </w:r>
            <w:r w:rsidRPr="001A6E07">
              <w:rPr>
                <w:rFonts w:ascii="Verdana" w:hAnsi="Verdana"/>
                <w:spacing w:val="-2"/>
                <w:sz w:val="18"/>
                <w:szCs w:val="18"/>
              </w:rPr>
              <w:t>drugspanden</w:t>
            </w:r>
          </w:p>
        </w:tc>
      </w:tr>
      <w:tr w:rsidRPr="001A6E07" w:rsidR="00A57AE2" w:rsidTr="00C23AEE" w14:paraId="1D3D3C43" w14:textId="77777777">
        <w:trPr>
          <w:trHeight w:val="497"/>
        </w:trPr>
        <w:tc>
          <w:tcPr>
            <w:tcW w:w="3649" w:type="dxa"/>
          </w:tcPr>
          <w:p w:rsidRPr="001A6E07" w:rsidR="00A57AE2" w:rsidP="00FF078A" w:rsidRDefault="00FF078A" w14:paraId="5BAA4610" w14:textId="0E4BBE93">
            <w:pPr>
              <w:pStyle w:val="TableParagraph"/>
              <w:spacing w:line="210" w:lineRule="exact"/>
              <w:ind w:left="108"/>
              <w:rPr>
                <w:rFonts w:ascii="Verdana" w:hAnsi="Verdana"/>
                <w:sz w:val="18"/>
                <w:szCs w:val="18"/>
              </w:rPr>
            </w:pPr>
            <w:r w:rsidRPr="001A6E07">
              <w:rPr>
                <w:rFonts w:ascii="Verdana" w:hAnsi="Verdana"/>
                <w:sz w:val="18"/>
                <w:szCs w:val="18"/>
              </w:rPr>
              <w:t>15 mei 2025</w:t>
            </w:r>
          </w:p>
        </w:tc>
        <w:tc>
          <w:tcPr>
            <w:tcW w:w="5650" w:type="dxa"/>
          </w:tcPr>
          <w:p w:rsidRPr="001A6E07" w:rsidR="00A57AE2" w:rsidP="00BB1FE7" w:rsidRDefault="00DD4A44" w14:paraId="2E4EB9DE" w14:textId="53B843A6">
            <w:pPr>
              <w:rPr>
                <w:rFonts w:ascii="Verdana" w:hAnsi="Verdana"/>
                <w:sz w:val="18"/>
                <w:szCs w:val="18"/>
              </w:rPr>
            </w:pPr>
            <w:r w:rsidRPr="001A6E07">
              <w:rPr>
                <w:rFonts w:ascii="Verdana" w:hAnsi="Verdana"/>
                <w:sz w:val="18"/>
                <w:szCs w:val="18"/>
              </w:rPr>
              <w:t xml:space="preserve">Wet </w:t>
            </w:r>
            <w:r w:rsidRPr="001A6E07" w:rsidR="00FF078A">
              <w:rPr>
                <w:rFonts w:ascii="Verdana" w:hAnsi="Verdana"/>
                <w:sz w:val="18"/>
                <w:szCs w:val="18"/>
              </w:rPr>
              <w:t>uitbreiding strafbaarheid spionageactiviteiten</w:t>
            </w:r>
          </w:p>
        </w:tc>
      </w:tr>
      <w:tr w:rsidRPr="001A6E07" w:rsidR="00DD4A44" w:rsidTr="00C23AEE" w14:paraId="21918066" w14:textId="77777777">
        <w:trPr>
          <w:trHeight w:val="409"/>
        </w:trPr>
        <w:tc>
          <w:tcPr>
            <w:tcW w:w="3649" w:type="dxa"/>
          </w:tcPr>
          <w:p w:rsidRPr="001A6E07" w:rsidR="00DD4A44" w:rsidP="00FF078A" w:rsidRDefault="00DD4A44" w14:paraId="4DC0DBC7" w14:textId="3185F8CE">
            <w:pPr>
              <w:pStyle w:val="TableParagraph"/>
              <w:spacing w:line="210" w:lineRule="exact"/>
              <w:ind w:left="108"/>
              <w:rPr>
                <w:rFonts w:ascii="Verdana" w:hAnsi="Verdana"/>
                <w:sz w:val="18"/>
                <w:szCs w:val="18"/>
              </w:rPr>
            </w:pPr>
            <w:r w:rsidRPr="001A6E07">
              <w:rPr>
                <w:rFonts w:ascii="Verdana" w:hAnsi="Verdana"/>
                <w:sz w:val="18"/>
                <w:szCs w:val="18"/>
              </w:rPr>
              <w:t>4 juni 2025</w:t>
            </w:r>
          </w:p>
        </w:tc>
        <w:tc>
          <w:tcPr>
            <w:tcW w:w="5650" w:type="dxa"/>
          </w:tcPr>
          <w:p w:rsidRPr="001A6E07" w:rsidR="00DD4A44" w:rsidP="00BB1FE7" w:rsidRDefault="00DD4A44" w14:paraId="7ABC36DC" w14:textId="780A86EE">
            <w:pPr>
              <w:rPr>
                <w:rFonts w:ascii="Verdana" w:hAnsi="Verdana"/>
                <w:sz w:val="18"/>
                <w:szCs w:val="18"/>
              </w:rPr>
            </w:pPr>
            <w:r w:rsidRPr="001A6E07">
              <w:rPr>
                <w:rFonts w:ascii="Verdana" w:hAnsi="Verdana"/>
                <w:sz w:val="18"/>
                <w:szCs w:val="18"/>
              </w:rPr>
              <w:t>Wet coördinatie terrorismebestrijding en nationale veiligheid</w:t>
            </w:r>
          </w:p>
        </w:tc>
      </w:tr>
      <w:tr w:rsidRPr="001A6E07" w:rsidR="00A57AE2" w:rsidTr="00C23AEE" w14:paraId="7F37662E" w14:textId="77777777">
        <w:trPr>
          <w:trHeight w:val="1080"/>
        </w:trPr>
        <w:tc>
          <w:tcPr>
            <w:tcW w:w="3649" w:type="dxa"/>
          </w:tcPr>
          <w:p w:rsidRPr="001A6E07" w:rsidR="00A57AE2" w:rsidP="00FF078A" w:rsidRDefault="00FF078A" w14:paraId="513D9C2C" w14:textId="5AA8725E">
            <w:pPr>
              <w:pStyle w:val="TableParagraph"/>
              <w:spacing w:line="210" w:lineRule="exact"/>
              <w:ind w:left="108"/>
              <w:rPr>
                <w:rFonts w:ascii="Verdana" w:hAnsi="Verdana"/>
                <w:sz w:val="18"/>
                <w:szCs w:val="18"/>
              </w:rPr>
            </w:pPr>
            <w:r w:rsidRPr="001A6E07">
              <w:rPr>
                <w:rFonts w:ascii="Verdana" w:hAnsi="Verdana"/>
                <w:sz w:val="18"/>
                <w:szCs w:val="18"/>
              </w:rPr>
              <w:t>1 juli 2025</w:t>
            </w:r>
          </w:p>
        </w:tc>
        <w:tc>
          <w:tcPr>
            <w:tcW w:w="5650" w:type="dxa"/>
          </w:tcPr>
          <w:p w:rsidRPr="001A6E07" w:rsidR="00A57AE2" w:rsidP="00BB1FE7" w:rsidRDefault="007B5B44" w14:paraId="439D28EA" w14:textId="2FA3ECDC">
            <w:pPr>
              <w:rPr>
                <w:rFonts w:ascii="Verdana" w:hAnsi="Verdana"/>
                <w:sz w:val="18"/>
                <w:szCs w:val="18"/>
              </w:rPr>
            </w:pPr>
            <w:r w:rsidRPr="001A6E07">
              <w:rPr>
                <w:rFonts w:ascii="Verdana" w:hAnsi="Verdana"/>
                <w:sz w:val="18"/>
                <w:szCs w:val="18"/>
              </w:rPr>
              <w:t>Wet</w:t>
            </w:r>
            <w:r w:rsidRPr="001A6E07" w:rsidR="00FF078A">
              <w:rPr>
                <w:rFonts w:ascii="Verdana" w:hAnsi="Verdana"/>
                <w:sz w:val="18"/>
                <w:szCs w:val="18"/>
              </w:rPr>
              <w:t xml:space="preserve"> van de leden Timmermans en Bikker tot wijziging van het Wetboek van Strafrecht in verband met de invoering van het discriminatoir aspect als strafverzwaringsgrond</w:t>
            </w:r>
          </w:p>
        </w:tc>
      </w:tr>
      <w:tr w:rsidRPr="001A6E07" w:rsidR="00FF078A" w:rsidTr="009019A6" w14:paraId="4B78EF71" w14:textId="77777777">
        <w:trPr>
          <w:trHeight w:val="1248"/>
        </w:trPr>
        <w:tc>
          <w:tcPr>
            <w:tcW w:w="3649" w:type="dxa"/>
          </w:tcPr>
          <w:p w:rsidRPr="001A6E07" w:rsidR="00FF078A" w:rsidP="00FF078A" w:rsidRDefault="00FF078A" w14:paraId="0B57F65D" w14:textId="77777777">
            <w:pPr>
              <w:pStyle w:val="TableParagraph"/>
              <w:spacing w:line="210" w:lineRule="exact"/>
              <w:ind w:left="108"/>
              <w:rPr>
                <w:rFonts w:ascii="Verdana" w:hAnsi="Verdana"/>
                <w:sz w:val="18"/>
                <w:szCs w:val="18"/>
              </w:rPr>
            </w:pPr>
          </w:p>
        </w:tc>
        <w:tc>
          <w:tcPr>
            <w:tcW w:w="5650" w:type="dxa"/>
          </w:tcPr>
          <w:p w:rsidRPr="001A6E07" w:rsidR="00FF078A" w:rsidP="00BB1FE7" w:rsidRDefault="00DD4A44" w14:paraId="489306CE" w14:textId="5EC6B69B">
            <w:pPr>
              <w:rPr>
                <w:rFonts w:ascii="Verdana" w:hAnsi="Verdana"/>
                <w:sz w:val="18"/>
                <w:szCs w:val="18"/>
              </w:rPr>
            </w:pPr>
            <w:r w:rsidRPr="001A6E07">
              <w:rPr>
                <w:rFonts w:ascii="Verdana" w:hAnsi="Verdana"/>
                <w:sz w:val="18"/>
                <w:szCs w:val="18"/>
              </w:rPr>
              <w:t xml:space="preserve">Wet tot </w:t>
            </w:r>
            <w:r w:rsidRPr="001A6E07" w:rsidR="007B5B44">
              <w:rPr>
                <w:rFonts w:ascii="Verdana" w:hAnsi="Verdana"/>
                <w:sz w:val="18"/>
                <w:szCs w:val="18"/>
              </w:rPr>
              <w:t xml:space="preserve">Wijziging </w:t>
            </w:r>
            <w:r w:rsidRPr="001A6E07" w:rsidR="00FF078A">
              <w:rPr>
                <w:rFonts w:ascii="Verdana" w:hAnsi="Verdana"/>
                <w:sz w:val="18"/>
                <w:szCs w:val="18"/>
              </w:rPr>
              <w:t>van het Wetboek van Strafrecht in verband met de verhoging van het strafmaximum voor deelneming aan een terroristische organisatie die tot oogmerk heeft het plegen van de meest ernstige terroristische misdrijven (aanscherping artikel 140a Sr)</w:t>
            </w:r>
          </w:p>
        </w:tc>
      </w:tr>
      <w:tr w:rsidRPr="001A6E07" w:rsidR="00FF078A" w:rsidTr="00C23AEE" w14:paraId="02388CDB" w14:textId="77777777">
        <w:trPr>
          <w:trHeight w:val="1082"/>
        </w:trPr>
        <w:tc>
          <w:tcPr>
            <w:tcW w:w="3649" w:type="dxa"/>
          </w:tcPr>
          <w:p w:rsidRPr="001A6E07" w:rsidR="00FF078A" w:rsidP="00FF078A" w:rsidRDefault="00FF078A" w14:paraId="79869D63" w14:textId="77777777">
            <w:pPr>
              <w:pStyle w:val="TableParagraph"/>
              <w:spacing w:line="210" w:lineRule="exact"/>
              <w:ind w:left="108"/>
              <w:rPr>
                <w:rFonts w:ascii="Verdana" w:hAnsi="Verdana"/>
                <w:sz w:val="18"/>
                <w:szCs w:val="18"/>
              </w:rPr>
            </w:pPr>
          </w:p>
        </w:tc>
        <w:tc>
          <w:tcPr>
            <w:tcW w:w="5650" w:type="dxa"/>
          </w:tcPr>
          <w:p w:rsidRPr="001A6E07" w:rsidR="00FF078A" w:rsidP="00BB1FE7" w:rsidRDefault="00DD4A44" w14:paraId="3C50C8EA" w14:textId="085848B4">
            <w:pPr>
              <w:rPr>
                <w:rFonts w:ascii="Verdana" w:hAnsi="Verdana"/>
                <w:sz w:val="18"/>
                <w:szCs w:val="18"/>
              </w:rPr>
            </w:pPr>
            <w:r w:rsidRPr="001A6E07">
              <w:rPr>
                <w:rFonts w:ascii="Verdana" w:hAnsi="Verdana"/>
                <w:sz w:val="18"/>
                <w:szCs w:val="18"/>
              </w:rPr>
              <w:t xml:space="preserve">Wet tot </w:t>
            </w:r>
            <w:r w:rsidRPr="001A6E07" w:rsidR="007B5B44">
              <w:rPr>
                <w:rFonts w:ascii="Verdana" w:hAnsi="Verdana"/>
                <w:sz w:val="18"/>
                <w:szCs w:val="18"/>
              </w:rPr>
              <w:t>W</w:t>
            </w:r>
            <w:r w:rsidRPr="001A6E07" w:rsidR="00FF078A">
              <w:rPr>
                <w:rFonts w:ascii="Verdana" w:hAnsi="Verdana"/>
                <w:sz w:val="18"/>
                <w:szCs w:val="18"/>
              </w:rPr>
              <w:t>ijziging van de Opiumwet in verband met het</w:t>
            </w:r>
            <w:r w:rsidRPr="001A6E07" w:rsidR="00D27976">
              <w:rPr>
                <w:rFonts w:ascii="Verdana" w:hAnsi="Verdana"/>
                <w:sz w:val="18"/>
                <w:szCs w:val="18"/>
              </w:rPr>
              <w:t xml:space="preserve"> </w:t>
            </w:r>
            <w:r w:rsidRPr="001A6E07" w:rsidR="00FF078A">
              <w:rPr>
                <w:rFonts w:ascii="Verdana" w:hAnsi="Verdana"/>
                <w:sz w:val="18"/>
                <w:szCs w:val="18"/>
              </w:rPr>
              <w:t>toevoegen van een derde lijst met als doel het tegengaan van de productie van en de handel in nieuwe psychoactieve stoffen en enkele andere wijzigingen</w:t>
            </w:r>
          </w:p>
        </w:tc>
      </w:tr>
      <w:tr w:rsidRPr="001A6E07" w:rsidR="00FF078A" w:rsidTr="00C23AEE" w14:paraId="4103A89F" w14:textId="77777777">
        <w:trPr>
          <w:trHeight w:val="248"/>
        </w:trPr>
        <w:tc>
          <w:tcPr>
            <w:tcW w:w="3649" w:type="dxa"/>
          </w:tcPr>
          <w:p w:rsidRPr="001A6E07" w:rsidR="00FF078A" w:rsidP="00FF078A" w:rsidRDefault="00FF078A" w14:paraId="4E806AD9" w14:textId="77777777">
            <w:pPr>
              <w:pStyle w:val="TableParagraph"/>
              <w:spacing w:line="210" w:lineRule="exact"/>
              <w:ind w:left="108"/>
              <w:rPr>
                <w:rFonts w:ascii="Verdana" w:hAnsi="Verdana"/>
                <w:sz w:val="18"/>
                <w:szCs w:val="18"/>
              </w:rPr>
            </w:pPr>
          </w:p>
        </w:tc>
        <w:tc>
          <w:tcPr>
            <w:tcW w:w="5650" w:type="dxa"/>
          </w:tcPr>
          <w:p w:rsidRPr="001A6E07" w:rsidR="004E67CE" w:rsidP="00BB1FE7" w:rsidRDefault="004E67CE" w14:paraId="349AD0AE" w14:textId="3DE9E68D">
            <w:pPr>
              <w:rPr>
                <w:rFonts w:ascii="Verdana" w:hAnsi="Verdana"/>
                <w:sz w:val="18"/>
                <w:szCs w:val="18"/>
              </w:rPr>
            </w:pPr>
            <w:r w:rsidRPr="001A6E07">
              <w:rPr>
                <w:rFonts w:ascii="Verdana" w:hAnsi="Verdana"/>
                <w:sz w:val="18"/>
                <w:szCs w:val="18"/>
              </w:rPr>
              <w:t>Wet gegevensverwerking in de persoonsgerichte aanpak van radicalisering en terroristische activiteiten</w:t>
            </w:r>
          </w:p>
          <w:p w:rsidRPr="001A6E07" w:rsidR="00FF078A" w:rsidP="00BB1FE7" w:rsidRDefault="00FF078A" w14:paraId="2F8FF701" w14:textId="77777777">
            <w:pPr>
              <w:rPr>
                <w:rFonts w:ascii="Verdana" w:hAnsi="Verdana"/>
                <w:sz w:val="18"/>
                <w:szCs w:val="18"/>
              </w:rPr>
            </w:pPr>
          </w:p>
        </w:tc>
      </w:tr>
      <w:tr w:rsidRPr="001A6E07" w:rsidR="004E67CE" w:rsidTr="00C23AEE" w14:paraId="432BF8BD" w14:textId="77777777">
        <w:trPr>
          <w:trHeight w:val="248"/>
        </w:trPr>
        <w:tc>
          <w:tcPr>
            <w:tcW w:w="3649" w:type="dxa"/>
          </w:tcPr>
          <w:p w:rsidRPr="001A6E07" w:rsidR="004E67CE" w:rsidP="00FF078A" w:rsidRDefault="004E67CE" w14:paraId="25A4C200" w14:textId="77777777">
            <w:pPr>
              <w:pStyle w:val="TableParagraph"/>
              <w:spacing w:line="210" w:lineRule="exact"/>
              <w:ind w:left="108"/>
              <w:rPr>
                <w:rFonts w:ascii="Verdana" w:hAnsi="Verdana"/>
                <w:sz w:val="18"/>
                <w:szCs w:val="18"/>
              </w:rPr>
            </w:pPr>
          </w:p>
        </w:tc>
        <w:tc>
          <w:tcPr>
            <w:tcW w:w="5650" w:type="dxa"/>
          </w:tcPr>
          <w:p w:rsidRPr="001A6E07" w:rsidR="004E67CE" w:rsidP="00BB1FE7" w:rsidRDefault="00D27976" w14:paraId="3CB33CB0" w14:textId="3C1C67BE">
            <w:pPr>
              <w:rPr>
                <w:rFonts w:ascii="Verdana" w:hAnsi="Verdana"/>
                <w:sz w:val="18"/>
                <w:szCs w:val="18"/>
              </w:rPr>
            </w:pPr>
            <w:r w:rsidRPr="001A6E07">
              <w:rPr>
                <w:rFonts w:ascii="Verdana" w:hAnsi="Verdana"/>
                <w:sz w:val="18"/>
                <w:szCs w:val="18"/>
              </w:rPr>
              <w:t xml:space="preserve"> </w:t>
            </w:r>
            <w:r w:rsidRPr="001A6E07" w:rsidR="004E67CE">
              <w:rPr>
                <w:rFonts w:ascii="Verdana" w:hAnsi="Verdana"/>
                <w:sz w:val="18"/>
                <w:szCs w:val="18"/>
              </w:rPr>
              <w:t>Wet opheffing verpandingsverboden</w:t>
            </w:r>
          </w:p>
        </w:tc>
      </w:tr>
      <w:tr w:rsidRPr="001A6E07" w:rsidR="00832527" w:rsidTr="009019A6" w14:paraId="02E4CB0A" w14:textId="77777777">
        <w:trPr>
          <w:trHeight w:val="249"/>
        </w:trPr>
        <w:tc>
          <w:tcPr>
            <w:tcW w:w="3649" w:type="dxa"/>
          </w:tcPr>
          <w:p w:rsidRPr="001A6E07" w:rsidR="00832527" w:rsidP="00FF078A" w:rsidRDefault="00832527" w14:paraId="46081D72" w14:textId="77777777">
            <w:pPr>
              <w:pStyle w:val="TableParagraph"/>
              <w:spacing w:line="210" w:lineRule="exact"/>
              <w:ind w:left="108"/>
              <w:rPr>
                <w:rFonts w:ascii="Verdana" w:hAnsi="Verdana"/>
                <w:sz w:val="18"/>
                <w:szCs w:val="18"/>
              </w:rPr>
            </w:pPr>
          </w:p>
        </w:tc>
        <w:tc>
          <w:tcPr>
            <w:tcW w:w="5650" w:type="dxa"/>
          </w:tcPr>
          <w:p w:rsidRPr="001A6E07" w:rsidR="00832527" w:rsidP="00BB1FE7" w:rsidRDefault="00D27976" w14:paraId="405E7615" w14:textId="7AAD049A">
            <w:pPr>
              <w:rPr>
                <w:rFonts w:ascii="Verdana" w:hAnsi="Verdana"/>
                <w:color w:val="000000" w:themeColor="text1"/>
                <w:sz w:val="18"/>
                <w:szCs w:val="18"/>
              </w:rPr>
            </w:pPr>
            <w:r w:rsidRPr="001A6E07">
              <w:rPr>
                <w:rFonts w:ascii="Verdana" w:hAnsi="Verdana"/>
                <w:color w:val="000000" w:themeColor="text1"/>
                <w:sz w:val="18"/>
                <w:szCs w:val="18"/>
              </w:rPr>
              <w:t xml:space="preserve"> </w:t>
            </w:r>
            <w:r w:rsidRPr="001A6E07" w:rsidR="00DD4A44">
              <w:rPr>
                <w:rFonts w:ascii="Verdana" w:hAnsi="Verdana"/>
                <w:color w:val="000000" w:themeColor="text1"/>
                <w:sz w:val="18"/>
                <w:szCs w:val="18"/>
              </w:rPr>
              <w:t>Wet preferentie kinderalimentatie</w:t>
            </w:r>
          </w:p>
        </w:tc>
      </w:tr>
      <w:tr w:rsidRPr="001A6E07" w:rsidR="001E591C" w:rsidTr="00C23AEE" w14:paraId="24F820C5" w14:textId="77777777">
        <w:trPr>
          <w:trHeight w:val="248"/>
        </w:trPr>
        <w:tc>
          <w:tcPr>
            <w:tcW w:w="3649" w:type="dxa"/>
          </w:tcPr>
          <w:p w:rsidRPr="001A6E07" w:rsidR="001E591C" w:rsidP="00FF078A" w:rsidRDefault="001E591C" w14:paraId="2E78E42B" w14:textId="77777777">
            <w:pPr>
              <w:pStyle w:val="TableParagraph"/>
              <w:spacing w:line="210" w:lineRule="exact"/>
              <w:ind w:left="108"/>
              <w:rPr>
                <w:rFonts w:ascii="Verdana" w:hAnsi="Verdana"/>
                <w:sz w:val="18"/>
                <w:szCs w:val="18"/>
              </w:rPr>
            </w:pPr>
          </w:p>
        </w:tc>
        <w:tc>
          <w:tcPr>
            <w:tcW w:w="5650" w:type="dxa"/>
          </w:tcPr>
          <w:p w:rsidRPr="001A6E07" w:rsidR="001E591C" w:rsidP="00BB1FE7" w:rsidRDefault="00D27976" w14:paraId="6ED60E86" w14:textId="5A9685AC">
            <w:pPr>
              <w:rPr>
                <w:rFonts w:ascii="Verdana" w:hAnsi="Verdana"/>
                <w:sz w:val="18"/>
                <w:szCs w:val="18"/>
              </w:rPr>
            </w:pPr>
            <w:r w:rsidRPr="001A6E07">
              <w:rPr>
                <w:rFonts w:ascii="Verdana" w:hAnsi="Verdana"/>
                <w:sz w:val="18"/>
                <w:szCs w:val="18"/>
              </w:rPr>
              <w:t xml:space="preserve"> </w:t>
            </w:r>
            <w:r w:rsidRPr="001A6E07" w:rsidR="001E591C">
              <w:rPr>
                <w:rFonts w:ascii="Verdana" w:hAnsi="Verdana"/>
                <w:sz w:val="18"/>
                <w:szCs w:val="18"/>
              </w:rPr>
              <w:t>Verzamelwet Justitie en Veiligheid en Asiel en Migratie</w:t>
            </w:r>
          </w:p>
        </w:tc>
      </w:tr>
      <w:tr w:rsidRPr="001A6E07" w:rsidR="00D27976" w:rsidTr="00C23AEE" w14:paraId="2C22B0FE" w14:textId="77777777">
        <w:trPr>
          <w:trHeight w:val="248"/>
        </w:trPr>
        <w:tc>
          <w:tcPr>
            <w:tcW w:w="3649" w:type="dxa"/>
          </w:tcPr>
          <w:p w:rsidRPr="001A6E07" w:rsidR="00D27976" w:rsidP="00FF078A" w:rsidRDefault="00D27976" w14:paraId="378E5720" w14:textId="77777777">
            <w:pPr>
              <w:pStyle w:val="TableParagraph"/>
              <w:spacing w:line="210" w:lineRule="exact"/>
              <w:ind w:left="108"/>
              <w:rPr>
                <w:rFonts w:ascii="Verdana" w:hAnsi="Verdana"/>
                <w:sz w:val="18"/>
                <w:szCs w:val="18"/>
              </w:rPr>
            </w:pPr>
          </w:p>
        </w:tc>
        <w:tc>
          <w:tcPr>
            <w:tcW w:w="5650" w:type="dxa"/>
          </w:tcPr>
          <w:p w:rsidRPr="001A6E07" w:rsidR="00D27976" w:rsidP="00BB1FE7" w:rsidRDefault="00D27976" w14:paraId="6AB13A9E" w14:textId="3832A211">
            <w:pPr>
              <w:rPr>
                <w:rFonts w:ascii="Verdana" w:hAnsi="Verdana"/>
                <w:sz w:val="18"/>
                <w:szCs w:val="18"/>
              </w:rPr>
            </w:pPr>
            <w:r w:rsidRPr="001A6E07">
              <w:rPr>
                <w:rFonts w:ascii="Verdana" w:hAnsi="Verdana"/>
                <w:sz w:val="18"/>
                <w:szCs w:val="18"/>
              </w:rPr>
              <w:t xml:space="preserve"> Wet uitbreiding slachtofferrechten (Gedeeltelijke</w:t>
            </w:r>
            <w:r w:rsidRPr="001A6E07" w:rsidR="00C23AEE">
              <w:rPr>
                <w:rFonts w:ascii="Verdana" w:hAnsi="Verdana"/>
                <w:sz w:val="18"/>
                <w:szCs w:val="18"/>
              </w:rPr>
              <w:t xml:space="preserve"> </w:t>
            </w:r>
            <w:r w:rsidRPr="001A6E07">
              <w:rPr>
                <w:rFonts w:ascii="Verdana" w:hAnsi="Verdana"/>
                <w:sz w:val="18"/>
                <w:szCs w:val="18"/>
              </w:rPr>
              <w:t>inwerkingtreding)</w:t>
            </w:r>
          </w:p>
        </w:tc>
      </w:tr>
      <w:tr w:rsidRPr="001A6E07" w:rsidR="005204C3" w:rsidTr="00BB1FE7" w14:paraId="453C8DD3" w14:textId="77777777">
        <w:trPr>
          <w:trHeight w:val="70"/>
        </w:trPr>
        <w:tc>
          <w:tcPr>
            <w:tcW w:w="3649" w:type="dxa"/>
          </w:tcPr>
          <w:p w:rsidRPr="001A6E07" w:rsidR="005204C3" w:rsidP="00FF078A" w:rsidRDefault="005204C3" w14:paraId="52B56520" w14:textId="42F98CA9">
            <w:pPr>
              <w:pStyle w:val="TableParagraph"/>
              <w:spacing w:line="210" w:lineRule="exact"/>
              <w:ind w:left="108"/>
              <w:rPr>
                <w:rFonts w:ascii="Verdana" w:hAnsi="Verdana"/>
                <w:sz w:val="18"/>
                <w:szCs w:val="18"/>
              </w:rPr>
            </w:pPr>
            <w:r w:rsidRPr="001A6E07">
              <w:rPr>
                <w:rFonts w:ascii="Verdana" w:hAnsi="Verdana"/>
                <w:sz w:val="18"/>
                <w:szCs w:val="18"/>
              </w:rPr>
              <w:t>1 november</w:t>
            </w:r>
          </w:p>
        </w:tc>
        <w:tc>
          <w:tcPr>
            <w:tcW w:w="5650" w:type="dxa"/>
          </w:tcPr>
          <w:p w:rsidRPr="001A6E07" w:rsidR="005204C3" w:rsidP="00BB1FE7" w:rsidRDefault="005204C3" w14:paraId="13F5514C" w14:textId="36898B93">
            <w:pPr>
              <w:rPr>
                <w:rFonts w:ascii="Verdana" w:hAnsi="Verdana"/>
                <w:sz w:val="18"/>
                <w:szCs w:val="18"/>
              </w:rPr>
            </w:pPr>
            <w:r w:rsidRPr="001A6E07">
              <w:rPr>
                <w:rFonts w:ascii="Verdana" w:hAnsi="Verdana"/>
                <w:sz w:val="18"/>
                <w:szCs w:val="18"/>
              </w:rPr>
              <w:t>De wet tot wijziging van de Penitentiaire beginselenwet in verband met aanvullende maatregelen tegen georganiseerde criminaliteit tijdens detentie</w:t>
            </w:r>
          </w:p>
        </w:tc>
      </w:tr>
    </w:tbl>
    <w:p w:rsidRPr="001A6E07" w:rsidR="00CB22FC" w:rsidRDefault="00CB22FC" w14:paraId="4468ABA3" w14:textId="77777777">
      <w:pPr>
        <w:rPr>
          <w:rFonts w:ascii="Verdana" w:hAnsi="Verdana"/>
          <w:sz w:val="18"/>
          <w:szCs w:val="18"/>
        </w:rPr>
      </w:pPr>
    </w:p>
    <w:sectPr w:rsidRPr="001A6E07" w:rsidR="00CB22FC">
      <w:type w:val="continuous"/>
      <w:pgSz w:w="11910" w:h="16840"/>
      <w:pgMar w:top="1360" w:right="1417" w:bottom="280" w:left="1417"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E2"/>
    <w:rsid w:val="001364F6"/>
    <w:rsid w:val="001A6E07"/>
    <w:rsid w:val="001E591C"/>
    <w:rsid w:val="00230495"/>
    <w:rsid w:val="004E67CE"/>
    <w:rsid w:val="005204C3"/>
    <w:rsid w:val="006E039B"/>
    <w:rsid w:val="007B5B44"/>
    <w:rsid w:val="0080253F"/>
    <w:rsid w:val="00832527"/>
    <w:rsid w:val="009019A6"/>
    <w:rsid w:val="00A57AE2"/>
    <w:rsid w:val="00A92F6D"/>
    <w:rsid w:val="00B55135"/>
    <w:rsid w:val="00BB1FE7"/>
    <w:rsid w:val="00C23AEE"/>
    <w:rsid w:val="00C23C4B"/>
    <w:rsid w:val="00CB22FC"/>
    <w:rsid w:val="00D27976"/>
    <w:rsid w:val="00DD4A44"/>
    <w:rsid w:val="00E25E8E"/>
    <w:rsid w:val="00FF0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2">
    <w:name w:val="heading 2"/>
    <w:basedOn w:val="Standaard"/>
    <w:next w:val="Standaard"/>
    <w:link w:val="Kop2Char"/>
    <w:uiPriority w:val="9"/>
    <w:unhideWhenUsed/>
    <w:qFormat/>
    <w:rsid w:val="00DD4A44"/>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b/>
      <w:bCs/>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FF078A"/>
    <w:rPr>
      <w:sz w:val="16"/>
      <w:szCs w:val="16"/>
    </w:rPr>
  </w:style>
  <w:style w:type="paragraph" w:styleId="Tekstopmerking">
    <w:name w:val="annotation text"/>
    <w:basedOn w:val="Standaard"/>
    <w:link w:val="TekstopmerkingChar"/>
    <w:uiPriority w:val="99"/>
    <w:semiHidden/>
    <w:unhideWhenUsed/>
    <w:rsid w:val="00FF078A"/>
    <w:rPr>
      <w:sz w:val="20"/>
      <w:szCs w:val="20"/>
    </w:rPr>
  </w:style>
  <w:style w:type="character" w:customStyle="1" w:styleId="TekstopmerkingChar">
    <w:name w:val="Tekst opmerking Char"/>
    <w:basedOn w:val="Standaardalinea-lettertype"/>
    <w:link w:val="Tekstopmerking"/>
    <w:uiPriority w:val="99"/>
    <w:semiHidden/>
    <w:rsid w:val="00FF078A"/>
    <w:rPr>
      <w:rFonts w:ascii="Arial" w:eastAsia="Arial" w:hAnsi="Arial" w:cs="Arial"/>
      <w:sz w:val="20"/>
      <w:szCs w:val="20"/>
      <w:lang w:val="nl-NL"/>
    </w:rPr>
  </w:style>
  <w:style w:type="character" w:customStyle="1" w:styleId="Kop2Char">
    <w:name w:val="Kop 2 Char"/>
    <w:basedOn w:val="Standaardalinea-lettertype"/>
    <w:link w:val="Kop2"/>
    <w:uiPriority w:val="9"/>
    <w:rsid w:val="00DD4A44"/>
    <w:rPr>
      <w:rFonts w:asciiTheme="majorHAnsi" w:eastAsiaTheme="majorEastAsia" w:hAnsiTheme="majorHAnsi" w:cstheme="majorBidi"/>
      <w:color w:val="365F9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45127">
      <w:bodyDiv w:val="1"/>
      <w:marLeft w:val="0"/>
      <w:marRight w:val="0"/>
      <w:marTop w:val="0"/>
      <w:marBottom w:val="0"/>
      <w:divBdr>
        <w:top w:val="none" w:sz="0" w:space="0" w:color="auto"/>
        <w:left w:val="none" w:sz="0" w:space="0" w:color="auto"/>
        <w:bottom w:val="none" w:sz="0" w:space="0" w:color="auto"/>
        <w:right w:val="none" w:sz="0" w:space="0" w:color="auto"/>
      </w:divBdr>
    </w:div>
    <w:div w:id="132180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1548</ap:Characters>
  <ap:DocSecurity>0</ap:DocSecurity>
  <ap:Lines>12</ap:Lines>
  <ap:Paragraphs>3</ap:Paragraphs>
  <ap:ScaleCrop>false</ap:ScaleCrop>
  <ap:LinksUpToDate>false</ap:LinksUpToDate>
  <ap:CharactersWithSpaces>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2025-12-05T15:28:00.0000000Z</dcterms:created>
  <dcterms:modified xsi:type="dcterms:W3CDTF">2025-12-05T15:29:00.0000000Z</dcterms:modified>
  <dc:description>------------------------</dc:description>
  <dc:subject/>
  <dc:title/>
  <keywords/>
  <version/>
  <category/>
</coreProperties>
</file>