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302C47" w:rsidR="003F75A1" w14:paraId="3068353A" w14:textId="77777777">
        <w:tc>
          <w:tcPr>
            <w:tcW w:w="3614" w:type="dxa"/>
            <w:tcBorders>
              <w:bottom w:val="single" w:color="auto" w:sz="4" w:space="0"/>
            </w:tcBorders>
          </w:tcPr>
          <w:p w:rsidRPr="00302C47" w:rsidR="003F75A1" w:rsidRDefault="003F75A1" w14:paraId="30683538" w14:textId="77777777">
            <w:pPr>
              <w:rPr>
                <w:b/>
              </w:rPr>
            </w:pPr>
            <w:r w:rsidRPr="00302C47">
              <w:rPr>
                <w:b/>
              </w:rPr>
              <w:t>Tweede Kamer der Staten-Generaal</w:t>
            </w:r>
          </w:p>
        </w:tc>
        <w:tc>
          <w:tcPr>
            <w:tcW w:w="5596" w:type="dxa"/>
            <w:tcBorders>
              <w:bottom w:val="single" w:color="auto" w:sz="4" w:space="0"/>
            </w:tcBorders>
          </w:tcPr>
          <w:p w:rsidRPr="00302C47" w:rsidR="003F75A1" w:rsidRDefault="003F75A1" w14:paraId="30683539" w14:textId="77777777">
            <w:pPr>
              <w:jc w:val="right"/>
              <w:rPr>
                <w:b/>
                <w:sz w:val="32"/>
              </w:rPr>
            </w:pPr>
            <w:r w:rsidRPr="00302C47">
              <w:rPr>
                <w:b/>
                <w:sz w:val="32"/>
              </w:rPr>
              <w:t>2</w:t>
            </w:r>
          </w:p>
        </w:tc>
      </w:tr>
      <w:tr w:rsidRPr="00302C47" w:rsidR="003F75A1" w:rsidTr="00CC5C03" w14:paraId="3068353D" w14:textId="77777777">
        <w:trPr>
          <w:trHeight w:val="330"/>
        </w:trPr>
        <w:tc>
          <w:tcPr>
            <w:tcW w:w="3614" w:type="dxa"/>
          </w:tcPr>
          <w:p w:rsidRPr="00302C47" w:rsidR="003F75A1" w:rsidRDefault="003F75A1" w14:paraId="3068353B" w14:textId="77777777"/>
        </w:tc>
        <w:tc>
          <w:tcPr>
            <w:tcW w:w="5596" w:type="dxa"/>
          </w:tcPr>
          <w:p w:rsidRPr="00302C47" w:rsidR="003F75A1" w:rsidRDefault="003F75A1" w14:paraId="3068353C" w14:textId="77777777"/>
        </w:tc>
      </w:tr>
      <w:tr w:rsidRPr="00302C47" w:rsidR="003F75A1" w14:paraId="30683540" w14:textId="77777777">
        <w:tc>
          <w:tcPr>
            <w:tcW w:w="3614" w:type="dxa"/>
            <w:tcBorders>
              <w:bottom w:val="single" w:color="auto" w:sz="4" w:space="0"/>
            </w:tcBorders>
          </w:tcPr>
          <w:p w:rsidRPr="00302C47" w:rsidR="003F75A1" w:rsidP="0090642E" w:rsidRDefault="003F75A1" w14:paraId="3068353E" w14:textId="5F9D8271">
            <w:r w:rsidRPr="00302C47">
              <w:t>Vergaderjaar 20</w:t>
            </w:r>
            <w:r w:rsidRPr="00302C47" w:rsidR="00D56ECC">
              <w:t>2</w:t>
            </w:r>
            <w:r w:rsidRPr="00302C47" w:rsidR="008356B7">
              <w:t>5</w:t>
            </w:r>
            <w:r w:rsidRPr="00302C47">
              <w:t>-20</w:t>
            </w:r>
            <w:r w:rsidRPr="00302C47" w:rsidR="00D56ECC">
              <w:t>2</w:t>
            </w:r>
            <w:r w:rsidRPr="00302C47" w:rsidR="008356B7">
              <w:t>6</w:t>
            </w:r>
          </w:p>
        </w:tc>
        <w:tc>
          <w:tcPr>
            <w:tcW w:w="5596" w:type="dxa"/>
            <w:tcBorders>
              <w:bottom w:val="single" w:color="auto" w:sz="4" w:space="0"/>
            </w:tcBorders>
          </w:tcPr>
          <w:p w:rsidRPr="00302C47" w:rsidR="003F75A1" w:rsidRDefault="003F75A1" w14:paraId="3068353F" w14:textId="77777777"/>
        </w:tc>
      </w:tr>
      <w:tr w:rsidRPr="00302C47" w:rsidR="003F75A1" w14:paraId="30683543" w14:textId="77777777">
        <w:tc>
          <w:tcPr>
            <w:tcW w:w="3614" w:type="dxa"/>
          </w:tcPr>
          <w:p w:rsidRPr="00302C47" w:rsidR="003F75A1" w:rsidRDefault="003F75A1" w14:paraId="30683541" w14:textId="77777777"/>
        </w:tc>
        <w:tc>
          <w:tcPr>
            <w:tcW w:w="5596" w:type="dxa"/>
          </w:tcPr>
          <w:p w:rsidRPr="00302C47" w:rsidR="003F75A1" w:rsidRDefault="003F75A1" w14:paraId="30683542" w14:textId="77777777"/>
        </w:tc>
      </w:tr>
      <w:tr w:rsidRPr="00302C47" w:rsidR="003F75A1" w14:paraId="30683546" w14:textId="77777777">
        <w:tc>
          <w:tcPr>
            <w:tcW w:w="3614" w:type="dxa"/>
          </w:tcPr>
          <w:p w:rsidRPr="00302C47" w:rsidR="003F75A1" w:rsidP="005D5A68" w:rsidRDefault="004C2CE1" w14:paraId="30683544" w14:textId="77777777">
            <w:pPr>
              <w:rPr>
                <w:b/>
              </w:rPr>
            </w:pPr>
            <w:r w:rsidRPr="00302C47">
              <w:rPr>
                <w:b/>
              </w:rPr>
              <w:t>22 112</w:t>
            </w:r>
          </w:p>
        </w:tc>
        <w:tc>
          <w:tcPr>
            <w:tcW w:w="5596" w:type="dxa"/>
          </w:tcPr>
          <w:p w:rsidRPr="00302C47" w:rsidR="003F75A1" w:rsidP="00CC5C03" w:rsidRDefault="004C2CE1" w14:paraId="30683545" w14:textId="77777777">
            <w:pPr>
              <w:rPr>
                <w:b/>
              </w:rPr>
            </w:pPr>
            <w:r w:rsidRPr="00302C47">
              <w:rPr>
                <w:b/>
              </w:rPr>
              <w:t>Nieuwe Commissievoorstellen en initiatieven van de lidstaten van de Europese Unie</w:t>
            </w:r>
          </w:p>
        </w:tc>
      </w:tr>
      <w:tr w:rsidRPr="00302C47" w:rsidR="003F75A1" w14:paraId="30683549" w14:textId="77777777">
        <w:tc>
          <w:tcPr>
            <w:tcW w:w="3614" w:type="dxa"/>
          </w:tcPr>
          <w:p w:rsidRPr="00302C47" w:rsidR="003F75A1" w:rsidRDefault="003F75A1" w14:paraId="30683547" w14:textId="77777777">
            <w:pPr>
              <w:rPr>
                <w:b/>
                <w:highlight w:val="yellow"/>
              </w:rPr>
            </w:pPr>
          </w:p>
        </w:tc>
        <w:tc>
          <w:tcPr>
            <w:tcW w:w="5596" w:type="dxa"/>
          </w:tcPr>
          <w:p w:rsidRPr="00302C47" w:rsidR="003F75A1" w:rsidRDefault="003F75A1" w14:paraId="30683548" w14:textId="77777777">
            <w:pPr>
              <w:rPr>
                <w:b/>
                <w:highlight w:val="yellow"/>
              </w:rPr>
            </w:pPr>
          </w:p>
        </w:tc>
      </w:tr>
      <w:tr w:rsidRPr="00302C47" w:rsidR="003F75A1" w14:paraId="3068354C" w14:textId="77777777">
        <w:tc>
          <w:tcPr>
            <w:tcW w:w="3614" w:type="dxa"/>
          </w:tcPr>
          <w:p w:rsidRPr="00302C47" w:rsidR="003F75A1" w:rsidRDefault="003F75A1" w14:paraId="3068354A" w14:textId="77777777"/>
        </w:tc>
        <w:tc>
          <w:tcPr>
            <w:tcW w:w="5596" w:type="dxa"/>
          </w:tcPr>
          <w:p w:rsidRPr="00302C47" w:rsidR="003F75A1" w:rsidRDefault="003F75A1" w14:paraId="3068354B" w14:textId="77777777"/>
        </w:tc>
      </w:tr>
      <w:tr w:rsidRPr="00302C47" w:rsidR="003F75A1" w14:paraId="3068354F" w14:textId="77777777">
        <w:tc>
          <w:tcPr>
            <w:tcW w:w="3614" w:type="dxa"/>
          </w:tcPr>
          <w:p w:rsidRPr="00302C47" w:rsidR="003F75A1" w:rsidRDefault="003F75A1" w14:paraId="3068354D" w14:textId="77777777"/>
        </w:tc>
        <w:tc>
          <w:tcPr>
            <w:tcW w:w="5596" w:type="dxa"/>
          </w:tcPr>
          <w:p w:rsidRPr="00302C47" w:rsidR="003F75A1" w:rsidRDefault="003F75A1" w14:paraId="3068354E" w14:textId="77777777"/>
        </w:tc>
      </w:tr>
      <w:tr w:rsidRPr="00302C47" w:rsidR="003F75A1" w14:paraId="30683552" w14:textId="77777777">
        <w:tc>
          <w:tcPr>
            <w:tcW w:w="3614" w:type="dxa"/>
          </w:tcPr>
          <w:p w:rsidRPr="00302C47" w:rsidR="003F75A1" w:rsidRDefault="003F75A1" w14:paraId="30683550" w14:textId="77777777">
            <w:pPr>
              <w:rPr>
                <w:b/>
              </w:rPr>
            </w:pPr>
            <w:r w:rsidRPr="00302C47">
              <w:rPr>
                <w:b/>
              </w:rPr>
              <w:t xml:space="preserve">Nr. </w:t>
            </w:r>
          </w:p>
        </w:tc>
        <w:tc>
          <w:tcPr>
            <w:tcW w:w="5596" w:type="dxa"/>
          </w:tcPr>
          <w:p w:rsidRPr="00302C47" w:rsidR="003F75A1" w:rsidRDefault="003F75A1" w14:paraId="30683551" w14:textId="77777777">
            <w:pPr>
              <w:pStyle w:val="Kop1"/>
            </w:pPr>
            <w:r w:rsidRPr="00302C47">
              <w:t>VERSLAG</w:t>
            </w:r>
            <w:r w:rsidRPr="00302C47" w:rsidR="00857C2B">
              <w:t xml:space="preserve"> VAN EEN SCHRIFTELIJK OVERLEG</w:t>
            </w:r>
          </w:p>
        </w:tc>
      </w:tr>
      <w:tr w:rsidRPr="00302C47" w:rsidR="003F75A1" w14:paraId="30683555" w14:textId="77777777">
        <w:tc>
          <w:tcPr>
            <w:tcW w:w="3614" w:type="dxa"/>
          </w:tcPr>
          <w:p w:rsidRPr="00302C47" w:rsidR="003F75A1" w:rsidRDefault="003F75A1" w14:paraId="30683553" w14:textId="77777777"/>
        </w:tc>
        <w:tc>
          <w:tcPr>
            <w:tcW w:w="5596" w:type="dxa"/>
          </w:tcPr>
          <w:p w:rsidRPr="00302C47" w:rsidR="003F75A1" w:rsidP="002B1F2E" w:rsidRDefault="003F75A1" w14:paraId="30683554" w14:textId="3EACB47A">
            <w:pPr>
              <w:pStyle w:val="Kop1"/>
              <w:rPr>
                <w:b w:val="0"/>
              </w:rPr>
            </w:pPr>
            <w:r w:rsidRPr="00302C47">
              <w:rPr>
                <w:b w:val="0"/>
              </w:rPr>
              <w:t xml:space="preserve">Vastgesteld </w:t>
            </w:r>
            <w:r w:rsidRPr="00302C47" w:rsidR="00B001E2">
              <w:rPr>
                <w:b w:val="0"/>
              </w:rPr>
              <w:t>…</w:t>
            </w:r>
            <w:r w:rsidRPr="00302C47" w:rsidR="00BE4FE2">
              <w:rPr>
                <w:b w:val="0"/>
              </w:rPr>
              <w:t xml:space="preserve"> 20</w:t>
            </w:r>
            <w:r w:rsidRPr="00302C47" w:rsidR="00D56ECC">
              <w:rPr>
                <w:b w:val="0"/>
              </w:rPr>
              <w:t>2</w:t>
            </w:r>
            <w:r w:rsidRPr="00302C47" w:rsidR="008356B7">
              <w:rPr>
                <w:b w:val="0"/>
              </w:rPr>
              <w:t>5</w:t>
            </w:r>
          </w:p>
        </w:tc>
      </w:tr>
      <w:tr w:rsidRPr="00302C47" w:rsidR="003F75A1" w14:paraId="30683558" w14:textId="77777777">
        <w:tc>
          <w:tcPr>
            <w:tcW w:w="3614" w:type="dxa"/>
          </w:tcPr>
          <w:p w:rsidRPr="00302C47" w:rsidR="003F75A1" w:rsidRDefault="003F75A1" w14:paraId="30683556" w14:textId="77777777"/>
        </w:tc>
        <w:tc>
          <w:tcPr>
            <w:tcW w:w="5596" w:type="dxa"/>
          </w:tcPr>
          <w:p w:rsidRPr="00302C47" w:rsidR="003F75A1" w:rsidRDefault="003F75A1" w14:paraId="30683557" w14:textId="77777777">
            <w:pPr>
              <w:pStyle w:val="Kop1"/>
            </w:pPr>
          </w:p>
        </w:tc>
      </w:tr>
      <w:tr w:rsidRPr="00302C47" w:rsidR="003F75A1" w14:paraId="30683564" w14:textId="77777777">
        <w:tc>
          <w:tcPr>
            <w:tcW w:w="3614" w:type="dxa"/>
          </w:tcPr>
          <w:p w:rsidRPr="00302C47" w:rsidR="003F75A1" w:rsidRDefault="003F75A1" w14:paraId="30683559" w14:textId="77777777"/>
        </w:tc>
        <w:tc>
          <w:tcPr>
            <w:tcW w:w="5596" w:type="dxa"/>
          </w:tcPr>
          <w:p w:rsidRPr="00302C47" w:rsidR="00543D58" w:rsidP="00543D58" w:rsidRDefault="00E019F9" w14:paraId="3068355A" w14:textId="07E76726">
            <w:r w:rsidRPr="00302C47">
              <w:t xml:space="preserve">De vaste commissie voor Financiën heeft </w:t>
            </w:r>
            <w:r w:rsidRPr="00302C47" w:rsidR="00C20EE5">
              <w:t xml:space="preserve">op </w:t>
            </w:r>
            <w:r w:rsidRPr="00302C47" w:rsidR="008356B7">
              <w:t>4 december</w:t>
            </w:r>
            <w:r w:rsidRPr="00302C47" w:rsidR="00543D58">
              <w:t xml:space="preserve"> </w:t>
            </w:r>
            <w:r w:rsidRPr="00302C47" w:rsidR="00BE4FE2">
              <w:t>20</w:t>
            </w:r>
            <w:r w:rsidRPr="00302C47" w:rsidR="00D56ECC">
              <w:t>2</w:t>
            </w:r>
            <w:r w:rsidRPr="00302C47" w:rsidR="00FA3710">
              <w:t>5</w:t>
            </w:r>
            <w:r w:rsidRPr="00302C47" w:rsidR="00C20EE5">
              <w:t xml:space="preserve"> </w:t>
            </w:r>
            <w:r w:rsidRPr="00302C47">
              <w:t xml:space="preserve">een aantal vragen en opmerkingen voorgelegd aan de </w:t>
            </w:r>
            <w:r w:rsidRPr="00302C47" w:rsidR="00543D58">
              <w:t xml:space="preserve">minister </w:t>
            </w:r>
            <w:r w:rsidRPr="00302C47" w:rsidR="00563865">
              <w:t xml:space="preserve">en staatssecretaris </w:t>
            </w:r>
            <w:r w:rsidRPr="00302C47">
              <w:t xml:space="preserve">van Financiën </w:t>
            </w:r>
            <w:r w:rsidRPr="00302C47" w:rsidR="00F5347D">
              <w:t xml:space="preserve">over </w:t>
            </w:r>
            <w:r w:rsidRPr="00302C47" w:rsidR="00543D58">
              <w:t xml:space="preserve">het door de minister van Buitenlandse Zaken op </w:t>
            </w:r>
            <w:r w:rsidRPr="00302C47" w:rsidR="008356B7">
              <w:t>7 november</w:t>
            </w:r>
            <w:r w:rsidRPr="00302C47" w:rsidR="004C2CE1">
              <w:t xml:space="preserve"> </w:t>
            </w:r>
            <w:r w:rsidRPr="00302C47" w:rsidR="00543D58">
              <w:t>20</w:t>
            </w:r>
            <w:r w:rsidRPr="00302C47" w:rsidR="00D56ECC">
              <w:t>2</w:t>
            </w:r>
            <w:r w:rsidRPr="00302C47" w:rsidR="00FA3710">
              <w:t>5</w:t>
            </w:r>
            <w:r w:rsidRPr="00302C47" w:rsidR="00543D58">
              <w:t xml:space="preserve"> toegezonden </w:t>
            </w:r>
            <w:r w:rsidRPr="00302C47" w:rsidR="00843853">
              <w:t>f</w:t>
            </w:r>
            <w:r w:rsidRPr="00302C47" w:rsidR="00543D58">
              <w:t>iche</w:t>
            </w:r>
            <w:r w:rsidRPr="00302C47" w:rsidR="004C2CE1">
              <w:t>s</w:t>
            </w:r>
            <w:r w:rsidRPr="00302C47" w:rsidR="00543D58">
              <w:t xml:space="preserve"> </w:t>
            </w:r>
            <w:r w:rsidRPr="00302C47" w:rsidR="00D26468">
              <w:t>op het beleidsterrein Financiën:</w:t>
            </w:r>
            <w:r w:rsidRPr="00302C47" w:rsidR="004C2CE1">
              <w:t xml:space="preserve"> </w:t>
            </w:r>
          </w:p>
          <w:p w:rsidRPr="00302C47" w:rsidR="004C2CE1" w:rsidP="004C2CE1" w:rsidRDefault="004C2CE1" w14:paraId="3068355B" w14:textId="77777777"/>
          <w:p w:rsidR="00543D58" w:rsidP="00543D58" w:rsidRDefault="00EE037F" w14:paraId="04FCC216" w14:textId="4515FB1B">
            <w:r w:rsidRPr="00EE037F">
              <w:t>Fiche: Mededeling financiële geletterdheid</w:t>
            </w:r>
            <w:r>
              <w:t xml:space="preserve"> (Kamerstuk 22112 nr. 4202)</w:t>
            </w:r>
          </w:p>
          <w:p w:rsidR="00EE037F" w:rsidP="00543D58" w:rsidRDefault="00EE037F" w14:paraId="2148BC05" w14:textId="77777777">
            <w:pPr>
              <w:rPr>
                <w:szCs w:val="22"/>
              </w:rPr>
            </w:pPr>
          </w:p>
          <w:p w:rsidR="00E14A5C" w:rsidP="00E14A5C" w:rsidRDefault="00D1464D" w14:paraId="429C7199" w14:textId="067975BE">
            <w:pPr>
              <w:pStyle w:val="Kop1"/>
              <w:rPr>
                <w:b w:val="0"/>
              </w:rPr>
            </w:pPr>
            <w:r w:rsidRPr="00302C47">
              <w:rPr>
                <w:b w:val="0"/>
              </w:rPr>
              <w:t>De minister van Financiën heeft deze vragen beantwoord bij brief van ….</w:t>
            </w:r>
          </w:p>
          <w:p w:rsidRPr="00302C47" w:rsidR="00E14A5C" w:rsidP="00E14A5C" w:rsidRDefault="00D1464D" w14:paraId="30683562" w14:textId="1A3F1F1C">
            <w:pPr>
              <w:pStyle w:val="Kop1"/>
              <w:rPr>
                <w:b w:val="0"/>
              </w:rPr>
            </w:pPr>
            <w:r w:rsidRPr="00302C47">
              <w:rPr>
                <w:b w:val="0"/>
              </w:rPr>
              <w:t xml:space="preserve"> </w:t>
            </w:r>
          </w:p>
          <w:p w:rsidRPr="00302C47" w:rsidR="003F75A1" w:rsidP="00E14A5C" w:rsidRDefault="00E019F9" w14:paraId="30683563" w14:textId="77777777">
            <w:pPr>
              <w:pStyle w:val="Kop1"/>
              <w:rPr>
                <w:b w:val="0"/>
              </w:rPr>
            </w:pPr>
            <w:r w:rsidRPr="00302C47">
              <w:rPr>
                <w:b w:val="0"/>
              </w:rPr>
              <w:t xml:space="preserve">Vragen en antwoorden zijn hierna afgedrukt. </w:t>
            </w:r>
          </w:p>
        </w:tc>
      </w:tr>
      <w:tr w:rsidRPr="00302C47" w:rsidR="003B7B12" w14:paraId="30683567" w14:textId="77777777">
        <w:tc>
          <w:tcPr>
            <w:tcW w:w="3614" w:type="dxa"/>
          </w:tcPr>
          <w:p w:rsidRPr="00302C47" w:rsidR="003B7B12" w:rsidRDefault="003B7B12" w14:paraId="30683565" w14:textId="77777777"/>
        </w:tc>
        <w:tc>
          <w:tcPr>
            <w:tcW w:w="5596" w:type="dxa"/>
          </w:tcPr>
          <w:p w:rsidRPr="00302C47" w:rsidR="003B7B12" w:rsidRDefault="003B7B12" w14:paraId="30683566" w14:textId="77777777">
            <w:pPr>
              <w:pStyle w:val="Kop1"/>
              <w:rPr>
                <w:b w:val="0"/>
              </w:rPr>
            </w:pPr>
          </w:p>
        </w:tc>
      </w:tr>
      <w:tr w:rsidRPr="00302C47" w:rsidR="003F75A1" w14:paraId="3068356B" w14:textId="77777777">
        <w:tc>
          <w:tcPr>
            <w:tcW w:w="3614" w:type="dxa"/>
          </w:tcPr>
          <w:p w:rsidRPr="00302C47" w:rsidR="003F75A1" w:rsidRDefault="003F75A1" w14:paraId="30683568" w14:textId="77777777"/>
        </w:tc>
        <w:tc>
          <w:tcPr>
            <w:tcW w:w="5596" w:type="dxa"/>
          </w:tcPr>
          <w:p w:rsidRPr="00302C47" w:rsidR="003F75A1" w:rsidRDefault="003F75A1" w14:paraId="30683569" w14:textId="46C1715C">
            <w:pPr>
              <w:pStyle w:val="Kop1"/>
              <w:rPr>
                <w:b w:val="0"/>
              </w:rPr>
            </w:pPr>
            <w:r w:rsidRPr="00302C47">
              <w:rPr>
                <w:b w:val="0"/>
              </w:rPr>
              <w:t xml:space="preserve">De </w:t>
            </w:r>
            <w:r w:rsidRPr="00302C47" w:rsidR="008356B7">
              <w:rPr>
                <w:b w:val="0"/>
              </w:rPr>
              <w:t>fungerend voorzitter</w:t>
            </w:r>
            <w:r w:rsidRPr="00302C47">
              <w:rPr>
                <w:b w:val="0"/>
              </w:rPr>
              <w:t xml:space="preserve"> van de commissie,</w:t>
            </w:r>
          </w:p>
          <w:p w:rsidRPr="00302C47" w:rsidR="00B450E9" w:rsidP="00B450E9" w:rsidRDefault="008356B7" w14:paraId="3068356A" w14:textId="17C6A431">
            <w:r w:rsidRPr="00302C47">
              <w:t>Van der Lee</w:t>
            </w:r>
          </w:p>
        </w:tc>
      </w:tr>
      <w:tr w:rsidRPr="00302C47" w:rsidR="003F75A1" w14:paraId="3068356E" w14:textId="77777777">
        <w:tc>
          <w:tcPr>
            <w:tcW w:w="3614" w:type="dxa"/>
          </w:tcPr>
          <w:p w:rsidRPr="00302C47" w:rsidR="003F75A1" w:rsidRDefault="003F75A1" w14:paraId="3068356C" w14:textId="77777777"/>
        </w:tc>
        <w:tc>
          <w:tcPr>
            <w:tcW w:w="5596" w:type="dxa"/>
          </w:tcPr>
          <w:p w:rsidRPr="00302C47" w:rsidR="003F75A1" w:rsidRDefault="003F75A1" w14:paraId="3068356D" w14:textId="77777777">
            <w:pPr>
              <w:pStyle w:val="Kop1"/>
              <w:rPr>
                <w:b w:val="0"/>
              </w:rPr>
            </w:pPr>
          </w:p>
        </w:tc>
      </w:tr>
      <w:tr w:rsidRPr="00302C47" w:rsidR="003F75A1" w14:paraId="30683573" w14:textId="77777777">
        <w:tc>
          <w:tcPr>
            <w:tcW w:w="3614" w:type="dxa"/>
          </w:tcPr>
          <w:p w:rsidRPr="00302C47" w:rsidR="003F75A1" w:rsidRDefault="003F75A1" w14:paraId="3068356F" w14:textId="77777777"/>
        </w:tc>
        <w:tc>
          <w:tcPr>
            <w:tcW w:w="5596" w:type="dxa"/>
          </w:tcPr>
          <w:p w:rsidRPr="00302C47" w:rsidR="003F75A1" w:rsidRDefault="003F75A1" w14:paraId="30683570" w14:textId="21C5F750">
            <w:pPr>
              <w:pStyle w:val="Kop1"/>
              <w:rPr>
                <w:b w:val="0"/>
              </w:rPr>
            </w:pPr>
            <w:r w:rsidRPr="00302C47">
              <w:rPr>
                <w:b w:val="0"/>
              </w:rPr>
              <w:t xml:space="preserve">De </w:t>
            </w:r>
            <w:r w:rsidR="00302C47">
              <w:rPr>
                <w:b w:val="0"/>
              </w:rPr>
              <w:t>adjunct-</w:t>
            </w:r>
            <w:r w:rsidRPr="00302C47">
              <w:rPr>
                <w:b w:val="0"/>
              </w:rPr>
              <w:t>griffier van de commissie,</w:t>
            </w:r>
          </w:p>
          <w:p w:rsidRPr="00302C47" w:rsidR="003F75A1" w:rsidRDefault="00302C47" w14:paraId="30683571" w14:textId="7F1DBC02">
            <w:r>
              <w:t>Van der Steur</w:t>
            </w:r>
          </w:p>
          <w:p w:rsidRPr="00302C47" w:rsidR="00843853" w:rsidRDefault="00843853" w14:paraId="30683572" w14:textId="77777777"/>
        </w:tc>
      </w:tr>
      <w:tr w:rsidRPr="00302C47" w:rsidR="00F474A2" w14:paraId="30683576" w14:textId="77777777">
        <w:tc>
          <w:tcPr>
            <w:tcW w:w="3614" w:type="dxa"/>
          </w:tcPr>
          <w:p w:rsidRPr="00302C47" w:rsidR="00F474A2" w:rsidRDefault="00F474A2" w14:paraId="30683574" w14:textId="77777777"/>
        </w:tc>
        <w:tc>
          <w:tcPr>
            <w:tcW w:w="5596" w:type="dxa"/>
          </w:tcPr>
          <w:p w:rsidRPr="00302C47" w:rsidR="00F474A2" w:rsidRDefault="00F474A2" w14:paraId="30683575" w14:textId="77777777">
            <w:pPr>
              <w:pStyle w:val="Kop1"/>
              <w:rPr>
                <w:b w:val="0"/>
              </w:rPr>
            </w:pPr>
          </w:p>
        </w:tc>
      </w:tr>
      <w:tr w:rsidRPr="00302C47" w:rsidR="00F474A2" w14:paraId="30683579" w14:textId="77777777">
        <w:tc>
          <w:tcPr>
            <w:tcW w:w="3614" w:type="dxa"/>
          </w:tcPr>
          <w:p w:rsidRPr="00302C47" w:rsidR="00F474A2" w:rsidRDefault="00F474A2" w14:paraId="30683577" w14:textId="77777777"/>
        </w:tc>
        <w:tc>
          <w:tcPr>
            <w:tcW w:w="5596" w:type="dxa"/>
          </w:tcPr>
          <w:p w:rsidRPr="00302C47" w:rsidR="00F474A2" w:rsidRDefault="00F474A2" w14:paraId="30683578" w14:textId="77777777">
            <w:pPr>
              <w:pStyle w:val="Kop1"/>
            </w:pPr>
            <w:r w:rsidRPr="00302C47">
              <w:t xml:space="preserve">I </w:t>
            </w:r>
            <w:r w:rsidRPr="00302C47">
              <w:tab/>
              <w:t>Vragen en opmerkingen vanuit de fracties</w:t>
            </w:r>
          </w:p>
        </w:tc>
      </w:tr>
      <w:tr w:rsidRPr="00302C47" w:rsidR="00F474A2" w14:paraId="3068357C" w14:textId="77777777">
        <w:tc>
          <w:tcPr>
            <w:tcW w:w="3614" w:type="dxa"/>
          </w:tcPr>
          <w:p w:rsidRPr="00302C47" w:rsidR="00F474A2" w:rsidRDefault="00F474A2" w14:paraId="3068357A" w14:textId="77777777"/>
        </w:tc>
        <w:tc>
          <w:tcPr>
            <w:tcW w:w="5596" w:type="dxa"/>
          </w:tcPr>
          <w:p w:rsidR="00F474A2" w:rsidRDefault="00F474A2" w14:paraId="6BF390EA" w14:textId="77777777">
            <w:pPr>
              <w:pStyle w:val="Kop1"/>
              <w:rPr>
                <w:b w:val="0"/>
              </w:rPr>
            </w:pPr>
          </w:p>
          <w:p w:rsidR="00302C47" w:rsidP="00302C47" w:rsidRDefault="00302C47" w14:paraId="21B70521" w14:textId="6F051B9A">
            <w:r w:rsidRPr="00302C47">
              <w:t xml:space="preserve">De leden van de </w:t>
            </w:r>
            <w:r>
              <w:t>PVV</w:t>
            </w:r>
            <w:r w:rsidR="005E3C01">
              <w:t>-</w:t>
            </w:r>
            <w:r w:rsidRPr="00302C47">
              <w:t>, VVD</w:t>
            </w:r>
            <w:r w:rsidR="005E3C01">
              <w:t>-</w:t>
            </w:r>
            <w:r w:rsidRPr="00302C47">
              <w:t xml:space="preserve">, </w:t>
            </w:r>
            <w:r>
              <w:t>CDA</w:t>
            </w:r>
            <w:r w:rsidR="005E3C01">
              <w:t>-</w:t>
            </w:r>
            <w:r w:rsidRPr="00302C47">
              <w:t xml:space="preserve"> en BBB</w:t>
            </w:r>
            <w:r w:rsidR="005E3C01">
              <w:t>-fracties</w:t>
            </w:r>
            <w:r w:rsidRPr="00302C47">
              <w:t xml:space="preserve"> hebben met belangstelling kennisgenomen van het fiche en hebben hierover enkele vragen.</w:t>
            </w:r>
          </w:p>
          <w:p w:rsidRPr="00302C47" w:rsidR="00302C47" w:rsidP="00302C47" w:rsidRDefault="00302C47" w14:paraId="3068357B" w14:textId="77777777"/>
        </w:tc>
      </w:tr>
      <w:tr w:rsidRPr="00302C47" w:rsidR="00F474A2" w14:paraId="30683592" w14:textId="77777777">
        <w:tc>
          <w:tcPr>
            <w:tcW w:w="3614" w:type="dxa"/>
          </w:tcPr>
          <w:p w:rsidRPr="00302C47" w:rsidR="00F474A2" w:rsidRDefault="00F474A2" w14:paraId="3068357D" w14:textId="77777777"/>
        </w:tc>
        <w:tc>
          <w:tcPr>
            <w:tcW w:w="5596" w:type="dxa"/>
          </w:tcPr>
          <w:p w:rsidRPr="00302C47" w:rsidR="00DB4DB0" w:rsidP="00DB4DB0" w:rsidRDefault="00DB4DB0" w14:paraId="3068357F" w14:textId="77777777">
            <w:pPr>
              <w:pStyle w:val="Geenafstand"/>
              <w:rPr>
                <w:rFonts w:ascii="Times New Roman" w:hAnsi="Times New Roman" w:eastAsia="Times New Roman"/>
                <w:b/>
                <w:szCs w:val="20"/>
                <w:lang w:eastAsia="nl-NL"/>
              </w:rPr>
            </w:pPr>
            <w:r w:rsidRPr="00302C47">
              <w:rPr>
                <w:rFonts w:ascii="Times New Roman" w:hAnsi="Times New Roman" w:eastAsia="Times New Roman"/>
                <w:b/>
                <w:szCs w:val="20"/>
                <w:lang w:eastAsia="nl-NL"/>
              </w:rPr>
              <w:t xml:space="preserve">Vragen en opmerkingen van de leden van de PVV-fractie </w:t>
            </w:r>
          </w:p>
          <w:p w:rsidRPr="00302C47" w:rsidR="00302C47" w:rsidP="00302C47" w:rsidRDefault="00302C47" w14:paraId="5E016157" w14:textId="77777777">
            <w:pPr>
              <w:pStyle w:val="Geenafstand"/>
              <w:rPr>
                <w:rFonts w:ascii="Times New Roman" w:hAnsi="Times New Roman" w:eastAsia="Times New Roman"/>
                <w:bCs/>
                <w:szCs w:val="20"/>
                <w:lang w:eastAsia="nl-NL"/>
              </w:rPr>
            </w:pPr>
          </w:p>
          <w:p w:rsidRPr="00302C47" w:rsidR="00302C47" w:rsidP="00302C47" w:rsidRDefault="00302C47" w14:paraId="76002430" w14:textId="6287A57A">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De</w:t>
            </w:r>
            <w:r w:rsidR="002B3047">
              <w:rPr>
                <w:rFonts w:ascii="Times New Roman" w:hAnsi="Times New Roman" w:eastAsia="Times New Roman"/>
                <w:bCs/>
                <w:szCs w:val="20"/>
                <w:lang w:eastAsia="nl-NL"/>
              </w:rPr>
              <w:t xml:space="preserve"> leden van de</w:t>
            </w:r>
            <w:r w:rsidRPr="00302C47">
              <w:rPr>
                <w:rFonts w:ascii="Times New Roman" w:hAnsi="Times New Roman" w:eastAsia="Times New Roman"/>
                <w:bCs/>
                <w:szCs w:val="20"/>
                <w:lang w:eastAsia="nl-NL"/>
              </w:rPr>
              <w:t xml:space="preserve"> PVV-fractie zet</w:t>
            </w:r>
            <w:r w:rsidR="002B3047">
              <w:rPr>
                <w:rFonts w:ascii="Times New Roman" w:hAnsi="Times New Roman" w:eastAsia="Times New Roman"/>
                <w:bCs/>
                <w:szCs w:val="20"/>
                <w:lang w:eastAsia="nl-NL"/>
              </w:rPr>
              <w:t>ten</w:t>
            </w:r>
            <w:r w:rsidRPr="00302C47">
              <w:rPr>
                <w:rFonts w:ascii="Times New Roman" w:hAnsi="Times New Roman" w:eastAsia="Times New Roman"/>
                <w:bCs/>
                <w:szCs w:val="20"/>
                <w:lang w:eastAsia="nl-NL"/>
              </w:rPr>
              <w:t xml:space="preserve"> zich altijd in om de bestuurlijke autonomie van Nederland in de Europese Unie te beschermen. </w:t>
            </w:r>
            <w:r w:rsidR="005E3C01">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vrezen dat </w:t>
            </w:r>
            <w:r w:rsidR="005E3C01">
              <w:rPr>
                <w:rFonts w:ascii="Times New Roman" w:hAnsi="Times New Roman" w:eastAsia="Times New Roman"/>
                <w:bCs/>
                <w:szCs w:val="20"/>
                <w:lang w:eastAsia="nl-NL"/>
              </w:rPr>
              <w:t>het voorliggende</w:t>
            </w:r>
            <w:r w:rsidRPr="00302C47">
              <w:rPr>
                <w:rFonts w:ascii="Times New Roman" w:hAnsi="Times New Roman" w:eastAsia="Times New Roman"/>
                <w:bCs/>
                <w:szCs w:val="20"/>
                <w:lang w:eastAsia="nl-NL"/>
              </w:rPr>
              <w:t xml:space="preserve"> voorstel een precedent kan scheppen om invloed uit te oefenen op het nationale onderwijsbeleid. Hoewel </w:t>
            </w:r>
            <w:r w:rsidR="002B3047">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het belang van financiële geletterdheid onderschrij</w:t>
            </w:r>
            <w:r w:rsidR="002B3047">
              <w:rPr>
                <w:rFonts w:ascii="Times New Roman" w:hAnsi="Times New Roman" w:eastAsia="Times New Roman"/>
                <w:bCs/>
                <w:szCs w:val="20"/>
                <w:lang w:eastAsia="nl-NL"/>
              </w:rPr>
              <w:t xml:space="preserve">ven </w:t>
            </w:r>
            <w:r w:rsidRPr="00302C47">
              <w:rPr>
                <w:rFonts w:ascii="Times New Roman" w:hAnsi="Times New Roman" w:eastAsia="Times New Roman"/>
                <w:bCs/>
                <w:szCs w:val="20"/>
                <w:lang w:eastAsia="nl-NL"/>
              </w:rPr>
              <w:t>en kennisn</w:t>
            </w:r>
            <w:r w:rsidR="002B3047">
              <w:rPr>
                <w:rFonts w:ascii="Times New Roman" w:hAnsi="Times New Roman" w:eastAsia="Times New Roman"/>
                <w:bCs/>
                <w:szCs w:val="20"/>
                <w:lang w:eastAsia="nl-NL"/>
              </w:rPr>
              <w:t>emen</w:t>
            </w:r>
            <w:r w:rsidRPr="00302C47">
              <w:rPr>
                <w:rFonts w:ascii="Times New Roman" w:hAnsi="Times New Roman" w:eastAsia="Times New Roman"/>
                <w:bCs/>
                <w:szCs w:val="20"/>
                <w:lang w:eastAsia="nl-NL"/>
              </w:rPr>
              <w:t xml:space="preserve"> van de geruststelling van de </w:t>
            </w:r>
            <w:r w:rsidR="005E3C01">
              <w:rPr>
                <w:rFonts w:ascii="Times New Roman" w:hAnsi="Times New Roman" w:eastAsia="Times New Roman"/>
                <w:bCs/>
                <w:szCs w:val="20"/>
                <w:lang w:eastAsia="nl-NL"/>
              </w:rPr>
              <w:t xml:space="preserve">Europese </w:t>
            </w:r>
            <w:r w:rsidRPr="00302C47">
              <w:rPr>
                <w:rFonts w:ascii="Times New Roman" w:hAnsi="Times New Roman" w:eastAsia="Times New Roman"/>
                <w:bCs/>
                <w:szCs w:val="20"/>
                <w:lang w:eastAsia="nl-NL"/>
              </w:rPr>
              <w:t xml:space="preserve">Commissie dat het integreren van financiële geletterdheid in het schoolcurriculum geen onderdeel van de strategie vormt, vragen </w:t>
            </w:r>
            <w:r w:rsidR="005E3C01">
              <w:rPr>
                <w:rFonts w:ascii="Times New Roman" w:hAnsi="Times New Roman" w:eastAsia="Times New Roman"/>
                <w:bCs/>
                <w:szCs w:val="20"/>
                <w:lang w:eastAsia="nl-NL"/>
              </w:rPr>
              <w:t>de</w:t>
            </w:r>
            <w:r w:rsidR="002B3047">
              <w:rPr>
                <w:rFonts w:ascii="Times New Roman" w:hAnsi="Times New Roman" w:eastAsia="Times New Roman"/>
                <w:bCs/>
                <w:szCs w:val="20"/>
                <w:lang w:eastAsia="nl-NL"/>
              </w:rPr>
              <w:t>ze</w:t>
            </w:r>
            <w:r w:rsidRPr="00302C47">
              <w:rPr>
                <w:rFonts w:ascii="Times New Roman" w:hAnsi="Times New Roman" w:eastAsia="Times New Roman"/>
                <w:bCs/>
                <w:szCs w:val="20"/>
                <w:lang w:eastAsia="nl-NL"/>
              </w:rPr>
              <w:t xml:space="preserve"> </w:t>
            </w:r>
            <w:r w:rsidR="005E3C01">
              <w:rPr>
                <w:rFonts w:ascii="Times New Roman" w:hAnsi="Times New Roman" w:eastAsia="Times New Roman"/>
                <w:bCs/>
                <w:szCs w:val="20"/>
                <w:lang w:eastAsia="nl-NL"/>
              </w:rPr>
              <w:t xml:space="preserve">leden het kabinet om </w:t>
            </w:r>
            <w:r w:rsidRPr="00302C47">
              <w:rPr>
                <w:rFonts w:ascii="Times New Roman" w:hAnsi="Times New Roman" w:eastAsia="Times New Roman"/>
                <w:bCs/>
                <w:szCs w:val="20"/>
                <w:lang w:eastAsia="nl-NL"/>
              </w:rPr>
              <w:t xml:space="preserve">te verduidelijken in hoeverre </w:t>
            </w:r>
            <w:r w:rsidR="005E3C01">
              <w:rPr>
                <w:rFonts w:ascii="Times New Roman" w:hAnsi="Times New Roman" w:eastAsia="Times New Roman"/>
                <w:bCs/>
                <w:szCs w:val="20"/>
                <w:lang w:eastAsia="nl-NL"/>
              </w:rPr>
              <w:t>het voorliggende</w:t>
            </w:r>
            <w:r w:rsidRPr="00302C47">
              <w:rPr>
                <w:rFonts w:ascii="Times New Roman" w:hAnsi="Times New Roman" w:eastAsia="Times New Roman"/>
                <w:bCs/>
                <w:szCs w:val="20"/>
                <w:lang w:eastAsia="nl-NL"/>
              </w:rPr>
              <w:t xml:space="preserve"> voorstel invloed heeft op de nationale beleidsruimte op onderwijsgebied.</w:t>
            </w:r>
          </w:p>
          <w:p w:rsidRPr="00302C47" w:rsidR="00302C47" w:rsidP="00302C47" w:rsidRDefault="00302C47" w14:paraId="7E79409E" w14:textId="77777777">
            <w:pPr>
              <w:pStyle w:val="Geenafstand"/>
              <w:rPr>
                <w:rFonts w:ascii="Times New Roman" w:hAnsi="Times New Roman" w:eastAsia="Times New Roman"/>
                <w:bCs/>
                <w:szCs w:val="20"/>
                <w:lang w:eastAsia="nl-NL"/>
              </w:rPr>
            </w:pPr>
          </w:p>
          <w:p w:rsidRPr="00302C47" w:rsidR="00302C47" w:rsidP="00302C47" w:rsidRDefault="00302C47" w14:paraId="0CB0DEEB" w14:textId="47DD63AD">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lastRenderedPageBreak/>
              <w:t xml:space="preserve">De leden van de PVV-fractie constateren dat </w:t>
            </w:r>
            <w:r w:rsidR="005E3C01">
              <w:rPr>
                <w:rFonts w:ascii="Times New Roman" w:hAnsi="Times New Roman" w:eastAsia="Times New Roman"/>
                <w:bCs/>
                <w:szCs w:val="20"/>
                <w:lang w:eastAsia="nl-NL"/>
              </w:rPr>
              <w:t>het kabinet</w:t>
            </w:r>
            <w:r w:rsidRPr="00302C47">
              <w:rPr>
                <w:rFonts w:ascii="Times New Roman" w:hAnsi="Times New Roman" w:eastAsia="Times New Roman"/>
                <w:bCs/>
                <w:szCs w:val="20"/>
                <w:lang w:eastAsia="nl-NL"/>
              </w:rPr>
              <w:t xml:space="preserve"> in zijn reactie op het voorstel meerdere voorbeelden noemt over hoe de Staat zich momenteel inzet voor het bevorderen van financiële geletterdheid.</w:t>
            </w:r>
            <w:r w:rsidR="005E3C01">
              <w:rPr>
                <w:rFonts w:ascii="Times New Roman" w:hAnsi="Times New Roman" w:eastAsia="Times New Roman"/>
                <w:bCs/>
                <w:szCs w:val="20"/>
                <w:lang w:eastAsia="nl-NL"/>
              </w:rPr>
              <w:t xml:space="preserve"> Deze leden</w:t>
            </w:r>
            <w:r w:rsidRPr="00302C47">
              <w:rPr>
                <w:rFonts w:ascii="Times New Roman" w:hAnsi="Times New Roman" w:eastAsia="Times New Roman"/>
                <w:bCs/>
                <w:szCs w:val="20"/>
                <w:lang w:eastAsia="nl-NL"/>
              </w:rPr>
              <w:t xml:space="preserve"> vragen </w:t>
            </w:r>
            <w:r w:rsidR="005E3C01">
              <w:rPr>
                <w:rFonts w:ascii="Times New Roman" w:hAnsi="Times New Roman" w:eastAsia="Times New Roman"/>
                <w:bCs/>
                <w:szCs w:val="20"/>
                <w:lang w:eastAsia="nl-NL"/>
              </w:rPr>
              <w:t>het kabinet om</w:t>
            </w:r>
            <w:r w:rsidRPr="00302C47">
              <w:rPr>
                <w:rFonts w:ascii="Times New Roman" w:hAnsi="Times New Roman" w:eastAsia="Times New Roman"/>
                <w:bCs/>
                <w:szCs w:val="20"/>
                <w:lang w:eastAsia="nl-NL"/>
              </w:rPr>
              <w:t xml:space="preserve"> uit te leggen wat </w:t>
            </w:r>
            <w:r w:rsidR="005E3C01">
              <w:rPr>
                <w:rFonts w:ascii="Times New Roman" w:hAnsi="Times New Roman" w:eastAsia="Times New Roman"/>
                <w:bCs/>
                <w:szCs w:val="20"/>
                <w:lang w:eastAsia="nl-NL"/>
              </w:rPr>
              <w:t>het voorliggende</w:t>
            </w:r>
            <w:r w:rsidRPr="00302C47">
              <w:rPr>
                <w:rFonts w:ascii="Times New Roman" w:hAnsi="Times New Roman" w:eastAsia="Times New Roman"/>
                <w:bCs/>
                <w:szCs w:val="20"/>
                <w:lang w:eastAsia="nl-NL"/>
              </w:rPr>
              <w:t xml:space="preserve"> voorstel concreet bijdraagt bovenop de vele initiatieven die er nu al zijn.</w:t>
            </w:r>
          </w:p>
          <w:p w:rsidRPr="00302C47" w:rsidR="00302C47" w:rsidP="00302C47" w:rsidRDefault="00302C47" w14:paraId="78649809" w14:textId="77777777">
            <w:pPr>
              <w:pStyle w:val="Geenafstand"/>
              <w:rPr>
                <w:rFonts w:ascii="Times New Roman" w:hAnsi="Times New Roman" w:eastAsia="Times New Roman"/>
                <w:bCs/>
                <w:szCs w:val="20"/>
                <w:lang w:eastAsia="nl-NL"/>
              </w:rPr>
            </w:pPr>
          </w:p>
          <w:p w:rsidRPr="00302C47" w:rsidR="00302C47" w:rsidP="00302C47" w:rsidRDefault="00302C47" w14:paraId="46299A17" w14:textId="3B235625">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De</w:t>
            </w:r>
            <w:r w:rsidR="002B3047">
              <w:rPr>
                <w:rFonts w:ascii="Times New Roman" w:hAnsi="Times New Roman" w:eastAsia="Times New Roman"/>
                <w:bCs/>
                <w:szCs w:val="20"/>
                <w:lang w:eastAsia="nl-NL"/>
              </w:rPr>
              <w:t>ze</w:t>
            </w:r>
            <w:r w:rsidRPr="00302C47">
              <w:rPr>
                <w:rFonts w:ascii="Times New Roman" w:hAnsi="Times New Roman" w:eastAsia="Times New Roman"/>
                <w:bCs/>
                <w:szCs w:val="20"/>
                <w:lang w:eastAsia="nl-NL"/>
              </w:rPr>
              <w:t xml:space="preserve"> leden vragen </w:t>
            </w:r>
            <w:r w:rsidR="00902A33">
              <w:rPr>
                <w:rFonts w:ascii="Times New Roman" w:hAnsi="Times New Roman" w:eastAsia="Times New Roman"/>
                <w:bCs/>
                <w:szCs w:val="20"/>
                <w:lang w:eastAsia="nl-NL"/>
              </w:rPr>
              <w:t>het kabinet</w:t>
            </w:r>
            <w:r w:rsidRPr="00302C47">
              <w:rPr>
                <w:rFonts w:ascii="Times New Roman" w:hAnsi="Times New Roman" w:eastAsia="Times New Roman"/>
                <w:bCs/>
                <w:szCs w:val="20"/>
                <w:lang w:eastAsia="nl-NL"/>
              </w:rPr>
              <w:t xml:space="preserve"> of h</w:t>
            </w:r>
            <w:r w:rsidR="00902A33">
              <w:rPr>
                <w:rFonts w:ascii="Times New Roman" w:hAnsi="Times New Roman" w:eastAsia="Times New Roman"/>
                <w:bCs/>
                <w:szCs w:val="20"/>
                <w:lang w:eastAsia="nl-NL"/>
              </w:rPr>
              <w:t>et kabinet</w:t>
            </w:r>
            <w:r w:rsidRPr="00302C47">
              <w:rPr>
                <w:rFonts w:ascii="Times New Roman" w:hAnsi="Times New Roman" w:eastAsia="Times New Roman"/>
                <w:bCs/>
                <w:szCs w:val="20"/>
                <w:lang w:eastAsia="nl-NL"/>
              </w:rPr>
              <w:t xml:space="preserve"> kan garanderen dat Nederland niet weer, als braafste jongetje van de klas, allerlei nationale koppen gaat introduceren om zo vorm te geven aan </w:t>
            </w:r>
            <w:r w:rsidR="00902A33">
              <w:rPr>
                <w:rFonts w:ascii="Times New Roman" w:hAnsi="Times New Roman" w:eastAsia="Times New Roman"/>
                <w:bCs/>
                <w:szCs w:val="20"/>
                <w:lang w:eastAsia="nl-NL"/>
              </w:rPr>
              <w:t>voorliggende</w:t>
            </w:r>
            <w:r w:rsidRPr="00302C47">
              <w:rPr>
                <w:rFonts w:ascii="Times New Roman" w:hAnsi="Times New Roman" w:eastAsia="Times New Roman"/>
                <w:bCs/>
                <w:szCs w:val="20"/>
                <w:lang w:eastAsia="nl-NL"/>
              </w:rPr>
              <w:t xml:space="preserve"> voorstel.</w:t>
            </w:r>
          </w:p>
          <w:p w:rsidRPr="00302C47" w:rsidR="00302C47" w:rsidP="00302C47" w:rsidRDefault="00302C47" w14:paraId="450931E8" w14:textId="77777777">
            <w:pPr>
              <w:pStyle w:val="Geenafstand"/>
              <w:rPr>
                <w:rFonts w:ascii="Times New Roman" w:hAnsi="Times New Roman" w:eastAsia="Times New Roman"/>
                <w:bCs/>
                <w:szCs w:val="20"/>
                <w:lang w:eastAsia="nl-NL"/>
              </w:rPr>
            </w:pPr>
          </w:p>
          <w:p w:rsidRPr="00302C47" w:rsidR="00302C47" w:rsidP="00302C47" w:rsidRDefault="00302C47" w14:paraId="75C80035" w14:textId="56E3417D">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Tot slot vragen de leden van de PVV-fractie of de uitvoering van </w:t>
            </w:r>
            <w:r w:rsidR="00902A33">
              <w:rPr>
                <w:rFonts w:ascii="Times New Roman" w:hAnsi="Times New Roman" w:eastAsia="Times New Roman"/>
                <w:bCs/>
                <w:szCs w:val="20"/>
                <w:lang w:eastAsia="nl-NL"/>
              </w:rPr>
              <w:t>het voorliggende</w:t>
            </w:r>
            <w:r w:rsidRPr="00302C47">
              <w:rPr>
                <w:rFonts w:ascii="Times New Roman" w:hAnsi="Times New Roman" w:eastAsia="Times New Roman"/>
                <w:bCs/>
                <w:szCs w:val="20"/>
                <w:lang w:eastAsia="nl-NL"/>
              </w:rPr>
              <w:t xml:space="preserve"> voorstel leidt tot kosten voor de Nederlandse belastingbetaler. </w:t>
            </w:r>
            <w:r w:rsidR="00902A33">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verzoeken </w:t>
            </w:r>
            <w:r w:rsidR="00902A33">
              <w:rPr>
                <w:rFonts w:ascii="Times New Roman" w:hAnsi="Times New Roman" w:eastAsia="Times New Roman"/>
                <w:bCs/>
                <w:szCs w:val="20"/>
                <w:lang w:eastAsia="nl-NL"/>
              </w:rPr>
              <w:t>het kabinet om</w:t>
            </w:r>
            <w:r w:rsidRPr="00302C47">
              <w:rPr>
                <w:rFonts w:ascii="Times New Roman" w:hAnsi="Times New Roman" w:eastAsia="Times New Roman"/>
                <w:bCs/>
                <w:szCs w:val="20"/>
                <w:lang w:eastAsia="nl-NL"/>
              </w:rPr>
              <w:t xml:space="preserve"> te verduidelijken welke kosten het voorstel met zich meebrengt.</w:t>
            </w:r>
          </w:p>
          <w:p w:rsidRPr="00302C47" w:rsidR="00302C47" w:rsidP="00BD24DE" w:rsidRDefault="00302C47" w14:paraId="30683580" w14:textId="77777777">
            <w:pPr>
              <w:pStyle w:val="Geenafstand"/>
              <w:rPr>
                <w:rFonts w:ascii="Times New Roman" w:hAnsi="Times New Roman" w:eastAsia="Times New Roman"/>
                <w:b/>
                <w:szCs w:val="20"/>
                <w:lang w:eastAsia="nl-NL"/>
              </w:rPr>
            </w:pPr>
          </w:p>
          <w:p w:rsidRPr="00302C47" w:rsidR="008356B7" w:rsidP="00BD24DE" w:rsidRDefault="008356B7" w14:paraId="11CAE327" w14:textId="0E2FFB08">
            <w:pPr>
              <w:pStyle w:val="Geenafstand"/>
              <w:rPr>
                <w:rFonts w:ascii="Times New Roman" w:hAnsi="Times New Roman" w:eastAsia="Times New Roman"/>
                <w:b/>
                <w:szCs w:val="20"/>
                <w:lang w:eastAsia="nl-NL"/>
              </w:rPr>
            </w:pPr>
            <w:r w:rsidRPr="00302C47">
              <w:rPr>
                <w:rFonts w:ascii="Times New Roman" w:hAnsi="Times New Roman" w:eastAsia="Times New Roman"/>
                <w:b/>
                <w:szCs w:val="20"/>
                <w:lang w:eastAsia="nl-NL"/>
              </w:rPr>
              <w:t>Vragen en opmerkingen van de leden van de VVD-fractie</w:t>
            </w:r>
          </w:p>
          <w:p w:rsidR="008356B7" w:rsidP="00BD24DE" w:rsidRDefault="008356B7" w14:paraId="570A5976" w14:textId="77777777">
            <w:pPr>
              <w:pStyle w:val="Geenafstand"/>
              <w:rPr>
                <w:rFonts w:ascii="Times New Roman" w:hAnsi="Times New Roman" w:eastAsia="Times New Roman"/>
                <w:b/>
                <w:szCs w:val="20"/>
                <w:lang w:eastAsia="nl-NL"/>
              </w:rPr>
            </w:pPr>
          </w:p>
          <w:p w:rsidR="00302C47" w:rsidP="00302C47" w:rsidRDefault="00302C47" w14:paraId="1FD5FE85" w14:textId="030D4AAB">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De leden van de </w:t>
            </w:r>
            <w:r w:rsidR="002B3047">
              <w:rPr>
                <w:rFonts w:ascii="Times New Roman" w:hAnsi="Times New Roman" w:eastAsia="Times New Roman"/>
                <w:bCs/>
                <w:szCs w:val="20"/>
                <w:lang w:eastAsia="nl-NL"/>
              </w:rPr>
              <w:t>VVD-</w:t>
            </w:r>
            <w:r w:rsidRPr="00302C47">
              <w:rPr>
                <w:rFonts w:ascii="Times New Roman" w:hAnsi="Times New Roman" w:eastAsia="Times New Roman"/>
                <w:bCs/>
                <w:szCs w:val="20"/>
                <w:lang w:eastAsia="nl-NL"/>
              </w:rPr>
              <w:t xml:space="preserve">fractie zijn voorstander van het </w:t>
            </w:r>
            <w:r w:rsidRPr="00302C47" w:rsidR="002B3047">
              <w:rPr>
                <w:rFonts w:ascii="Times New Roman" w:hAnsi="Times New Roman" w:eastAsia="Times New Roman"/>
                <w:bCs/>
                <w:szCs w:val="20"/>
                <w:lang w:eastAsia="nl-NL"/>
              </w:rPr>
              <w:t xml:space="preserve">waar opportuun </w:t>
            </w:r>
            <w:r w:rsidRPr="00302C47">
              <w:rPr>
                <w:rFonts w:ascii="Times New Roman" w:hAnsi="Times New Roman" w:eastAsia="Times New Roman"/>
                <w:bCs/>
                <w:szCs w:val="20"/>
                <w:lang w:eastAsia="nl-NL"/>
              </w:rPr>
              <w:t xml:space="preserve">gelijktrekken van regels tussen Europese lidstaten om zo te komen tot een diepere kapitaalmarkt. Nederlandse bedrijven, zeker </w:t>
            </w:r>
            <w:proofErr w:type="spellStart"/>
            <w:r w:rsidRPr="00302C47">
              <w:rPr>
                <w:rFonts w:ascii="Times New Roman" w:hAnsi="Times New Roman" w:eastAsia="Times New Roman"/>
                <w:bCs/>
                <w:szCs w:val="20"/>
                <w:lang w:eastAsia="nl-NL"/>
              </w:rPr>
              <w:t>scale</w:t>
            </w:r>
            <w:proofErr w:type="spellEnd"/>
            <w:r w:rsidRPr="00302C47">
              <w:rPr>
                <w:rFonts w:ascii="Times New Roman" w:hAnsi="Times New Roman" w:eastAsia="Times New Roman"/>
                <w:bCs/>
                <w:szCs w:val="20"/>
                <w:lang w:eastAsia="nl-NL"/>
              </w:rPr>
              <w:t>-ups, hebben moeite om aan financiering te komen, waardoor de groei van deze bedrijven stokt. Dit zet onze economische groei en daarmee onze welvaart onder druk</w:t>
            </w:r>
            <w:r w:rsidR="002B3047">
              <w:rPr>
                <w:rFonts w:ascii="Times New Roman" w:hAnsi="Times New Roman" w:eastAsia="Times New Roman"/>
                <w:bCs/>
                <w:szCs w:val="20"/>
                <w:lang w:eastAsia="nl-NL"/>
              </w:rPr>
              <w:t>; z</w:t>
            </w:r>
            <w:r w:rsidRPr="00302C47">
              <w:rPr>
                <w:rFonts w:ascii="Times New Roman" w:hAnsi="Times New Roman" w:eastAsia="Times New Roman"/>
                <w:bCs/>
                <w:szCs w:val="20"/>
                <w:lang w:eastAsia="nl-NL"/>
              </w:rPr>
              <w:t>onder florerende bedrijven, ook geen goedbetaalde banen</w:t>
            </w:r>
            <w:r w:rsidR="00257798">
              <w:rPr>
                <w:rFonts w:ascii="Times New Roman" w:hAnsi="Times New Roman" w:eastAsia="Times New Roman"/>
                <w:bCs/>
                <w:szCs w:val="20"/>
                <w:lang w:eastAsia="nl-NL"/>
              </w:rPr>
              <w:t>, zo merken deze leden op</w:t>
            </w:r>
            <w:r w:rsidRPr="00302C47">
              <w:rPr>
                <w:rFonts w:ascii="Times New Roman" w:hAnsi="Times New Roman" w:eastAsia="Times New Roman"/>
                <w:bCs/>
                <w:szCs w:val="20"/>
                <w:lang w:eastAsia="nl-NL"/>
              </w:rPr>
              <w:t xml:space="preserve">. Het is daarom nodig om een been bij te trekken </w:t>
            </w:r>
            <w:r w:rsidR="002B3047">
              <w:rPr>
                <w:rFonts w:ascii="Times New Roman" w:hAnsi="Times New Roman" w:eastAsia="Times New Roman"/>
                <w:bCs/>
                <w:szCs w:val="20"/>
                <w:lang w:eastAsia="nl-NL"/>
              </w:rPr>
              <w:t>en</w:t>
            </w:r>
            <w:r w:rsidRPr="00302C47">
              <w:rPr>
                <w:rFonts w:ascii="Times New Roman" w:hAnsi="Times New Roman" w:eastAsia="Times New Roman"/>
                <w:bCs/>
                <w:szCs w:val="20"/>
                <w:lang w:eastAsia="nl-NL"/>
              </w:rPr>
              <w:t xml:space="preserve"> het bevorderen van financiële geletterdheid kan bijdragen aan een beter functionerende kapitaalmarkt, </w:t>
            </w:r>
            <w:r w:rsidR="002B3047">
              <w:rPr>
                <w:rFonts w:ascii="Times New Roman" w:hAnsi="Times New Roman" w:eastAsia="Times New Roman"/>
                <w:bCs/>
                <w:szCs w:val="20"/>
                <w:lang w:eastAsia="nl-NL"/>
              </w:rPr>
              <w:t xml:space="preserve">zo </w:t>
            </w:r>
            <w:r w:rsidRPr="00302C47">
              <w:rPr>
                <w:rFonts w:ascii="Times New Roman" w:hAnsi="Times New Roman" w:eastAsia="Times New Roman"/>
                <w:bCs/>
                <w:szCs w:val="20"/>
                <w:lang w:eastAsia="nl-NL"/>
              </w:rPr>
              <w:t xml:space="preserve">menen </w:t>
            </w:r>
            <w:r w:rsidR="00257798">
              <w:rPr>
                <w:rFonts w:ascii="Times New Roman" w:hAnsi="Times New Roman" w:eastAsia="Times New Roman"/>
                <w:bCs/>
                <w:szCs w:val="20"/>
                <w:lang w:eastAsia="nl-NL"/>
              </w:rPr>
              <w:t>de</w:t>
            </w:r>
            <w:r w:rsidR="002B3047">
              <w:rPr>
                <w:rFonts w:ascii="Times New Roman" w:hAnsi="Times New Roman" w:eastAsia="Times New Roman"/>
                <w:bCs/>
                <w:szCs w:val="20"/>
                <w:lang w:eastAsia="nl-NL"/>
              </w:rPr>
              <w:t>ze</w:t>
            </w:r>
            <w:r w:rsidR="00257798">
              <w:rPr>
                <w:rFonts w:ascii="Times New Roman" w:hAnsi="Times New Roman" w:eastAsia="Times New Roman"/>
                <w:bCs/>
                <w:szCs w:val="20"/>
                <w:lang w:eastAsia="nl-NL"/>
              </w:rPr>
              <w:t xml:space="preserve"> leden</w:t>
            </w:r>
            <w:r w:rsidRPr="00302C47">
              <w:rPr>
                <w:rFonts w:ascii="Times New Roman" w:hAnsi="Times New Roman" w:eastAsia="Times New Roman"/>
                <w:bCs/>
                <w:szCs w:val="20"/>
                <w:lang w:eastAsia="nl-NL"/>
              </w:rPr>
              <w:t xml:space="preserve">. </w:t>
            </w:r>
          </w:p>
          <w:p w:rsidR="00302C47" w:rsidP="00302C47" w:rsidRDefault="00302C47" w14:paraId="4F97F8D3" w14:textId="77777777">
            <w:pPr>
              <w:pStyle w:val="Geenafstand"/>
              <w:rPr>
                <w:rFonts w:ascii="Times New Roman" w:hAnsi="Times New Roman" w:eastAsia="Times New Roman"/>
                <w:bCs/>
                <w:szCs w:val="20"/>
                <w:lang w:eastAsia="nl-NL"/>
              </w:rPr>
            </w:pPr>
          </w:p>
          <w:p w:rsidRPr="002B3047" w:rsidR="00302C47" w:rsidP="00302C47" w:rsidRDefault="00302C47" w14:paraId="6FE38B35" w14:textId="6F92035D">
            <w:pPr>
              <w:pStyle w:val="Geenafstand"/>
              <w:rPr>
                <w:rFonts w:ascii="Times New Roman" w:hAnsi="Times New Roman" w:eastAsia="Times New Roman"/>
                <w:bCs/>
                <w:i/>
                <w:iCs/>
                <w:szCs w:val="20"/>
                <w:lang w:eastAsia="nl-NL"/>
              </w:rPr>
            </w:pPr>
            <w:r w:rsidRPr="002B3047">
              <w:rPr>
                <w:rFonts w:ascii="Times New Roman" w:hAnsi="Times New Roman" w:eastAsia="Times New Roman"/>
                <w:bCs/>
                <w:i/>
                <w:iCs/>
                <w:szCs w:val="20"/>
                <w:lang w:eastAsia="nl-NL"/>
              </w:rPr>
              <w:t>Subsidiariteit</w:t>
            </w:r>
          </w:p>
          <w:p w:rsidR="00302C47" w:rsidP="00302C47" w:rsidRDefault="00302C47" w14:paraId="07605F87" w14:textId="5C636DA8">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De</w:t>
            </w:r>
            <w:r w:rsidR="002B3047">
              <w:rPr>
                <w:rFonts w:ascii="Times New Roman" w:hAnsi="Times New Roman" w:eastAsia="Times New Roman"/>
                <w:bCs/>
                <w:szCs w:val="20"/>
                <w:lang w:eastAsia="nl-NL"/>
              </w:rPr>
              <w:t>ze</w:t>
            </w:r>
            <w:r w:rsidRPr="00302C47">
              <w:rPr>
                <w:rFonts w:ascii="Times New Roman" w:hAnsi="Times New Roman" w:eastAsia="Times New Roman"/>
                <w:bCs/>
                <w:szCs w:val="20"/>
                <w:lang w:eastAsia="nl-NL"/>
              </w:rPr>
              <w:t xml:space="preserve"> leden zijn echter onvoldoende overtuigd van de subsidiariteit van het plan voor financiële geletterdheid van de Europese Commissie. </w:t>
            </w:r>
            <w:r w:rsidR="00257798">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lezen dat het </w:t>
            </w:r>
            <w:r w:rsidR="002B3047">
              <w:rPr>
                <w:rFonts w:ascii="Times New Roman" w:hAnsi="Times New Roman" w:eastAsia="Times New Roman"/>
                <w:bCs/>
                <w:szCs w:val="20"/>
                <w:lang w:eastAsia="nl-NL"/>
              </w:rPr>
              <w:t>k</w:t>
            </w:r>
            <w:r w:rsidRPr="00302C47">
              <w:rPr>
                <w:rFonts w:ascii="Times New Roman" w:hAnsi="Times New Roman" w:eastAsia="Times New Roman"/>
                <w:bCs/>
                <w:szCs w:val="20"/>
                <w:lang w:eastAsia="nl-NL"/>
              </w:rPr>
              <w:t xml:space="preserve">abinet de subsidiariteit rechtvaardigt omwille van het ‘grensoverschrijdende karakter van het vrij verkeer van kapitaal en betalingen’. Deze leden vinden dit een ontoereikende toelichting op het subsidiariteitsbeginsel en ontvangen graag een uitgebreidere toelichting van het </w:t>
            </w:r>
            <w:r w:rsidR="002B3047">
              <w:rPr>
                <w:rFonts w:ascii="Times New Roman" w:hAnsi="Times New Roman" w:eastAsia="Times New Roman"/>
                <w:bCs/>
                <w:szCs w:val="20"/>
                <w:lang w:eastAsia="nl-NL"/>
              </w:rPr>
              <w:t>k</w:t>
            </w:r>
            <w:r w:rsidRPr="00302C47">
              <w:rPr>
                <w:rFonts w:ascii="Times New Roman" w:hAnsi="Times New Roman" w:eastAsia="Times New Roman"/>
                <w:bCs/>
                <w:szCs w:val="20"/>
                <w:lang w:eastAsia="nl-NL"/>
              </w:rPr>
              <w:t xml:space="preserve">abinet. Het bevorderen van financiële geletterdheid is belangrijk, maar dit kan ook op nationaal niveau gebeuren, zo menen </w:t>
            </w:r>
            <w:r w:rsidR="00257798">
              <w:rPr>
                <w:rFonts w:ascii="Times New Roman" w:hAnsi="Times New Roman" w:eastAsia="Times New Roman"/>
                <w:bCs/>
                <w:szCs w:val="20"/>
                <w:lang w:eastAsia="nl-NL"/>
              </w:rPr>
              <w:t>de</w:t>
            </w:r>
            <w:r w:rsidR="002B3047">
              <w:rPr>
                <w:rFonts w:ascii="Times New Roman" w:hAnsi="Times New Roman" w:eastAsia="Times New Roman"/>
                <w:bCs/>
                <w:szCs w:val="20"/>
                <w:lang w:eastAsia="nl-NL"/>
              </w:rPr>
              <w:t>ze</w:t>
            </w:r>
            <w:r w:rsidR="00257798">
              <w:rPr>
                <w:rFonts w:ascii="Times New Roman" w:hAnsi="Times New Roman" w:eastAsia="Times New Roman"/>
                <w:bCs/>
                <w:szCs w:val="20"/>
                <w:lang w:eastAsia="nl-NL"/>
              </w:rPr>
              <w:t xml:space="preserve"> leden</w:t>
            </w:r>
            <w:r w:rsidRPr="00302C47">
              <w:rPr>
                <w:rFonts w:ascii="Times New Roman" w:hAnsi="Times New Roman" w:eastAsia="Times New Roman"/>
                <w:bCs/>
                <w:szCs w:val="20"/>
                <w:lang w:eastAsia="nl-NL"/>
              </w:rPr>
              <w:t xml:space="preserve">. </w:t>
            </w:r>
            <w:r w:rsidR="002B3047">
              <w:rPr>
                <w:rFonts w:ascii="Times New Roman" w:hAnsi="Times New Roman" w:eastAsia="Times New Roman"/>
                <w:bCs/>
                <w:szCs w:val="20"/>
                <w:lang w:eastAsia="nl-NL"/>
              </w:rPr>
              <w:t>D</w:t>
            </w:r>
            <w:r w:rsidRPr="00302C47" w:rsidR="002B3047">
              <w:rPr>
                <w:rFonts w:ascii="Times New Roman" w:hAnsi="Times New Roman" w:eastAsia="Times New Roman"/>
                <w:bCs/>
                <w:szCs w:val="20"/>
                <w:lang w:eastAsia="nl-NL"/>
              </w:rPr>
              <w:t xml:space="preserve">eze leden </w:t>
            </w:r>
            <w:r w:rsidR="002B3047">
              <w:rPr>
                <w:rFonts w:ascii="Times New Roman" w:hAnsi="Times New Roman" w:eastAsia="Times New Roman"/>
                <w:bCs/>
                <w:szCs w:val="20"/>
                <w:lang w:eastAsia="nl-NL"/>
              </w:rPr>
              <w:t xml:space="preserve">zijn </w:t>
            </w:r>
            <w:r w:rsidRPr="00302C47" w:rsidR="002B3047">
              <w:rPr>
                <w:rFonts w:ascii="Times New Roman" w:hAnsi="Times New Roman" w:eastAsia="Times New Roman"/>
                <w:bCs/>
                <w:szCs w:val="20"/>
                <w:lang w:eastAsia="nl-NL"/>
              </w:rPr>
              <w:t xml:space="preserve">nog onvoldoende overtuigd van de subsidiariteit </w:t>
            </w:r>
            <w:r w:rsidRPr="00302C47">
              <w:rPr>
                <w:rFonts w:ascii="Times New Roman" w:hAnsi="Times New Roman" w:eastAsia="Times New Roman"/>
                <w:bCs/>
                <w:szCs w:val="20"/>
                <w:lang w:eastAsia="nl-NL"/>
              </w:rPr>
              <w:t xml:space="preserve">voor </w:t>
            </w:r>
            <w:r w:rsidR="002B3047">
              <w:rPr>
                <w:rFonts w:ascii="Times New Roman" w:hAnsi="Times New Roman" w:eastAsia="Times New Roman"/>
                <w:bCs/>
                <w:szCs w:val="20"/>
                <w:lang w:eastAsia="nl-NL"/>
              </w:rPr>
              <w:t xml:space="preserve">bijvoorbeeld </w:t>
            </w:r>
            <w:r w:rsidRPr="00302C47">
              <w:rPr>
                <w:rFonts w:ascii="Times New Roman" w:hAnsi="Times New Roman" w:eastAsia="Times New Roman"/>
                <w:bCs/>
                <w:szCs w:val="20"/>
                <w:lang w:eastAsia="nl-NL"/>
              </w:rPr>
              <w:t>het plan voor een EU-brede campagne voor financiële geletterdheid en het opzetten van een website voor een overzicht van financieringsmogelijkheden voor onderzoek naar financiële geletterdheid</w:t>
            </w:r>
            <w:r w:rsidR="002B3047">
              <w:rPr>
                <w:rFonts w:ascii="Times New Roman" w:hAnsi="Times New Roman" w:eastAsia="Times New Roman"/>
                <w:bCs/>
                <w:szCs w:val="20"/>
                <w:lang w:eastAsia="nl-NL"/>
              </w:rPr>
              <w:t>.</w:t>
            </w:r>
          </w:p>
          <w:p w:rsidRPr="00302C47" w:rsidR="00302C47" w:rsidP="00302C47" w:rsidRDefault="00302C47" w14:paraId="4F2764EC" w14:textId="77777777">
            <w:pPr>
              <w:pStyle w:val="Geenafstand"/>
              <w:rPr>
                <w:rFonts w:ascii="Times New Roman" w:hAnsi="Times New Roman" w:eastAsia="Times New Roman"/>
                <w:bCs/>
                <w:szCs w:val="20"/>
                <w:lang w:eastAsia="nl-NL"/>
              </w:rPr>
            </w:pPr>
          </w:p>
          <w:p w:rsidRPr="002B3047" w:rsidR="00302C47" w:rsidP="00302C47" w:rsidRDefault="00302C47" w14:paraId="173D677B" w14:textId="77777777">
            <w:pPr>
              <w:pStyle w:val="Geenafstand"/>
              <w:rPr>
                <w:rFonts w:ascii="Times New Roman" w:hAnsi="Times New Roman" w:eastAsia="Times New Roman"/>
                <w:bCs/>
                <w:i/>
                <w:iCs/>
                <w:szCs w:val="20"/>
                <w:lang w:eastAsia="nl-NL"/>
              </w:rPr>
            </w:pPr>
            <w:r w:rsidRPr="002B3047">
              <w:rPr>
                <w:rFonts w:ascii="Times New Roman" w:hAnsi="Times New Roman" w:eastAsia="Times New Roman"/>
                <w:bCs/>
                <w:i/>
                <w:iCs/>
                <w:szCs w:val="20"/>
                <w:lang w:eastAsia="nl-NL"/>
              </w:rPr>
              <w:t>Zweden</w:t>
            </w:r>
          </w:p>
          <w:p w:rsidRPr="00302C47" w:rsidR="00302C47" w:rsidP="00302C47" w:rsidRDefault="00302C47" w14:paraId="185EB640" w14:textId="29CB52F3">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De leden van de</w:t>
            </w:r>
            <w:r w:rsidR="002B3047">
              <w:rPr>
                <w:rFonts w:ascii="Times New Roman" w:hAnsi="Times New Roman" w:eastAsia="Times New Roman"/>
                <w:bCs/>
                <w:szCs w:val="20"/>
                <w:lang w:eastAsia="nl-NL"/>
              </w:rPr>
              <w:t xml:space="preserve"> VVD-</w:t>
            </w:r>
            <w:r w:rsidRPr="00302C47">
              <w:rPr>
                <w:rFonts w:ascii="Times New Roman" w:hAnsi="Times New Roman" w:eastAsia="Times New Roman"/>
                <w:bCs/>
                <w:szCs w:val="20"/>
                <w:lang w:eastAsia="nl-NL"/>
              </w:rPr>
              <w:t>fractie zien tegelijkertijd meerwaarde in het delen van best</w:t>
            </w:r>
            <w:r w:rsidR="0058662D">
              <w:rPr>
                <w:rFonts w:ascii="Times New Roman" w:hAnsi="Times New Roman" w:eastAsia="Times New Roman"/>
                <w:bCs/>
                <w:szCs w:val="20"/>
                <w:lang w:eastAsia="nl-NL"/>
              </w:rPr>
              <w:t xml:space="preserve"> </w:t>
            </w:r>
            <w:proofErr w:type="spellStart"/>
            <w:r w:rsidRPr="00302C47">
              <w:rPr>
                <w:rFonts w:ascii="Times New Roman" w:hAnsi="Times New Roman" w:eastAsia="Times New Roman"/>
                <w:bCs/>
                <w:szCs w:val="20"/>
                <w:lang w:eastAsia="nl-NL"/>
              </w:rPr>
              <w:t>practices</w:t>
            </w:r>
            <w:proofErr w:type="spellEnd"/>
            <w:r w:rsidRPr="00302C47">
              <w:rPr>
                <w:rFonts w:ascii="Times New Roman" w:hAnsi="Times New Roman" w:eastAsia="Times New Roman"/>
                <w:bCs/>
                <w:szCs w:val="20"/>
                <w:lang w:eastAsia="nl-NL"/>
              </w:rPr>
              <w:t xml:space="preserve"> voor financiële geletterdheid tussen lidstaten, zoals opgenomen in de plannen van de Europese Commissie. Deze leden denken dat Nederland een </w:t>
            </w:r>
            <w:r w:rsidRPr="00302C47">
              <w:rPr>
                <w:rFonts w:ascii="Times New Roman" w:hAnsi="Times New Roman" w:eastAsia="Times New Roman"/>
                <w:bCs/>
                <w:szCs w:val="20"/>
                <w:lang w:eastAsia="nl-NL"/>
              </w:rPr>
              <w:lastRenderedPageBreak/>
              <w:t xml:space="preserve">hoop kan leren van Zweden, waar reeds een veel diepere nationale kapitaalmarkt is. </w:t>
            </w:r>
            <w:r w:rsidR="00257798">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zijn blij </w:t>
            </w:r>
            <w:r w:rsidR="00257798">
              <w:rPr>
                <w:rFonts w:ascii="Times New Roman" w:hAnsi="Times New Roman" w:eastAsia="Times New Roman"/>
                <w:bCs/>
                <w:szCs w:val="20"/>
                <w:lang w:eastAsia="nl-NL"/>
              </w:rPr>
              <w:t xml:space="preserve">om </w:t>
            </w:r>
            <w:r w:rsidRPr="00302C47">
              <w:rPr>
                <w:rFonts w:ascii="Times New Roman" w:hAnsi="Times New Roman" w:eastAsia="Times New Roman"/>
                <w:bCs/>
                <w:szCs w:val="20"/>
                <w:lang w:eastAsia="nl-NL"/>
              </w:rPr>
              <w:t xml:space="preserve">te lezen dat het </w:t>
            </w:r>
            <w:r w:rsidR="0058662D">
              <w:rPr>
                <w:rFonts w:ascii="Times New Roman" w:hAnsi="Times New Roman" w:eastAsia="Times New Roman"/>
                <w:bCs/>
                <w:szCs w:val="20"/>
                <w:lang w:eastAsia="nl-NL"/>
              </w:rPr>
              <w:t>k</w:t>
            </w:r>
            <w:r w:rsidRPr="00302C47">
              <w:rPr>
                <w:rFonts w:ascii="Times New Roman" w:hAnsi="Times New Roman" w:eastAsia="Times New Roman"/>
                <w:bCs/>
                <w:szCs w:val="20"/>
                <w:lang w:eastAsia="nl-NL"/>
              </w:rPr>
              <w:t xml:space="preserve">abinet in de geannoteerde agenda Zweden expliciet als voorbeeld noemt voor Nederland. Welke mogelijkheden tot het overnemen van effectieve maatregelen uit Zweden ziet het </w:t>
            </w:r>
            <w:r w:rsidR="0058662D">
              <w:rPr>
                <w:rFonts w:ascii="Times New Roman" w:hAnsi="Times New Roman" w:eastAsia="Times New Roman"/>
                <w:bCs/>
                <w:szCs w:val="20"/>
                <w:lang w:eastAsia="nl-NL"/>
              </w:rPr>
              <w:t>k</w:t>
            </w:r>
            <w:r w:rsidRPr="00302C47">
              <w:rPr>
                <w:rFonts w:ascii="Times New Roman" w:hAnsi="Times New Roman" w:eastAsia="Times New Roman"/>
                <w:bCs/>
                <w:szCs w:val="20"/>
                <w:lang w:eastAsia="nl-NL"/>
              </w:rPr>
              <w:t xml:space="preserve">abinet voor de korte termijn?   </w:t>
            </w:r>
          </w:p>
          <w:p w:rsidRPr="00302C47" w:rsidR="00302C47" w:rsidP="00BD24DE" w:rsidRDefault="00302C47" w14:paraId="6D87B143" w14:textId="77777777">
            <w:pPr>
              <w:pStyle w:val="Geenafstand"/>
              <w:rPr>
                <w:rFonts w:ascii="Times New Roman" w:hAnsi="Times New Roman" w:eastAsia="Times New Roman"/>
                <w:b/>
                <w:szCs w:val="20"/>
                <w:lang w:eastAsia="nl-NL"/>
              </w:rPr>
            </w:pPr>
          </w:p>
          <w:p w:rsidRPr="00302C47" w:rsidR="00DB4DB0" w:rsidP="00D56ECC" w:rsidRDefault="008356B7" w14:paraId="30683584" w14:textId="0D0B47DD">
            <w:pPr>
              <w:pStyle w:val="Geenafstand"/>
              <w:rPr>
                <w:rFonts w:ascii="Times New Roman" w:hAnsi="Times New Roman" w:eastAsia="Times New Roman"/>
                <w:b/>
                <w:szCs w:val="20"/>
                <w:lang w:eastAsia="nl-NL"/>
              </w:rPr>
            </w:pPr>
            <w:r w:rsidRPr="00302C47">
              <w:rPr>
                <w:rFonts w:ascii="Times New Roman" w:hAnsi="Times New Roman" w:eastAsia="Times New Roman"/>
                <w:b/>
                <w:szCs w:val="20"/>
                <w:lang w:eastAsia="nl-NL"/>
              </w:rPr>
              <w:t>Vragen en opmerkingen van de leden van de CDA-fractie</w:t>
            </w:r>
          </w:p>
          <w:p w:rsidR="008356B7" w:rsidP="00D56ECC" w:rsidRDefault="008356B7" w14:paraId="2C3CC963" w14:textId="77777777">
            <w:pPr>
              <w:pStyle w:val="Geenafstand"/>
              <w:rPr>
                <w:rFonts w:ascii="Times New Roman" w:hAnsi="Times New Roman" w:eastAsia="Times New Roman"/>
                <w:b/>
                <w:szCs w:val="20"/>
                <w:lang w:eastAsia="nl-NL"/>
              </w:rPr>
            </w:pPr>
          </w:p>
          <w:p w:rsidRPr="00302C47" w:rsidR="00302C47" w:rsidP="00302C47" w:rsidRDefault="00302C47" w14:paraId="03C858CB" w14:textId="41222911">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De leden van de CDA-fractie vinden het goed dat de Europese Commissie het belang deelt van financiële geletterdheid, met name in de huidige maatschappij waarin er meer kansen, maar ook risico’s liggen. </w:t>
            </w:r>
            <w:r w:rsidR="00257798">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hebben daar</w:t>
            </w:r>
            <w:r w:rsidR="00257798">
              <w:rPr>
                <w:rFonts w:ascii="Times New Roman" w:hAnsi="Times New Roman" w:eastAsia="Times New Roman"/>
                <w:bCs/>
                <w:szCs w:val="20"/>
                <w:lang w:eastAsia="nl-NL"/>
              </w:rPr>
              <w:t>voor</w:t>
            </w:r>
            <w:r w:rsidRPr="00302C47">
              <w:rPr>
                <w:rFonts w:ascii="Times New Roman" w:hAnsi="Times New Roman" w:eastAsia="Times New Roman"/>
                <w:bCs/>
                <w:szCs w:val="20"/>
                <w:lang w:eastAsia="nl-NL"/>
              </w:rPr>
              <w:t xml:space="preserve"> ook in hun actieplan financiële weerbaarheid aandacht gevraagd. </w:t>
            </w:r>
          </w:p>
          <w:p w:rsidRPr="00302C47" w:rsidR="00302C47" w:rsidP="00302C47" w:rsidRDefault="00302C47" w14:paraId="38030AEF" w14:textId="77777777">
            <w:pPr>
              <w:pStyle w:val="Geenafstand"/>
              <w:rPr>
                <w:rFonts w:ascii="Times New Roman" w:hAnsi="Times New Roman" w:eastAsia="Times New Roman"/>
                <w:bCs/>
                <w:szCs w:val="20"/>
                <w:lang w:eastAsia="nl-NL"/>
              </w:rPr>
            </w:pPr>
          </w:p>
          <w:p w:rsidRPr="00302C47" w:rsidR="00302C47" w:rsidP="00302C47" w:rsidRDefault="00302C47" w14:paraId="67C74C96" w14:textId="5FDFD6DC">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De</w:t>
            </w:r>
            <w:r w:rsidR="0058662D">
              <w:rPr>
                <w:rFonts w:ascii="Times New Roman" w:hAnsi="Times New Roman" w:eastAsia="Times New Roman"/>
                <w:bCs/>
                <w:szCs w:val="20"/>
                <w:lang w:eastAsia="nl-NL"/>
              </w:rPr>
              <w:t>ze</w:t>
            </w:r>
            <w:r w:rsidRPr="00302C47">
              <w:rPr>
                <w:rFonts w:ascii="Times New Roman" w:hAnsi="Times New Roman" w:eastAsia="Times New Roman"/>
                <w:bCs/>
                <w:szCs w:val="20"/>
                <w:lang w:eastAsia="nl-NL"/>
              </w:rPr>
              <w:t xml:space="preserve"> leden vragen of </w:t>
            </w:r>
            <w:r w:rsidR="00257798">
              <w:rPr>
                <w:rFonts w:ascii="Times New Roman" w:hAnsi="Times New Roman" w:eastAsia="Times New Roman"/>
                <w:bCs/>
                <w:szCs w:val="20"/>
                <w:lang w:eastAsia="nl-NL"/>
              </w:rPr>
              <w:t>het kabinet de mening</w:t>
            </w:r>
            <w:r w:rsidRPr="00302C47">
              <w:rPr>
                <w:rFonts w:ascii="Times New Roman" w:hAnsi="Times New Roman" w:eastAsia="Times New Roman"/>
                <w:bCs/>
                <w:szCs w:val="20"/>
                <w:lang w:eastAsia="nl-NL"/>
              </w:rPr>
              <w:t xml:space="preserve"> deelt dat financiële geletterdheid een essentiële vaardigheid is die burgers in staat stelt hun financiële onafhankelijkheid en welzijn te waarborgen. </w:t>
            </w:r>
            <w:r w:rsidR="00257798">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vragen hoe </w:t>
            </w:r>
            <w:r w:rsidR="00257798">
              <w:rPr>
                <w:rFonts w:ascii="Times New Roman" w:hAnsi="Times New Roman" w:eastAsia="Times New Roman"/>
                <w:bCs/>
                <w:szCs w:val="20"/>
                <w:lang w:eastAsia="nl-NL"/>
              </w:rPr>
              <w:t>het kabinet</w:t>
            </w:r>
            <w:r w:rsidRPr="00302C47">
              <w:rPr>
                <w:rFonts w:ascii="Times New Roman" w:hAnsi="Times New Roman" w:eastAsia="Times New Roman"/>
                <w:bCs/>
                <w:szCs w:val="20"/>
                <w:lang w:eastAsia="nl-NL"/>
              </w:rPr>
              <w:t xml:space="preserve"> kijkt naar het niveau van financiële geletterdheid in Nederland en naar het niveau in Nederland ten opzichte van burgers in andere EU-lidstaten.</w:t>
            </w:r>
          </w:p>
          <w:p w:rsidRPr="00302C47" w:rsidR="00302C47" w:rsidP="00302C47" w:rsidRDefault="00302C47" w14:paraId="63D2078F" w14:textId="77777777">
            <w:pPr>
              <w:pStyle w:val="Geenafstand"/>
              <w:rPr>
                <w:rFonts w:ascii="Times New Roman" w:hAnsi="Times New Roman" w:eastAsia="Times New Roman"/>
                <w:bCs/>
                <w:szCs w:val="20"/>
                <w:lang w:eastAsia="nl-NL"/>
              </w:rPr>
            </w:pPr>
          </w:p>
          <w:p w:rsidRPr="00302C47" w:rsidR="00302C47" w:rsidP="00302C47" w:rsidRDefault="00302C47" w14:paraId="0B78D677" w14:textId="1428119F">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De leden van de CDA-fractie lezen dat het kabinet meerdere acties beschrijft die reeds in Nederland worden genomen, maar </w:t>
            </w:r>
            <w:r w:rsidR="00257798">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merken op dat dit meer gericht lijkt op bewustwordingscampagnes en hulpverlening, dan op activerend beleid. Zo hebben deze leden meerdere keren gevraagd naar door de overheid gefaciliteerde producten die financiële weerbaarheid vanaf jonge leeftijd kunnen vergroten, zoals </w:t>
            </w:r>
            <w:proofErr w:type="spellStart"/>
            <w:r w:rsidRPr="00302C47">
              <w:rPr>
                <w:rFonts w:ascii="Times New Roman" w:hAnsi="Times New Roman" w:eastAsia="Times New Roman"/>
                <w:bCs/>
                <w:szCs w:val="20"/>
                <w:lang w:eastAsia="nl-NL"/>
              </w:rPr>
              <w:t>zilvervlootsparen</w:t>
            </w:r>
            <w:proofErr w:type="spellEnd"/>
            <w:r w:rsidR="0058662D">
              <w:rPr>
                <w:rFonts w:ascii="Times New Roman" w:hAnsi="Times New Roman" w:eastAsia="Times New Roman"/>
                <w:bCs/>
                <w:szCs w:val="20"/>
                <w:lang w:eastAsia="nl-NL"/>
              </w:rPr>
              <w:t xml:space="preserve">, </w:t>
            </w:r>
            <w:r w:rsidRPr="00302C47">
              <w:rPr>
                <w:rFonts w:ascii="Times New Roman" w:hAnsi="Times New Roman" w:eastAsia="Times New Roman"/>
                <w:bCs/>
                <w:szCs w:val="20"/>
                <w:lang w:eastAsia="nl-NL"/>
              </w:rPr>
              <w:t xml:space="preserve">bouwsparen of gefaciliteerd beleggen. Het kabinet heeft steeds aangegeven dat de markt voldoende mogelijkheden biedt en dat daar geen rol voor de overheid is weggelegd, al is op het laatste onderdeel beweging. Deze leden vragen hoe </w:t>
            </w:r>
            <w:r w:rsidR="00257798">
              <w:rPr>
                <w:rFonts w:ascii="Times New Roman" w:hAnsi="Times New Roman" w:eastAsia="Times New Roman"/>
                <w:bCs/>
                <w:szCs w:val="20"/>
                <w:lang w:eastAsia="nl-NL"/>
              </w:rPr>
              <w:t>het kabinet</w:t>
            </w:r>
            <w:r w:rsidRPr="00302C47">
              <w:rPr>
                <w:rFonts w:ascii="Times New Roman" w:hAnsi="Times New Roman" w:eastAsia="Times New Roman"/>
                <w:bCs/>
                <w:szCs w:val="20"/>
                <w:lang w:eastAsia="nl-NL"/>
              </w:rPr>
              <w:t xml:space="preserve"> inmiddels kijkt naar genoemde producten. Ook vragen </w:t>
            </w:r>
            <w:r w:rsidR="00257798">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welke initiatieven </w:t>
            </w:r>
            <w:r w:rsidR="00257798">
              <w:rPr>
                <w:rFonts w:ascii="Times New Roman" w:hAnsi="Times New Roman" w:eastAsia="Times New Roman"/>
                <w:bCs/>
                <w:szCs w:val="20"/>
                <w:lang w:eastAsia="nl-NL"/>
              </w:rPr>
              <w:t>het kabinet</w:t>
            </w:r>
            <w:r w:rsidRPr="00302C47">
              <w:rPr>
                <w:rFonts w:ascii="Times New Roman" w:hAnsi="Times New Roman" w:eastAsia="Times New Roman"/>
                <w:bCs/>
                <w:szCs w:val="20"/>
                <w:lang w:eastAsia="nl-NL"/>
              </w:rPr>
              <w:t xml:space="preserve"> op korte termijn gaat nemen ten aanzien van het bereiken van hogere participatie van </w:t>
            </w:r>
            <w:proofErr w:type="spellStart"/>
            <w:r w:rsidRPr="00302C47">
              <w:rPr>
                <w:rFonts w:ascii="Times New Roman" w:hAnsi="Times New Roman" w:eastAsia="Times New Roman"/>
                <w:bCs/>
                <w:szCs w:val="20"/>
                <w:lang w:eastAsia="nl-NL"/>
              </w:rPr>
              <w:t>retailbeleggers</w:t>
            </w:r>
            <w:proofErr w:type="spellEnd"/>
            <w:r w:rsidRPr="00302C47">
              <w:rPr>
                <w:rFonts w:ascii="Times New Roman" w:hAnsi="Times New Roman" w:eastAsia="Times New Roman"/>
                <w:bCs/>
                <w:szCs w:val="20"/>
                <w:lang w:eastAsia="nl-NL"/>
              </w:rPr>
              <w:t>, aangezien het kabinet zelf aangeeft dat fiscaal anders behandelen bijvoorbeeld al niet mogelijk is de komende jaren in verband met de implementatie van het nieuwe Box 3</w:t>
            </w:r>
            <w:r w:rsidR="0058662D">
              <w:rPr>
                <w:rFonts w:ascii="Times New Roman" w:hAnsi="Times New Roman" w:eastAsia="Times New Roman"/>
                <w:bCs/>
                <w:szCs w:val="20"/>
                <w:lang w:eastAsia="nl-NL"/>
              </w:rPr>
              <w:t>-</w:t>
            </w:r>
            <w:r w:rsidRPr="00302C47">
              <w:rPr>
                <w:rFonts w:ascii="Times New Roman" w:hAnsi="Times New Roman" w:eastAsia="Times New Roman"/>
                <w:bCs/>
                <w:szCs w:val="20"/>
                <w:lang w:eastAsia="nl-NL"/>
              </w:rPr>
              <w:t xml:space="preserve">stelsel. </w:t>
            </w:r>
          </w:p>
          <w:p w:rsidRPr="00302C47" w:rsidR="00302C47" w:rsidP="00302C47" w:rsidRDefault="00302C47" w14:paraId="35C83AB8" w14:textId="77777777">
            <w:pPr>
              <w:pStyle w:val="Geenafstand"/>
              <w:rPr>
                <w:rFonts w:ascii="Times New Roman" w:hAnsi="Times New Roman" w:eastAsia="Times New Roman"/>
                <w:bCs/>
                <w:szCs w:val="20"/>
                <w:lang w:eastAsia="nl-NL"/>
              </w:rPr>
            </w:pPr>
          </w:p>
          <w:p w:rsidRPr="00302C47" w:rsidR="00302C47" w:rsidP="00302C47" w:rsidRDefault="00302C47" w14:paraId="5D81741E" w14:textId="363AC08F">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Tegelijkertijd hebben de leden van de CDA-fractie ook vele malen gewezen op de risico’s van beleggen in risicovolle crypto, de steeds verdere en brutalere uitbreiding van </w:t>
            </w:r>
            <w:proofErr w:type="spellStart"/>
            <w:r w:rsidRPr="00302C47">
              <w:rPr>
                <w:rFonts w:ascii="Times New Roman" w:hAnsi="Times New Roman" w:eastAsia="Times New Roman"/>
                <w:bCs/>
                <w:szCs w:val="20"/>
                <w:lang w:eastAsia="nl-NL"/>
              </w:rPr>
              <w:t>buy</w:t>
            </w:r>
            <w:proofErr w:type="spellEnd"/>
            <w:r w:rsidRPr="00302C47">
              <w:rPr>
                <w:rFonts w:ascii="Times New Roman" w:hAnsi="Times New Roman" w:eastAsia="Times New Roman"/>
                <w:bCs/>
                <w:szCs w:val="20"/>
                <w:lang w:eastAsia="nl-NL"/>
              </w:rPr>
              <w:t xml:space="preserve"> </w:t>
            </w:r>
            <w:proofErr w:type="spellStart"/>
            <w:r w:rsidRPr="00302C47">
              <w:rPr>
                <w:rFonts w:ascii="Times New Roman" w:hAnsi="Times New Roman" w:eastAsia="Times New Roman"/>
                <w:bCs/>
                <w:szCs w:val="20"/>
                <w:lang w:eastAsia="nl-NL"/>
              </w:rPr>
              <w:t>now</w:t>
            </w:r>
            <w:proofErr w:type="spellEnd"/>
            <w:r w:rsidRPr="00302C47">
              <w:rPr>
                <w:rFonts w:ascii="Times New Roman" w:hAnsi="Times New Roman" w:eastAsia="Times New Roman"/>
                <w:bCs/>
                <w:szCs w:val="20"/>
                <w:lang w:eastAsia="nl-NL"/>
              </w:rPr>
              <w:t xml:space="preserve"> </w:t>
            </w:r>
            <w:proofErr w:type="spellStart"/>
            <w:r w:rsidRPr="00302C47">
              <w:rPr>
                <w:rFonts w:ascii="Times New Roman" w:hAnsi="Times New Roman" w:eastAsia="Times New Roman"/>
                <w:bCs/>
                <w:szCs w:val="20"/>
                <w:lang w:eastAsia="nl-NL"/>
              </w:rPr>
              <w:t>pay</w:t>
            </w:r>
            <w:proofErr w:type="spellEnd"/>
            <w:r w:rsidRPr="00302C47">
              <w:rPr>
                <w:rFonts w:ascii="Times New Roman" w:hAnsi="Times New Roman" w:eastAsia="Times New Roman"/>
                <w:bCs/>
                <w:szCs w:val="20"/>
                <w:lang w:eastAsia="nl-NL"/>
              </w:rPr>
              <w:t xml:space="preserve"> later</w:t>
            </w:r>
            <w:r w:rsidR="0058662D">
              <w:rPr>
                <w:rFonts w:ascii="Times New Roman" w:hAnsi="Times New Roman" w:eastAsia="Times New Roman"/>
                <w:bCs/>
                <w:szCs w:val="20"/>
                <w:lang w:eastAsia="nl-NL"/>
              </w:rPr>
              <w:t>-</w:t>
            </w:r>
            <w:r w:rsidRPr="00302C47">
              <w:rPr>
                <w:rFonts w:ascii="Times New Roman" w:hAnsi="Times New Roman" w:eastAsia="Times New Roman"/>
                <w:bCs/>
                <w:szCs w:val="20"/>
                <w:lang w:eastAsia="nl-NL"/>
              </w:rPr>
              <w:t xml:space="preserve">initiatieven, de mooie praatjes van </w:t>
            </w:r>
            <w:proofErr w:type="spellStart"/>
            <w:r w:rsidRPr="00302C47">
              <w:rPr>
                <w:rFonts w:ascii="Times New Roman" w:hAnsi="Times New Roman" w:eastAsia="Times New Roman"/>
                <w:bCs/>
                <w:szCs w:val="20"/>
                <w:lang w:eastAsia="nl-NL"/>
              </w:rPr>
              <w:t>finfluencers</w:t>
            </w:r>
            <w:proofErr w:type="spellEnd"/>
            <w:r w:rsidRPr="00302C47">
              <w:rPr>
                <w:rFonts w:ascii="Times New Roman" w:hAnsi="Times New Roman" w:eastAsia="Times New Roman"/>
                <w:bCs/>
                <w:szCs w:val="20"/>
                <w:lang w:eastAsia="nl-NL"/>
              </w:rPr>
              <w:t xml:space="preserve"> en het ontstaan van schulden door online gokken. </w:t>
            </w:r>
            <w:r w:rsidR="005635A5">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merken op dat het kabinet tot zover nauwelijks in staat is geweest deze ontwikkelingen aan banden te leggen, ondanks vele oproepen uit politiek en maatschappij. Is </w:t>
            </w:r>
            <w:r w:rsidR="005635A5">
              <w:rPr>
                <w:rFonts w:ascii="Times New Roman" w:hAnsi="Times New Roman" w:eastAsia="Times New Roman"/>
                <w:bCs/>
                <w:szCs w:val="20"/>
                <w:lang w:eastAsia="nl-NL"/>
              </w:rPr>
              <w:t>het kabinet</w:t>
            </w:r>
            <w:r w:rsidRPr="00302C47">
              <w:rPr>
                <w:rFonts w:ascii="Times New Roman" w:hAnsi="Times New Roman" w:eastAsia="Times New Roman"/>
                <w:bCs/>
                <w:szCs w:val="20"/>
                <w:lang w:eastAsia="nl-NL"/>
              </w:rPr>
              <w:t xml:space="preserve"> bereid hier op nationaal niveau een tandje bij te zetten en niet alleen ontwikkelingen vanuit Europa af te wachten? </w:t>
            </w:r>
          </w:p>
          <w:p w:rsidRPr="00302C47" w:rsidR="00302C47" w:rsidP="00302C47" w:rsidRDefault="00302C47" w14:paraId="4A50837B" w14:textId="77777777">
            <w:pPr>
              <w:pStyle w:val="Geenafstand"/>
              <w:rPr>
                <w:rFonts w:ascii="Times New Roman" w:hAnsi="Times New Roman" w:eastAsia="Times New Roman"/>
                <w:bCs/>
                <w:szCs w:val="20"/>
                <w:lang w:eastAsia="nl-NL"/>
              </w:rPr>
            </w:pPr>
          </w:p>
          <w:p w:rsidRPr="00302C47" w:rsidR="00302C47" w:rsidP="00302C47" w:rsidRDefault="00302C47" w14:paraId="0DD0E4B2" w14:textId="2ACF7BF8">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lastRenderedPageBreak/>
              <w:t xml:space="preserve">De leden van de CDA-fractie lezen dat de eerste pijler gaat over uitwisselen van best </w:t>
            </w:r>
            <w:proofErr w:type="spellStart"/>
            <w:r w:rsidRPr="00302C47">
              <w:rPr>
                <w:rFonts w:ascii="Times New Roman" w:hAnsi="Times New Roman" w:eastAsia="Times New Roman"/>
                <w:bCs/>
                <w:szCs w:val="20"/>
                <w:lang w:eastAsia="nl-NL"/>
              </w:rPr>
              <w:t>practices</w:t>
            </w:r>
            <w:proofErr w:type="spellEnd"/>
            <w:r w:rsidRPr="00302C47">
              <w:rPr>
                <w:rFonts w:ascii="Times New Roman" w:hAnsi="Times New Roman" w:eastAsia="Times New Roman"/>
                <w:bCs/>
                <w:szCs w:val="20"/>
                <w:lang w:eastAsia="nl-NL"/>
              </w:rPr>
              <w:t xml:space="preserve">. Naast de recente berichten van de Europese Commissie over de Zweedse overheidsbeleggingsspaarrekening als goed voorbeeld, vragen deze leden of </w:t>
            </w:r>
            <w:r w:rsidR="005635A5">
              <w:rPr>
                <w:rFonts w:ascii="Times New Roman" w:hAnsi="Times New Roman" w:eastAsia="Times New Roman"/>
                <w:bCs/>
                <w:szCs w:val="20"/>
                <w:lang w:eastAsia="nl-NL"/>
              </w:rPr>
              <w:t>het kabinet</w:t>
            </w:r>
            <w:r w:rsidRPr="00302C47">
              <w:rPr>
                <w:rFonts w:ascii="Times New Roman" w:hAnsi="Times New Roman" w:eastAsia="Times New Roman"/>
                <w:bCs/>
                <w:szCs w:val="20"/>
                <w:lang w:eastAsia="nl-NL"/>
              </w:rPr>
              <w:t xml:space="preserve"> nog meer voorbeelden kan noemen van succesvolle initiatieven van lidstaten om financiële weerbaarheid te vergroten en de kansen hiervan te benutten voor de samenleving en/of economie. </w:t>
            </w:r>
          </w:p>
          <w:p w:rsidRPr="00302C47" w:rsidR="00302C47" w:rsidP="00302C47" w:rsidRDefault="00302C47" w14:paraId="21E2406E" w14:textId="77777777">
            <w:pPr>
              <w:pStyle w:val="Geenafstand"/>
              <w:rPr>
                <w:rFonts w:ascii="Times New Roman" w:hAnsi="Times New Roman" w:eastAsia="Times New Roman"/>
                <w:bCs/>
                <w:szCs w:val="20"/>
                <w:lang w:eastAsia="nl-NL"/>
              </w:rPr>
            </w:pPr>
          </w:p>
          <w:p w:rsidRPr="00302C47" w:rsidR="00302C47" w:rsidP="00302C47" w:rsidRDefault="00302C47" w14:paraId="7FCE8589" w14:textId="7A59E102">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Het kabinet verwijst ook naar de samenwerking in het OESO-INFE netwerk. Dit netwerk heeft reeds eerder geadviseerd om financiële educatie in het onderwijs te verwerken, maar de leden van de CDA-fractie merken op dat dit nog op incidentele basis gebeurt, en vooral in het kader van projecten zoals de week van het geld. </w:t>
            </w:r>
            <w:r w:rsidR="00697496">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vragen welke acties nog meer kunnen worden genomen om financiële praktijken structureel in bijvoorbeeld reken- en economielessen te verwerken. </w:t>
            </w:r>
          </w:p>
          <w:p w:rsidRPr="00302C47" w:rsidR="00302C47" w:rsidP="00302C47" w:rsidRDefault="00302C47" w14:paraId="30E5E736" w14:textId="77777777">
            <w:pPr>
              <w:pStyle w:val="Geenafstand"/>
              <w:rPr>
                <w:rFonts w:ascii="Times New Roman" w:hAnsi="Times New Roman" w:eastAsia="Times New Roman"/>
                <w:bCs/>
                <w:szCs w:val="20"/>
                <w:lang w:eastAsia="nl-NL"/>
              </w:rPr>
            </w:pPr>
          </w:p>
          <w:p w:rsidR="00302C47" w:rsidP="00302C47" w:rsidRDefault="00302C47" w14:paraId="7EE3C1A1" w14:textId="314B64A5">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Het kabinet noemt ook de Subsidieregeling financiële educatie voor onderwijsinstellingen (voor het middelbaar beroepsonderwijs, voortgezet onderwijs en een afgebakende groep basisscholen). Deze leden vragen of het klopt dat de subsidie voor een beperkte periode loopt. </w:t>
            </w:r>
            <w:r w:rsidR="00697496">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vragen of het kabinet kan rapporteren over de resultaten van de subsidieregeling tot zover.</w:t>
            </w:r>
          </w:p>
          <w:p w:rsidRPr="00302C47" w:rsidR="00072EE6" w:rsidP="00302C47" w:rsidRDefault="00072EE6" w14:paraId="70E5CB8D" w14:textId="77777777">
            <w:pPr>
              <w:pStyle w:val="Geenafstand"/>
              <w:rPr>
                <w:rFonts w:ascii="Times New Roman" w:hAnsi="Times New Roman" w:eastAsia="Times New Roman"/>
                <w:bCs/>
                <w:szCs w:val="20"/>
                <w:lang w:eastAsia="nl-NL"/>
              </w:rPr>
            </w:pPr>
          </w:p>
          <w:p w:rsidRPr="00302C47" w:rsidR="00302C47" w:rsidP="00302C47" w:rsidRDefault="00697496" w14:paraId="0288347A" w14:textId="5EB7DE37">
            <w:pPr>
              <w:pStyle w:val="Geenafstand"/>
              <w:rPr>
                <w:rFonts w:ascii="Times New Roman" w:hAnsi="Times New Roman" w:eastAsia="Times New Roman"/>
                <w:bCs/>
                <w:szCs w:val="20"/>
                <w:lang w:eastAsia="nl-NL"/>
              </w:rPr>
            </w:pPr>
            <w:r>
              <w:rPr>
                <w:rFonts w:ascii="Times New Roman" w:hAnsi="Times New Roman" w:eastAsia="Times New Roman"/>
                <w:bCs/>
                <w:szCs w:val="20"/>
                <w:lang w:eastAsia="nl-NL"/>
              </w:rPr>
              <w:t>De leden van de CDA-fractie</w:t>
            </w:r>
            <w:r w:rsidRPr="00302C47" w:rsidR="00302C47">
              <w:rPr>
                <w:rFonts w:ascii="Times New Roman" w:hAnsi="Times New Roman" w:eastAsia="Times New Roman"/>
                <w:bCs/>
                <w:szCs w:val="20"/>
                <w:lang w:eastAsia="nl-NL"/>
              </w:rPr>
              <w:t xml:space="preserve"> merken op dat het kabinet een lijst acties vanuit het kabinet noemt. </w:t>
            </w:r>
            <w:r>
              <w:rPr>
                <w:rFonts w:ascii="Times New Roman" w:hAnsi="Times New Roman" w:eastAsia="Times New Roman"/>
                <w:bCs/>
                <w:szCs w:val="20"/>
                <w:lang w:eastAsia="nl-NL"/>
              </w:rPr>
              <w:t>Deze leden</w:t>
            </w:r>
            <w:r w:rsidRPr="00302C47" w:rsidR="00302C47">
              <w:rPr>
                <w:rFonts w:ascii="Times New Roman" w:hAnsi="Times New Roman" w:eastAsia="Times New Roman"/>
                <w:bCs/>
                <w:szCs w:val="20"/>
                <w:lang w:eastAsia="nl-NL"/>
              </w:rPr>
              <w:t xml:space="preserve"> vragen of deze acties regelmatig geëvalueerd worden en zo ja, of de minister de laatste evaluatie kan meesturen met de beantwoording van de vragen. </w:t>
            </w:r>
          </w:p>
          <w:p w:rsidRPr="00302C47" w:rsidR="00302C47" w:rsidP="00302C47" w:rsidRDefault="00302C47" w14:paraId="3E51F0E1" w14:textId="77777777">
            <w:pPr>
              <w:pStyle w:val="Geenafstand"/>
              <w:rPr>
                <w:rFonts w:ascii="Times New Roman" w:hAnsi="Times New Roman" w:eastAsia="Times New Roman"/>
                <w:bCs/>
                <w:szCs w:val="20"/>
                <w:lang w:eastAsia="nl-NL"/>
              </w:rPr>
            </w:pPr>
          </w:p>
          <w:p w:rsidRPr="00302C47" w:rsidR="00302C47" w:rsidP="00302C47" w:rsidRDefault="00302C47" w14:paraId="6892C94C" w14:textId="35E260AB">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De leden van de CDA-fractie lezen in de tweede pijler over bewustmakingscampagnes, vooral ook gericht op financieel kwetsbare mensen. Deze leden vragen of inzicht en overzicht voor deze groepen niet de eerste stap is naar meer financiële geletterdheid. In dat kader vragen </w:t>
            </w:r>
            <w:r w:rsidR="00183906">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hoe het staat met de uitvoering van de motie van </w:t>
            </w:r>
            <w:r w:rsidR="00183906">
              <w:rPr>
                <w:rFonts w:ascii="Times New Roman" w:hAnsi="Times New Roman" w:eastAsia="Times New Roman"/>
                <w:bCs/>
                <w:szCs w:val="20"/>
                <w:lang w:eastAsia="nl-NL"/>
              </w:rPr>
              <w:t>de</w:t>
            </w:r>
            <w:r w:rsidRPr="00302C47">
              <w:rPr>
                <w:rFonts w:ascii="Times New Roman" w:hAnsi="Times New Roman" w:eastAsia="Times New Roman"/>
                <w:bCs/>
                <w:szCs w:val="20"/>
                <w:lang w:eastAsia="nl-NL"/>
              </w:rPr>
              <w:t xml:space="preserve"> CDA</w:t>
            </w:r>
            <w:r w:rsidR="00183906">
              <w:rPr>
                <w:rFonts w:ascii="Times New Roman" w:hAnsi="Times New Roman" w:eastAsia="Times New Roman"/>
                <w:bCs/>
                <w:szCs w:val="20"/>
                <w:lang w:eastAsia="nl-NL"/>
              </w:rPr>
              <w:t>-fractie</w:t>
            </w:r>
            <w:r w:rsidRPr="00302C47">
              <w:rPr>
                <w:rFonts w:ascii="Times New Roman" w:hAnsi="Times New Roman" w:eastAsia="Times New Roman"/>
                <w:bCs/>
                <w:szCs w:val="20"/>
                <w:lang w:eastAsia="nl-NL"/>
              </w:rPr>
              <w:t xml:space="preserve"> om alle betalingen vanuit de overheid rond dezelfde datum plaats te laten vinden, zodat mensen hun vaste lasten daarop kunnen laten aansluiten. </w:t>
            </w:r>
          </w:p>
          <w:p w:rsidRPr="00302C47" w:rsidR="00302C47" w:rsidP="00302C47" w:rsidRDefault="00302C47" w14:paraId="6241461E" w14:textId="77777777">
            <w:pPr>
              <w:pStyle w:val="Geenafstand"/>
              <w:rPr>
                <w:rFonts w:ascii="Times New Roman" w:hAnsi="Times New Roman" w:eastAsia="Times New Roman"/>
                <w:bCs/>
                <w:szCs w:val="20"/>
                <w:lang w:eastAsia="nl-NL"/>
              </w:rPr>
            </w:pPr>
          </w:p>
          <w:p w:rsidRPr="00302C47" w:rsidR="00302C47" w:rsidP="00302C47" w:rsidRDefault="00302C47" w14:paraId="7D2BE11C" w14:textId="2046D1A0">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Daarnaast heeft het kabinet in het bijzonder aandacht voor het thema pensioenen, gezien de complexiteit van het stelsel en de impact ervan op de (toekomstige) financiële positie van huishoudens. De leden van de CDA-fractie vragen hoe effectief de minister vindt dat hij hierin is, gezien het artikel van 1 december </w:t>
            </w:r>
            <w:r w:rsidR="00FB1261">
              <w:rPr>
                <w:rFonts w:ascii="Times New Roman" w:hAnsi="Times New Roman" w:eastAsia="Times New Roman"/>
                <w:bCs/>
                <w:szCs w:val="20"/>
                <w:lang w:eastAsia="nl-NL"/>
              </w:rPr>
              <w:t>2025</w:t>
            </w:r>
            <w:r w:rsidRPr="00302C47">
              <w:rPr>
                <w:rFonts w:ascii="Times New Roman" w:hAnsi="Times New Roman" w:eastAsia="Times New Roman"/>
                <w:bCs/>
                <w:szCs w:val="20"/>
                <w:lang w:eastAsia="nl-NL"/>
              </w:rPr>
              <w:t xml:space="preserve"> in de Telegraaf: “Pensioen</w:t>
            </w:r>
            <w:r w:rsidR="00072EE6">
              <w:rPr>
                <w:rFonts w:ascii="Times New Roman" w:hAnsi="Times New Roman" w:eastAsia="Times New Roman"/>
                <w:bCs/>
                <w:szCs w:val="20"/>
                <w:lang w:eastAsia="nl-NL"/>
              </w:rPr>
              <w:t>-</w:t>
            </w:r>
            <w:r w:rsidRPr="00302C47">
              <w:rPr>
                <w:rFonts w:ascii="Times New Roman" w:hAnsi="Times New Roman" w:eastAsia="Times New Roman"/>
                <w:bCs/>
                <w:szCs w:val="20"/>
                <w:lang w:eastAsia="nl-NL"/>
              </w:rPr>
              <w:t>ellende dreigt voor werkende.”</w:t>
            </w:r>
          </w:p>
          <w:p w:rsidRPr="00302C47" w:rsidR="00302C47" w:rsidP="00302C47" w:rsidRDefault="00302C47" w14:paraId="1767E4D0" w14:textId="77777777">
            <w:pPr>
              <w:pStyle w:val="Geenafstand"/>
              <w:rPr>
                <w:rFonts w:ascii="Times New Roman" w:hAnsi="Times New Roman" w:eastAsia="Times New Roman"/>
                <w:bCs/>
                <w:szCs w:val="20"/>
                <w:lang w:eastAsia="nl-NL"/>
              </w:rPr>
            </w:pPr>
          </w:p>
          <w:p w:rsidRPr="00302C47" w:rsidR="00302C47" w:rsidP="00302C47" w:rsidRDefault="00302C47" w14:paraId="07C1B9EF" w14:textId="75447CC7">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De</w:t>
            </w:r>
            <w:r w:rsidR="00072EE6">
              <w:rPr>
                <w:rFonts w:ascii="Times New Roman" w:hAnsi="Times New Roman" w:eastAsia="Times New Roman"/>
                <w:bCs/>
                <w:szCs w:val="20"/>
                <w:lang w:eastAsia="nl-NL"/>
              </w:rPr>
              <w:t>ze</w:t>
            </w:r>
            <w:r w:rsidRPr="00302C47">
              <w:rPr>
                <w:rFonts w:ascii="Times New Roman" w:hAnsi="Times New Roman" w:eastAsia="Times New Roman"/>
                <w:bCs/>
                <w:szCs w:val="20"/>
                <w:lang w:eastAsia="nl-NL"/>
              </w:rPr>
              <w:t xml:space="preserve"> leden lezen de pijlers met name als publiekcampagnes, maar vragen </w:t>
            </w:r>
            <w:r w:rsidR="00FB1261">
              <w:rPr>
                <w:rFonts w:ascii="Times New Roman" w:hAnsi="Times New Roman" w:eastAsia="Times New Roman"/>
                <w:bCs/>
                <w:szCs w:val="20"/>
                <w:lang w:eastAsia="nl-NL"/>
              </w:rPr>
              <w:t>het kabinet</w:t>
            </w:r>
            <w:r w:rsidRPr="00302C47">
              <w:rPr>
                <w:rFonts w:ascii="Times New Roman" w:hAnsi="Times New Roman" w:eastAsia="Times New Roman"/>
                <w:bCs/>
                <w:szCs w:val="20"/>
                <w:lang w:eastAsia="nl-NL"/>
              </w:rPr>
              <w:t xml:space="preserve"> of ook praktische tools kunnen worden</w:t>
            </w:r>
            <w:r w:rsidR="00FB1261">
              <w:rPr>
                <w:rFonts w:ascii="Times New Roman" w:hAnsi="Times New Roman" w:eastAsia="Times New Roman"/>
                <w:bCs/>
                <w:szCs w:val="20"/>
                <w:lang w:eastAsia="nl-NL"/>
              </w:rPr>
              <w:t xml:space="preserve"> ontwikkeld</w:t>
            </w:r>
            <w:r w:rsidRPr="00302C47">
              <w:rPr>
                <w:rFonts w:ascii="Times New Roman" w:hAnsi="Times New Roman" w:eastAsia="Times New Roman"/>
                <w:bCs/>
                <w:szCs w:val="20"/>
                <w:lang w:eastAsia="nl-NL"/>
              </w:rPr>
              <w:t xml:space="preserve">, zoals beleggingswijzers vanuit de overheid. Bijvoorbeeld een praktische handleiding of lijst van </w:t>
            </w:r>
            <w:r w:rsidRPr="00302C47">
              <w:rPr>
                <w:rFonts w:ascii="Times New Roman" w:hAnsi="Times New Roman" w:eastAsia="Times New Roman"/>
                <w:bCs/>
                <w:szCs w:val="20"/>
                <w:lang w:eastAsia="nl-NL"/>
              </w:rPr>
              <w:lastRenderedPageBreak/>
              <w:t>beleggingen naar risicoprofiel.</w:t>
            </w:r>
            <w:r w:rsidR="00FB1261">
              <w:rPr>
                <w:rFonts w:ascii="Times New Roman" w:hAnsi="Times New Roman" w:eastAsia="Times New Roman"/>
                <w:bCs/>
                <w:szCs w:val="20"/>
                <w:lang w:eastAsia="nl-NL"/>
              </w:rPr>
              <w:t xml:space="preserve"> Deze leden</w:t>
            </w:r>
            <w:r w:rsidRPr="00302C47">
              <w:rPr>
                <w:rFonts w:ascii="Times New Roman" w:hAnsi="Times New Roman" w:eastAsia="Times New Roman"/>
                <w:bCs/>
                <w:szCs w:val="20"/>
                <w:lang w:eastAsia="nl-NL"/>
              </w:rPr>
              <w:t xml:space="preserve"> merken op dat financiële zaken voor veel mensen spannend zijn en dat specifieke overheidsinformatie over bijvoorbeeld verstandig beleggen of sparen meer vertrouwen kan geven. </w:t>
            </w:r>
          </w:p>
          <w:p w:rsidRPr="00302C47" w:rsidR="00302C47" w:rsidP="00302C47" w:rsidRDefault="00302C47" w14:paraId="2E06CC68" w14:textId="77777777">
            <w:pPr>
              <w:pStyle w:val="Geenafstand"/>
              <w:rPr>
                <w:rFonts w:ascii="Times New Roman" w:hAnsi="Times New Roman" w:eastAsia="Times New Roman"/>
                <w:bCs/>
                <w:szCs w:val="20"/>
                <w:lang w:eastAsia="nl-NL"/>
              </w:rPr>
            </w:pPr>
          </w:p>
          <w:p w:rsidRPr="00302C47" w:rsidR="00302C47" w:rsidP="00302C47" w:rsidRDefault="00302C47" w14:paraId="00141149" w14:textId="09D25706">
            <w:pPr>
              <w:pStyle w:val="Geenafstand"/>
              <w:rPr>
                <w:rFonts w:ascii="Times New Roman" w:hAnsi="Times New Roman" w:eastAsia="Times New Roman"/>
                <w:bCs/>
                <w:szCs w:val="20"/>
                <w:lang w:eastAsia="nl-NL"/>
              </w:rPr>
            </w:pPr>
            <w:r w:rsidRPr="00302C47">
              <w:rPr>
                <w:rFonts w:ascii="Times New Roman" w:hAnsi="Times New Roman" w:eastAsia="Times New Roman"/>
                <w:bCs/>
                <w:szCs w:val="20"/>
                <w:lang w:eastAsia="nl-NL"/>
              </w:rPr>
              <w:t xml:space="preserve">De leden van de CDA-fractie lezen bij de vierde pijler dat het kabinet aanbeveelt om in het kader van het stimuleren van aanvullend onderzoek, systemisch kennis en resultaten te delen over methoden die aantoonbaar effectief zijn bij het vergroten van financiële geletterdheid. </w:t>
            </w:r>
            <w:r w:rsidR="00FB1261">
              <w:rPr>
                <w:rFonts w:ascii="Times New Roman" w:hAnsi="Times New Roman" w:eastAsia="Times New Roman"/>
                <w:bCs/>
                <w:szCs w:val="20"/>
                <w:lang w:eastAsia="nl-NL"/>
              </w:rPr>
              <w:t>Deze leden</w:t>
            </w:r>
            <w:r w:rsidRPr="00302C47">
              <w:rPr>
                <w:rFonts w:ascii="Times New Roman" w:hAnsi="Times New Roman" w:eastAsia="Times New Roman"/>
                <w:bCs/>
                <w:szCs w:val="20"/>
                <w:lang w:eastAsia="nl-NL"/>
              </w:rPr>
              <w:t xml:space="preserve"> vragen of </w:t>
            </w:r>
            <w:r w:rsidR="00FB1261">
              <w:rPr>
                <w:rFonts w:ascii="Times New Roman" w:hAnsi="Times New Roman" w:eastAsia="Times New Roman"/>
                <w:bCs/>
                <w:szCs w:val="20"/>
                <w:lang w:eastAsia="nl-NL"/>
              </w:rPr>
              <w:t>het kabinet</w:t>
            </w:r>
            <w:r w:rsidRPr="00302C47">
              <w:rPr>
                <w:rFonts w:ascii="Times New Roman" w:hAnsi="Times New Roman" w:eastAsia="Times New Roman"/>
                <w:bCs/>
                <w:szCs w:val="20"/>
                <w:lang w:eastAsia="nl-NL"/>
              </w:rPr>
              <w:t xml:space="preserve"> hier alleen een rol voor </w:t>
            </w:r>
            <w:r w:rsidRPr="00FB1261" w:rsidR="00072EE6">
              <w:rPr>
                <w:rFonts w:ascii="Times New Roman" w:hAnsi="Times New Roman" w:eastAsia="Times New Roman"/>
                <w:bCs/>
                <w:szCs w:val="20"/>
                <w:lang w:eastAsia="nl-NL"/>
              </w:rPr>
              <w:t>W</w:t>
            </w:r>
            <w:r w:rsidRPr="00FB1261">
              <w:rPr>
                <w:rFonts w:ascii="Times New Roman" w:hAnsi="Times New Roman" w:eastAsia="Times New Roman"/>
                <w:bCs/>
                <w:szCs w:val="20"/>
                <w:lang w:eastAsia="nl-NL"/>
              </w:rPr>
              <w:t>ijzer in geldzaken</w:t>
            </w:r>
            <w:r w:rsidRPr="00302C47">
              <w:rPr>
                <w:rFonts w:ascii="Times New Roman" w:hAnsi="Times New Roman" w:eastAsia="Times New Roman"/>
                <w:bCs/>
                <w:szCs w:val="20"/>
                <w:lang w:eastAsia="nl-NL"/>
              </w:rPr>
              <w:t xml:space="preserve"> ziet, of ook breder kijkt naar inzichten van bijvoorbeeld afdelingen financiële gezondheid bij banken, kennis van psychologennetwerken en andere maatschappelijke initiatieven.</w:t>
            </w:r>
          </w:p>
          <w:p w:rsidRPr="00302C47" w:rsidR="00302C47" w:rsidP="00D56ECC" w:rsidRDefault="00302C47" w14:paraId="2B82612F" w14:textId="77777777">
            <w:pPr>
              <w:pStyle w:val="Geenafstand"/>
              <w:rPr>
                <w:rFonts w:ascii="Times New Roman" w:hAnsi="Times New Roman" w:eastAsia="Times New Roman"/>
                <w:b/>
                <w:szCs w:val="20"/>
                <w:lang w:eastAsia="nl-NL"/>
              </w:rPr>
            </w:pPr>
          </w:p>
          <w:p w:rsidRPr="00302C47" w:rsidR="001F15E4" w:rsidP="00D56ECC" w:rsidRDefault="00A03ED9" w14:paraId="30683589" w14:textId="77777777">
            <w:pPr>
              <w:pStyle w:val="Geenafstand"/>
              <w:rPr>
                <w:rFonts w:ascii="Times New Roman" w:hAnsi="Times New Roman" w:eastAsia="Times New Roman"/>
                <w:szCs w:val="20"/>
                <w:lang w:eastAsia="nl-NL"/>
              </w:rPr>
            </w:pPr>
            <w:r w:rsidRPr="00302C47">
              <w:rPr>
                <w:rFonts w:ascii="Times New Roman" w:hAnsi="Times New Roman" w:eastAsia="Times New Roman"/>
                <w:b/>
                <w:szCs w:val="20"/>
                <w:lang w:eastAsia="nl-NL"/>
              </w:rPr>
              <w:t xml:space="preserve">Vragen en opmerkingen van </w:t>
            </w:r>
            <w:r w:rsidRPr="00302C47" w:rsidR="00E41743">
              <w:rPr>
                <w:rFonts w:ascii="Times New Roman" w:hAnsi="Times New Roman" w:eastAsia="Times New Roman"/>
                <w:b/>
                <w:szCs w:val="20"/>
                <w:lang w:eastAsia="nl-NL"/>
              </w:rPr>
              <w:t>de leden</w:t>
            </w:r>
            <w:r w:rsidRPr="00302C47">
              <w:rPr>
                <w:rFonts w:ascii="Times New Roman" w:hAnsi="Times New Roman" w:eastAsia="Times New Roman"/>
                <w:b/>
                <w:szCs w:val="20"/>
                <w:lang w:eastAsia="nl-NL"/>
              </w:rPr>
              <w:t xml:space="preserve"> van de BBB-fractie</w:t>
            </w:r>
          </w:p>
          <w:p w:rsidR="008356B7" w:rsidP="00D56ECC" w:rsidRDefault="008356B7" w14:paraId="2AF72A76" w14:textId="77777777">
            <w:pPr>
              <w:pStyle w:val="Geenafstand"/>
              <w:rPr>
                <w:rFonts w:ascii="Times New Roman" w:hAnsi="Times New Roman" w:eastAsia="Times New Roman"/>
                <w:b/>
                <w:szCs w:val="20"/>
                <w:lang w:eastAsia="nl-NL"/>
              </w:rPr>
            </w:pPr>
          </w:p>
          <w:p w:rsidRPr="00302C47" w:rsidR="00302C47" w:rsidP="00302C47" w:rsidRDefault="00302C47" w14:paraId="391CCAE5" w14:textId="67566BB0">
            <w:pPr>
              <w:pStyle w:val="Geenafstand"/>
              <w:rPr>
                <w:rFonts w:ascii="Times New Roman" w:hAnsi="Times New Roman"/>
                <w:bCs/>
              </w:rPr>
            </w:pPr>
            <w:r w:rsidRPr="00302C47">
              <w:rPr>
                <w:rFonts w:ascii="Times New Roman" w:hAnsi="Times New Roman"/>
                <w:bCs/>
              </w:rPr>
              <w:t>De leden van de BBB</w:t>
            </w:r>
            <w:r w:rsidR="00072EE6">
              <w:rPr>
                <w:rFonts w:ascii="Times New Roman" w:hAnsi="Times New Roman"/>
                <w:bCs/>
              </w:rPr>
              <w:t>-fractie</w:t>
            </w:r>
            <w:r w:rsidRPr="00302C47">
              <w:rPr>
                <w:rFonts w:ascii="Times New Roman" w:hAnsi="Times New Roman"/>
                <w:bCs/>
              </w:rPr>
              <w:t xml:space="preserve"> verwelkomen de inzet van het kabinet om financiële geletterdheid van (kwetsbare) burgers te verbeteren maar zijn van mening dat dit hoofdzakelijk een nationale aangelegenheid is.</w:t>
            </w:r>
          </w:p>
          <w:p w:rsidRPr="00302C47" w:rsidR="00302C47" w:rsidP="00302C47" w:rsidRDefault="00302C47" w14:paraId="20A09221" w14:textId="77777777">
            <w:pPr>
              <w:pStyle w:val="Geenafstand"/>
              <w:rPr>
                <w:rFonts w:ascii="Times New Roman" w:hAnsi="Times New Roman"/>
                <w:bCs/>
              </w:rPr>
            </w:pPr>
          </w:p>
          <w:p w:rsidRPr="00302C47" w:rsidR="00302C47" w:rsidP="00302C47" w:rsidRDefault="005C1121" w14:paraId="4B12B4C9" w14:textId="769FF502">
            <w:pPr>
              <w:pStyle w:val="Geenafstand"/>
              <w:rPr>
                <w:rFonts w:ascii="Times New Roman" w:hAnsi="Times New Roman"/>
                <w:bCs/>
              </w:rPr>
            </w:pPr>
            <w:r>
              <w:rPr>
                <w:rFonts w:ascii="Times New Roman" w:hAnsi="Times New Roman"/>
                <w:bCs/>
              </w:rPr>
              <w:t>Deze leden</w:t>
            </w:r>
            <w:r w:rsidR="00072EE6">
              <w:rPr>
                <w:rFonts w:ascii="Times New Roman" w:hAnsi="Times New Roman"/>
                <w:bCs/>
              </w:rPr>
              <w:t xml:space="preserve"> lezen dat de</w:t>
            </w:r>
            <w:r w:rsidRPr="00302C47" w:rsidR="00302C47">
              <w:rPr>
                <w:rFonts w:ascii="Times New Roman" w:hAnsi="Times New Roman"/>
                <w:bCs/>
              </w:rPr>
              <w:t xml:space="preserve"> strategie</w:t>
            </w:r>
            <w:r w:rsidR="00072EE6">
              <w:rPr>
                <w:rFonts w:ascii="Times New Roman" w:hAnsi="Times New Roman"/>
                <w:bCs/>
              </w:rPr>
              <w:t>,</w:t>
            </w:r>
            <w:r w:rsidRPr="00302C47" w:rsidR="00302C47">
              <w:rPr>
                <w:rFonts w:ascii="Times New Roman" w:hAnsi="Times New Roman"/>
                <w:bCs/>
              </w:rPr>
              <w:t xml:space="preserve"> geïnitieerd door de Europese Commissie</w:t>
            </w:r>
            <w:r w:rsidR="00072EE6">
              <w:rPr>
                <w:rFonts w:ascii="Times New Roman" w:hAnsi="Times New Roman"/>
                <w:bCs/>
              </w:rPr>
              <w:t>,</w:t>
            </w:r>
            <w:r w:rsidRPr="00302C47" w:rsidR="00302C47">
              <w:rPr>
                <w:rFonts w:ascii="Times New Roman" w:hAnsi="Times New Roman"/>
                <w:bCs/>
              </w:rPr>
              <w:t xml:space="preserve"> zich</w:t>
            </w:r>
            <w:r w:rsidRPr="00302C47" w:rsidR="00072EE6">
              <w:rPr>
                <w:rFonts w:ascii="Times New Roman" w:hAnsi="Times New Roman"/>
                <w:bCs/>
              </w:rPr>
              <w:t xml:space="preserve"> </w:t>
            </w:r>
            <w:r w:rsidRPr="00302C47" w:rsidR="00302C47">
              <w:rPr>
                <w:rFonts w:ascii="Times New Roman" w:hAnsi="Times New Roman"/>
                <w:bCs/>
              </w:rPr>
              <w:t xml:space="preserve">primair </w:t>
            </w:r>
            <w:r w:rsidRPr="00302C47" w:rsidR="00072EE6">
              <w:rPr>
                <w:rFonts w:ascii="Times New Roman" w:hAnsi="Times New Roman"/>
                <w:bCs/>
              </w:rPr>
              <w:t xml:space="preserve">richt </w:t>
            </w:r>
            <w:r w:rsidRPr="00302C47" w:rsidR="00302C47">
              <w:rPr>
                <w:rFonts w:ascii="Times New Roman" w:hAnsi="Times New Roman"/>
                <w:bCs/>
              </w:rPr>
              <w:t>op het bevorderen van financiële inclusie door bewustwording te vergroten, toegang en effectief gebruik van financiële diensten te stimuleren, de economische weerbaarheid van burgers te versterken en beleid te ontwikkelen dat kwetsbare groepen ondersteunt. Daarnaast beoogt de strategie de beleggingsvaardigheden en het inzicht in financiële producten te verdiepen, met nadruk op een realistische afweging tussen risico en rendement.</w:t>
            </w:r>
          </w:p>
          <w:p w:rsidRPr="00302C47" w:rsidR="00302C47" w:rsidP="00072EE6" w:rsidRDefault="00302C47" w14:paraId="24C25888" w14:textId="33315B6F">
            <w:pPr>
              <w:pStyle w:val="Geenafstand"/>
              <w:rPr>
                <w:rFonts w:ascii="Times New Roman" w:hAnsi="Times New Roman"/>
                <w:bCs/>
              </w:rPr>
            </w:pPr>
            <w:r w:rsidRPr="00302C47">
              <w:rPr>
                <w:rFonts w:ascii="Times New Roman" w:hAnsi="Times New Roman"/>
                <w:bCs/>
              </w:rPr>
              <w:br/>
              <w:t>De</w:t>
            </w:r>
            <w:r w:rsidR="00072EE6">
              <w:rPr>
                <w:rFonts w:ascii="Times New Roman" w:hAnsi="Times New Roman"/>
                <w:bCs/>
              </w:rPr>
              <w:t>ze</w:t>
            </w:r>
            <w:r w:rsidRPr="00302C47">
              <w:rPr>
                <w:rFonts w:ascii="Times New Roman" w:hAnsi="Times New Roman"/>
                <w:bCs/>
              </w:rPr>
              <w:t xml:space="preserve"> leden vragen op welke concrete manieren het kabinet de economische weerbaarheid van kwetsbare groepen wil ondersteunen.</w:t>
            </w:r>
            <w:r w:rsidR="00072EE6">
              <w:rPr>
                <w:rFonts w:ascii="Times New Roman" w:hAnsi="Times New Roman"/>
                <w:bCs/>
              </w:rPr>
              <w:t xml:space="preserve"> </w:t>
            </w:r>
            <w:r w:rsidRPr="00302C47">
              <w:rPr>
                <w:rFonts w:ascii="Times New Roman" w:hAnsi="Times New Roman"/>
                <w:bCs/>
              </w:rPr>
              <w:t xml:space="preserve">Het kabinet geeft aan gebruik te willen maken van best </w:t>
            </w:r>
            <w:proofErr w:type="spellStart"/>
            <w:r w:rsidRPr="00302C47">
              <w:rPr>
                <w:rFonts w:ascii="Times New Roman" w:hAnsi="Times New Roman"/>
                <w:bCs/>
              </w:rPr>
              <w:t>practices</w:t>
            </w:r>
            <w:proofErr w:type="spellEnd"/>
            <w:r w:rsidRPr="00302C47">
              <w:rPr>
                <w:rFonts w:ascii="Times New Roman" w:hAnsi="Times New Roman"/>
                <w:bCs/>
              </w:rPr>
              <w:t xml:space="preserve">, welke best </w:t>
            </w:r>
            <w:proofErr w:type="spellStart"/>
            <w:r w:rsidRPr="00302C47">
              <w:rPr>
                <w:rFonts w:ascii="Times New Roman" w:hAnsi="Times New Roman"/>
                <w:bCs/>
              </w:rPr>
              <w:t>practices</w:t>
            </w:r>
            <w:proofErr w:type="spellEnd"/>
            <w:r w:rsidRPr="00302C47">
              <w:rPr>
                <w:rFonts w:ascii="Times New Roman" w:hAnsi="Times New Roman"/>
                <w:bCs/>
              </w:rPr>
              <w:t xml:space="preserve"> zijn dit concreet?</w:t>
            </w:r>
            <w:r w:rsidR="00072EE6">
              <w:rPr>
                <w:rFonts w:ascii="Times New Roman" w:hAnsi="Times New Roman"/>
                <w:bCs/>
              </w:rPr>
              <w:t xml:space="preserve"> </w:t>
            </w:r>
            <w:r w:rsidRPr="00302C47">
              <w:rPr>
                <w:rFonts w:ascii="Times New Roman" w:hAnsi="Times New Roman"/>
                <w:bCs/>
              </w:rPr>
              <w:t>In hoeverre is het gebrek aan financiële geletterdheid vooral een probleem onder jongeren wat wordt gevoed door sociale media?</w:t>
            </w:r>
            <w:r w:rsidR="00072EE6">
              <w:rPr>
                <w:rFonts w:ascii="Times New Roman" w:hAnsi="Times New Roman"/>
                <w:bCs/>
              </w:rPr>
              <w:t xml:space="preserve"> </w:t>
            </w:r>
            <w:r w:rsidRPr="00302C47">
              <w:rPr>
                <w:rFonts w:ascii="Times New Roman" w:hAnsi="Times New Roman"/>
                <w:bCs/>
              </w:rPr>
              <w:t>Welke andere kwetsbare groepen heeft het kabinet in scope?</w:t>
            </w:r>
          </w:p>
          <w:p w:rsidRPr="00302C47" w:rsidR="00302C47" w:rsidP="00302C47" w:rsidRDefault="00302C47" w14:paraId="4ECB25D5" w14:textId="77777777">
            <w:pPr>
              <w:pStyle w:val="Geenafstand"/>
              <w:rPr>
                <w:rFonts w:ascii="Times New Roman" w:hAnsi="Times New Roman"/>
                <w:bCs/>
              </w:rPr>
            </w:pPr>
          </w:p>
          <w:p w:rsidR="00302C47" w:rsidP="00072EE6" w:rsidRDefault="00302C47" w14:paraId="02BF5F8A" w14:textId="4A14BE46">
            <w:pPr>
              <w:pStyle w:val="Geenafstand"/>
              <w:rPr>
                <w:rFonts w:ascii="Times New Roman" w:hAnsi="Times New Roman"/>
                <w:bCs/>
              </w:rPr>
            </w:pPr>
            <w:r w:rsidRPr="00302C47">
              <w:rPr>
                <w:rFonts w:ascii="Times New Roman" w:hAnsi="Times New Roman"/>
                <w:bCs/>
              </w:rPr>
              <w:t xml:space="preserve">In de strategie heeft de </w:t>
            </w:r>
            <w:r w:rsidR="006C2351">
              <w:rPr>
                <w:rFonts w:ascii="Times New Roman" w:hAnsi="Times New Roman"/>
                <w:bCs/>
              </w:rPr>
              <w:t xml:space="preserve">Europese </w:t>
            </w:r>
            <w:r w:rsidRPr="00302C47">
              <w:rPr>
                <w:rFonts w:ascii="Times New Roman" w:hAnsi="Times New Roman"/>
                <w:bCs/>
              </w:rPr>
              <w:t xml:space="preserve">Commissie in het bijzonder aandacht voor het vergroten van kennis over </w:t>
            </w:r>
            <w:proofErr w:type="spellStart"/>
            <w:r w:rsidRPr="00302C47">
              <w:rPr>
                <w:rFonts w:ascii="Times New Roman" w:hAnsi="Times New Roman"/>
                <w:bCs/>
              </w:rPr>
              <w:t>retailbeleggen</w:t>
            </w:r>
            <w:proofErr w:type="spellEnd"/>
            <w:r w:rsidRPr="00302C47">
              <w:rPr>
                <w:rFonts w:ascii="Times New Roman" w:hAnsi="Times New Roman"/>
                <w:bCs/>
              </w:rPr>
              <w:t xml:space="preserve"> en financiële producten. Het kabinet onderschrijft het standpunt van de </w:t>
            </w:r>
            <w:r w:rsidR="006C2351">
              <w:rPr>
                <w:rFonts w:ascii="Times New Roman" w:hAnsi="Times New Roman"/>
                <w:bCs/>
              </w:rPr>
              <w:t xml:space="preserve">Europese </w:t>
            </w:r>
            <w:r w:rsidRPr="00302C47">
              <w:rPr>
                <w:rFonts w:ascii="Times New Roman" w:hAnsi="Times New Roman"/>
                <w:bCs/>
              </w:rPr>
              <w:t>Commissie dat, indien een individu ervoor kiest te participeren op de kapitaalmarkten, hij of zij toegerust moet zijn om weloverwogen en geïnformeerde beslissingen te nemen.</w:t>
            </w:r>
            <w:r w:rsidR="00072EE6">
              <w:rPr>
                <w:rFonts w:ascii="Times New Roman" w:hAnsi="Times New Roman"/>
                <w:bCs/>
              </w:rPr>
              <w:t xml:space="preserve"> In dat kader vragen de leden van de BBB-fractie of </w:t>
            </w:r>
            <w:r w:rsidRPr="00302C47">
              <w:rPr>
                <w:rFonts w:ascii="Times New Roman" w:hAnsi="Times New Roman"/>
                <w:bCs/>
              </w:rPr>
              <w:t xml:space="preserve">het kabinet ook oog </w:t>
            </w:r>
            <w:r w:rsidR="00072EE6">
              <w:rPr>
                <w:rFonts w:ascii="Times New Roman" w:hAnsi="Times New Roman"/>
                <w:bCs/>
              </w:rPr>
              <w:t xml:space="preserve">heeft </w:t>
            </w:r>
            <w:r w:rsidRPr="00302C47">
              <w:rPr>
                <w:rFonts w:ascii="Times New Roman" w:hAnsi="Times New Roman"/>
                <w:bCs/>
              </w:rPr>
              <w:t xml:space="preserve">voor de verkooptechnieken en het creëren van schaarste, wat vaak onderdeel is van het adverteren door </w:t>
            </w:r>
            <w:proofErr w:type="spellStart"/>
            <w:r w:rsidRPr="00302C47">
              <w:rPr>
                <w:rFonts w:ascii="Times New Roman" w:hAnsi="Times New Roman"/>
                <w:bCs/>
              </w:rPr>
              <w:t>goeroe’s</w:t>
            </w:r>
            <w:proofErr w:type="spellEnd"/>
            <w:r w:rsidRPr="00302C47">
              <w:rPr>
                <w:rFonts w:ascii="Times New Roman" w:hAnsi="Times New Roman"/>
                <w:bCs/>
              </w:rPr>
              <w:t xml:space="preserve"> op sociale media?</w:t>
            </w:r>
          </w:p>
          <w:p w:rsidR="00072EE6" w:rsidP="00072EE6" w:rsidRDefault="00072EE6" w14:paraId="061E0C4B" w14:textId="77777777">
            <w:pPr>
              <w:pStyle w:val="Geenafstand"/>
              <w:rPr>
                <w:rFonts w:ascii="Times New Roman" w:hAnsi="Times New Roman"/>
                <w:bCs/>
              </w:rPr>
            </w:pPr>
          </w:p>
          <w:p w:rsidRPr="00302C47" w:rsidR="00772DF3" w:rsidP="00072EE6" w:rsidRDefault="006C2351" w14:paraId="30683591" w14:textId="225689DE">
            <w:pPr>
              <w:pStyle w:val="Geenafstand"/>
              <w:rPr>
                <w:rFonts w:ascii="Times New Roman" w:hAnsi="Times New Roman"/>
                <w:bCs/>
              </w:rPr>
            </w:pPr>
            <w:r>
              <w:rPr>
                <w:rFonts w:ascii="Times New Roman" w:hAnsi="Times New Roman"/>
                <w:bCs/>
              </w:rPr>
              <w:lastRenderedPageBreak/>
              <w:t>Deze leden</w:t>
            </w:r>
            <w:r w:rsidR="00072EE6">
              <w:rPr>
                <w:rFonts w:ascii="Times New Roman" w:hAnsi="Times New Roman"/>
                <w:bCs/>
              </w:rPr>
              <w:t xml:space="preserve"> vragen daarnaast of</w:t>
            </w:r>
            <w:r w:rsidRPr="00302C47" w:rsidR="00302C47">
              <w:rPr>
                <w:rFonts w:ascii="Times New Roman" w:hAnsi="Times New Roman"/>
                <w:bCs/>
              </w:rPr>
              <w:t xml:space="preserve"> het kabinet van mening </w:t>
            </w:r>
            <w:r w:rsidR="00072EE6">
              <w:rPr>
                <w:rFonts w:ascii="Times New Roman" w:hAnsi="Times New Roman"/>
                <w:bCs/>
              </w:rPr>
              <w:t xml:space="preserve">is </w:t>
            </w:r>
            <w:r w:rsidRPr="00302C47" w:rsidR="00302C47">
              <w:rPr>
                <w:rFonts w:ascii="Times New Roman" w:hAnsi="Times New Roman"/>
                <w:bCs/>
              </w:rPr>
              <w:t xml:space="preserve">dat kennis van een beleggingsproduct </w:t>
            </w:r>
            <w:proofErr w:type="spellStart"/>
            <w:r w:rsidRPr="00302C47" w:rsidR="00302C47">
              <w:rPr>
                <w:rFonts w:ascii="Times New Roman" w:hAnsi="Times New Roman"/>
                <w:bCs/>
              </w:rPr>
              <w:t>an</w:t>
            </w:r>
            <w:proofErr w:type="spellEnd"/>
            <w:r w:rsidR="00072EE6">
              <w:rPr>
                <w:rFonts w:ascii="Times New Roman" w:hAnsi="Times New Roman"/>
                <w:bCs/>
              </w:rPr>
              <w:t xml:space="preserve"> </w:t>
            </w:r>
            <w:proofErr w:type="spellStart"/>
            <w:r w:rsidRPr="00302C47" w:rsidR="00302C47">
              <w:rPr>
                <w:rFonts w:ascii="Times New Roman" w:hAnsi="Times New Roman"/>
                <w:bCs/>
              </w:rPr>
              <w:t>sich</w:t>
            </w:r>
            <w:proofErr w:type="spellEnd"/>
            <w:r w:rsidRPr="00302C47" w:rsidR="00302C47">
              <w:rPr>
                <w:rFonts w:ascii="Times New Roman" w:hAnsi="Times New Roman"/>
                <w:bCs/>
              </w:rPr>
              <w:t xml:space="preserve"> onvoldoende weerbaarheid met zich meebrengt om niet in verkooptechnieken van </w:t>
            </w:r>
            <w:r w:rsidR="000B3E77">
              <w:rPr>
                <w:rFonts w:ascii="Times New Roman" w:hAnsi="Times New Roman"/>
                <w:bCs/>
              </w:rPr>
              <w:t>“</w:t>
            </w:r>
            <w:r w:rsidRPr="000B3E77" w:rsidR="00302C47">
              <w:rPr>
                <w:rFonts w:ascii="Times New Roman" w:hAnsi="Times New Roman"/>
                <w:bCs/>
              </w:rPr>
              <w:t xml:space="preserve">get </w:t>
            </w:r>
            <w:proofErr w:type="spellStart"/>
            <w:r w:rsidRPr="000B3E77" w:rsidR="00302C47">
              <w:rPr>
                <w:rFonts w:ascii="Times New Roman" w:hAnsi="Times New Roman"/>
                <w:bCs/>
              </w:rPr>
              <w:t>rich</w:t>
            </w:r>
            <w:proofErr w:type="spellEnd"/>
            <w:r w:rsidRPr="000B3E77" w:rsidR="00302C47">
              <w:rPr>
                <w:rFonts w:ascii="Times New Roman" w:hAnsi="Times New Roman"/>
                <w:bCs/>
              </w:rPr>
              <w:t xml:space="preserve"> </w:t>
            </w:r>
            <w:proofErr w:type="spellStart"/>
            <w:r w:rsidRPr="000B3E77" w:rsidR="00302C47">
              <w:rPr>
                <w:rFonts w:ascii="Times New Roman" w:hAnsi="Times New Roman"/>
                <w:bCs/>
              </w:rPr>
              <w:t>quick</w:t>
            </w:r>
            <w:proofErr w:type="spellEnd"/>
            <w:r w:rsidRPr="000B3E77" w:rsidR="00302C47">
              <w:rPr>
                <w:rFonts w:ascii="Times New Roman" w:hAnsi="Times New Roman"/>
                <w:bCs/>
              </w:rPr>
              <w:t xml:space="preserve"> </w:t>
            </w:r>
            <w:proofErr w:type="spellStart"/>
            <w:r w:rsidRPr="000B3E77" w:rsidR="00302C47">
              <w:rPr>
                <w:rFonts w:ascii="Times New Roman" w:hAnsi="Times New Roman"/>
                <w:bCs/>
              </w:rPr>
              <w:t>schemes</w:t>
            </w:r>
            <w:proofErr w:type="spellEnd"/>
            <w:r w:rsidR="000B3E77">
              <w:rPr>
                <w:rFonts w:ascii="Times New Roman" w:hAnsi="Times New Roman"/>
                <w:bCs/>
              </w:rPr>
              <w:t>”</w:t>
            </w:r>
            <w:r w:rsidRPr="00302C47" w:rsidR="00302C47">
              <w:rPr>
                <w:rFonts w:ascii="Times New Roman" w:hAnsi="Times New Roman"/>
                <w:bCs/>
              </w:rPr>
              <w:t xml:space="preserve"> te </w:t>
            </w:r>
            <w:r w:rsidR="00072EE6">
              <w:rPr>
                <w:rFonts w:ascii="Times New Roman" w:hAnsi="Times New Roman"/>
                <w:bCs/>
              </w:rPr>
              <w:t>trappen</w:t>
            </w:r>
            <w:r w:rsidRPr="00302C47" w:rsidR="00302C47">
              <w:rPr>
                <w:rFonts w:ascii="Times New Roman" w:hAnsi="Times New Roman"/>
                <w:bCs/>
              </w:rPr>
              <w:t>?</w:t>
            </w:r>
            <w:r w:rsidR="000B3E77">
              <w:rPr>
                <w:rFonts w:ascii="Times New Roman" w:hAnsi="Times New Roman"/>
                <w:bCs/>
              </w:rPr>
              <w:t xml:space="preserve"> Deze leden</w:t>
            </w:r>
            <w:r w:rsidR="00072EE6">
              <w:rPr>
                <w:rFonts w:ascii="Times New Roman" w:hAnsi="Times New Roman"/>
                <w:bCs/>
              </w:rPr>
              <w:t xml:space="preserve"> vragen ook w</w:t>
            </w:r>
            <w:r w:rsidRPr="00302C47" w:rsidR="00302C47">
              <w:rPr>
                <w:rFonts w:ascii="Times New Roman" w:hAnsi="Times New Roman"/>
                <w:bCs/>
              </w:rPr>
              <w:t xml:space="preserve">at kan het kabinet nog meer </w:t>
            </w:r>
            <w:r w:rsidR="00072EE6">
              <w:rPr>
                <w:rFonts w:ascii="Times New Roman" w:hAnsi="Times New Roman"/>
                <w:bCs/>
              </w:rPr>
              <w:t xml:space="preserve">kan </w:t>
            </w:r>
            <w:r w:rsidRPr="00302C47" w:rsidR="00302C47">
              <w:rPr>
                <w:rFonts w:ascii="Times New Roman" w:hAnsi="Times New Roman"/>
                <w:bCs/>
              </w:rPr>
              <w:t xml:space="preserve">doen om oplichtende praktijken online met </w:t>
            </w:r>
            <w:r w:rsidRPr="000B3E77" w:rsidR="000B3E77">
              <w:rPr>
                <w:rFonts w:ascii="Times New Roman" w:hAnsi="Times New Roman"/>
                <w:bCs/>
              </w:rPr>
              <w:t>“</w:t>
            </w:r>
            <w:r w:rsidRPr="000B3E77" w:rsidR="00302C47">
              <w:rPr>
                <w:rFonts w:ascii="Times New Roman" w:hAnsi="Times New Roman"/>
                <w:bCs/>
              </w:rPr>
              <w:t xml:space="preserve">get </w:t>
            </w:r>
            <w:proofErr w:type="spellStart"/>
            <w:r w:rsidRPr="000B3E77" w:rsidR="00302C47">
              <w:rPr>
                <w:rFonts w:ascii="Times New Roman" w:hAnsi="Times New Roman"/>
                <w:bCs/>
              </w:rPr>
              <w:t>rich</w:t>
            </w:r>
            <w:proofErr w:type="spellEnd"/>
            <w:r w:rsidRPr="000B3E77" w:rsidR="00302C47">
              <w:rPr>
                <w:rFonts w:ascii="Times New Roman" w:hAnsi="Times New Roman"/>
                <w:bCs/>
              </w:rPr>
              <w:t xml:space="preserve"> </w:t>
            </w:r>
            <w:proofErr w:type="spellStart"/>
            <w:r w:rsidRPr="000B3E77" w:rsidR="00302C47">
              <w:rPr>
                <w:rFonts w:ascii="Times New Roman" w:hAnsi="Times New Roman"/>
                <w:bCs/>
              </w:rPr>
              <w:t>quick</w:t>
            </w:r>
            <w:proofErr w:type="spellEnd"/>
            <w:r w:rsidRPr="000B3E77" w:rsidR="00302C47">
              <w:rPr>
                <w:rFonts w:ascii="Times New Roman" w:hAnsi="Times New Roman"/>
                <w:bCs/>
              </w:rPr>
              <w:t xml:space="preserve"> </w:t>
            </w:r>
            <w:proofErr w:type="spellStart"/>
            <w:r w:rsidRPr="000B3E77" w:rsidR="00302C47">
              <w:rPr>
                <w:rFonts w:ascii="Times New Roman" w:hAnsi="Times New Roman"/>
                <w:bCs/>
              </w:rPr>
              <w:t>schemes</w:t>
            </w:r>
            <w:proofErr w:type="spellEnd"/>
            <w:r w:rsidRPr="000B3E77" w:rsidR="000B3E77">
              <w:rPr>
                <w:rFonts w:ascii="Times New Roman" w:hAnsi="Times New Roman"/>
                <w:bCs/>
              </w:rPr>
              <w:t>”</w:t>
            </w:r>
            <w:r w:rsidR="00072EE6">
              <w:rPr>
                <w:rFonts w:ascii="Times New Roman" w:hAnsi="Times New Roman"/>
                <w:bCs/>
              </w:rPr>
              <w:t xml:space="preserve"> </w:t>
            </w:r>
            <w:r w:rsidRPr="00302C47" w:rsidR="00302C47">
              <w:rPr>
                <w:rFonts w:ascii="Times New Roman" w:hAnsi="Times New Roman"/>
                <w:bCs/>
              </w:rPr>
              <w:t>(</w:t>
            </w:r>
            <w:r w:rsidR="00072EE6">
              <w:rPr>
                <w:rFonts w:ascii="Times New Roman" w:hAnsi="Times New Roman"/>
                <w:bCs/>
              </w:rPr>
              <w:t>die</w:t>
            </w:r>
            <w:r w:rsidRPr="00302C47" w:rsidR="00302C47">
              <w:rPr>
                <w:rFonts w:ascii="Times New Roman" w:hAnsi="Times New Roman"/>
                <w:bCs/>
              </w:rPr>
              <w:t xml:space="preserve"> juridisch gezien geen oplichting </w:t>
            </w:r>
            <w:r w:rsidR="00072EE6">
              <w:rPr>
                <w:rFonts w:ascii="Times New Roman" w:hAnsi="Times New Roman"/>
                <w:bCs/>
              </w:rPr>
              <w:t>hoeven</w:t>
            </w:r>
            <w:r w:rsidRPr="00302C47" w:rsidR="00302C47">
              <w:rPr>
                <w:rFonts w:ascii="Times New Roman" w:hAnsi="Times New Roman"/>
                <w:bCs/>
              </w:rPr>
              <w:t xml:space="preserve"> te zijn) tegen te gaan?</w:t>
            </w:r>
          </w:p>
        </w:tc>
      </w:tr>
      <w:tr w:rsidRPr="00302C47" w:rsidR="001F15E4" w14:paraId="30683595" w14:textId="77777777">
        <w:tc>
          <w:tcPr>
            <w:tcW w:w="3614" w:type="dxa"/>
          </w:tcPr>
          <w:p w:rsidRPr="00302C47" w:rsidR="001F15E4" w:rsidRDefault="001F15E4" w14:paraId="30683593" w14:textId="77777777"/>
        </w:tc>
        <w:tc>
          <w:tcPr>
            <w:tcW w:w="5596" w:type="dxa"/>
          </w:tcPr>
          <w:p w:rsidRPr="00302C47" w:rsidR="001F15E4" w:rsidP="00D56ECC" w:rsidRDefault="001F15E4" w14:paraId="30683594" w14:textId="77777777">
            <w:pPr>
              <w:pStyle w:val="Geenafstand"/>
              <w:rPr>
                <w:rFonts w:ascii="Times New Roman" w:hAnsi="Times New Roman" w:eastAsia="Times New Roman"/>
                <w:b/>
                <w:szCs w:val="20"/>
                <w:lang w:eastAsia="nl-NL"/>
              </w:rPr>
            </w:pPr>
          </w:p>
        </w:tc>
      </w:tr>
      <w:tr w:rsidRPr="00302C47" w:rsidR="00F474A2" w14:paraId="30683599" w14:textId="77777777">
        <w:tc>
          <w:tcPr>
            <w:tcW w:w="3614" w:type="dxa"/>
          </w:tcPr>
          <w:p w:rsidRPr="00302C47" w:rsidR="00F474A2" w:rsidRDefault="00F474A2" w14:paraId="30683596" w14:textId="77777777"/>
        </w:tc>
        <w:tc>
          <w:tcPr>
            <w:tcW w:w="5596" w:type="dxa"/>
          </w:tcPr>
          <w:p w:rsidRPr="00302C47" w:rsidR="00F474A2" w:rsidP="009B3DF9" w:rsidRDefault="00F474A2" w14:paraId="30683597" w14:textId="77777777">
            <w:pPr>
              <w:pStyle w:val="Kop1"/>
              <w:rPr>
                <w:b w:val="0"/>
              </w:rPr>
            </w:pPr>
          </w:p>
          <w:p w:rsidRPr="00302C47" w:rsidR="00843853" w:rsidP="009B3DF9" w:rsidRDefault="00843853" w14:paraId="30683598" w14:textId="77777777"/>
        </w:tc>
      </w:tr>
      <w:tr w:rsidRPr="00302C47" w:rsidR="00F474A2" w14:paraId="3068359C" w14:textId="77777777">
        <w:tc>
          <w:tcPr>
            <w:tcW w:w="3614" w:type="dxa"/>
          </w:tcPr>
          <w:p w:rsidRPr="00302C47" w:rsidR="00F474A2" w:rsidRDefault="00F474A2" w14:paraId="3068359A" w14:textId="77777777">
            <w:pPr>
              <w:rPr>
                <w:b/>
              </w:rPr>
            </w:pPr>
          </w:p>
        </w:tc>
        <w:tc>
          <w:tcPr>
            <w:tcW w:w="5596" w:type="dxa"/>
          </w:tcPr>
          <w:p w:rsidRPr="00302C47" w:rsidR="00F474A2" w:rsidP="00C66491" w:rsidRDefault="00F474A2" w14:paraId="3068359B" w14:textId="77777777">
            <w:pPr>
              <w:pStyle w:val="Kop1"/>
            </w:pPr>
            <w:r w:rsidRPr="00302C47">
              <w:t xml:space="preserve">II </w:t>
            </w:r>
            <w:r w:rsidRPr="00302C47">
              <w:tab/>
              <w:t xml:space="preserve">Reactie van de </w:t>
            </w:r>
            <w:r w:rsidRPr="00302C47" w:rsidR="00543D58">
              <w:t>minister</w:t>
            </w:r>
            <w:r w:rsidRPr="00302C47" w:rsidR="00563865">
              <w:t xml:space="preserve"> </w:t>
            </w:r>
          </w:p>
        </w:tc>
      </w:tr>
      <w:tr w:rsidRPr="00302C47" w:rsidR="00F474A2" w14:paraId="3068359F" w14:textId="77777777">
        <w:tc>
          <w:tcPr>
            <w:tcW w:w="3614" w:type="dxa"/>
          </w:tcPr>
          <w:p w:rsidRPr="00302C47" w:rsidR="00F474A2" w:rsidRDefault="00F474A2" w14:paraId="3068359D" w14:textId="77777777"/>
        </w:tc>
        <w:tc>
          <w:tcPr>
            <w:tcW w:w="5596" w:type="dxa"/>
          </w:tcPr>
          <w:p w:rsidRPr="00302C47" w:rsidR="00F474A2" w:rsidRDefault="00F474A2" w14:paraId="3068359E" w14:textId="77777777">
            <w:pPr>
              <w:pStyle w:val="Kop1"/>
              <w:rPr>
                <w:b w:val="0"/>
              </w:rPr>
            </w:pPr>
          </w:p>
        </w:tc>
      </w:tr>
      <w:tr w:rsidRPr="00302C47" w:rsidR="00F474A2" w14:paraId="306835A2" w14:textId="77777777">
        <w:tc>
          <w:tcPr>
            <w:tcW w:w="3614" w:type="dxa"/>
          </w:tcPr>
          <w:p w:rsidRPr="00302C47" w:rsidR="00F474A2" w:rsidRDefault="00F474A2" w14:paraId="306835A0" w14:textId="77777777"/>
        </w:tc>
        <w:tc>
          <w:tcPr>
            <w:tcW w:w="5596" w:type="dxa"/>
          </w:tcPr>
          <w:p w:rsidRPr="00302C47" w:rsidR="00F474A2" w:rsidRDefault="00F474A2" w14:paraId="306835A1" w14:textId="77777777">
            <w:pPr>
              <w:pStyle w:val="Kop1"/>
              <w:rPr>
                <w:b w:val="0"/>
              </w:rPr>
            </w:pPr>
          </w:p>
        </w:tc>
      </w:tr>
    </w:tbl>
    <w:p w:rsidRPr="00302C47" w:rsidR="003F75A1" w:rsidP="00843853" w:rsidRDefault="003F75A1" w14:paraId="306835A3" w14:textId="77777777"/>
    <w:sectPr w:rsidRPr="00302C47"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3BB00" w14:textId="77777777" w:rsidR="00294CC4" w:rsidRDefault="00294CC4">
      <w:r>
        <w:separator/>
      </w:r>
    </w:p>
  </w:endnote>
  <w:endnote w:type="continuationSeparator" w:id="0">
    <w:p w14:paraId="1CDB08CD" w14:textId="77777777" w:rsidR="00294CC4" w:rsidRDefault="0029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06835A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0642E">
      <w:rPr>
        <w:rStyle w:val="Paginanummer"/>
        <w:noProof/>
      </w:rPr>
      <w:t>1</w:t>
    </w:r>
    <w:r>
      <w:rPr>
        <w:rStyle w:val="Paginanummer"/>
      </w:rPr>
      <w:fldChar w:fldCharType="end"/>
    </w:r>
  </w:p>
  <w:p w14:paraId="306835A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A358" w14:textId="77777777" w:rsidR="00294CC4" w:rsidRDefault="00294CC4">
      <w:r>
        <w:separator/>
      </w:r>
    </w:p>
  </w:footnote>
  <w:footnote w:type="continuationSeparator" w:id="0">
    <w:p w14:paraId="62F09780" w14:textId="77777777" w:rsidR="00294CC4" w:rsidRDefault="00294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3930"/>
    <w:multiLevelType w:val="multilevel"/>
    <w:tmpl w:val="2BF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79034783"/>
    <w:multiLevelType w:val="multilevel"/>
    <w:tmpl w:val="58DA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645008026">
    <w:abstractNumId w:val="1"/>
  </w:num>
  <w:num w:numId="2" w16cid:durableId="1928341769">
    <w:abstractNumId w:val="5"/>
  </w:num>
  <w:num w:numId="3" w16cid:durableId="1123117647">
    <w:abstractNumId w:val="2"/>
  </w:num>
  <w:num w:numId="4" w16cid:durableId="636641377">
    <w:abstractNumId w:val="4"/>
  </w:num>
  <w:num w:numId="5" w16cid:durableId="171770563">
    <w:abstractNumId w:val="3"/>
  </w:num>
  <w:num w:numId="6" w16cid:durableId="181247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045D"/>
    <w:rsid w:val="00000A80"/>
    <w:rsid w:val="00005558"/>
    <w:rsid w:val="000318B7"/>
    <w:rsid w:val="000355A1"/>
    <w:rsid w:val="0005111C"/>
    <w:rsid w:val="00051353"/>
    <w:rsid w:val="00052E5C"/>
    <w:rsid w:val="0006547A"/>
    <w:rsid w:val="00072EE6"/>
    <w:rsid w:val="000A43A1"/>
    <w:rsid w:val="000B3E77"/>
    <w:rsid w:val="000C714B"/>
    <w:rsid w:val="000E5ECE"/>
    <w:rsid w:val="000F1DD1"/>
    <w:rsid w:val="00115A3F"/>
    <w:rsid w:val="001452A5"/>
    <w:rsid w:val="001654EB"/>
    <w:rsid w:val="00180FCB"/>
    <w:rsid w:val="001835B5"/>
    <w:rsid w:val="00183906"/>
    <w:rsid w:val="00186F95"/>
    <w:rsid w:val="001875AC"/>
    <w:rsid w:val="001B1222"/>
    <w:rsid w:val="001D681E"/>
    <w:rsid w:val="001E6F15"/>
    <w:rsid w:val="001F0B0F"/>
    <w:rsid w:val="001F15E4"/>
    <w:rsid w:val="002008EE"/>
    <w:rsid w:val="00203DCD"/>
    <w:rsid w:val="00210BD1"/>
    <w:rsid w:val="002200C0"/>
    <w:rsid w:val="00221609"/>
    <w:rsid w:val="00230B54"/>
    <w:rsid w:val="00235C8D"/>
    <w:rsid w:val="00257798"/>
    <w:rsid w:val="00294CC4"/>
    <w:rsid w:val="002969EF"/>
    <w:rsid w:val="002A21A3"/>
    <w:rsid w:val="002B1F2E"/>
    <w:rsid w:val="002B3047"/>
    <w:rsid w:val="002B6301"/>
    <w:rsid w:val="002C0B49"/>
    <w:rsid w:val="002C53E8"/>
    <w:rsid w:val="002C5C6A"/>
    <w:rsid w:val="002F3FCC"/>
    <w:rsid w:val="00302C47"/>
    <w:rsid w:val="003151A5"/>
    <w:rsid w:val="003234D6"/>
    <w:rsid w:val="00346019"/>
    <w:rsid w:val="00351BF2"/>
    <w:rsid w:val="00367C40"/>
    <w:rsid w:val="003711A2"/>
    <w:rsid w:val="00393435"/>
    <w:rsid w:val="003A3CF5"/>
    <w:rsid w:val="003B603F"/>
    <w:rsid w:val="003B7B12"/>
    <w:rsid w:val="003D2587"/>
    <w:rsid w:val="003F75A1"/>
    <w:rsid w:val="00416484"/>
    <w:rsid w:val="00426F2E"/>
    <w:rsid w:val="00443A68"/>
    <w:rsid w:val="0044717C"/>
    <w:rsid w:val="00454F5B"/>
    <w:rsid w:val="00476151"/>
    <w:rsid w:val="004C2CE1"/>
    <w:rsid w:val="004F7AB1"/>
    <w:rsid w:val="0050486D"/>
    <w:rsid w:val="005339DB"/>
    <w:rsid w:val="00543D58"/>
    <w:rsid w:val="005635A5"/>
    <w:rsid w:val="00563865"/>
    <w:rsid w:val="0058662D"/>
    <w:rsid w:val="00592695"/>
    <w:rsid w:val="00593751"/>
    <w:rsid w:val="005A68D9"/>
    <w:rsid w:val="005B1660"/>
    <w:rsid w:val="005C1121"/>
    <w:rsid w:val="005C48B9"/>
    <w:rsid w:val="005D15EC"/>
    <w:rsid w:val="005D5A68"/>
    <w:rsid w:val="005E3C01"/>
    <w:rsid w:val="005F729E"/>
    <w:rsid w:val="005F7A8A"/>
    <w:rsid w:val="00611E22"/>
    <w:rsid w:val="0063686D"/>
    <w:rsid w:val="006467C7"/>
    <w:rsid w:val="0068005C"/>
    <w:rsid w:val="00690427"/>
    <w:rsid w:val="00697496"/>
    <w:rsid w:val="006B5F19"/>
    <w:rsid w:val="006C2351"/>
    <w:rsid w:val="006D0DCD"/>
    <w:rsid w:val="006D7FCB"/>
    <w:rsid w:val="006E7D9A"/>
    <w:rsid w:val="006F4E23"/>
    <w:rsid w:val="00766CBB"/>
    <w:rsid w:val="00772DF3"/>
    <w:rsid w:val="00794522"/>
    <w:rsid w:val="007A0181"/>
    <w:rsid w:val="007A674D"/>
    <w:rsid w:val="007D0C2B"/>
    <w:rsid w:val="007D37CD"/>
    <w:rsid w:val="007E7900"/>
    <w:rsid w:val="007F2292"/>
    <w:rsid w:val="008010AF"/>
    <w:rsid w:val="008274BC"/>
    <w:rsid w:val="008356B7"/>
    <w:rsid w:val="00843853"/>
    <w:rsid w:val="0085371B"/>
    <w:rsid w:val="00857C2B"/>
    <w:rsid w:val="00896ADD"/>
    <w:rsid w:val="008A57C0"/>
    <w:rsid w:val="008B24F5"/>
    <w:rsid w:val="008B414A"/>
    <w:rsid w:val="008B68E0"/>
    <w:rsid w:val="008B7AF4"/>
    <w:rsid w:val="008E2E5B"/>
    <w:rsid w:val="008F0FA9"/>
    <w:rsid w:val="00902A33"/>
    <w:rsid w:val="0090642E"/>
    <w:rsid w:val="009227FE"/>
    <w:rsid w:val="00924E81"/>
    <w:rsid w:val="0094472E"/>
    <w:rsid w:val="00947C94"/>
    <w:rsid w:val="00991374"/>
    <w:rsid w:val="009952B0"/>
    <w:rsid w:val="009A39C1"/>
    <w:rsid w:val="009B3DF9"/>
    <w:rsid w:val="009D135A"/>
    <w:rsid w:val="009D622E"/>
    <w:rsid w:val="009E5E8E"/>
    <w:rsid w:val="009E6418"/>
    <w:rsid w:val="00A03ED9"/>
    <w:rsid w:val="00A062F1"/>
    <w:rsid w:val="00A1492F"/>
    <w:rsid w:val="00A637A4"/>
    <w:rsid w:val="00A76666"/>
    <w:rsid w:val="00AE6224"/>
    <w:rsid w:val="00AE6397"/>
    <w:rsid w:val="00B001E2"/>
    <w:rsid w:val="00B0233A"/>
    <w:rsid w:val="00B450E9"/>
    <w:rsid w:val="00BA62B1"/>
    <w:rsid w:val="00BB7EE0"/>
    <w:rsid w:val="00BD00AB"/>
    <w:rsid w:val="00BD24DE"/>
    <w:rsid w:val="00BD28F1"/>
    <w:rsid w:val="00BE4FE2"/>
    <w:rsid w:val="00C00CAF"/>
    <w:rsid w:val="00C157DA"/>
    <w:rsid w:val="00C20EE5"/>
    <w:rsid w:val="00C223FA"/>
    <w:rsid w:val="00C66491"/>
    <w:rsid w:val="00C87D15"/>
    <w:rsid w:val="00C97747"/>
    <w:rsid w:val="00CA79D3"/>
    <w:rsid w:val="00CC0D12"/>
    <w:rsid w:val="00CC5C03"/>
    <w:rsid w:val="00CE7AC0"/>
    <w:rsid w:val="00D1464D"/>
    <w:rsid w:val="00D17FB1"/>
    <w:rsid w:val="00D26468"/>
    <w:rsid w:val="00D32D4A"/>
    <w:rsid w:val="00D56ECC"/>
    <w:rsid w:val="00D57505"/>
    <w:rsid w:val="00D64193"/>
    <w:rsid w:val="00D67C8E"/>
    <w:rsid w:val="00D8701F"/>
    <w:rsid w:val="00DB4DB0"/>
    <w:rsid w:val="00E019F9"/>
    <w:rsid w:val="00E14A5C"/>
    <w:rsid w:val="00E2248F"/>
    <w:rsid w:val="00E33EEA"/>
    <w:rsid w:val="00E41743"/>
    <w:rsid w:val="00E60F63"/>
    <w:rsid w:val="00E669BB"/>
    <w:rsid w:val="00E66CA0"/>
    <w:rsid w:val="00E76D21"/>
    <w:rsid w:val="00E86DEC"/>
    <w:rsid w:val="00EE037F"/>
    <w:rsid w:val="00EE0B6C"/>
    <w:rsid w:val="00EF0EC2"/>
    <w:rsid w:val="00EF5795"/>
    <w:rsid w:val="00F06ABB"/>
    <w:rsid w:val="00F161AC"/>
    <w:rsid w:val="00F22F70"/>
    <w:rsid w:val="00F43278"/>
    <w:rsid w:val="00F44C4F"/>
    <w:rsid w:val="00F474A2"/>
    <w:rsid w:val="00F518F0"/>
    <w:rsid w:val="00F5347D"/>
    <w:rsid w:val="00F62FBC"/>
    <w:rsid w:val="00F93601"/>
    <w:rsid w:val="00FA3710"/>
    <w:rsid w:val="00FB1261"/>
    <w:rsid w:val="72AA68F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83538"/>
  <w15:chartTrackingRefBased/>
  <w15:docId w15:val="{CA36E82B-74BB-4514-912B-1DC05DFA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styleId="Nadruk">
    <w:name w:val="Emphasis"/>
    <w:uiPriority w:val="20"/>
    <w:qFormat/>
    <w:rsid w:val="005F729E"/>
    <w:rPr>
      <w:i/>
      <w:iCs/>
    </w:rPr>
  </w:style>
  <w:style w:type="character" w:styleId="Verwijzingopmerking">
    <w:name w:val="annotation reference"/>
    <w:rsid w:val="008B68E0"/>
    <w:rPr>
      <w:sz w:val="16"/>
      <w:szCs w:val="16"/>
    </w:rPr>
  </w:style>
  <w:style w:type="paragraph" w:styleId="Tekstopmerking">
    <w:name w:val="annotation text"/>
    <w:basedOn w:val="Standaard"/>
    <w:link w:val="TekstopmerkingChar"/>
    <w:rsid w:val="008B68E0"/>
    <w:rPr>
      <w:sz w:val="20"/>
    </w:rPr>
  </w:style>
  <w:style w:type="character" w:customStyle="1" w:styleId="TekstopmerkingChar">
    <w:name w:val="Tekst opmerking Char"/>
    <w:basedOn w:val="Standaardalinea-lettertype"/>
    <w:link w:val="Tekstopmerking"/>
    <w:rsid w:val="008B68E0"/>
  </w:style>
  <w:style w:type="paragraph" w:styleId="Onderwerpvanopmerking">
    <w:name w:val="annotation subject"/>
    <w:basedOn w:val="Tekstopmerking"/>
    <w:next w:val="Tekstopmerking"/>
    <w:link w:val="OnderwerpvanopmerkingChar"/>
    <w:rsid w:val="008B68E0"/>
    <w:rPr>
      <w:b/>
      <w:bCs/>
    </w:rPr>
  </w:style>
  <w:style w:type="character" w:customStyle="1" w:styleId="OnderwerpvanopmerkingChar">
    <w:name w:val="Onderwerp van opmerking Char"/>
    <w:link w:val="Onderwerpvanopmerking"/>
    <w:rsid w:val="008B68E0"/>
    <w:rPr>
      <w:b/>
      <w:bCs/>
    </w:rPr>
  </w:style>
  <w:style w:type="paragraph" w:styleId="Ballontekst">
    <w:name w:val="Balloon Text"/>
    <w:basedOn w:val="Standaard"/>
    <w:link w:val="BallontekstChar"/>
    <w:rsid w:val="008B68E0"/>
    <w:rPr>
      <w:rFonts w:ascii="Tahoma" w:hAnsi="Tahoma" w:cs="Tahoma"/>
      <w:sz w:val="16"/>
      <w:szCs w:val="16"/>
    </w:rPr>
  </w:style>
  <w:style w:type="character" w:customStyle="1" w:styleId="BallontekstChar">
    <w:name w:val="Ballontekst Char"/>
    <w:link w:val="Ballontekst"/>
    <w:rsid w:val="008B68E0"/>
    <w:rPr>
      <w:rFonts w:ascii="Tahoma" w:hAnsi="Tahoma" w:cs="Tahoma"/>
      <w:sz w:val="16"/>
      <w:szCs w:val="16"/>
    </w:rPr>
  </w:style>
  <w:style w:type="paragraph" w:styleId="Geenafstand">
    <w:name w:val="No Spacing"/>
    <w:basedOn w:val="Standaard"/>
    <w:uiPriority w:val="1"/>
    <w:qFormat/>
    <w:rsid w:val="00563865"/>
    <w:rPr>
      <w:rFonts w:ascii="Calibri" w:eastAsia="Calibri" w:hAnsi="Calibri"/>
      <w:szCs w:val="22"/>
      <w:lang w:eastAsia="en-US"/>
    </w:rPr>
  </w:style>
  <w:style w:type="paragraph" w:styleId="Voetnoottekst">
    <w:name w:val="footnote text"/>
    <w:basedOn w:val="Standaard"/>
    <w:link w:val="VoetnoottekstChar"/>
    <w:rsid w:val="00772DF3"/>
    <w:rPr>
      <w:sz w:val="20"/>
    </w:rPr>
  </w:style>
  <w:style w:type="character" w:customStyle="1" w:styleId="VoetnoottekstChar">
    <w:name w:val="Voetnoottekst Char"/>
    <w:basedOn w:val="Standaardalinea-lettertype"/>
    <w:link w:val="Voetnoottekst"/>
    <w:rsid w:val="00772DF3"/>
  </w:style>
  <w:style w:type="character" w:styleId="Voetnootmarkering">
    <w:name w:val="footnote reference"/>
    <w:rsid w:val="00772DF3"/>
    <w:rPr>
      <w:vertAlign w:val="superscript"/>
    </w:rPr>
  </w:style>
  <w:style w:type="paragraph" w:styleId="Koptekst">
    <w:name w:val="header"/>
    <w:basedOn w:val="Standaard"/>
    <w:link w:val="KoptekstChar"/>
    <w:rsid w:val="005A68D9"/>
    <w:pPr>
      <w:tabs>
        <w:tab w:val="center" w:pos="4536"/>
        <w:tab w:val="right" w:pos="9072"/>
      </w:tabs>
    </w:pPr>
  </w:style>
  <w:style w:type="character" w:customStyle="1" w:styleId="KoptekstChar">
    <w:name w:val="Koptekst Char"/>
    <w:basedOn w:val="Standaardalinea-lettertype"/>
    <w:link w:val="Koptekst"/>
    <w:rsid w:val="005A68D9"/>
    <w:rPr>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87108">
      <w:bodyDiv w:val="1"/>
      <w:marLeft w:val="0"/>
      <w:marRight w:val="0"/>
      <w:marTop w:val="0"/>
      <w:marBottom w:val="0"/>
      <w:divBdr>
        <w:top w:val="none" w:sz="0" w:space="0" w:color="auto"/>
        <w:left w:val="none" w:sz="0" w:space="0" w:color="auto"/>
        <w:bottom w:val="none" w:sz="0" w:space="0" w:color="auto"/>
        <w:right w:val="none" w:sz="0" w:space="0" w:color="auto"/>
      </w:divBdr>
    </w:div>
    <w:div w:id="1872959884">
      <w:bodyDiv w:val="1"/>
      <w:marLeft w:val="0"/>
      <w:marRight w:val="0"/>
      <w:marTop w:val="0"/>
      <w:marBottom w:val="0"/>
      <w:divBdr>
        <w:top w:val="none" w:sz="0" w:space="0" w:color="auto"/>
        <w:left w:val="none" w:sz="0" w:space="0" w:color="auto"/>
        <w:bottom w:val="none" w:sz="0" w:space="0" w:color="auto"/>
        <w:right w:val="none" w:sz="0" w:space="0" w:color="auto"/>
      </w:divBdr>
    </w:div>
    <w:div w:id="19809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1864</ap:Words>
  <ap:Characters>10787</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12626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2025-12-08T07:38:00.0000000Z</dcterms:created>
  <dcterms:modified xsi:type="dcterms:W3CDTF">2025-12-08T07:48:00.0000000Z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4ZDN3PVYHFMW-1027967194-1226</vt:lpwstr>
  </property>
  <property fmtid="{D5CDD505-2E9C-101B-9397-08002B2CF9AE}" pid="3" name="_dlc_DocIdItemGuid">
    <vt:lpwstr>931ecb7f-d2fc-4065-9183-75369ca061db</vt:lpwstr>
  </property>
  <property fmtid="{D5CDD505-2E9C-101B-9397-08002B2CF9AE}" pid="4" name="_dlc_DocIdUrl">
    <vt:lpwstr>https://teamsites/commissie/Fin/_layouts/15/DocIdRedir.aspx?ID=4ZDN3PVYHFMW-1027967194-1226, 4ZDN3PVYHFMW-1027967194-1226</vt:lpwstr>
  </property>
  <property fmtid="{D5CDD505-2E9C-101B-9397-08002B2CF9AE}" pid="5" name="display_urn:schemas-microsoft-com:office:office#Editor">
    <vt:lpwstr>Dujardin, L.</vt:lpwstr>
  </property>
  <property fmtid="{D5CDD505-2E9C-101B-9397-08002B2CF9AE}" pid="6" name="display_urn:schemas-microsoft-com:office:office#Author">
    <vt:lpwstr>Rotermundt, M.</vt:lpwstr>
  </property>
  <property fmtid="{D5CDD505-2E9C-101B-9397-08002B2CF9AE}" pid="7" name="ContentTypeId">
    <vt:lpwstr>0x0101003EBEF98046509448AC7610C7D5538E30</vt:lpwstr>
  </property>
</Properties>
</file>