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559" w:rsidP="00BB2550" w:rsidRDefault="00C939A9" w14:paraId="1E89B6C5"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VNG Model beleidsregels schuldhulpverlening beschikbaar</w:t>
      </w:r>
    </w:p>
    <w:p w:rsidRPr="004C0BF7" w:rsidR="00C939A9" w:rsidP="004C0BF7" w:rsidRDefault="00C939A9" w14:paraId="59AAE357" w14:textId="54280662">
      <w:pPr>
        <w:spacing w:after="384" w:afterLines="160" w:line="278" w:lineRule="auto"/>
        <w:rPr>
          <w:rFonts w:ascii="Verdana" w:hAnsi="Verdana" w:eastAsia="Arial" w:cs="Arial"/>
          <w:b/>
          <w:bCs/>
          <w:sz w:val="18"/>
          <w:szCs w:val="18"/>
        </w:rPr>
      </w:pPr>
      <w:r w:rsidRPr="004C0BF7">
        <w:rPr>
          <w:rFonts w:ascii="Verdana" w:hAnsi="Verdana" w:eastAsia="Arial" w:cs="Arial"/>
          <w:sz w:val="18"/>
          <w:szCs w:val="18"/>
        </w:rPr>
        <w:t xml:space="preserve">De Wet gemeentelijke schuldhulpverlening staat voor integrale schuldhulpverlening: er moet aandacht zijn voor de financiële problemen van inwoners en de omstandigheden die daarmee verband houden. </w:t>
      </w:r>
      <w:proofErr w:type="gramStart"/>
      <w:r w:rsidRPr="004C0BF7">
        <w:rPr>
          <w:rFonts w:ascii="Verdana" w:hAnsi="Verdana" w:eastAsia="Arial" w:cs="Arial"/>
          <w:sz w:val="18"/>
          <w:szCs w:val="18"/>
        </w:rPr>
        <w:t>De model beleidsregels</w:t>
      </w:r>
      <w:proofErr w:type="gramEnd"/>
      <w:r w:rsidRPr="004C0BF7">
        <w:rPr>
          <w:rFonts w:ascii="Verdana" w:hAnsi="Verdana" w:eastAsia="Arial" w:cs="Arial"/>
          <w:sz w:val="18"/>
          <w:szCs w:val="18"/>
        </w:rPr>
        <w:t xml:space="preserve"> geven hier invulling aan. Ook bieden </w:t>
      </w:r>
      <w:proofErr w:type="gramStart"/>
      <w:r w:rsidRPr="004C0BF7">
        <w:rPr>
          <w:rFonts w:ascii="Verdana" w:hAnsi="Verdana" w:eastAsia="Arial" w:cs="Arial"/>
          <w:sz w:val="18"/>
          <w:szCs w:val="18"/>
        </w:rPr>
        <w:t>de model beleidsregels</w:t>
      </w:r>
      <w:proofErr w:type="gramEnd"/>
      <w:r w:rsidRPr="004C0BF7">
        <w:rPr>
          <w:rFonts w:ascii="Verdana" w:hAnsi="Verdana" w:eastAsia="Arial" w:cs="Arial"/>
          <w:sz w:val="18"/>
          <w:szCs w:val="18"/>
        </w:rPr>
        <w:t xml:space="preserve"> een uitwerking van de landelijk gedragen ambities rond het gelijktrekken en versterken van het schuldhulpverleningsproces. Dat draagt bij aan het verhogen van het bereik vanuit de Elementen basisdienstverlening schuldhulpverlening. </w:t>
      </w:r>
      <w:proofErr w:type="gramStart"/>
      <w:r w:rsidRPr="004C0BF7">
        <w:rPr>
          <w:rFonts w:ascii="Verdana" w:hAnsi="Verdana" w:eastAsia="Arial" w:cs="Arial"/>
          <w:sz w:val="18"/>
          <w:szCs w:val="18"/>
        </w:rPr>
        <w:t>De model beleidsregels</w:t>
      </w:r>
      <w:proofErr w:type="gramEnd"/>
      <w:r w:rsidRPr="004C0BF7">
        <w:rPr>
          <w:rFonts w:ascii="Verdana" w:hAnsi="Verdana" w:eastAsia="Arial" w:cs="Arial"/>
          <w:sz w:val="18"/>
          <w:szCs w:val="18"/>
        </w:rPr>
        <w:t xml:space="preserve"> maken inzichtelijk wanneer een aanbod voor schuldhulpverlening wordt gedaan, hoe dit tot stand komt en hoe de schuldhulpverlening wordt uitgevoerd. Hiermee dragen de beleidsregels bij aan harmonisatie tussen gemeenten, met aandacht voor het perspectief van inwoners en met oog en ruimte voor maatwerk in de uitvoering. Meer toelichting, het format model en de implementatiehandleiding vindt u </w:t>
      </w:r>
      <w:hyperlink w:history="1" r:id="rId8">
        <w:r w:rsidRPr="004C0BF7">
          <w:rPr>
            <w:rStyle w:val="Hyperlink"/>
            <w:rFonts w:ascii="Verdana" w:hAnsi="Verdana" w:eastAsia="Arial" w:cs="Arial"/>
            <w:sz w:val="18"/>
            <w:szCs w:val="18"/>
          </w:rPr>
          <w:t>hier</w:t>
        </w:r>
      </w:hyperlink>
      <w:r w:rsidRPr="004C0BF7">
        <w:rPr>
          <w:rFonts w:ascii="Verdana" w:hAnsi="Verdana" w:eastAsia="Arial" w:cs="Arial"/>
          <w:sz w:val="18"/>
          <w:szCs w:val="18"/>
        </w:rPr>
        <w:t xml:space="preserve">. </w:t>
      </w:r>
    </w:p>
    <w:p w:rsidRPr="00AA38C7" w:rsidR="00C939A9" w:rsidP="00BB2550" w:rsidRDefault="00C939A9" w14:paraId="488634E0" w14:textId="77777777">
      <w:pPr>
        <w:spacing w:after="384" w:afterLines="160" w:line="278" w:lineRule="auto"/>
        <w:ind w:left="720" w:hanging="360"/>
        <w:rPr>
          <w:rFonts w:ascii="Verdana" w:hAnsi="Verdana"/>
          <w:sz w:val="18"/>
          <w:szCs w:val="18"/>
        </w:rPr>
      </w:pPr>
    </w:p>
    <w:p w:rsidRPr="00AA38C7" w:rsidR="00824AA9" w:rsidP="00BB2550" w:rsidRDefault="00824AA9" w14:paraId="676577F4" w14:textId="0A23B849">
      <w:pPr>
        <w:pStyle w:val="Lijstalinea"/>
        <w:numPr>
          <w:ilvl w:val="0"/>
          <w:numId w:val="6"/>
        </w:numPr>
        <w:spacing w:after="384" w:afterLines="160" w:line="278" w:lineRule="auto"/>
        <w:rPr>
          <w:rFonts w:ascii="Verdana" w:hAnsi="Verdana"/>
          <w:b/>
          <w:bCs/>
          <w:sz w:val="18"/>
          <w:szCs w:val="18"/>
        </w:rPr>
      </w:pPr>
      <w:r w:rsidRPr="00AA38C7">
        <w:rPr>
          <w:rFonts w:ascii="Verdana" w:hAnsi="Verdana" w:eastAsia="Arial" w:cs="Arial"/>
          <w:b/>
          <w:bCs/>
          <w:sz w:val="18"/>
          <w:szCs w:val="18"/>
        </w:rPr>
        <w:t>Begeleiding en nazorg</w:t>
      </w:r>
      <w:r w:rsidRPr="00AA38C7" w:rsidR="00922D33">
        <w:rPr>
          <w:rFonts w:ascii="Verdana" w:hAnsi="Verdana" w:eastAsia="Arial" w:cs="Arial"/>
          <w:b/>
          <w:bCs/>
          <w:sz w:val="18"/>
          <w:szCs w:val="18"/>
        </w:rPr>
        <w:t xml:space="preserve"> bij schuldhulpverlening </w:t>
      </w:r>
      <w:r w:rsidRPr="00AA38C7">
        <w:rPr>
          <w:rFonts w:ascii="Verdana" w:hAnsi="Verdana" w:eastAsia="Arial" w:cs="Arial"/>
          <w:b/>
          <w:bCs/>
          <w:sz w:val="18"/>
          <w:szCs w:val="18"/>
        </w:rPr>
        <w:t>voorkomen uitval en versterken oplossingen</w:t>
      </w:r>
    </w:p>
    <w:p w:rsidRPr="00AA38C7" w:rsidR="00824AA9" w:rsidP="00BB2550" w:rsidRDefault="00824AA9" w14:paraId="3AB7C360" w14:textId="77777777">
      <w:pPr>
        <w:spacing w:after="384" w:afterLines="160" w:line="278" w:lineRule="auto"/>
        <w:rPr>
          <w:rFonts w:ascii="Verdana" w:hAnsi="Verdana" w:eastAsia="Arial" w:cs="Arial"/>
          <w:sz w:val="18"/>
          <w:szCs w:val="18"/>
        </w:rPr>
      </w:pPr>
      <w:r w:rsidRPr="00AA38C7">
        <w:rPr>
          <w:rFonts w:ascii="Verdana" w:hAnsi="Verdana" w:eastAsia="Arial" w:cs="Arial"/>
          <w:sz w:val="18"/>
          <w:szCs w:val="18"/>
        </w:rPr>
        <w:t xml:space="preserve">Gemeenten begeleiden inwoners vanuit de elementen basisdienstverlening schuldhulpverlening. De VNG en NVVK hebben de handreiking Begeleiding vernieuwd. De handreiking bevat nu de laatste inzichten vanuit het inwonersperspectief en maakt een duidelijk onderscheid in ondersteunende en financiële begeleiding. De </w:t>
      </w:r>
      <w:hyperlink r:id="rId9">
        <w:r w:rsidRPr="00AA38C7">
          <w:rPr>
            <w:rFonts w:ascii="Verdana" w:hAnsi="Verdana" w:eastAsia="Arial" w:cs="Arial"/>
            <w:sz w:val="18"/>
            <w:szCs w:val="18"/>
          </w:rPr>
          <w:t xml:space="preserve">handreiking </w:t>
        </w:r>
      </w:hyperlink>
      <w:r w:rsidRPr="00AA38C7">
        <w:rPr>
          <w:rFonts w:ascii="Verdana" w:hAnsi="Verdana" w:eastAsia="Arial" w:cs="Arial"/>
          <w:sz w:val="18"/>
          <w:szCs w:val="18"/>
        </w:rPr>
        <w:t>beschrijft alle elementen van de basisdienstverlening schuldhulpverlening die te maken hebben met het begeleiden van inwoners en biedt een stappenplan als ondersteuning aan gemeenten om de begeleiding te kunnen vormgeven. Tot slot bevat de </w:t>
      </w:r>
      <w:hyperlink w:history="1" r:id="rId10">
        <w:r w:rsidRPr="00AA38C7">
          <w:rPr>
            <w:rFonts w:ascii="Verdana" w:hAnsi="Verdana" w:eastAsia="Arial" w:cs="Arial"/>
            <w:sz w:val="18"/>
            <w:szCs w:val="18"/>
          </w:rPr>
          <w:t>handreiking</w:t>
        </w:r>
      </w:hyperlink>
      <w:r w:rsidRPr="00AA38C7">
        <w:rPr>
          <w:rFonts w:ascii="Verdana" w:hAnsi="Verdana" w:eastAsia="Arial" w:cs="Arial"/>
          <w:sz w:val="18"/>
          <w:szCs w:val="18"/>
        </w:rPr>
        <w:t xml:space="preserve"> onder andere het vernieuwde begeleidingsplan. U vindt de handreiking en de nadere toelichting en aanvullingen </w:t>
      </w:r>
      <w:hyperlink w:history="1" r:id="rId11">
        <w:r w:rsidRPr="00AA38C7">
          <w:rPr>
            <w:rStyle w:val="Hyperlink"/>
            <w:rFonts w:ascii="Verdana" w:hAnsi="Verdana" w:eastAsia="Arial" w:cs="Arial"/>
            <w:sz w:val="18"/>
            <w:szCs w:val="18"/>
          </w:rPr>
          <w:t>hier</w:t>
        </w:r>
      </w:hyperlink>
      <w:r w:rsidRPr="00AA38C7">
        <w:rPr>
          <w:rFonts w:ascii="Verdana" w:hAnsi="Verdana" w:eastAsia="Arial" w:cs="Arial"/>
          <w:sz w:val="18"/>
          <w:szCs w:val="18"/>
        </w:rPr>
        <w:t xml:space="preserve">. </w:t>
      </w:r>
    </w:p>
    <w:p w:rsidRPr="00AA38C7" w:rsidR="00824AA9" w:rsidP="00BB2550" w:rsidRDefault="00824AA9" w14:paraId="156A072F" w14:textId="77777777">
      <w:pPr>
        <w:spacing w:after="384" w:afterLines="160" w:line="278" w:lineRule="auto"/>
        <w:rPr>
          <w:rFonts w:ascii="Verdana" w:hAnsi="Verdana" w:eastAsia="Arial" w:cs="Arial"/>
          <w:sz w:val="18"/>
          <w:szCs w:val="18"/>
        </w:rPr>
      </w:pPr>
    </w:p>
    <w:p w:rsidRPr="00AA38C7" w:rsidR="00824AA9" w:rsidP="00BB2550" w:rsidRDefault="00824AA9" w14:paraId="13F205B4"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 xml:space="preserve">Op 1 januari 2026 wijzigt de berekening van de beslagvrije voet </w:t>
      </w:r>
    </w:p>
    <w:p w:rsidR="00824AA9" w:rsidP="00BB2550" w:rsidRDefault="00824AA9" w14:paraId="444F9E17" w14:textId="04CF2D26">
      <w:pPr>
        <w:spacing w:after="384" w:afterLines="160" w:line="278" w:lineRule="auto"/>
        <w:rPr>
          <w:rFonts w:ascii="Verdana" w:hAnsi="Verdana"/>
          <w:sz w:val="18"/>
          <w:szCs w:val="18"/>
        </w:rPr>
      </w:pPr>
      <w:r w:rsidRPr="00AA38C7">
        <w:rPr>
          <w:rFonts w:ascii="Verdana" w:hAnsi="Verdana"/>
          <w:sz w:val="18"/>
          <w:szCs w:val="18"/>
        </w:rPr>
        <w:t xml:space="preserve">Vanaf 1 januari 2026 verandert de berekening van de beslagvrije voet. Dit komt door een </w:t>
      </w:r>
      <w:hyperlink w:history="1" r:id="rId12">
        <w:r w:rsidRPr="00AA38C7">
          <w:rPr>
            <w:rStyle w:val="Hyperlink"/>
            <w:rFonts w:ascii="Verdana" w:hAnsi="Verdana"/>
            <w:sz w:val="18"/>
            <w:szCs w:val="18"/>
          </w:rPr>
          <w:t>wijziging in de wet op de huurtoeslag</w:t>
        </w:r>
      </w:hyperlink>
      <w:r w:rsidRPr="00AA38C7">
        <w:rPr>
          <w:rFonts w:ascii="Verdana" w:hAnsi="Verdana"/>
          <w:sz w:val="18"/>
          <w:szCs w:val="18"/>
        </w:rPr>
        <w:t xml:space="preserve">. </w:t>
      </w:r>
      <w:r w:rsidRPr="00AA38C7">
        <w:rPr>
          <w:rFonts w:ascii="Verdana" w:hAnsi="Verdana" w:cstheme="minorHAnsi"/>
          <w:sz w:val="18"/>
          <w:szCs w:val="18"/>
        </w:rPr>
        <w:t>Door de nieuwe regels krijgen</w:t>
      </w:r>
      <w:r w:rsidRPr="00AA38C7">
        <w:rPr>
          <w:rFonts w:ascii="Verdana" w:hAnsi="Verdana" w:cs="Calibri"/>
          <w:sz w:val="18"/>
          <w:szCs w:val="18"/>
        </w:rPr>
        <w:t xml:space="preserve"> meer mensen recht op huurtoeslag en wordt het duidelijker wat er met huurtoeslag gebeurt als het inkomen stijgt. </w:t>
      </w:r>
      <w:r w:rsidRPr="00AA38C7">
        <w:rPr>
          <w:rFonts w:ascii="Verdana" w:hAnsi="Verdana" w:cstheme="minorHAnsi"/>
          <w:sz w:val="18"/>
          <w:szCs w:val="18"/>
        </w:rPr>
        <w:t>Omdat de beslagvrije voet rekening houdt met woonkosten en huurtoeslag, kan de beslagvrije voet bij een herberekening veranderen. Het kan zijn dat de beslagvrije voet bij herberekening lager wordt vastgesteld dan in 2025.</w:t>
      </w:r>
      <w:r w:rsidRPr="00AA38C7">
        <w:rPr>
          <w:rFonts w:ascii="Verdana" w:hAnsi="Verdana" w:cs="Calibri"/>
          <w:sz w:val="18"/>
          <w:szCs w:val="18"/>
        </w:rPr>
        <w:t xml:space="preserve"> </w:t>
      </w:r>
      <w:r w:rsidRPr="00AA38C7">
        <w:rPr>
          <w:rFonts w:ascii="Verdana" w:hAnsi="Verdana"/>
          <w:sz w:val="18"/>
          <w:szCs w:val="18"/>
        </w:rPr>
        <w:t>Voor vragen over de beslagvrije voet kunnen mensen terecht bij de beslaglegger.</w:t>
      </w:r>
      <w:r w:rsidRPr="00AA38C7">
        <w:rPr>
          <w:rFonts w:ascii="Verdana" w:hAnsi="Verdana"/>
          <w:sz w:val="18"/>
          <w:szCs w:val="18"/>
        </w:rPr>
        <w:br/>
      </w:r>
      <w:r w:rsidRPr="00AA38C7">
        <w:rPr>
          <w:rFonts w:ascii="Verdana" w:hAnsi="Verdana"/>
          <w:sz w:val="18"/>
          <w:szCs w:val="18"/>
        </w:rPr>
        <w:br/>
        <w:t xml:space="preserve">Het Ministerie van Sociale Zaken en Werkgelegenheid informeert, samen met de Keten voor Derdenbeslag, organisaties en hulpverleners die mensen ondersteunen bij loonbeslag. Deze informatie is bedoeld voor situaties waarin de beslagvrije voet opnieuw wordt berekend. Zo’n herberekening vindt minimaal één keer per jaar plaats. Voor bestaande beslagen of verrekeningen is het niet nodig om eerder een herberekening uit te voeren. Het is wel belangrijk dat mensen controleren of </w:t>
      </w:r>
      <w:hyperlink w:history="1" r:id="rId13">
        <w:r w:rsidRPr="00AA38C7">
          <w:rPr>
            <w:rStyle w:val="Hyperlink"/>
            <w:rFonts w:ascii="Verdana" w:hAnsi="Verdana"/>
            <w:sz w:val="18"/>
            <w:szCs w:val="18"/>
          </w:rPr>
          <w:t>zij vanaf 1 januari 2026 recht hebben op huurtoeslag</w:t>
        </w:r>
      </w:hyperlink>
      <w:r w:rsidRPr="00AA38C7">
        <w:rPr>
          <w:rFonts w:ascii="Verdana" w:hAnsi="Verdana"/>
          <w:sz w:val="18"/>
          <w:szCs w:val="18"/>
        </w:rPr>
        <w:t xml:space="preserve">. Dienst Toeslagen verzorgt hierover de publieksvoorlichting. </w:t>
      </w:r>
    </w:p>
    <w:p w:rsidRPr="00AA38C7" w:rsidR="00BE4559" w:rsidP="00BB2550" w:rsidRDefault="00BE4559" w14:paraId="2E394895" w14:textId="77777777">
      <w:pPr>
        <w:spacing w:after="384" w:afterLines="160" w:line="278" w:lineRule="auto"/>
        <w:rPr>
          <w:rFonts w:ascii="Verdana" w:hAnsi="Verdana"/>
          <w:sz w:val="18"/>
          <w:szCs w:val="18"/>
        </w:rPr>
      </w:pPr>
    </w:p>
    <w:p w:rsidRPr="00AA38C7" w:rsidR="00E443B0" w:rsidP="00BB2550" w:rsidRDefault="00E443B0" w14:paraId="143B94BE" w14:textId="77777777">
      <w:pPr>
        <w:spacing w:after="384" w:afterLines="160" w:line="278" w:lineRule="auto"/>
        <w:rPr>
          <w:rFonts w:ascii="Verdana" w:hAnsi="Verdana"/>
          <w:sz w:val="18"/>
          <w:szCs w:val="18"/>
        </w:rPr>
      </w:pPr>
    </w:p>
    <w:p w:rsidRPr="00AA38C7" w:rsidR="00912F8E" w:rsidP="00BB2550" w:rsidRDefault="00912F8E" w14:paraId="71664F34"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Vergoeding werkgeverslasten bij loonkostensubsidie per 1 januari 2026 ongewijzigd</w:t>
      </w:r>
    </w:p>
    <w:p w:rsidRPr="00AA38C7" w:rsidR="00912F8E" w:rsidP="00BB2550" w:rsidRDefault="00912F8E" w14:paraId="0722B607" w14:textId="13CA5E3E">
      <w:pPr>
        <w:spacing w:after="384" w:afterLines="160" w:line="278" w:lineRule="auto"/>
        <w:rPr>
          <w:rFonts w:ascii="Verdana" w:hAnsi="Verdana"/>
          <w:sz w:val="18"/>
          <w:szCs w:val="18"/>
        </w:rPr>
      </w:pPr>
      <w:r w:rsidRPr="00AA38C7">
        <w:rPr>
          <w:rFonts w:ascii="Verdana" w:hAnsi="Verdana"/>
          <w:sz w:val="18"/>
          <w:szCs w:val="18"/>
        </w:rPr>
        <w:t>De vergoeding voor werkgeverslasten bij loonkostensubsidie op grond van artikel 10d van de Participatiewet wijzigt per 1 januari 2026 niet.</w:t>
      </w:r>
      <w:r w:rsidRPr="00AA38C7">
        <w:rPr>
          <w:rFonts w:ascii="Verdana" w:hAnsi="Verdana"/>
          <w:sz w:val="18"/>
          <w:szCs w:val="18"/>
        </w:rPr>
        <w:br/>
      </w:r>
      <w:r w:rsidRPr="00AA38C7">
        <w:rPr>
          <w:rFonts w:ascii="Verdana" w:hAnsi="Verdana"/>
          <w:sz w:val="18"/>
          <w:szCs w:val="18"/>
        </w:rPr>
        <w:br/>
        <w:t>Deze vergoeding wordt bepaald aan de hand van de vaststelling van de wettelijk verplichte werkgeverspremies voor een werknemer die het wettelijk minimumloon verdient in de marktsector. Het vastgestelde percentage wordt naar boven afgerond op een halve procentpunt. Uit de berekeningen volgt dat de vergoeding per 1 januari 2026 gehandhaafd blijft op 25 procent.</w:t>
      </w:r>
    </w:p>
    <w:p w:rsidRPr="00AA38C7" w:rsidR="00912F8E" w:rsidP="00BB2550" w:rsidRDefault="00912F8E" w14:paraId="54704079" w14:textId="77777777">
      <w:pPr>
        <w:pStyle w:val="Lijstalinea"/>
        <w:spacing w:after="384" w:afterLines="160" w:line="278" w:lineRule="auto"/>
        <w:ind w:left="360"/>
        <w:rPr>
          <w:rFonts w:ascii="Verdana" w:hAnsi="Verdana" w:eastAsia="Arial" w:cs="Arial"/>
          <w:b/>
          <w:bCs/>
          <w:sz w:val="18"/>
          <w:szCs w:val="18"/>
        </w:rPr>
      </w:pPr>
    </w:p>
    <w:p w:rsidRPr="00AA38C7" w:rsidR="00824AA9" w:rsidP="00BB2550" w:rsidRDefault="00824AA9" w14:paraId="64EFD862" w14:textId="02676A93">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Eenmalige ophoging Impulsbudget Arbeidsmarktregio’s 2025 – Hervorming van de Arbeidsmarktinfrastructuur</w:t>
      </w:r>
    </w:p>
    <w:p w:rsidRPr="00AA38C7" w:rsidR="00824AA9" w:rsidP="00BB2550" w:rsidRDefault="00824AA9" w14:paraId="059359D9" w14:textId="6AE8444F">
      <w:pPr>
        <w:spacing w:after="384" w:afterLines="160" w:line="278" w:lineRule="auto"/>
        <w:rPr>
          <w:rFonts w:ascii="Verdana" w:hAnsi="Verdana"/>
          <w:sz w:val="18"/>
          <w:szCs w:val="18"/>
        </w:rPr>
      </w:pPr>
      <w:r w:rsidRPr="00AA38C7">
        <w:rPr>
          <w:rFonts w:ascii="Verdana" w:hAnsi="Verdana"/>
          <w:sz w:val="18"/>
          <w:szCs w:val="18"/>
        </w:rPr>
        <w:t xml:space="preserve">We zien dat er belangrijke stappen worden gezet in het kader van de hervorming van de arbeidsmarktinfrastructuur. Een groot deel van de arbeidsmarktregio’s heeft al een operationeel Werkcentrum of werkt daar nu hard aan. Om deze transitie en implementatie nog wat extra kracht bij te zetten stellen we eenmalig aanvullende middelen beschikbaar. Dat betekent dat er per december 2025 (door ophoging van de DU Impulsbudget bij de decembercirculaire 2025) een bedrag van </w:t>
      </w:r>
      <w:proofErr w:type="gramStart"/>
      <w:r w:rsidRPr="00AA38C7">
        <w:rPr>
          <w:rFonts w:ascii="Verdana" w:hAnsi="Verdana"/>
          <w:sz w:val="18"/>
          <w:szCs w:val="18"/>
        </w:rPr>
        <w:t>circa</w:t>
      </w:r>
      <w:proofErr w:type="gramEnd"/>
      <w:r w:rsidRPr="00AA38C7">
        <w:rPr>
          <w:rFonts w:ascii="Verdana" w:hAnsi="Verdana"/>
          <w:sz w:val="18"/>
          <w:szCs w:val="18"/>
        </w:rPr>
        <w:t xml:space="preserve"> €157.000 beschikbaar wordt gesteld per arbeidsmarktregio voor eenmalige kosten die te maken hebben met de transitie of implementatie van het Werkcentrum. Hierbij kan gedacht worden aan benodigde extra inzet voor de integratie van het </w:t>
      </w:r>
      <w:proofErr w:type="spellStart"/>
      <w:r w:rsidRPr="00AA38C7">
        <w:rPr>
          <w:rFonts w:ascii="Verdana" w:hAnsi="Verdana"/>
          <w:sz w:val="18"/>
          <w:szCs w:val="18"/>
        </w:rPr>
        <w:t>WerkgeversServicepunt</w:t>
      </w:r>
      <w:proofErr w:type="spellEnd"/>
      <w:r w:rsidRPr="00AA38C7">
        <w:rPr>
          <w:rFonts w:ascii="Verdana" w:hAnsi="Verdana"/>
          <w:sz w:val="18"/>
          <w:szCs w:val="18"/>
        </w:rPr>
        <w:t xml:space="preserve"> in het Werkcentrum, voor het ontwikkelen van een aanpak voor de implementatie van VUM of de aanschaf van ondersteunende software voor matching en talentontwikkeling. Hiermee wordt de DU Impulsbudget Arbeidsmarktregio van 2025 opgehoogd van €</w:t>
      </w:r>
      <w:r w:rsidRPr="00AA38C7" w:rsidR="00BA1CAC">
        <w:rPr>
          <w:rFonts w:ascii="Verdana" w:hAnsi="Verdana"/>
          <w:sz w:val="18"/>
          <w:szCs w:val="18"/>
        </w:rPr>
        <w:t xml:space="preserve"> </w:t>
      </w:r>
      <w:r w:rsidRPr="00AA38C7">
        <w:rPr>
          <w:rFonts w:ascii="Verdana" w:hAnsi="Verdana"/>
          <w:sz w:val="18"/>
          <w:szCs w:val="18"/>
        </w:rPr>
        <w:t>1.006.658 naar €</w:t>
      </w:r>
      <w:r w:rsidRPr="00AA38C7" w:rsidR="00BA1CAC">
        <w:rPr>
          <w:rFonts w:ascii="Verdana" w:hAnsi="Verdana"/>
          <w:sz w:val="18"/>
          <w:szCs w:val="18"/>
        </w:rPr>
        <w:t xml:space="preserve"> </w:t>
      </w:r>
      <w:r w:rsidRPr="00AA38C7">
        <w:rPr>
          <w:rFonts w:ascii="Verdana" w:hAnsi="Verdana"/>
          <w:sz w:val="18"/>
          <w:szCs w:val="18"/>
        </w:rPr>
        <w:t>1.163.658.</w:t>
      </w:r>
      <w:r w:rsidRPr="00AA38C7">
        <w:rPr>
          <w:rFonts w:ascii="Verdana" w:hAnsi="Verdana"/>
          <w:sz w:val="18"/>
          <w:szCs w:val="18"/>
        </w:rPr>
        <w:br/>
      </w:r>
      <w:r w:rsidRPr="00AA38C7">
        <w:rPr>
          <w:rFonts w:ascii="Verdana" w:hAnsi="Verdana"/>
          <w:sz w:val="18"/>
          <w:szCs w:val="18"/>
        </w:rPr>
        <w:br/>
        <w:t xml:space="preserve">De volledige tabel met financiering voor centrumgemeenten en het Impulsbudget Arbeidsmarktregio is te vinden onder de </w:t>
      </w:r>
      <w:hyperlink w:history="1" r:id="rId14">
        <w:r w:rsidRPr="00AA38C7">
          <w:rPr>
            <w:rStyle w:val="Hyperlink"/>
            <w:rFonts w:ascii="Verdana" w:hAnsi="Verdana"/>
            <w:sz w:val="18"/>
            <w:szCs w:val="18"/>
          </w:rPr>
          <w:t xml:space="preserve">financiële </w:t>
        </w:r>
        <w:proofErr w:type="spellStart"/>
        <w:r w:rsidRPr="00AA38C7">
          <w:rPr>
            <w:rStyle w:val="Hyperlink"/>
            <w:rFonts w:ascii="Verdana" w:hAnsi="Verdana"/>
            <w:sz w:val="18"/>
            <w:szCs w:val="18"/>
          </w:rPr>
          <w:t>Q&amp;A’s</w:t>
        </w:r>
        <w:proofErr w:type="spellEnd"/>
        <w:r w:rsidRPr="00AA38C7">
          <w:rPr>
            <w:rStyle w:val="Hyperlink"/>
            <w:rFonts w:ascii="Verdana" w:hAnsi="Verdana"/>
            <w:sz w:val="18"/>
            <w:szCs w:val="18"/>
          </w:rPr>
          <w:t xml:space="preserve"> op Samenvoordeklant</w:t>
        </w:r>
      </w:hyperlink>
      <w:r w:rsidRPr="00AA38C7">
        <w:rPr>
          <w:rFonts w:ascii="Verdana" w:hAnsi="Verdana"/>
          <w:sz w:val="18"/>
          <w:szCs w:val="18"/>
        </w:rPr>
        <w:t xml:space="preserve">. </w:t>
      </w:r>
    </w:p>
    <w:p w:rsidRPr="00AA38C7" w:rsidR="00824AA9" w:rsidP="00BB2550" w:rsidRDefault="00824AA9" w14:paraId="0CEC6BCA" w14:textId="77777777">
      <w:pPr>
        <w:pStyle w:val="Plattetekst"/>
        <w:spacing w:after="384" w:afterLines="160" w:line="278" w:lineRule="auto"/>
        <w:ind w:left="0" w:right="218"/>
        <w:jc w:val="both"/>
        <w:rPr>
          <w:rFonts w:ascii="Verdana" w:hAnsi="Verdana"/>
        </w:rPr>
      </w:pPr>
    </w:p>
    <w:p w:rsidRPr="00AA38C7" w:rsidR="001A4789" w:rsidP="00BB2550" w:rsidRDefault="001A4789" w14:paraId="36365AE0" w14:textId="69B346EE">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Wet van school naar duurzaam werk</w:t>
      </w:r>
      <w:r w:rsidRPr="00AA38C7" w:rsidR="001755DA">
        <w:rPr>
          <w:rFonts w:ascii="Verdana" w:hAnsi="Verdana" w:eastAsia="Arial" w:cs="Arial"/>
          <w:b/>
          <w:bCs/>
          <w:sz w:val="18"/>
          <w:szCs w:val="18"/>
        </w:rPr>
        <w:t xml:space="preserve"> 1 januari in werking</w:t>
      </w:r>
    </w:p>
    <w:p w:rsidRPr="00AA38C7" w:rsidR="008308C2" w:rsidP="00E443B0" w:rsidRDefault="008308C2" w14:paraId="499F661C" w14:textId="7F320A54">
      <w:pPr>
        <w:spacing w:line="278" w:lineRule="auto"/>
        <w:rPr>
          <w:rFonts w:ascii="Verdana" w:hAnsi="Verdana" w:eastAsia="Arial" w:cs="Arial"/>
          <w:sz w:val="18"/>
          <w:szCs w:val="18"/>
        </w:rPr>
      </w:pPr>
      <w:r w:rsidRPr="00AA38C7">
        <w:rPr>
          <w:rFonts w:ascii="Verdana" w:hAnsi="Verdana" w:eastAsia="Arial" w:cs="Arial"/>
          <w:sz w:val="18"/>
          <w:szCs w:val="18"/>
        </w:rPr>
        <w:t xml:space="preserve">De wet- en regelgeving van school naar duurzaam werk treedt op 1 januari 2026 in werking. </w:t>
      </w:r>
    </w:p>
    <w:p w:rsidRPr="00AA38C7" w:rsidR="008308C2" w:rsidP="00BB2550" w:rsidRDefault="008308C2" w14:paraId="105041AF" w14:textId="3DC33978">
      <w:pPr>
        <w:spacing w:after="384" w:afterLines="160" w:line="278" w:lineRule="auto"/>
        <w:rPr>
          <w:rFonts w:ascii="Verdana" w:hAnsi="Verdana" w:eastAsia="Arial" w:cs="Arial"/>
          <w:sz w:val="18"/>
          <w:szCs w:val="18"/>
        </w:rPr>
      </w:pPr>
      <w:r w:rsidRPr="00AA38C7">
        <w:rPr>
          <w:rFonts w:ascii="Verdana" w:hAnsi="Verdana" w:eastAsia="Arial" w:cs="Arial"/>
          <w:sz w:val="18"/>
          <w:szCs w:val="18"/>
        </w:rPr>
        <w:t xml:space="preserve">Met deze wet- en regelgeving krijgen scholen, Doorstroompunten en gemeenten (verantwoordelijk voor de uitvoering van de Participatiewet) meer mogelijkheden om jongeren tot 27 jaar te </w:t>
      </w:r>
      <w:proofErr w:type="gramStart"/>
      <w:r w:rsidRPr="00AA38C7">
        <w:rPr>
          <w:rFonts w:ascii="Verdana" w:hAnsi="Verdana" w:eastAsia="Arial" w:cs="Arial"/>
          <w:sz w:val="18"/>
          <w:szCs w:val="18"/>
        </w:rPr>
        <w:t>ondersteunen</w:t>
      </w:r>
      <w:proofErr w:type="gramEnd"/>
      <w:r w:rsidRPr="00AA38C7">
        <w:rPr>
          <w:rFonts w:ascii="Verdana" w:hAnsi="Verdana" w:eastAsia="Arial" w:cs="Arial"/>
          <w:sz w:val="18"/>
          <w:szCs w:val="18"/>
        </w:rPr>
        <w:t xml:space="preserve"> bij de overgang van school naar werk en het behoud van werk bij (dreigende) werkloosheid. </w:t>
      </w:r>
    </w:p>
    <w:p w:rsidRPr="00AA38C7" w:rsidR="008308C2" w:rsidP="00BB2550" w:rsidRDefault="008308C2" w14:paraId="50213DB6" w14:textId="05807B4D">
      <w:pPr>
        <w:spacing w:after="384" w:afterLines="160" w:line="278" w:lineRule="auto"/>
        <w:rPr>
          <w:rFonts w:ascii="Verdana" w:hAnsi="Verdana" w:eastAsia="Arial" w:cs="Arial"/>
          <w:sz w:val="18"/>
          <w:szCs w:val="18"/>
        </w:rPr>
      </w:pPr>
      <w:r w:rsidRPr="00AA38C7">
        <w:rPr>
          <w:rFonts w:ascii="Verdana" w:hAnsi="Verdana" w:eastAsia="Arial" w:cs="Arial"/>
          <w:sz w:val="18"/>
          <w:szCs w:val="18"/>
        </w:rPr>
        <w:t xml:space="preserve">De focus ligt op jongeren met een structurele achterstand op de arbeidsmarkt. Dit zijn jongeren zonder startkwalificatie uit het praktijkonderwijs en voortgezet speciaal onderwijs of als gevolg van voortijdige schooluitval en jongeren uit het middelbaar beroepsonderwijs met nadruk op niveau 1/entree en niveau 2 in de </w:t>
      </w:r>
      <w:proofErr w:type="spellStart"/>
      <w:r w:rsidRPr="00AA38C7">
        <w:rPr>
          <w:rFonts w:ascii="Verdana" w:hAnsi="Verdana" w:eastAsia="Arial" w:cs="Arial"/>
          <w:sz w:val="18"/>
          <w:szCs w:val="18"/>
        </w:rPr>
        <w:t>beroepsopleidende</w:t>
      </w:r>
      <w:proofErr w:type="spellEnd"/>
      <w:r w:rsidRPr="00AA38C7">
        <w:rPr>
          <w:rFonts w:ascii="Verdana" w:hAnsi="Verdana" w:eastAsia="Arial" w:cs="Arial"/>
          <w:sz w:val="18"/>
          <w:szCs w:val="18"/>
        </w:rPr>
        <w:t xml:space="preserve"> leerweg. </w:t>
      </w:r>
    </w:p>
    <w:p w:rsidRPr="00AA38C7" w:rsidR="008308C2" w:rsidP="00BB2550" w:rsidRDefault="008308C2" w14:paraId="0767F1A9" w14:textId="7491D45C">
      <w:pPr>
        <w:spacing w:after="384" w:afterLines="160" w:line="278" w:lineRule="auto"/>
        <w:rPr>
          <w:rFonts w:ascii="Verdana" w:hAnsi="Verdana" w:eastAsia="Arial" w:cs="Arial"/>
          <w:sz w:val="18"/>
          <w:szCs w:val="18"/>
        </w:rPr>
      </w:pPr>
      <w:r w:rsidRPr="00AA38C7">
        <w:rPr>
          <w:rFonts w:ascii="Verdana" w:hAnsi="Verdana" w:eastAsia="Arial" w:cs="Arial"/>
          <w:sz w:val="18"/>
          <w:szCs w:val="18"/>
        </w:rPr>
        <w:t>Vier samenhangende maatregelen worden genomen:</w:t>
      </w:r>
    </w:p>
    <w:p w:rsidRPr="00AA38C7" w:rsidR="008308C2" w:rsidP="00BB2550" w:rsidRDefault="008308C2" w14:paraId="077E90E1" w14:textId="77777777">
      <w:pPr>
        <w:pStyle w:val="Lijstalinea"/>
        <w:numPr>
          <w:ilvl w:val="0"/>
          <w:numId w:val="11"/>
        </w:numPr>
        <w:spacing w:after="384" w:afterLines="160" w:line="278" w:lineRule="auto"/>
        <w:rPr>
          <w:rFonts w:ascii="Verdana" w:hAnsi="Verdana" w:eastAsia="Arial" w:cs="Arial"/>
          <w:sz w:val="18"/>
          <w:szCs w:val="18"/>
        </w:rPr>
      </w:pPr>
      <w:r w:rsidRPr="00AA38C7">
        <w:rPr>
          <w:rFonts w:ascii="Verdana" w:hAnsi="Verdana" w:eastAsia="Arial" w:cs="Arial"/>
          <w:sz w:val="18"/>
          <w:szCs w:val="18"/>
        </w:rPr>
        <w:lastRenderedPageBreak/>
        <w:t>Scholen bieden aanvullende loopbaanbegeleiding tijdens het onderwijs en tot één of twee jaar na diplomering, gericht op de overgang naar vervolgonderwijs of werk.</w:t>
      </w:r>
    </w:p>
    <w:p w:rsidRPr="00AA38C7" w:rsidR="008308C2" w:rsidP="00BB2550" w:rsidRDefault="008308C2" w14:paraId="68A486D7" w14:textId="77777777">
      <w:pPr>
        <w:pStyle w:val="Lijstalinea"/>
        <w:numPr>
          <w:ilvl w:val="0"/>
          <w:numId w:val="11"/>
        </w:numPr>
        <w:spacing w:after="384" w:afterLines="160" w:line="278" w:lineRule="auto"/>
        <w:rPr>
          <w:rFonts w:ascii="Verdana" w:hAnsi="Verdana" w:eastAsia="Arial" w:cs="Arial"/>
          <w:sz w:val="18"/>
          <w:szCs w:val="18"/>
        </w:rPr>
      </w:pPr>
      <w:r w:rsidRPr="00AA38C7">
        <w:rPr>
          <w:rFonts w:ascii="Verdana" w:hAnsi="Verdana" w:eastAsia="Arial" w:cs="Arial"/>
          <w:sz w:val="18"/>
          <w:szCs w:val="18"/>
        </w:rPr>
        <w:t>Doorstroompunten begeleiden jongeren zonder startkwalificatie tot 27 jaar terug naar school of naar werk (was 23 jaar).</w:t>
      </w:r>
    </w:p>
    <w:p w:rsidRPr="00AA38C7" w:rsidR="008308C2" w:rsidP="00BB2550" w:rsidRDefault="008308C2" w14:paraId="03D99629" w14:textId="77777777">
      <w:pPr>
        <w:pStyle w:val="Lijstalinea"/>
        <w:numPr>
          <w:ilvl w:val="0"/>
          <w:numId w:val="11"/>
        </w:numPr>
        <w:spacing w:after="384" w:afterLines="160" w:line="278" w:lineRule="auto"/>
        <w:rPr>
          <w:rFonts w:ascii="Verdana" w:hAnsi="Verdana" w:eastAsia="Arial" w:cs="Arial"/>
          <w:sz w:val="18"/>
          <w:szCs w:val="18"/>
        </w:rPr>
      </w:pPr>
      <w:r w:rsidRPr="00AA38C7">
        <w:rPr>
          <w:rFonts w:ascii="Verdana" w:hAnsi="Verdana" w:eastAsia="Arial" w:cs="Arial"/>
          <w:sz w:val="18"/>
          <w:szCs w:val="18"/>
        </w:rPr>
        <w:t xml:space="preserve">Gemeenten bieden jongeren tot 27 jaar meer preventieve en passende ondersteuning terug naar school, een leerwerktraject of werk. </w:t>
      </w:r>
    </w:p>
    <w:p w:rsidRPr="00AA38C7" w:rsidR="008308C2" w:rsidP="00BB2550" w:rsidRDefault="008308C2" w14:paraId="45C8F6DD" w14:textId="2C16DAEE">
      <w:pPr>
        <w:pStyle w:val="Lijstalinea"/>
        <w:numPr>
          <w:ilvl w:val="0"/>
          <w:numId w:val="11"/>
        </w:numPr>
        <w:spacing w:after="384" w:afterLines="160" w:line="278" w:lineRule="auto"/>
        <w:rPr>
          <w:rFonts w:ascii="Verdana" w:hAnsi="Verdana" w:eastAsia="Arial" w:cs="Arial"/>
          <w:sz w:val="18"/>
          <w:szCs w:val="18"/>
        </w:rPr>
      </w:pPr>
      <w:r w:rsidRPr="00AA38C7">
        <w:rPr>
          <w:rFonts w:ascii="Verdana" w:hAnsi="Verdana" w:eastAsia="Arial" w:cs="Arial"/>
          <w:sz w:val="18"/>
          <w:szCs w:val="18"/>
        </w:rPr>
        <w:t>In het regionale programma van de Doorstroompuntregio worden samenwerkingsafspraken gemaakt en aanvullende maatregelen genomen met inzet van het regionale budget. Deze programma’s worden gemaakt en uitgevoerd door de contactgemeente, de contactschool en de betrokken centrumgemeente(n) van de arbeidsmarktregio.</w:t>
      </w:r>
    </w:p>
    <w:p w:rsidRPr="00AA38C7" w:rsidR="008308C2" w:rsidP="00BB2550" w:rsidRDefault="008308C2" w14:paraId="13F69E63" w14:textId="1C60380A">
      <w:pPr>
        <w:spacing w:after="384" w:afterLines="160" w:line="278" w:lineRule="auto"/>
        <w:rPr>
          <w:rFonts w:ascii="Verdana" w:hAnsi="Verdana" w:eastAsia="Arial" w:cs="Arial"/>
          <w:sz w:val="18"/>
          <w:szCs w:val="18"/>
        </w:rPr>
      </w:pPr>
      <w:r w:rsidRPr="00AA38C7">
        <w:rPr>
          <w:rFonts w:ascii="Verdana" w:hAnsi="Verdana" w:eastAsia="Arial" w:cs="Arial"/>
          <w:sz w:val="18"/>
          <w:szCs w:val="18"/>
        </w:rPr>
        <w:t xml:space="preserve">Voor meer informatie kunt u </w:t>
      </w:r>
      <w:hyperlink w:history="1" r:id="rId15">
        <w:r w:rsidRPr="00AA38C7">
          <w:rPr>
            <w:rStyle w:val="Hyperlink"/>
            <w:rFonts w:ascii="Verdana" w:hAnsi="Verdana" w:eastAsia="Arial" w:cs="Arial"/>
            <w:sz w:val="18"/>
            <w:szCs w:val="18"/>
          </w:rPr>
          <w:t>hier</w:t>
        </w:r>
      </w:hyperlink>
      <w:r w:rsidRPr="00AA38C7">
        <w:rPr>
          <w:rFonts w:ascii="Verdana" w:hAnsi="Verdana" w:eastAsia="Arial" w:cs="Arial"/>
          <w:sz w:val="18"/>
          <w:szCs w:val="18"/>
        </w:rPr>
        <w:t xml:space="preserve"> terecht.</w:t>
      </w:r>
    </w:p>
    <w:p w:rsidRPr="00AA38C7" w:rsidR="008308C2" w:rsidP="00E443B0" w:rsidRDefault="008308C2" w14:paraId="2E76B33F" w14:textId="4DE78630">
      <w:pPr>
        <w:spacing w:line="278" w:lineRule="auto"/>
        <w:rPr>
          <w:rFonts w:ascii="Verdana" w:hAnsi="Verdana" w:eastAsia="Arial" w:cs="Arial"/>
          <w:i/>
          <w:iCs/>
          <w:sz w:val="18"/>
          <w:szCs w:val="18"/>
        </w:rPr>
      </w:pPr>
      <w:r w:rsidRPr="00AA38C7">
        <w:rPr>
          <w:rFonts w:ascii="Verdana" w:hAnsi="Verdana" w:eastAsia="Arial" w:cs="Arial"/>
          <w:i/>
          <w:iCs/>
          <w:sz w:val="18"/>
          <w:szCs w:val="18"/>
        </w:rPr>
        <w:t>Publicatie wet- en regelgeving</w:t>
      </w:r>
    </w:p>
    <w:p w:rsidRPr="00AA38C7" w:rsidR="008308C2" w:rsidP="00E443B0" w:rsidRDefault="008308C2" w14:paraId="3379833F" w14:textId="77777777">
      <w:pPr>
        <w:spacing w:line="278" w:lineRule="auto"/>
        <w:rPr>
          <w:rFonts w:ascii="Verdana" w:hAnsi="Verdana"/>
          <w:sz w:val="18"/>
          <w:szCs w:val="18"/>
        </w:rPr>
      </w:pPr>
      <w:r w:rsidRPr="00AA38C7">
        <w:rPr>
          <w:rFonts w:ascii="Verdana" w:hAnsi="Verdana"/>
          <w:sz w:val="18"/>
          <w:szCs w:val="18"/>
        </w:rPr>
        <w:t xml:space="preserve">Op 1 juli 2025 is de wet door de Tweede Kamer aangenomen en op 8 juli 2025 door de Eerste Kamer. Op 27 augustus 2025 is de wet gepubliceerd in het </w:t>
      </w:r>
      <w:hyperlink w:history="1" r:id="rId16">
        <w:r w:rsidRPr="00AA38C7">
          <w:rPr>
            <w:rStyle w:val="Hyperlink"/>
            <w:rFonts w:ascii="Verdana" w:hAnsi="Verdana"/>
            <w:sz w:val="18"/>
            <w:szCs w:val="18"/>
          </w:rPr>
          <w:t>Staatsblad</w:t>
        </w:r>
      </w:hyperlink>
      <w:r w:rsidRPr="00AA38C7">
        <w:rPr>
          <w:rFonts w:ascii="Verdana" w:hAnsi="Verdana"/>
          <w:sz w:val="18"/>
          <w:szCs w:val="18"/>
        </w:rPr>
        <w:t>.</w:t>
      </w:r>
    </w:p>
    <w:p w:rsidRPr="00AA38C7" w:rsidR="008308C2" w:rsidP="00BB2550" w:rsidRDefault="008308C2" w14:paraId="57ACCD32" w14:textId="77777777">
      <w:pPr>
        <w:spacing w:after="384" w:afterLines="160" w:line="278" w:lineRule="auto"/>
        <w:rPr>
          <w:rFonts w:ascii="Verdana" w:hAnsi="Verdana"/>
          <w:sz w:val="18"/>
          <w:szCs w:val="18"/>
        </w:rPr>
      </w:pPr>
      <w:r w:rsidRPr="00AA38C7">
        <w:rPr>
          <w:rFonts w:ascii="Verdana" w:hAnsi="Verdana"/>
          <w:sz w:val="18"/>
          <w:szCs w:val="18"/>
        </w:rPr>
        <w:t xml:space="preserve">Op 14 oktober 2025 is de bijbehorende </w:t>
      </w:r>
      <w:hyperlink w:history="1" r:id="rId17">
        <w:r w:rsidRPr="00AA38C7">
          <w:rPr>
            <w:rStyle w:val="Hyperlink"/>
            <w:rFonts w:ascii="Verdana" w:hAnsi="Verdana"/>
            <w:sz w:val="18"/>
            <w:szCs w:val="18"/>
          </w:rPr>
          <w:t>Regeling regionaal programma en Doorstroompuntfunctie 2026-2029</w:t>
        </w:r>
      </w:hyperlink>
      <w:r w:rsidRPr="00AA38C7">
        <w:rPr>
          <w:rFonts w:ascii="Verdana" w:hAnsi="Verdana"/>
          <w:sz w:val="18"/>
          <w:szCs w:val="18"/>
        </w:rPr>
        <w:t xml:space="preserve"> gepubliceerd. In de regeling staan onder andere de eisen die worden gesteld aan het regionaal programma. Voor het regionaal programma, dat zich richt op jongeren met een hoog risico op schooluitval of werkloosheid, is jaarlijks € 93,9 miljoen beschikbaar. </w:t>
      </w:r>
    </w:p>
    <w:p w:rsidRPr="00AA38C7" w:rsidR="008308C2" w:rsidP="00BB2550" w:rsidRDefault="008308C2" w14:paraId="1B48D1AE" w14:textId="3D4F969E">
      <w:pPr>
        <w:spacing w:after="384" w:afterLines="160" w:line="278" w:lineRule="auto"/>
        <w:rPr>
          <w:rFonts w:ascii="Verdana" w:hAnsi="Verdana"/>
          <w:sz w:val="18"/>
          <w:szCs w:val="18"/>
        </w:rPr>
      </w:pPr>
      <w:r w:rsidRPr="00AA38C7">
        <w:rPr>
          <w:rFonts w:ascii="Verdana" w:hAnsi="Verdana"/>
          <w:sz w:val="18"/>
          <w:szCs w:val="18"/>
        </w:rPr>
        <w:t xml:space="preserve">Het Besluit van school naar duurzaam werk </w:t>
      </w:r>
      <w:r w:rsidRPr="00AA38C7" w:rsidR="001755DA">
        <w:rPr>
          <w:rFonts w:ascii="Verdana" w:hAnsi="Verdana"/>
          <w:sz w:val="18"/>
          <w:szCs w:val="18"/>
        </w:rPr>
        <w:t xml:space="preserve">wordt </w:t>
      </w:r>
      <w:r w:rsidRPr="00AA38C7">
        <w:rPr>
          <w:rFonts w:ascii="Verdana" w:hAnsi="Verdana"/>
          <w:sz w:val="18"/>
          <w:szCs w:val="18"/>
        </w:rPr>
        <w:t>eind 2025 gepubliceerd.</w:t>
      </w:r>
    </w:p>
    <w:p w:rsidRPr="00AA38C7" w:rsidR="008308C2" w:rsidP="00E443B0" w:rsidRDefault="008308C2" w14:paraId="627F0E58" w14:textId="2F93B550">
      <w:pPr>
        <w:spacing w:line="278" w:lineRule="auto"/>
        <w:rPr>
          <w:rFonts w:ascii="Verdana" w:hAnsi="Verdana" w:eastAsia="Arial" w:cs="Arial"/>
          <w:i/>
          <w:iCs/>
          <w:sz w:val="18"/>
          <w:szCs w:val="18"/>
        </w:rPr>
      </w:pPr>
      <w:r w:rsidRPr="00AA38C7">
        <w:rPr>
          <w:rFonts w:ascii="Verdana" w:hAnsi="Verdana" w:eastAsia="Arial" w:cs="Arial"/>
          <w:i/>
          <w:iCs/>
          <w:sz w:val="18"/>
          <w:szCs w:val="18"/>
        </w:rPr>
        <w:t>Handreiking rollen en taken (centrum)gemeenten</w:t>
      </w:r>
    </w:p>
    <w:p w:rsidRPr="00AA38C7" w:rsidR="008308C2" w:rsidP="00E443B0" w:rsidRDefault="008308C2" w14:paraId="7F477A4C" w14:textId="77777777">
      <w:pPr>
        <w:spacing w:line="278" w:lineRule="auto"/>
        <w:rPr>
          <w:rFonts w:ascii="Verdana" w:hAnsi="Verdana" w:eastAsia="Arial" w:cs="Arial"/>
          <w:sz w:val="18"/>
          <w:szCs w:val="18"/>
        </w:rPr>
      </w:pPr>
      <w:r w:rsidRPr="00AA38C7">
        <w:rPr>
          <w:rFonts w:ascii="Verdana" w:hAnsi="Verdana" w:eastAsia="Arial" w:cs="Arial"/>
          <w:sz w:val="18"/>
          <w:szCs w:val="18"/>
        </w:rPr>
        <w:t>Met de Wet van school naar duurzaam werk is onder andere de Participatiewet aangepast. In het nieuwe artikel 7a krijgen gemeenten de mogelijkheid jongeren te ondersteunen bij de stap terug naar school, een leerwerktraject of werk, in nauwe samenwerking met onderwijsinstellingen en het Doorstroompunt.</w:t>
      </w:r>
    </w:p>
    <w:p w:rsidRPr="00AA38C7" w:rsidR="008308C2" w:rsidP="00BB2550" w:rsidRDefault="008308C2" w14:paraId="2E04B6F5" w14:textId="4BFBFD88">
      <w:pPr>
        <w:spacing w:after="384" w:afterLines="160" w:line="278" w:lineRule="auto"/>
        <w:rPr>
          <w:rFonts w:ascii="Verdana" w:hAnsi="Verdana" w:eastAsia="Arial" w:cs="Arial"/>
          <w:sz w:val="18"/>
          <w:szCs w:val="18"/>
        </w:rPr>
      </w:pPr>
      <w:r w:rsidRPr="00AA38C7">
        <w:rPr>
          <w:rFonts w:ascii="Verdana" w:hAnsi="Verdana" w:eastAsia="Arial" w:cs="Arial"/>
          <w:sz w:val="18"/>
          <w:szCs w:val="18"/>
        </w:rPr>
        <w:t>De centrumgemeente van de arbeidsmarktregio krijgt daarbij een nieuwe rol: Zij wordt een volwaardig partner van de contactgemeente en de contactschool bij de ontwikkeling en uitvoering van het regionaal programma van de Doorstroompuntregio. De centrumgemeente vertegenwoordigt alle gemeenten in de arbeidsmarktregio en neemt de manier waarop gemeenten invulling geven aan de ondersteuning van jongeren op grond van artikel 7a van de Participatiewet mee als input voor de aanvullende maatregelen en samenwerkingsafspraken.</w:t>
      </w:r>
    </w:p>
    <w:p w:rsidRPr="00AA38C7" w:rsidR="008308C2" w:rsidP="00BB2550" w:rsidRDefault="008308C2" w14:paraId="4D031B7A" w14:textId="73F4D657">
      <w:pPr>
        <w:spacing w:after="384" w:afterLines="160" w:line="278" w:lineRule="auto"/>
        <w:rPr>
          <w:rFonts w:ascii="Verdana" w:hAnsi="Verdana" w:eastAsia="Arial" w:cs="Arial"/>
          <w:sz w:val="18"/>
          <w:szCs w:val="18"/>
        </w:rPr>
      </w:pPr>
      <w:r w:rsidRPr="00AA38C7">
        <w:rPr>
          <w:rFonts w:ascii="Verdana" w:hAnsi="Verdana" w:eastAsia="Arial" w:cs="Arial"/>
          <w:sz w:val="18"/>
          <w:szCs w:val="18"/>
        </w:rPr>
        <w:t>SZW en Significant hebben een handreiking voor (centrum)gemeenten opgesteld. De handreiking biedt duiding van wet- en regelgeving, procesbeschrijvingen en praktische voorbeelden.</w:t>
      </w:r>
      <w:r w:rsidRPr="00AA38C7" w:rsidR="00BA1CAC">
        <w:rPr>
          <w:rFonts w:ascii="Verdana" w:hAnsi="Verdana" w:eastAsia="Arial" w:cs="Arial"/>
          <w:sz w:val="18"/>
          <w:szCs w:val="18"/>
        </w:rPr>
        <w:t xml:space="preserve"> </w:t>
      </w:r>
      <w:r w:rsidRPr="00AA38C7">
        <w:rPr>
          <w:rFonts w:ascii="Verdana" w:hAnsi="Verdana" w:eastAsia="Arial" w:cs="Arial"/>
          <w:sz w:val="18"/>
          <w:szCs w:val="18"/>
        </w:rPr>
        <w:t xml:space="preserve">De handreiking is </w:t>
      </w:r>
      <w:hyperlink w:history="1" r:id="rId18">
        <w:r w:rsidRPr="00AA38C7">
          <w:rPr>
            <w:rStyle w:val="Hyperlink"/>
            <w:rFonts w:ascii="Verdana" w:hAnsi="Verdana" w:eastAsia="Arial" w:cs="Arial"/>
            <w:sz w:val="18"/>
            <w:szCs w:val="18"/>
          </w:rPr>
          <w:t>hier</w:t>
        </w:r>
      </w:hyperlink>
      <w:r w:rsidRPr="00AA38C7">
        <w:rPr>
          <w:rFonts w:ascii="Verdana" w:hAnsi="Verdana" w:eastAsia="Arial" w:cs="Arial"/>
          <w:sz w:val="18"/>
          <w:szCs w:val="18"/>
        </w:rPr>
        <w:t xml:space="preserve"> te vinden.</w:t>
      </w:r>
    </w:p>
    <w:p w:rsidRPr="00AA38C7" w:rsidR="008308C2" w:rsidP="00E443B0" w:rsidRDefault="008308C2" w14:paraId="38C2872C" w14:textId="4ACE7FF8">
      <w:pPr>
        <w:spacing w:line="278" w:lineRule="auto"/>
        <w:rPr>
          <w:rFonts w:ascii="Verdana" w:hAnsi="Verdana"/>
          <w:i/>
          <w:iCs/>
          <w:sz w:val="18"/>
          <w:szCs w:val="18"/>
        </w:rPr>
      </w:pPr>
      <w:r w:rsidRPr="00AA38C7">
        <w:rPr>
          <w:rFonts w:ascii="Verdana" w:hAnsi="Verdana"/>
          <w:i/>
          <w:iCs/>
          <w:sz w:val="18"/>
          <w:szCs w:val="18"/>
        </w:rPr>
        <w:t>Decentralisatie-uitkering</w:t>
      </w:r>
      <w:r w:rsidRPr="00AA38C7" w:rsidR="001755DA">
        <w:rPr>
          <w:rFonts w:ascii="Verdana" w:hAnsi="Verdana"/>
          <w:i/>
          <w:iCs/>
          <w:sz w:val="18"/>
          <w:szCs w:val="18"/>
        </w:rPr>
        <w:t xml:space="preserve"> (DU)</w:t>
      </w:r>
    </w:p>
    <w:p w:rsidRPr="00AA38C7" w:rsidR="001755DA" w:rsidP="00E443B0" w:rsidRDefault="001755DA" w14:paraId="320A4D8F" w14:textId="0C73BA3F">
      <w:pPr>
        <w:spacing w:line="278" w:lineRule="auto"/>
        <w:rPr>
          <w:rFonts w:ascii="Verdana" w:hAnsi="Verdana"/>
          <w:sz w:val="18"/>
          <w:szCs w:val="18"/>
        </w:rPr>
      </w:pPr>
      <w:r w:rsidRPr="00AA38C7">
        <w:rPr>
          <w:rFonts w:ascii="Verdana" w:hAnsi="Verdana"/>
          <w:sz w:val="18"/>
          <w:szCs w:val="18"/>
        </w:rPr>
        <w:t>Voor de uitvoering van artikel 7a zijn structurele middelen beschikbaar van jaarlijks € 9,9 miljoen. Deze middelen worden via een DU uitgekeerd vanaf de komende meicirculaire. De verdeling van de DU is gebaseerd op de risicoscore op voortijdig schoolverlaten (VSV) en het aantal MBO-gediplomeerden (entree-opleiding en BOL/BBL niveau 2) per gemeente.</w:t>
      </w:r>
    </w:p>
    <w:p w:rsidRPr="00AA38C7" w:rsidR="008308C2" w:rsidP="00E443B0" w:rsidRDefault="008308C2" w14:paraId="67260609" w14:textId="48E00685">
      <w:pPr>
        <w:spacing w:line="278" w:lineRule="auto"/>
        <w:rPr>
          <w:rFonts w:ascii="Verdana" w:hAnsi="Verdana"/>
          <w:sz w:val="18"/>
          <w:szCs w:val="18"/>
        </w:rPr>
      </w:pPr>
      <w:r w:rsidRPr="00AA38C7">
        <w:rPr>
          <w:rFonts w:ascii="Verdana" w:hAnsi="Verdana"/>
          <w:sz w:val="18"/>
          <w:szCs w:val="18"/>
        </w:rPr>
        <w:t xml:space="preserve">Centrumgemeenten ontvangen daarnaast €75.000 </w:t>
      </w:r>
      <w:r w:rsidRPr="00AA38C7" w:rsidR="001755DA">
        <w:rPr>
          <w:rFonts w:ascii="Verdana" w:hAnsi="Verdana"/>
          <w:sz w:val="18"/>
          <w:szCs w:val="18"/>
        </w:rPr>
        <w:t xml:space="preserve">via een DU </w:t>
      </w:r>
      <w:r w:rsidRPr="00AA38C7">
        <w:rPr>
          <w:rFonts w:ascii="Verdana" w:hAnsi="Verdana"/>
          <w:sz w:val="18"/>
          <w:szCs w:val="18"/>
        </w:rPr>
        <w:t>voor de coördinerende taak in de arbeidsmarktregio.</w:t>
      </w:r>
    </w:p>
    <w:p w:rsidRPr="00AA38C7" w:rsidR="008308C2" w:rsidP="00E443B0" w:rsidRDefault="008308C2" w14:paraId="28FC74D3" w14:textId="640ED2BF">
      <w:pPr>
        <w:spacing w:line="278" w:lineRule="auto"/>
        <w:rPr>
          <w:rFonts w:ascii="Verdana" w:hAnsi="Verdana"/>
          <w:i/>
          <w:iCs/>
          <w:sz w:val="18"/>
          <w:szCs w:val="18"/>
        </w:rPr>
      </w:pPr>
      <w:r w:rsidRPr="00AA38C7">
        <w:rPr>
          <w:rFonts w:ascii="Verdana" w:hAnsi="Verdana"/>
          <w:i/>
          <w:iCs/>
          <w:sz w:val="18"/>
          <w:szCs w:val="18"/>
        </w:rPr>
        <w:t>Nieuwsbrief</w:t>
      </w:r>
    </w:p>
    <w:p w:rsidRPr="00AA38C7" w:rsidR="008308C2" w:rsidP="00E443B0" w:rsidRDefault="008308C2" w14:paraId="2052F1B1" w14:textId="77777777">
      <w:pPr>
        <w:spacing w:line="278" w:lineRule="auto"/>
        <w:rPr>
          <w:rFonts w:ascii="Verdana" w:hAnsi="Verdana"/>
          <w:sz w:val="18"/>
          <w:szCs w:val="18"/>
        </w:rPr>
      </w:pPr>
      <w:hyperlink w:history="1" r:id="rId19">
        <w:r w:rsidRPr="00AA38C7">
          <w:rPr>
            <w:rStyle w:val="Hyperlink"/>
            <w:rFonts w:ascii="Verdana" w:hAnsi="Verdana"/>
            <w:sz w:val="18"/>
            <w:szCs w:val="18"/>
          </w:rPr>
          <w:t>Hier</w:t>
        </w:r>
      </w:hyperlink>
      <w:r w:rsidRPr="00AA38C7">
        <w:rPr>
          <w:rFonts w:ascii="Verdana" w:hAnsi="Verdana"/>
          <w:sz w:val="18"/>
          <w:szCs w:val="18"/>
        </w:rPr>
        <w:t xml:space="preserve"> kunt u zich inschrijven op de nieuwsbrief van school naar duurzaam werk.</w:t>
      </w:r>
    </w:p>
    <w:p w:rsidRPr="00AA38C7" w:rsidR="008308C2" w:rsidP="00BB2550" w:rsidRDefault="008308C2" w14:paraId="32CC772B" w14:textId="77777777">
      <w:pPr>
        <w:pStyle w:val="Lijstalinea"/>
        <w:spacing w:after="384" w:afterLines="160" w:line="278" w:lineRule="auto"/>
        <w:rPr>
          <w:rFonts w:ascii="Verdana" w:hAnsi="Verdana" w:eastAsia="Arial" w:cs="Arial"/>
          <w:b/>
          <w:bCs/>
          <w:sz w:val="18"/>
          <w:szCs w:val="18"/>
        </w:rPr>
      </w:pPr>
    </w:p>
    <w:p w:rsidRPr="00AA38C7" w:rsidR="00824AA9" w:rsidP="00BB2550" w:rsidRDefault="00824AA9" w14:paraId="7D91E660" w14:textId="31691246">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Compensatie in 2026-2028 aan medewerkers van sociaal ontwikkelbedrijven niet meer nodig</w:t>
      </w:r>
    </w:p>
    <w:p w:rsidRPr="00AA38C7" w:rsidR="00C74459" w:rsidP="00BB2550" w:rsidRDefault="00824AA9" w14:paraId="1ABE5B73" w14:textId="4CAE69B3">
      <w:pPr>
        <w:spacing w:after="384" w:afterLines="160" w:line="278" w:lineRule="auto"/>
        <w:rPr>
          <w:rFonts w:ascii="Verdana" w:hAnsi="Verdana"/>
          <w:sz w:val="18"/>
          <w:szCs w:val="18"/>
        </w:rPr>
      </w:pPr>
      <w:r w:rsidRPr="00AA38C7">
        <w:rPr>
          <w:rFonts w:ascii="Verdana" w:hAnsi="Verdana"/>
          <w:sz w:val="18"/>
          <w:szCs w:val="18"/>
        </w:rPr>
        <w:t xml:space="preserve">In het vorige </w:t>
      </w:r>
      <w:hyperlink w:history="1" w:anchor="toc7" r:id="rId20">
        <w:r w:rsidRPr="00AA38C7">
          <w:rPr>
            <w:rStyle w:val="Hyperlink"/>
            <w:rFonts w:ascii="Verdana" w:hAnsi="Verdana"/>
            <w:sz w:val="18"/>
            <w:szCs w:val="18"/>
          </w:rPr>
          <w:t>SZW-gemeentenieuws</w:t>
        </w:r>
      </w:hyperlink>
      <w:r w:rsidRPr="00AA38C7">
        <w:rPr>
          <w:rFonts w:ascii="Verdana" w:hAnsi="Verdana"/>
          <w:sz w:val="18"/>
          <w:szCs w:val="18"/>
        </w:rPr>
        <w:t xml:space="preserve"> is aangekondigd dat medewerkers van sociaal ontwikkelbedrijven over 2025 een compensatie krijgen. Hiervoor is vanuit het </w:t>
      </w:r>
      <w:hyperlink w:history="1" r:id="rId21">
        <w:r w:rsidRPr="00AA38C7">
          <w:rPr>
            <w:rStyle w:val="Hyperlink"/>
            <w:rFonts w:ascii="Verdana" w:hAnsi="Verdana"/>
            <w:sz w:val="18"/>
            <w:szCs w:val="18"/>
          </w:rPr>
          <w:t>amendement Van Kent</w:t>
        </w:r>
      </w:hyperlink>
      <w:r w:rsidRPr="00AA38C7">
        <w:rPr>
          <w:rFonts w:ascii="Verdana" w:hAnsi="Verdana"/>
          <w:sz w:val="18"/>
          <w:szCs w:val="18"/>
        </w:rPr>
        <w:t xml:space="preserve"> € 40 miljoen beschikbaar gesteld aan gemeenten. </w:t>
      </w:r>
      <w:r w:rsidRPr="00AA38C7">
        <w:rPr>
          <w:rFonts w:ascii="Verdana" w:hAnsi="Verdana"/>
          <w:sz w:val="18"/>
          <w:szCs w:val="18"/>
        </w:rPr>
        <w:br/>
        <w:t>Aanleiding voor de compensatie zijn de financieel nadelige effecten voor deze doelgroep als</w:t>
      </w:r>
      <w:r w:rsidRPr="00AA38C7" w:rsidR="00BA1CAC">
        <w:rPr>
          <w:rFonts w:ascii="Verdana" w:hAnsi="Verdana"/>
          <w:sz w:val="18"/>
          <w:szCs w:val="18"/>
        </w:rPr>
        <w:t xml:space="preserve"> gevolg</w:t>
      </w:r>
      <w:r w:rsidRPr="00AA38C7">
        <w:rPr>
          <w:rFonts w:ascii="Verdana" w:hAnsi="Verdana"/>
          <w:sz w:val="18"/>
          <w:szCs w:val="18"/>
        </w:rPr>
        <w:t xml:space="preserve"> van onder meer het Belastingplan 2025. </w:t>
      </w:r>
      <w:r w:rsidRPr="00AA38C7">
        <w:rPr>
          <w:rFonts w:ascii="Verdana" w:hAnsi="Verdana"/>
          <w:sz w:val="18"/>
          <w:szCs w:val="18"/>
        </w:rPr>
        <w:br/>
      </w:r>
      <w:r w:rsidRPr="00AA38C7">
        <w:rPr>
          <w:rFonts w:ascii="Verdana" w:hAnsi="Verdana"/>
          <w:sz w:val="18"/>
          <w:szCs w:val="18"/>
        </w:rPr>
        <w:br/>
        <w:t xml:space="preserve">Met Prinsjesdag had het kabinet ook voor de jaren 2026 t/m 2028 budget vrijgemaakt om de medewerkers van sociaal ontwikkelbedrijven te compenseren. Maar op basis van de </w:t>
      </w:r>
      <w:hyperlink w:history="1" r:id="rId22">
        <w:r w:rsidRPr="00AA38C7">
          <w:rPr>
            <w:rStyle w:val="Hyperlink"/>
            <w:rFonts w:ascii="Verdana" w:hAnsi="Verdana"/>
            <w:sz w:val="18"/>
            <w:szCs w:val="18"/>
          </w:rPr>
          <w:t>motie Klaver c.s.</w:t>
        </w:r>
      </w:hyperlink>
      <w:r w:rsidRPr="00AA38C7">
        <w:rPr>
          <w:rFonts w:ascii="Verdana" w:hAnsi="Verdana"/>
          <w:sz w:val="18"/>
          <w:szCs w:val="18"/>
        </w:rPr>
        <w:t xml:space="preserve"> is er binnen het Belastingplan 2026 een oplossing voor het financiële nadeel van een brede groep werknemers met een laag inkomen (waaronder de medewerkers van sociaal ontwikkelbedrijven) gekomen. De Tweede Kamer heeft deze oplossing aangenomen. De aparte compensatie via sociaal ontwikkelbedrijven voor de jaren 2026-2028 is daarmee overbodig geworden en komt te vervallen.</w:t>
      </w:r>
    </w:p>
    <w:p w:rsidRPr="00AA38C7" w:rsidR="00C74459" w:rsidP="00BB2550" w:rsidRDefault="00C74459" w14:paraId="22D0FDA4" w14:textId="77777777">
      <w:pPr>
        <w:spacing w:after="384" w:afterLines="160" w:line="278" w:lineRule="auto"/>
        <w:rPr>
          <w:rFonts w:ascii="Verdana" w:hAnsi="Verdana"/>
          <w:sz w:val="18"/>
          <w:szCs w:val="18"/>
        </w:rPr>
      </w:pPr>
    </w:p>
    <w:p w:rsidRPr="00AA38C7" w:rsidR="00C74459" w:rsidP="00BB2550" w:rsidRDefault="00C74459" w14:paraId="6BEDF645"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 xml:space="preserve">Uitzonderingen en adviezen voor uitbetaling </w:t>
      </w:r>
      <w:proofErr w:type="spellStart"/>
      <w:r w:rsidRPr="00AA38C7">
        <w:rPr>
          <w:rFonts w:ascii="Verdana" w:hAnsi="Verdana" w:eastAsia="Arial" w:cs="Arial"/>
          <w:b/>
          <w:bCs/>
          <w:sz w:val="18"/>
          <w:szCs w:val="18"/>
        </w:rPr>
        <w:t>Groupcard</w:t>
      </w:r>
      <w:proofErr w:type="spellEnd"/>
      <w:r w:rsidRPr="00AA38C7">
        <w:rPr>
          <w:rFonts w:ascii="Verdana" w:hAnsi="Verdana" w:eastAsia="Arial" w:cs="Arial"/>
          <w:b/>
          <w:bCs/>
          <w:sz w:val="18"/>
          <w:szCs w:val="18"/>
        </w:rPr>
        <w:t xml:space="preserve">-tegoeden </w:t>
      </w:r>
    </w:p>
    <w:p w:rsidRPr="00AA38C7" w:rsidR="00DD485B" w:rsidP="00BB2550" w:rsidRDefault="00DD485B" w14:paraId="74B5B8D6" w14:textId="77777777">
      <w:pPr>
        <w:spacing w:after="384" w:afterLines="160" w:line="278" w:lineRule="auto"/>
        <w:rPr>
          <w:rFonts w:ascii="Verdana" w:hAnsi="Verdana"/>
          <w:sz w:val="18"/>
          <w:szCs w:val="18"/>
        </w:rPr>
      </w:pPr>
      <w:r w:rsidRPr="00AA38C7">
        <w:rPr>
          <w:rFonts w:ascii="Verdana" w:hAnsi="Verdana"/>
          <w:sz w:val="18"/>
          <w:szCs w:val="18"/>
        </w:rPr>
        <w:t xml:space="preserve">Door het faillissement van </w:t>
      </w:r>
      <w:proofErr w:type="spellStart"/>
      <w:r w:rsidRPr="00AA38C7">
        <w:rPr>
          <w:rFonts w:ascii="Verdana" w:hAnsi="Verdana"/>
          <w:sz w:val="18"/>
          <w:szCs w:val="18"/>
        </w:rPr>
        <w:t>Groupcard</w:t>
      </w:r>
      <w:proofErr w:type="spellEnd"/>
      <w:r w:rsidRPr="00AA38C7">
        <w:rPr>
          <w:rFonts w:ascii="Verdana" w:hAnsi="Verdana"/>
          <w:sz w:val="18"/>
          <w:szCs w:val="18"/>
        </w:rPr>
        <w:t xml:space="preserve"> hebben inwoners van veel gemeenten hun tegoedpas van dit jaar niet geheel kunnen verzilveren. De tegoedpas is bijvoorbeeld in het kader van gemeentelijk minimabeleid verstrekt. Meerdere gemeenten verkennen de mogelijkheden om het resterende tegoed op de pas alsnog aan de betreffende inwoners te geven, bijvoorbeeld door </w:t>
      </w:r>
      <w:proofErr w:type="gramStart"/>
      <w:r w:rsidRPr="00AA38C7">
        <w:rPr>
          <w:rFonts w:ascii="Verdana" w:hAnsi="Verdana"/>
          <w:sz w:val="18"/>
          <w:szCs w:val="18"/>
        </w:rPr>
        <w:t>een zelfde</w:t>
      </w:r>
      <w:proofErr w:type="gramEnd"/>
      <w:r w:rsidRPr="00AA38C7">
        <w:rPr>
          <w:rFonts w:ascii="Verdana" w:hAnsi="Verdana"/>
          <w:sz w:val="18"/>
          <w:szCs w:val="18"/>
        </w:rPr>
        <w:t xml:space="preserve"> bedrag over te maken op de bankrekening of via breed geaccepteerde cadeaubonnen. </w:t>
      </w:r>
    </w:p>
    <w:p w:rsidRPr="00AA38C7" w:rsidR="00DD485B" w:rsidP="00BB2550" w:rsidRDefault="00DD485B" w14:paraId="7A80D363" w14:textId="77777777">
      <w:pPr>
        <w:spacing w:after="384" w:afterLines="160" w:line="278" w:lineRule="auto"/>
        <w:rPr>
          <w:rFonts w:ascii="Verdana" w:hAnsi="Verdana"/>
          <w:sz w:val="18"/>
          <w:szCs w:val="18"/>
        </w:rPr>
      </w:pPr>
      <w:r w:rsidRPr="00AA38C7">
        <w:rPr>
          <w:rFonts w:ascii="Verdana" w:hAnsi="Verdana"/>
          <w:sz w:val="18"/>
          <w:szCs w:val="18"/>
        </w:rPr>
        <w:t xml:space="preserve">Een dergelijke uitbetaling van vrij besteedbaar geld past normaliter niet binnen de kaders van gemeentelijk minimabeleid of de bijstand. Aangezien een nieuwe tegoedpas voor de meeste gemeenten niet op korte termijn haalbaar is, biedt het ministerie van SZW in dit specifieke geval de onderstaande ruimte en adviezen voor een uitbetaling. Het ministerie vertrouwt erop dat gemeenten dit als uiterste mogelijkheid benutten en zich ervoor inspannen dat de uitbetaling volgens de bedoeling van de tegoedpas wordt besteed. </w:t>
      </w:r>
    </w:p>
    <w:p w:rsidRPr="00AA38C7" w:rsidR="00DD485B" w:rsidP="00BB2550" w:rsidRDefault="00DD485B" w14:paraId="3B3A81AA" w14:textId="77777777">
      <w:pPr>
        <w:pStyle w:val="Lijstalinea"/>
        <w:numPr>
          <w:ilvl w:val="0"/>
          <w:numId w:val="12"/>
        </w:numPr>
        <w:spacing w:after="384" w:afterLines="160" w:line="278" w:lineRule="auto"/>
        <w:rPr>
          <w:rFonts w:ascii="Verdana" w:hAnsi="Verdana"/>
          <w:sz w:val="18"/>
          <w:szCs w:val="18"/>
        </w:rPr>
      </w:pPr>
      <w:r w:rsidRPr="00AA38C7">
        <w:rPr>
          <w:rFonts w:ascii="Verdana" w:hAnsi="Verdana"/>
          <w:sz w:val="18"/>
          <w:szCs w:val="18"/>
        </w:rPr>
        <w:t xml:space="preserve">Het ministerie van SZW zal bij uitzondering de uitbetaling van het resterende tegoed niet aanmerken als inkomensbeleid. </w:t>
      </w:r>
    </w:p>
    <w:p w:rsidRPr="00AA38C7" w:rsidR="00DD485B" w:rsidP="00BB2550" w:rsidRDefault="00DD485B" w14:paraId="4E8D249C" w14:textId="77777777">
      <w:pPr>
        <w:pStyle w:val="Lijstalinea"/>
        <w:numPr>
          <w:ilvl w:val="0"/>
          <w:numId w:val="12"/>
        </w:numPr>
        <w:spacing w:after="384" w:afterLines="160" w:line="278" w:lineRule="auto"/>
        <w:rPr>
          <w:rFonts w:ascii="Verdana" w:hAnsi="Verdana"/>
          <w:sz w:val="18"/>
          <w:szCs w:val="18"/>
        </w:rPr>
      </w:pPr>
      <w:r w:rsidRPr="00AA38C7">
        <w:rPr>
          <w:rFonts w:ascii="Verdana" w:hAnsi="Verdana"/>
          <w:sz w:val="18"/>
          <w:szCs w:val="18"/>
        </w:rPr>
        <w:t xml:space="preserve">De gemeente kan in de bepaling van het recht op bijstand het uitbetaalde bedrag uitzonderen van de middelen (inkomen en vermogen). Gelet op de eerdere toekenning van de tegoedpas en de uitzonderlijke omstandigheden kan het uitbetaalde bedrag worden beschouwd als gift die verantwoord is vanuit het oogpunt van bijstandsverlening. Het bedrag hoeft dan niet met de uitkering te worden verrekend. </w:t>
      </w:r>
    </w:p>
    <w:p w:rsidRPr="00AA38C7" w:rsidR="00DD485B" w:rsidP="00BB2550" w:rsidRDefault="00DD485B" w14:paraId="17C243F3" w14:textId="77777777">
      <w:pPr>
        <w:pStyle w:val="Lijstalinea"/>
        <w:numPr>
          <w:ilvl w:val="0"/>
          <w:numId w:val="12"/>
        </w:numPr>
        <w:spacing w:after="384" w:afterLines="160" w:line="278" w:lineRule="auto"/>
        <w:rPr>
          <w:rFonts w:ascii="Verdana" w:hAnsi="Verdana"/>
          <w:sz w:val="18"/>
          <w:szCs w:val="18"/>
        </w:rPr>
      </w:pPr>
      <w:r w:rsidRPr="00AA38C7">
        <w:rPr>
          <w:rFonts w:ascii="Verdana" w:hAnsi="Verdana"/>
          <w:sz w:val="18"/>
          <w:szCs w:val="18"/>
        </w:rPr>
        <w:t xml:space="preserve">Gezien de bijzondere omstandigheden, waarin het resterend tegoed verloren is gegaan door het faillissement, ligt het voor de hand dat de uitbetaling de fiscale kwalificatie volgt van het oorspronkelijke tegoed op de pas. Het is de verantwoordelijkheid van gemeenten om hun (minima)regelingen zoals de tegoedpas zo vorm te geven dat deze niet belast zijn als periodieke uitkeringen en verstrekkingen (zie hierover de eerdere Kamerbrief [link: </w:t>
      </w:r>
      <w:hyperlink w:history="1" r:id="rId23">
        <w:r w:rsidRPr="00AA38C7">
          <w:rPr>
            <w:rStyle w:val="Hyperlink"/>
            <w:rFonts w:ascii="Verdana" w:hAnsi="Verdana"/>
            <w:sz w:val="18"/>
            <w:szCs w:val="18"/>
          </w:rPr>
          <w:t>Kamerstuk 34352, nr. 324 | Overheid.nl &gt; Officiële bekendmakingen</w:t>
        </w:r>
      </w:hyperlink>
      <w:r w:rsidRPr="00AA38C7">
        <w:rPr>
          <w:rFonts w:ascii="Verdana" w:hAnsi="Verdana"/>
          <w:sz w:val="18"/>
          <w:szCs w:val="18"/>
        </w:rPr>
        <w:t xml:space="preserve">]). Als de tegoedpas onbelast was, geldt in beginsel hetzelfde voor de uitbetaling ter hoogte van het door het faillissement verloren gegane resterende tegoed op de pas. De uiteindelijke beoordeling </w:t>
      </w:r>
      <w:r w:rsidRPr="00AA38C7">
        <w:rPr>
          <w:rFonts w:ascii="Verdana" w:hAnsi="Verdana"/>
          <w:sz w:val="18"/>
          <w:szCs w:val="18"/>
        </w:rPr>
        <w:lastRenderedPageBreak/>
        <w:t>blijft voorbehouden aan de inspecteur van de Belastingdienst. Gemeenten die zekerheid willen hebben, kunnen zich wenden tot de inspecteur. Onbelaste verstrekkingen hebben geen invloed op de toeslagen.</w:t>
      </w:r>
    </w:p>
    <w:p w:rsidRPr="00AA38C7" w:rsidR="00DD485B" w:rsidP="00BB2550" w:rsidRDefault="00DD485B" w14:paraId="12B57B80" w14:textId="77777777">
      <w:pPr>
        <w:spacing w:after="384" w:afterLines="160" w:line="278" w:lineRule="auto"/>
        <w:rPr>
          <w:rFonts w:ascii="Verdana" w:hAnsi="Verdana"/>
          <w:sz w:val="18"/>
          <w:szCs w:val="18"/>
        </w:rPr>
      </w:pPr>
      <w:r w:rsidRPr="00AA38C7">
        <w:rPr>
          <w:rFonts w:ascii="Verdana" w:hAnsi="Verdana"/>
          <w:sz w:val="18"/>
          <w:szCs w:val="18"/>
        </w:rPr>
        <w:t xml:space="preserve">Bovenstaande is niet van toepassing als de inwoner dubbele compensatie krijgt. Gemeenten die uitbetalen wordt daarom geadviseerd om ervoor te zorgen dat de rechten op een tegoed bij een doorstart of op een compensatie door de curator toekomen aan de gemeente. </w:t>
      </w:r>
    </w:p>
    <w:p w:rsidRPr="00AA38C7" w:rsidR="00DD485B" w:rsidP="00BB2550" w:rsidRDefault="00DD485B" w14:paraId="3C44CE50" w14:textId="77777777">
      <w:pPr>
        <w:spacing w:after="384" w:afterLines="160" w:line="278" w:lineRule="auto"/>
        <w:rPr>
          <w:rFonts w:ascii="Verdana" w:hAnsi="Verdana" w:eastAsia="Arial" w:cs="Arial"/>
          <w:b/>
          <w:bCs/>
          <w:sz w:val="18"/>
          <w:szCs w:val="18"/>
        </w:rPr>
      </w:pPr>
    </w:p>
    <w:p w:rsidRPr="00AA38C7" w:rsidR="00824AA9" w:rsidP="00BB2550" w:rsidRDefault="00824AA9" w14:paraId="7D0B2D88" w14:textId="47C114A4">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Vrijlating herstelbetalingen en schadevergoedingen vanwege onrechtmatige terugvordering uitwonendenbeurs</w:t>
      </w:r>
    </w:p>
    <w:p w:rsidRPr="00AA38C7" w:rsidR="00824AA9" w:rsidP="00BB2550" w:rsidRDefault="00824AA9" w14:paraId="19E0FEC8" w14:textId="09AF53EB">
      <w:pPr>
        <w:spacing w:after="384" w:afterLines="160" w:line="278" w:lineRule="auto"/>
        <w:rPr>
          <w:rFonts w:ascii="Verdana" w:hAnsi="Verdana"/>
          <w:sz w:val="18"/>
          <w:szCs w:val="18"/>
        </w:rPr>
      </w:pPr>
      <w:r w:rsidRPr="00AA38C7">
        <w:rPr>
          <w:rFonts w:ascii="Verdana" w:hAnsi="Verdana"/>
          <w:sz w:val="18"/>
          <w:szCs w:val="18"/>
        </w:rPr>
        <w:t>Begin 2024 heeft de minister van Onderwijs, Cultuur en Wetenschap geconstateerd dat er sprake was van indirecte discriminatie bij de voormalige risicogerichte controlewerkwijze van de Dienst Uitvoering Onderwijs (DUO) bij de uitwonendenbeurs. Hierdoor hadden bepaalde groepen studenten een onevenredig verhoogde kans op een controle. Op 11 november 2024 heeft het kabinet besloten om alle besluiten die op basis van deze controles zijn genomen en de daarmee gepaard gaande financiële maatregelen, terug te draaien.</w:t>
      </w:r>
      <w:r w:rsidRPr="00AA38C7">
        <w:rPr>
          <w:rFonts w:ascii="Verdana" w:hAnsi="Verdana"/>
          <w:sz w:val="18"/>
          <w:szCs w:val="18"/>
        </w:rPr>
        <w:br/>
        <w:t xml:space="preserve">De afgelopen periode is DUO bezig geweest om de herzieningsopgave zorgvuldig voor te bereiden. DUO is september 2025 gestart met de eerste uitbetalingen. Alvorens tot uitbetaling over te gaan neemt DUO persoonlijk contact op met betreffende (oud-)studenten. Zo is het mogelijk het moment van uitbetaling af te stemmen op de situatie van belanghebbende. </w:t>
      </w:r>
      <w:r w:rsidRPr="00AA38C7">
        <w:rPr>
          <w:rFonts w:ascii="Verdana" w:hAnsi="Verdana"/>
          <w:sz w:val="18"/>
          <w:szCs w:val="18"/>
        </w:rPr>
        <w:br/>
      </w:r>
      <w:r w:rsidRPr="00AA38C7">
        <w:rPr>
          <w:rFonts w:ascii="Verdana" w:hAnsi="Verdana"/>
          <w:sz w:val="18"/>
          <w:szCs w:val="18"/>
        </w:rPr>
        <w:br/>
        <w:t>Om te bereiken dat deze betalingen geen invloed hebben op de uitkering van eventuele bijstandsgerechtigde oud-studenten</w:t>
      </w:r>
      <w:r w:rsidRPr="00AA38C7" w:rsidR="00BB2550">
        <w:rPr>
          <w:rFonts w:ascii="Verdana" w:hAnsi="Verdana"/>
          <w:sz w:val="18"/>
          <w:szCs w:val="18"/>
        </w:rPr>
        <w:t>,</w:t>
      </w:r>
      <w:r w:rsidRPr="00AA38C7">
        <w:rPr>
          <w:rFonts w:ascii="Verdana" w:hAnsi="Verdana"/>
          <w:sz w:val="18"/>
          <w:szCs w:val="18"/>
        </w:rPr>
        <w:t xml:space="preserve"> zijn aan artikel 7 van de Regeling Participatiewet, IOAW en IOAZ deze vergoedingen als niet in aanmerking te nemen middelen (</w:t>
      </w:r>
      <w:proofErr w:type="spellStart"/>
      <w:r w:rsidRPr="00AA38C7">
        <w:rPr>
          <w:rFonts w:ascii="Verdana" w:hAnsi="Verdana"/>
          <w:sz w:val="18"/>
          <w:szCs w:val="18"/>
        </w:rPr>
        <w:t>Pw</w:t>
      </w:r>
      <w:proofErr w:type="spellEnd"/>
      <w:r w:rsidRPr="00AA38C7">
        <w:rPr>
          <w:rFonts w:ascii="Verdana" w:hAnsi="Verdana"/>
          <w:sz w:val="18"/>
          <w:szCs w:val="18"/>
        </w:rPr>
        <w:t xml:space="preserve"> art 31 lid 2 onder l), toegevoegd. Concreet betekent dit dat gemeenten de vergoeding niet mogen verrekenen met de bijstandsuitkering.</w:t>
      </w:r>
      <w:r w:rsidRPr="00AA38C7">
        <w:rPr>
          <w:rFonts w:ascii="Verdana" w:hAnsi="Verdana"/>
          <w:sz w:val="18"/>
          <w:szCs w:val="18"/>
        </w:rPr>
        <w:br/>
      </w:r>
      <w:r w:rsidRPr="00AA38C7">
        <w:rPr>
          <w:rFonts w:ascii="Verdana" w:hAnsi="Verdana"/>
          <w:sz w:val="18"/>
          <w:szCs w:val="18"/>
        </w:rPr>
        <w:br/>
        <w:t>De regeling is medio november in werking getreden en werkt terug tot 1 september 2025. DUO streeft ernaar om eventuele bijstandsgerechtigde oud-studenten de vergoeding pas te verstrekken nadat de regeling gepubliceerd is.</w:t>
      </w:r>
      <w:r w:rsidRPr="00AA38C7">
        <w:rPr>
          <w:rFonts w:ascii="Verdana" w:hAnsi="Verdana"/>
          <w:sz w:val="18"/>
          <w:szCs w:val="18"/>
        </w:rPr>
        <w:br/>
        <w:t xml:space="preserve"> </w:t>
      </w:r>
    </w:p>
    <w:p w:rsidRPr="00AA38C7" w:rsidR="00824AA9" w:rsidP="00BB2550" w:rsidRDefault="00824AA9" w14:paraId="62FA4700"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Vrijlating vergoedingen in verband met onterechte afwijzing verzoeken om Minnelijke Schuldsanering Natuurlijke Personen (MSNP) door de belastingdienst</w:t>
      </w:r>
    </w:p>
    <w:p w:rsidRPr="00AA38C7" w:rsidR="000B2634" w:rsidP="00BB2550" w:rsidRDefault="000B2634" w14:paraId="75F2F465" w14:textId="585E48AC">
      <w:pPr>
        <w:spacing w:after="384" w:afterLines="160" w:line="278" w:lineRule="auto"/>
        <w:rPr>
          <w:rFonts w:ascii="Verdana" w:hAnsi="Verdana"/>
          <w:sz w:val="18"/>
          <w:szCs w:val="18"/>
        </w:rPr>
      </w:pPr>
      <w:r w:rsidRPr="00AA38C7">
        <w:rPr>
          <w:rFonts w:ascii="Verdana" w:hAnsi="Verdana"/>
          <w:sz w:val="18"/>
          <w:szCs w:val="18"/>
        </w:rPr>
        <w:t>Uit onderzoek is gebleken dat de Belastingdienst in de periode januari 2014 tot april 2021 een deel van de MSNP-aanvragen onterecht heeft afgewezen. Als gevolg hiervan kunnen burgers te maken hebben gekregen met een dwanginvordering of persoonlijk faillissement. Hierdoor is een groep kwetsbare burgers, onterecht en onnodig beperkt in een schuldenvrije toekomst. Het kabinet komt deze burgers nu tegemoet met een viertal tegemoetkomingen:</w:t>
      </w:r>
      <w:r w:rsidRPr="00AA38C7">
        <w:rPr>
          <w:rFonts w:ascii="Verdana" w:hAnsi="Verdana"/>
          <w:sz w:val="18"/>
          <w:szCs w:val="18"/>
        </w:rPr>
        <w:br/>
      </w:r>
    </w:p>
    <w:p w:rsidRPr="00AA38C7" w:rsidR="000B2634" w:rsidP="00BB2550" w:rsidRDefault="000B2634" w14:paraId="7035CD1D" w14:textId="217428C5">
      <w:pPr>
        <w:pStyle w:val="Lijstalinea"/>
        <w:numPr>
          <w:ilvl w:val="0"/>
          <w:numId w:val="9"/>
        </w:numPr>
        <w:spacing w:after="384" w:afterLines="160" w:line="278" w:lineRule="auto"/>
        <w:rPr>
          <w:rFonts w:ascii="Verdana" w:hAnsi="Verdana"/>
          <w:sz w:val="18"/>
          <w:szCs w:val="18"/>
        </w:rPr>
      </w:pPr>
      <w:r w:rsidRPr="00AA38C7">
        <w:rPr>
          <w:rFonts w:ascii="Verdana" w:hAnsi="Verdana"/>
          <w:sz w:val="18"/>
          <w:szCs w:val="18"/>
        </w:rPr>
        <w:t>Tegemoetkoming voor immateriële schade (de forfaitaire tegemoetkoming). Deze tegemoetkoming bedraagt € 500 per verzoek tot medewerking aan een MSNP dat onterecht door de ontvanger is afgewezen. Verzoeken die binnen de periode van 240 dagen na de eerste onterechte afwijzing eveneens onterecht zijn afgewezen, worden als één verzoek beschouwd.</w:t>
      </w:r>
    </w:p>
    <w:p w:rsidRPr="00AA38C7" w:rsidR="000B2634" w:rsidP="00BB2550" w:rsidRDefault="000B2634" w14:paraId="4C606E9B" w14:textId="77777777">
      <w:pPr>
        <w:pStyle w:val="Lijstalinea"/>
        <w:numPr>
          <w:ilvl w:val="0"/>
          <w:numId w:val="9"/>
        </w:numPr>
        <w:spacing w:after="384" w:afterLines="160" w:line="278" w:lineRule="auto"/>
        <w:rPr>
          <w:rFonts w:ascii="Verdana" w:hAnsi="Verdana"/>
          <w:sz w:val="18"/>
          <w:szCs w:val="18"/>
        </w:rPr>
      </w:pPr>
      <w:r w:rsidRPr="00AA38C7">
        <w:rPr>
          <w:rFonts w:ascii="Verdana" w:hAnsi="Verdana"/>
          <w:sz w:val="18"/>
          <w:szCs w:val="18"/>
        </w:rPr>
        <w:lastRenderedPageBreak/>
        <w:t xml:space="preserve">Kwijtschelding van de nog openstaande schulden bij de Belastingdienst en de Dienst Toeslagen. </w:t>
      </w:r>
    </w:p>
    <w:p w:rsidRPr="00AA38C7" w:rsidR="000B2634" w:rsidP="00BB2550" w:rsidRDefault="000B2634" w14:paraId="65E91A8F" w14:textId="29C38209">
      <w:pPr>
        <w:pStyle w:val="Lijstalinea"/>
        <w:numPr>
          <w:ilvl w:val="0"/>
          <w:numId w:val="9"/>
        </w:numPr>
        <w:spacing w:after="384" w:afterLines="160" w:line="278" w:lineRule="auto"/>
        <w:rPr>
          <w:rFonts w:ascii="Verdana" w:hAnsi="Verdana"/>
          <w:sz w:val="18"/>
          <w:szCs w:val="18"/>
        </w:rPr>
      </w:pPr>
      <w:r w:rsidRPr="00AA38C7">
        <w:rPr>
          <w:rFonts w:ascii="Verdana" w:hAnsi="Verdana"/>
          <w:sz w:val="18"/>
          <w:szCs w:val="18"/>
        </w:rPr>
        <w:t xml:space="preserve">Het betalen van een bedrag gelijk aan de </w:t>
      </w:r>
      <w:proofErr w:type="gramStart"/>
      <w:r w:rsidRPr="00AA38C7">
        <w:rPr>
          <w:rFonts w:ascii="Verdana" w:hAnsi="Verdana"/>
          <w:sz w:val="18"/>
          <w:szCs w:val="18"/>
        </w:rPr>
        <w:t>reeds</w:t>
      </w:r>
      <w:proofErr w:type="gramEnd"/>
      <w:r w:rsidRPr="00AA38C7">
        <w:rPr>
          <w:rFonts w:ascii="Verdana" w:hAnsi="Verdana"/>
          <w:sz w:val="18"/>
          <w:szCs w:val="18"/>
        </w:rPr>
        <w:t xml:space="preserve"> betaalde bedragen aan, en/of verrekende bedragen door, de Belastingdienst respectievelijk de Dienst Toeslagen. </w:t>
      </w:r>
    </w:p>
    <w:p w:rsidRPr="00AA38C7" w:rsidR="000B2634" w:rsidP="00BB2550" w:rsidRDefault="000B2634" w14:paraId="62307DCF" w14:textId="77777777">
      <w:pPr>
        <w:pStyle w:val="Lijstalinea"/>
        <w:numPr>
          <w:ilvl w:val="0"/>
          <w:numId w:val="9"/>
        </w:numPr>
        <w:spacing w:after="384" w:afterLines="160" w:line="278" w:lineRule="auto"/>
        <w:rPr>
          <w:rFonts w:ascii="Verdana" w:hAnsi="Verdana"/>
          <w:sz w:val="18"/>
          <w:szCs w:val="18"/>
        </w:rPr>
      </w:pPr>
      <w:r w:rsidRPr="00AA38C7">
        <w:rPr>
          <w:rFonts w:ascii="Verdana" w:hAnsi="Verdana"/>
          <w:sz w:val="18"/>
          <w:szCs w:val="18"/>
        </w:rPr>
        <w:t xml:space="preserve">Het financieren van het bedrag dat een burger tijdens een MSNP (pseudo-) of WSNP aan de schuldeisers dient af te dragen zodat alsnog een schuldenvrije toekomst kan worden gerealiseerd. </w:t>
      </w:r>
    </w:p>
    <w:p w:rsidRPr="00AA38C7" w:rsidR="000B2634" w:rsidP="00BB2550" w:rsidRDefault="000B2634" w14:paraId="77F88183" w14:textId="2CAA98AE">
      <w:pPr>
        <w:autoSpaceDE w:val="0"/>
        <w:autoSpaceDN w:val="0"/>
        <w:adjustRightInd w:val="0"/>
        <w:spacing w:after="384" w:afterLines="160" w:line="278" w:lineRule="auto"/>
        <w:rPr>
          <w:rFonts w:ascii="Verdana" w:hAnsi="Verdana"/>
          <w:sz w:val="18"/>
          <w:szCs w:val="18"/>
        </w:rPr>
      </w:pPr>
      <w:r w:rsidRPr="00AA38C7">
        <w:rPr>
          <w:rFonts w:ascii="Verdana" w:hAnsi="Verdana"/>
          <w:sz w:val="18"/>
          <w:szCs w:val="18"/>
        </w:rPr>
        <w:t>Zowel de forfaitaire tegemoetkoming als de vergoeding voor de eerdere betalingen aan, en de verrekeningen door, de Belastingdienst en de Dienst Toeslagen kunnen (onwenselijke) gevolgen hebben voor iemands recht op een bijstandsuitkering. Om dit te voorkomen wordt aan artikel 7 van de Regeling Participatiewet, IOAW en IOAZ toegevoegd dat de forfaitaire tegemoetkoming en het bedrag gelijk aan de betaalde en verrekende bedragen niet tot de in aanmerking te nemen middelen (</w:t>
      </w:r>
      <w:proofErr w:type="spellStart"/>
      <w:r w:rsidRPr="00AA38C7">
        <w:rPr>
          <w:rFonts w:ascii="Verdana" w:hAnsi="Verdana"/>
          <w:sz w:val="18"/>
          <w:szCs w:val="18"/>
        </w:rPr>
        <w:t>Pw</w:t>
      </w:r>
      <w:proofErr w:type="spellEnd"/>
      <w:r w:rsidRPr="00AA38C7">
        <w:rPr>
          <w:rFonts w:ascii="Verdana" w:hAnsi="Verdana"/>
          <w:sz w:val="18"/>
          <w:szCs w:val="18"/>
        </w:rPr>
        <w:t xml:space="preserve"> art 31 lid 2 onder l) in het kader van een bijstandsuitkering worden gerekend. Concreet betekent dit dat gemeenten de vergoeding niet mogen verrekenen met de bijstandsuitkering.</w:t>
      </w:r>
    </w:p>
    <w:p w:rsidRPr="00AA38C7" w:rsidR="000B2634" w:rsidP="00BB2550" w:rsidRDefault="000B2634" w14:paraId="120FC360" w14:textId="460CBB9F">
      <w:pPr>
        <w:spacing w:after="384" w:afterLines="160" w:line="278" w:lineRule="auto"/>
        <w:rPr>
          <w:rFonts w:ascii="Verdana" w:hAnsi="Verdana"/>
          <w:sz w:val="18"/>
          <w:szCs w:val="18"/>
          <w:lang w:eastAsia="nl-NL"/>
        </w:rPr>
      </w:pPr>
      <w:r w:rsidRPr="00AA38C7">
        <w:rPr>
          <w:rFonts w:ascii="Verdana" w:hAnsi="Verdana"/>
          <w:sz w:val="18"/>
          <w:szCs w:val="18"/>
        </w:rPr>
        <w:t>De regeling is medio november in werking getreden en werkt terug tot 1 juli 2025.</w:t>
      </w:r>
    </w:p>
    <w:p w:rsidRPr="00AA38C7" w:rsidR="000C10D1" w:rsidP="00BB2550" w:rsidRDefault="000C10D1" w14:paraId="47B74738"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Publicatie handreiking Maatwerk Participatiewet jongeren in een kwetsbare positie</w:t>
      </w:r>
    </w:p>
    <w:p w:rsidRPr="00AA38C7" w:rsidR="000C10D1" w:rsidP="00BB2550" w:rsidRDefault="000C10D1" w14:paraId="67C8BAF2" w14:textId="2EE66C58">
      <w:pPr>
        <w:spacing w:before="240" w:after="384" w:afterLines="160" w:line="278" w:lineRule="auto"/>
        <w:rPr>
          <w:rFonts w:ascii="Verdana" w:hAnsi="Verdana"/>
          <w:sz w:val="18"/>
          <w:szCs w:val="18"/>
        </w:rPr>
      </w:pPr>
      <w:r w:rsidRPr="00AA38C7">
        <w:rPr>
          <w:rFonts w:ascii="Verdana" w:hAnsi="Verdana"/>
          <w:sz w:val="18"/>
          <w:szCs w:val="18"/>
        </w:rPr>
        <w:t xml:space="preserve">Voor de ondersteuning van jongeren in een kwetsbare positie en om dakloosheid onder hen te voorkomen heeft </w:t>
      </w:r>
      <w:proofErr w:type="spellStart"/>
      <w:r w:rsidRPr="00AA38C7">
        <w:rPr>
          <w:rFonts w:ascii="Verdana" w:hAnsi="Verdana"/>
          <w:sz w:val="18"/>
          <w:szCs w:val="18"/>
        </w:rPr>
        <w:t>Divosa</w:t>
      </w:r>
      <w:proofErr w:type="spellEnd"/>
      <w:r w:rsidRPr="00AA38C7">
        <w:rPr>
          <w:rFonts w:ascii="Verdana" w:hAnsi="Verdana"/>
          <w:sz w:val="18"/>
          <w:szCs w:val="18"/>
        </w:rPr>
        <w:t xml:space="preserve">, met subsidie van het ministerie van Sociale Zaken en Werkgelegenheid, de handreiking </w:t>
      </w:r>
      <w:r w:rsidRPr="00AA38C7">
        <w:rPr>
          <w:rFonts w:ascii="Verdana" w:hAnsi="Verdana"/>
          <w:i/>
          <w:sz w:val="18"/>
          <w:szCs w:val="18"/>
        </w:rPr>
        <w:t>‘</w:t>
      </w:r>
      <w:hyperlink w:history="1" r:id="rId24">
        <w:r w:rsidRPr="00AA38C7">
          <w:rPr>
            <w:rStyle w:val="Hyperlink"/>
            <w:rFonts w:ascii="Verdana" w:hAnsi="Verdana"/>
            <w:i/>
            <w:sz w:val="18"/>
            <w:szCs w:val="18"/>
          </w:rPr>
          <w:t>Maatwerk Participatiewet voor de ondersteuning van jongeren in een kwetsbare positie’</w:t>
        </w:r>
      </w:hyperlink>
      <w:r w:rsidRPr="00AA38C7">
        <w:rPr>
          <w:rFonts w:ascii="Verdana" w:hAnsi="Verdana"/>
          <w:sz w:val="18"/>
          <w:szCs w:val="18"/>
        </w:rPr>
        <w:t xml:space="preserve"> gepubliceerd. </w:t>
      </w:r>
    </w:p>
    <w:p w:rsidRPr="00AA38C7" w:rsidR="000C10D1" w:rsidP="00BB2550" w:rsidRDefault="000C10D1" w14:paraId="3FCD10A4" w14:textId="4916FB45">
      <w:pPr>
        <w:spacing w:before="240" w:after="384" w:afterLines="160" w:line="278" w:lineRule="auto"/>
        <w:rPr>
          <w:rFonts w:ascii="Verdana" w:hAnsi="Verdana"/>
          <w:sz w:val="18"/>
          <w:szCs w:val="18"/>
        </w:rPr>
      </w:pPr>
      <w:r w:rsidRPr="00AA38C7">
        <w:rPr>
          <w:rFonts w:ascii="Verdana" w:hAnsi="Verdana"/>
          <w:sz w:val="18"/>
          <w:szCs w:val="18"/>
        </w:rPr>
        <w:t>De handreiking laat zien hoe gemeenten maatwerk kunnen toepassen om deze jongeren beter te ondersteunen. In de handreiking is ook ruim aandacht voor de wijzigingen</w:t>
      </w:r>
      <w:r w:rsidRPr="00AA38C7" w:rsidR="00BB2550">
        <w:rPr>
          <w:rFonts w:ascii="Verdana" w:hAnsi="Verdana"/>
          <w:sz w:val="18"/>
          <w:szCs w:val="18"/>
        </w:rPr>
        <w:t xml:space="preserve"> in de Participatie door</w:t>
      </w:r>
      <w:r w:rsidRPr="00AA38C7">
        <w:rPr>
          <w:rFonts w:ascii="Verdana" w:hAnsi="Verdana"/>
          <w:sz w:val="18"/>
          <w:szCs w:val="18"/>
        </w:rPr>
        <w:t xml:space="preserve"> </w:t>
      </w:r>
      <w:r w:rsidRPr="00AA38C7" w:rsidR="00BB2550">
        <w:rPr>
          <w:rFonts w:ascii="Verdana" w:hAnsi="Verdana"/>
          <w:sz w:val="18"/>
          <w:szCs w:val="18"/>
        </w:rPr>
        <w:t>de</w:t>
      </w:r>
      <w:r w:rsidRPr="00AA38C7">
        <w:rPr>
          <w:rFonts w:ascii="Verdana" w:hAnsi="Verdana"/>
          <w:sz w:val="18"/>
          <w:szCs w:val="18"/>
        </w:rPr>
        <w:t xml:space="preserve"> wet Participatiewet in Balans. </w:t>
      </w:r>
      <w:bookmarkStart w:name="_jphrnqa9sxfx" w:colFirst="0" w:colLast="0" w:id="0"/>
      <w:bookmarkEnd w:id="0"/>
      <w:r w:rsidRPr="00AA38C7">
        <w:rPr>
          <w:rFonts w:ascii="Verdana" w:hAnsi="Verdana"/>
          <w:sz w:val="18"/>
          <w:szCs w:val="18"/>
        </w:rPr>
        <w:br/>
      </w:r>
      <w:r w:rsidRPr="00AA38C7">
        <w:rPr>
          <w:rFonts w:ascii="Verdana" w:hAnsi="Verdana"/>
          <w:sz w:val="18"/>
          <w:szCs w:val="18"/>
        </w:rPr>
        <w:br/>
        <w:t xml:space="preserve">De handreiking gaat onder andere op de volgende onderwerpen in: </w:t>
      </w:r>
    </w:p>
    <w:p w:rsidRPr="00AA38C7" w:rsidR="000C10D1" w:rsidP="00BB2550" w:rsidRDefault="000C10D1" w14:paraId="3904322E" w14:textId="77777777">
      <w:pPr>
        <w:pStyle w:val="Lijstalinea"/>
        <w:numPr>
          <w:ilvl w:val="0"/>
          <w:numId w:val="8"/>
        </w:numPr>
        <w:spacing w:after="384" w:afterLines="160" w:line="278" w:lineRule="auto"/>
        <w:rPr>
          <w:rFonts w:ascii="Verdana" w:hAnsi="Verdana"/>
          <w:sz w:val="18"/>
          <w:szCs w:val="18"/>
        </w:rPr>
      </w:pPr>
      <w:r w:rsidRPr="00AA38C7">
        <w:rPr>
          <w:rFonts w:ascii="Verdana" w:hAnsi="Verdana"/>
          <w:sz w:val="18"/>
          <w:szCs w:val="18"/>
        </w:rPr>
        <w:t>De toegang tot algemene én bijzondere bijstand;</w:t>
      </w:r>
    </w:p>
    <w:p w:rsidRPr="00AA38C7" w:rsidR="000C10D1" w:rsidP="00BB2550" w:rsidRDefault="000C10D1" w14:paraId="7105D6F0" w14:textId="77777777">
      <w:pPr>
        <w:pStyle w:val="Lijstalinea"/>
        <w:numPr>
          <w:ilvl w:val="0"/>
          <w:numId w:val="8"/>
        </w:numPr>
        <w:spacing w:after="384" w:afterLines="160" w:line="278" w:lineRule="auto"/>
        <w:rPr>
          <w:rFonts w:ascii="Verdana" w:hAnsi="Verdana"/>
          <w:sz w:val="18"/>
          <w:szCs w:val="18"/>
        </w:rPr>
      </w:pPr>
      <w:r w:rsidRPr="00AA38C7">
        <w:rPr>
          <w:rFonts w:ascii="Verdana" w:hAnsi="Verdana"/>
          <w:sz w:val="18"/>
          <w:szCs w:val="18"/>
        </w:rPr>
        <w:t>Diverse maatwerkmogelijkheden binnen de Participatiewet;</w:t>
      </w:r>
    </w:p>
    <w:p w:rsidRPr="00AA38C7" w:rsidR="000C10D1" w:rsidP="00BB2550" w:rsidRDefault="000C10D1" w14:paraId="0813B94A" w14:textId="77777777">
      <w:pPr>
        <w:pStyle w:val="Lijstalinea"/>
        <w:numPr>
          <w:ilvl w:val="0"/>
          <w:numId w:val="8"/>
        </w:numPr>
        <w:spacing w:after="384" w:afterLines="160" w:line="278" w:lineRule="auto"/>
        <w:rPr>
          <w:rFonts w:ascii="Verdana" w:hAnsi="Verdana"/>
          <w:sz w:val="18"/>
          <w:szCs w:val="18"/>
        </w:rPr>
      </w:pPr>
      <w:r w:rsidRPr="00AA38C7">
        <w:rPr>
          <w:rFonts w:ascii="Verdana" w:hAnsi="Verdana"/>
          <w:sz w:val="18"/>
          <w:szCs w:val="18"/>
        </w:rPr>
        <w:t xml:space="preserve">Een integrale, persoonsgerichte aanpak vanuit gemeenten. </w:t>
      </w:r>
      <w:bookmarkStart w:name="_k4zqm61cajyd" w:colFirst="0" w:colLast="0" w:id="1"/>
      <w:bookmarkStart w:name="_bpcc1v3rsxeo" w:colFirst="0" w:colLast="0" w:id="2"/>
      <w:bookmarkEnd w:id="1"/>
      <w:bookmarkEnd w:id="2"/>
    </w:p>
    <w:p w:rsidRPr="00AA38C7" w:rsidR="00566DC9" w:rsidP="00BB2550" w:rsidRDefault="00566DC9" w14:paraId="620B7443" w14:textId="77777777">
      <w:pPr>
        <w:spacing w:after="384" w:afterLines="160" w:line="278" w:lineRule="auto"/>
        <w:rPr>
          <w:rFonts w:ascii="Verdana" w:hAnsi="Verdana" w:eastAsia="Arial" w:cs="Arial"/>
          <w:b/>
          <w:bCs/>
          <w:sz w:val="18"/>
          <w:szCs w:val="18"/>
        </w:rPr>
      </w:pPr>
    </w:p>
    <w:p w:rsidRPr="00AA38C7" w:rsidR="000C10D1" w:rsidP="00BB2550" w:rsidRDefault="000C10D1" w14:paraId="02847942" w14:textId="7BC0C9F8">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 xml:space="preserve">Verantwoording </w:t>
      </w:r>
      <w:proofErr w:type="spellStart"/>
      <w:r w:rsidRPr="00AA38C7">
        <w:rPr>
          <w:rFonts w:ascii="Verdana" w:hAnsi="Verdana" w:eastAsia="Arial" w:cs="Arial"/>
          <w:b/>
          <w:bCs/>
          <w:sz w:val="18"/>
          <w:szCs w:val="18"/>
        </w:rPr>
        <w:t>SPUK’s</w:t>
      </w:r>
      <w:proofErr w:type="spellEnd"/>
      <w:r w:rsidRPr="00AA38C7">
        <w:rPr>
          <w:rFonts w:ascii="Verdana" w:hAnsi="Verdana" w:eastAsia="Arial" w:cs="Arial"/>
          <w:b/>
          <w:bCs/>
          <w:sz w:val="18"/>
          <w:szCs w:val="18"/>
        </w:rPr>
        <w:t xml:space="preserve"> inburgering over 2025</w:t>
      </w:r>
    </w:p>
    <w:p w:rsidRPr="00AA38C7" w:rsidR="003C47C6" w:rsidP="00BB2550" w:rsidRDefault="000C10D1" w14:paraId="436EBA37" w14:textId="175E615D">
      <w:pPr>
        <w:spacing w:after="384" w:afterLines="160" w:line="278" w:lineRule="auto"/>
        <w:rPr>
          <w:rFonts w:ascii="Verdana" w:hAnsi="Verdana"/>
          <w:sz w:val="18"/>
          <w:szCs w:val="18"/>
        </w:rPr>
      </w:pPr>
      <w:r w:rsidRPr="00AA38C7">
        <w:rPr>
          <w:rFonts w:ascii="Verdana" w:hAnsi="Verdana"/>
          <w:sz w:val="18"/>
          <w:szCs w:val="18"/>
        </w:rPr>
        <w:t>Nu inburgering weer onder de verantwoordelijkheid van SZW valt, betekent dit ook een verandering in de verantwoording van de besteding van de specifieke uitkeringen inburgering door gemeenten. Eerder was gemeld dat dat via het ministerie van Justitie en Veiligheid liep voor het jaar 2025. Door de verschuiving van beleidsverantwoordelijkheden is dat nu via het ministerie van Sociale Zaken en Werkgelegenheid.</w:t>
      </w:r>
      <w:r w:rsidRPr="00AA38C7">
        <w:rPr>
          <w:rFonts w:ascii="Verdana" w:hAnsi="Verdana"/>
          <w:sz w:val="18"/>
          <w:szCs w:val="18"/>
        </w:rPr>
        <w:br/>
      </w:r>
      <w:r w:rsidRPr="00AA38C7">
        <w:rPr>
          <w:rFonts w:ascii="Verdana" w:hAnsi="Verdana"/>
          <w:sz w:val="18"/>
          <w:szCs w:val="18"/>
        </w:rPr>
        <w:br/>
        <w:t xml:space="preserve">Gemeenten moeten ieder jaar aan de rijksoverheid melden of en hoe ze geld hebben besteed. Dat gaat via de methodiek </w:t>
      </w:r>
      <w:proofErr w:type="spellStart"/>
      <w:r w:rsidRPr="00AA38C7">
        <w:rPr>
          <w:rFonts w:ascii="Verdana" w:hAnsi="Verdana"/>
          <w:sz w:val="18"/>
          <w:szCs w:val="18"/>
        </w:rPr>
        <w:t>SiSa</w:t>
      </w:r>
      <w:proofErr w:type="spellEnd"/>
      <w:r w:rsidRPr="00AA38C7">
        <w:rPr>
          <w:rFonts w:ascii="Verdana" w:hAnsi="Verdana"/>
          <w:sz w:val="18"/>
          <w:szCs w:val="18"/>
        </w:rPr>
        <w:t xml:space="preserve"> (Single information, Single Audit). SZW wijst gemeenten erop dat voor het verantwoordingsjaar 2025 de </w:t>
      </w:r>
      <w:r w:rsidRPr="00AA38C7">
        <w:rPr>
          <w:rFonts w:ascii="Verdana" w:hAnsi="Verdana" w:cstheme="minorHAnsi"/>
          <w:sz w:val="18"/>
          <w:szCs w:val="18"/>
        </w:rPr>
        <w:t xml:space="preserve">financiële </w:t>
      </w:r>
      <w:r w:rsidRPr="00AA38C7">
        <w:rPr>
          <w:rFonts w:ascii="Verdana" w:hAnsi="Verdana"/>
          <w:sz w:val="18"/>
          <w:szCs w:val="18"/>
        </w:rPr>
        <w:t xml:space="preserve">verantwoording van de Specifieke Uitkering (SPUK) inburgeringsvoorzieningen dient plaats te vinden in de </w:t>
      </w:r>
      <w:proofErr w:type="spellStart"/>
      <w:r w:rsidRPr="00AA38C7">
        <w:rPr>
          <w:rFonts w:ascii="Verdana" w:hAnsi="Verdana"/>
          <w:sz w:val="18"/>
          <w:szCs w:val="18"/>
        </w:rPr>
        <w:t>SiSa</w:t>
      </w:r>
      <w:proofErr w:type="spellEnd"/>
      <w:r w:rsidRPr="00AA38C7">
        <w:rPr>
          <w:rFonts w:ascii="Verdana" w:hAnsi="Verdana"/>
          <w:sz w:val="18"/>
          <w:szCs w:val="18"/>
        </w:rPr>
        <w:t xml:space="preserve">-bijlagen G10/G10A/G10B van SZW. </w:t>
      </w:r>
      <w:r w:rsidRPr="00AA38C7">
        <w:rPr>
          <w:rFonts w:ascii="Verdana" w:hAnsi="Verdana"/>
          <w:sz w:val="18"/>
          <w:szCs w:val="18"/>
        </w:rPr>
        <w:lastRenderedPageBreak/>
        <w:t xml:space="preserve">Voor de SPUK Onderwijsroute zijn dat de </w:t>
      </w:r>
      <w:proofErr w:type="spellStart"/>
      <w:r w:rsidRPr="00AA38C7">
        <w:rPr>
          <w:rFonts w:ascii="Verdana" w:hAnsi="Verdana"/>
          <w:sz w:val="18"/>
          <w:szCs w:val="18"/>
        </w:rPr>
        <w:t>SiSa</w:t>
      </w:r>
      <w:proofErr w:type="spellEnd"/>
      <w:r w:rsidRPr="00AA38C7">
        <w:rPr>
          <w:rFonts w:ascii="Verdana" w:hAnsi="Verdana"/>
          <w:sz w:val="18"/>
          <w:szCs w:val="18"/>
        </w:rPr>
        <w:t>-bijlagen G13/G13A/G13B van SZW.</w:t>
      </w:r>
      <w:r w:rsidRPr="00AA38C7">
        <w:rPr>
          <w:rFonts w:ascii="Verdana" w:hAnsi="Verdana"/>
          <w:sz w:val="18"/>
          <w:szCs w:val="18"/>
        </w:rPr>
        <w:br/>
      </w:r>
      <w:r w:rsidRPr="00AA38C7">
        <w:rPr>
          <w:rFonts w:ascii="Verdana" w:hAnsi="Verdana"/>
          <w:sz w:val="18"/>
          <w:szCs w:val="18"/>
        </w:rPr>
        <w:br/>
        <w:t xml:space="preserve">Voor meer informatie, zie de circulaire over </w:t>
      </w:r>
      <w:proofErr w:type="spellStart"/>
      <w:r w:rsidRPr="00AA38C7">
        <w:rPr>
          <w:rFonts w:ascii="Verdana" w:hAnsi="Verdana"/>
          <w:sz w:val="18"/>
          <w:szCs w:val="18"/>
        </w:rPr>
        <w:t>SiSa</w:t>
      </w:r>
      <w:proofErr w:type="spellEnd"/>
      <w:r w:rsidRPr="00AA38C7">
        <w:rPr>
          <w:rFonts w:ascii="Verdana" w:hAnsi="Verdana"/>
          <w:sz w:val="18"/>
          <w:szCs w:val="18"/>
        </w:rPr>
        <w:t xml:space="preserve"> 2025 op </w:t>
      </w:r>
      <w:hyperlink w:history="1" r:id="rId25">
        <w:r w:rsidRPr="00AA38C7">
          <w:rPr>
            <w:rStyle w:val="Hyperlink"/>
            <w:rFonts w:ascii="Verdana" w:hAnsi="Verdana"/>
            <w:sz w:val="18"/>
            <w:szCs w:val="18"/>
          </w:rPr>
          <w:t>Rijksoverheid.nl</w:t>
        </w:r>
      </w:hyperlink>
      <w:r w:rsidRPr="00AA38C7">
        <w:rPr>
          <w:rFonts w:ascii="Verdana" w:hAnsi="Verdana"/>
          <w:sz w:val="18"/>
          <w:szCs w:val="18"/>
        </w:rPr>
        <w:t>.</w:t>
      </w:r>
    </w:p>
    <w:p w:rsidRPr="00AA38C7" w:rsidR="00426017" w:rsidP="00426017" w:rsidRDefault="00426017" w14:paraId="74B27577" w14:textId="77777777">
      <w:pPr>
        <w:pStyle w:val="Lijstalinea"/>
        <w:numPr>
          <w:ilvl w:val="0"/>
          <w:numId w:val="6"/>
        </w:numPr>
        <w:spacing w:after="384" w:afterLines="160" w:line="278" w:lineRule="auto"/>
        <w:rPr>
          <w:rFonts w:ascii="Verdana" w:hAnsi="Verdana" w:eastAsia="Arial" w:cs="Arial"/>
          <w:b/>
          <w:bCs/>
          <w:sz w:val="18"/>
          <w:szCs w:val="18"/>
        </w:rPr>
      </w:pPr>
      <w:r w:rsidRPr="00AA38C7">
        <w:rPr>
          <w:rFonts w:ascii="Verdana" w:hAnsi="Verdana" w:eastAsia="Arial" w:cs="Arial"/>
          <w:b/>
          <w:bCs/>
          <w:sz w:val="18"/>
          <w:szCs w:val="18"/>
        </w:rPr>
        <w:t>Uitnodiging Lancering handreiking SMI</w:t>
      </w:r>
    </w:p>
    <w:p w:rsidRPr="00AA38C7" w:rsidR="00426017" w:rsidP="00426017" w:rsidRDefault="00426017" w14:paraId="7D515455" w14:textId="77777777">
      <w:pPr>
        <w:rPr>
          <w:rFonts w:ascii="Verdana" w:hAnsi="Verdana"/>
          <w:sz w:val="18"/>
          <w:szCs w:val="18"/>
        </w:rPr>
      </w:pPr>
      <w:r w:rsidRPr="00AA38C7">
        <w:rPr>
          <w:rFonts w:ascii="Verdana" w:hAnsi="Verdana"/>
          <w:sz w:val="18"/>
          <w:szCs w:val="18"/>
        </w:rPr>
        <w:br/>
        <w:t>Op 29 januari 2026 lanceren VNG en SZW de nieuwe handreiking Sociaal Medische Indicatie (SMI). De afgelopen maanden hebben VNG, SZW en een werkgroep van gemeenten samen deze handreiking geschreven. De handreiking bestaat uit een duidelijke basislijn voor een meer vergelijkbare SMI-uitvoering. Tegelijkertijd blijft er ruimte voor lokaal maatwerk.</w:t>
      </w:r>
    </w:p>
    <w:p w:rsidRPr="00AA38C7" w:rsidR="00426017" w:rsidP="00426017" w:rsidRDefault="00426017" w14:paraId="341D35B1" w14:textId="77777777">
      <w:pPr>
        <w:rPr>
          <w:rFonts w:ascii="Verdana" w:hAnsi="Verdana"/>
          <w:sz w:val="18"/>
          <w:szCs w:val="18"/>
        </w:rPr>
      </w:pPr>
      <w:r w:rsidRPr="00AA38C7">
        <w:rPr>
          <w:rFonts w:ascii="Verdana" w:hAnsi="Verdana"/>
          <w:sz w:val="18"/>
          <w:szCs w:val="18"/>
        </w:rPr>
        <w:t>Tijdens de bijeenkomst presenteren we de handreiking en laten we zien hoe gemeenten deze kunnen gebruiken in de praktijk. Staatssecretaris Nobel en wethouder Voortman (Utrecht) zijn aanwezig om de handreiking officieel in ontvangst te nemen.</w:t>
      </w:r>
    </w:p>
    <w:p w:rsidRPr="00AA38C7" w:rsidR="00426017" w:rsidP="00426017" w:rsidRDefault="00426017" w14:paraId="5FA1A808" w14:textId="77777777">
      <w:pPr>
        <w:rPr>
          <w:rFonts w:ascii="Verdana" w:hAnsi="Verdana"/>
          <w:sz w:val="18"/>
          <w:szCs w:val="18"/>
        </w:rPr>
      </w:pPr>
      <w:r w:rsidRPr="00AA38C7">
        <w:rPr>
          <w:rFonts w:ascii="Verdana" w:hAnsi="Verdana"/>
          <w:sz w:val="18"/>
          <w:szCs w:val="18"/>
        </w:rPr>
        <w:t xml:space="preserve">Ook worden de bijbehorende modeldocumenten gepresenteerd. Deze zijn ontwikkeld door </w:t>
      </w:r>
      <w:proofErr w:type="spellStart"/>
      <w:r w:rsidRPr="00AA38C7">
        <w:rPr>
          <w:rFonts w:ascii="Verdana" w:hAnsi="Verdana"/>
          <w:sz w:val="18"/>
          <w:szCs w:val="18"/>
        </w:rPr>
        <w:t>Stimulansz</w:t>
      </w:r>
      <w:proofErr w:type="spellEnd"/>
      <w:r w:rsidRPr="00AA38C7">
        <w:rPr>
          <w:rFonts w:ascii="Verdana" w:hAnsi="Verdana"/>
          <w:sz w:val="18"/>
          <w:szCs w:val="18"/>
        </w:rPr>
        <w:t>. Zij zullen aanwezig zijn om toe te lichten hoe gemeenten deze documenten kunnen inzetten.</w:t>
      </w:r>
    </w:p>
    <w:p w:rsidRPr="00AA38C7" w:rsidR="00426017" w:rsidP="00426017" w:rsidRDefault="00426017" w14:paraId="57B827DA" w14:textId="77777777">
      <w:pPr>
        <w:rPr>
          <w:rFonts w:ascii="Verdana" w:hAnsi="Verdana"/>
          <w:sz w:val="18"/>
          <w:szCs w:val="18"/>
        </w:rPr>
      </w:pPr>
      <w:r w:rsidRPr="00AA38C7">
        <w:rPr>
          <w:rFonts w:ascii="Verdana" w:hAnsi="Verdana"/>
          <w:sz w:val="18"/>
          <w:szCs w:val="18"/>
        </w:rPr>
        <w:t xml:space="preserve">Daarnaast gaan we met elkaar aan de slag: hoe </w:t>
      </w:r>
      <w:proofErr w:type="gramStart"/>
      <w:r w:rsidRPr="00AA38C7">
        <w:rPr>
          <w:rFonts w:ascii="Verdana" w:hAnsi="Verdana"/>
          <w:sz w:val="18"/>
          <w:szCs w:val="18"/>
        </w:rPr>
        <w:t>neemt  de</w:t>
      </w:r>
      <w:proofErr w:type="gramEnd"/>
      <w:r w:rsidRPr="00AA38C7">
        <w:rPr>
          <w:rFonts w:ascii="Verdana" w:hAnsi="Verdana"/>
          <w:sz w:val="18"/>
          <w:szCs w:val="18"/>
        </w:rPr>
        <w:t xml:space="preserve"> handreiking de gemeente mee in het dagelijkse werk? Wat betekent de basislijn voor elke gemeente? Hoe pakken collega’s uit het land dit aan? </w:t>
      </w:r>
    </w:p>
    <w:p w:rsidRPr="00AA38C7" w:rsidR="00426017" w:rsidP="00426017" w:rsidRDefault="00426017" w14:paraId="2A5253F6" w14:textId="73DDA9A2">
      <w:pPr>
        <w:rPr>
          <w:rFonts w:ascii="Verdana" w:hAnsi="Verdana"/>
          <w:sz w:val="18"/>
          <w:szCs w:val="18"/>
        </w:rPr>
      </w:pPr>
      <w:r w:rsidRPr="00AA38C7">
        <w:rPr>
          <w:rFonts w:ascii="Verdana" w:hAnsi="Verdana"/>
          <w:sz w:val="18"/>
          <w:szCs w:val="18"/>
        </w:rPr>
        <w:t xml:space="preserve">Meer informatie over het programma en de locatie volgt binnenkort — maar noteer de datum alvast in uw agenda! </w:t>
      </w:r>
      <w:r w:rsidRPr="00AA38C7">
        <w:rPr>
          <w:rFonts w:ascii="Verdana" w:hAnsi="Verdana"/>
          <w:b/>
          <w:bCs/>
          <w:sz w:val="18"/>
          <w:szCs w:val="18"/>
        </w:rPr>
        <w:t xml:space="preserve">Aanmelden kan door een mail te sturen naar Ariane Limburg via </w:t>
      </w:r>
      <w:hyperlink w:history="1" r:id="rId26">
        <w:r w:rsidRPr="00AA38C7">
          <w:rPr>
            <w:rStyle w:val="Hyperlink"/>
            <w:rFonts w:ascii="Verdana" w:hAnsi="Verdana"/>
            <w:b/>
            <w:bCs/>
            <w:sz w:val="18"/>
            <w:szCs w:val="18"/>
          </w:rPr>
          <w:t>alimburg@minszw.nl</w:t>
        </w:r>
      </w:hyperlink>
      <w:r w:rsidRPr="00AA38C7">
        <w:rPr>
          <w:rFonts w:ascii="Verdana" w:hAnsi="Verdana"/>
          <w:b/>
          <w:bCs/>
          <w:sz w:val="18"/>
          <w:szCs w:val="18"/>
        </w:rPr>
        <w:t xml:space="preserve">. </w:t>
      </w:r>
    </w:p>
    <w:p w:rsidRPr="00AA38C7" w:rsidR="00426017" w:rsidP="00426017" w:rsidRDefault="00426017" w14:paraId="478C9EBA" w14:textId="77777777">
      <w:pPr>
        <w:rPr>
          <w:rFonts w:ascii="Verdana" w:hAnsi="Verdana"/>
          <w:sz w:val="18"/>
          <w:szCs w:val="18"/>
        </w:rPr>
      </w:pPr>
      <w:r w:rsidRPr="00AA38C7">
        <w:rPr>
          <w:rFonts w:ascii="Verdana" w:hAnsi="Verdana"/>
          <w:b/>
          <w:bCs/>
          <w:sz w:val="18"/>
          <w:szCs w:val="18"/>
          <w:u w:val="single"/>
        </w:rPr>
        <w:t>Voor wie?</w:t>
      </w:r>
      <w:r w:rsidRPr="00AA38C7">
        <w:rPr>
          <w:rFonts w:ascii="Verdana" w:hAnsi="Verdana"/>
          <w:sz w:val="18"/>
          <w:szCs w:val="18"/>
        </w:rPr>
        <w:t xml:space="preserve"> Medewerkers van gemeenten die betrokken zijn bij de uitvoering van SMI. Bijvoorbeeld als beleidsmedewerker of cliëntondersteuner. </w:t>
      </w:r>
    </w:p>
    <w:p w:rsidRPr="00AA38C7" w:rsidR="00426017" w:rsidP="00426017" w:rsidRDefault="00426017" w14:paraId="78B212F8" w14:textId="77777777">
      <w:pPr>
        <w:rPr>
          <w:rFonts w:ascii="Verdana" w:hAnsi="Verdana"/>
          <w:sz w:val="18"/>
          <w:szCs w:val="18"/>
        </w:rPr>
      </w:pPr>
      <w:r w:rsidRPr="00AA38C7">
        <w:rPr>
          <w:rFonts w:ascii="Verdana" w:hAnsi="Verdana"/>
          <w:b/>
          <w:bCs/>
          <w:sz w:val="18"/>
          <w:szCs w:val="18"/>
          <w:u w:val="single"/>
        </w:rPr>
        <w:t>Wanneer?</w:t>
      </w:r>
      <w:r w:rsidRPr="00AA38C7">
        <w:rPr>
          <w:rFonts w:ascii="Verdana" w:hAnsi="Verdana"/>
          <w:sz w:val="18"/>
          <w:szCs w:val="18"/>
        </w:rPr>
        <w:t xml:space="preserve"> Donderdag 29 januari, tussen 13:30 en 17:00. </w:t>
      </w:r>
    </w:p>
    <w:p w:rsidRPr="00AA38C7" w:rsidR="00426017" w:rsidP="00426017" w:rsidRDefault="00426017" w14:paraId="628EA648" w14:textId="77777777">
      <w:pPr>
        <w:rPr>
          <w:rFonts w:ascii="Verdana" w:hAnsi="Verdana"/>
          <w:sz w:val="18"/>
          <w:szCs w:val="18"/>
        </w:rPr>
      </w:pPr>
      <w:r w:rsidRPr="00AA38C7">
        <w:rPr>
          <w:rFonts w:ascii="Verdana" w:hAnsi="Verdana"/>
          <w:b/>
          <w:bCs/>
          <w:sz w:val="18"/>
          <w:szCs w:val="18"/>
          <w:u w:val="single"/>
        </w:rPr>
        <w:t>Waar?</w:t>
      </w:r>
      <w:r w:rsidRPr="00AA38C7">
        <w:rPr>
          <w:rFonts w:ascii="Verdana" w:hAnsi="Verdana"/>
          <w:sz w:val="18"/>
          <w:szCs w:val="18"/>
        </w:rPr>
        <w:t xml:space="preserve"> Omgeving Utrecht, exacte locatie volgt later. </w:t>
      </w:r>
    </w:p>
    <w:p w:rsidRPr="00AA38C7" w:rsidR="00426017" w:rsidP="00BB2550" w:rsidRDefault="00426017" w14:paraId="5CE2EE8E" w14:textId="77777777">
      <w:pPr>
        <w:spacing w:after="384" w:afterLines="160" w:line="278" w:lineRule="auto"/>
        <w:rPr>
          <w:rFonts w:ascii="Verdana" w:hAnsi="Verdana"/>
          <w:sz w:val="18"/>
          <w:szCs w:val="18"/>
        </w:rPr>
      </w:pPr>
    </w:p>
    <w:p w:rsidRPr="00AA38C7" w:rsidR="00426017" w:rsidP="00BB2550" w:rsidRDefault="00426017" w14:paraId="15373523" w14:textId="77777777">
      <w:pPr>
        <w:spacing w:after="384" w:afterLines="160" w:line="278" w:lineRule="auto"/>
        <w:rPr>
          <w:rFonts w:ascii="Verdana" w:hAnsi="Verdana"/>
          <w:sz w:val="18"/>
          <w:szCs w:val="18"/>
        </w:rPr>
      </w:pPr>
    </w:p>
    <w:sectPr w:rsidRPr="00AA38C7" w:rsidR="00426017">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9FCD" w14:textId="77777777" w:rsidR="007B438E" w:rsidRDefault="007B438E" w:rsidP="00C74459">
      <w:pPr>
        <w:spacing w:after="0" w:line="240" w:lineRule="auto"/>
      </w:pPr>
      <w:r>
        <w:separator/>
      </w:r>
    </w:p>
  </w:endnote>
  <w:endnote w:type="continuationSeparator" w:id="0">
    <w:p w14:paraId="4D34006F" w14:textId="77777777" w:rsidR="007B438E" w:rsidRDefault="007B438E" w:rsidP="00C7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E126" w14:textId="77777777" w:rsidR="005F4A23" w:rsidRDefault="005F4A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4A06" w14:textId="77777777" w:rsidR="005F4A23" w:rsidRDefault="005F4A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D19D" w14:textId="77777777" w:rsidR="005F4A23" w:rsidRDefault="005F4A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67DC" w14:textId="77777777" w:rsidR="007B438E" w:rsidRDefault="007B438E" w:rsidP="00C74459">
      <w:pPr>
        <w:spacing w:after="0" w:line="240" w:lineRule="auto"/>
      </w:pPr>
      <w:r>
        <w:separator/>
      </w:r>
    </w:p>
  </w:footnote>
  <w:footnote w:type="continuationSeparator" w:id="0">
    <w:p w14:paraId="55244468" w14:textId="77777777" w:rsidR="007B438E" w:rsidRDefault="007B438E" w:rsidP="00C7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D93" w14:textId="77777777" w:rsidR="005F4A23" w:rsidRDefault="005F4A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6F78" w14:textId="77777777" w:rsidR="005F4A23" w:rsidRDefault="005F4A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B225" w14:textId="77777777" w:rsidR="005F4A23" w:rsidRDefault="005F4A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44C"/>
    <w:multiLevelType w:val="hybridMultilevel"/>
    <w:tmpl w:val="05448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CD988"/>
    <w:multiLevelType w:val="hybridMultilevel"/>
    <w:tmpl w:val="A6B8708E"/>
    <w:lvl w:ilvl="0" w:tplc="04130001">
      <w:start w:val="1"/>
      <w:numFmt w:val="bullet"/>
      <w:lvlText w:val=""/>
      <w:lvlJc w:val="left"/>
      <w:pPr>
        <w:ind w:left="720" w:hanging="360"/>
      </w:pPr>
      <w:rPr>
        <w:rFonts w:ascii="Symbol" w:hAnsi="Symbol" w:hint="default"/>
        <w:b/>
        <w:bCs/>
      </w:rPr>
    </w:lvl>
    <w:lvl w:ilvl="1" w:tplc="11A8BA7E">
      <w:start w:val="1"/>
      <w:numFmt w:val="lowerLetter"/>
      <w:lvlText w:val="%2."/>
      <w:lvlJc w:val="left"/>
      <w:pPr>
        <w:ind w:left="1440" w:hanging="360"/>
      </w:pPr>
    </w:lvl>
    <w:lvl w:ilvl="2" w:tplc="1A081D9C">
      <w:start w:val="1"/>
      <w:numFmt w:val="lowerRoman"/>
      <w:lvlText w:val="%3."/>
      <w:lvlJc w:val="right"/>
      <w:pPr>
        <w:ind w:left="2160" w:hanging="180"/>
      </w:pPr>
    </w:lvl>
    <w:lvl w:ilvl="3" w:tplc="6AA2342C">
      <w:start w:val="1"/>
      <w:numFmt w:val="decimal"/>
      <w:lvlText w:val="%4."/>
      <w:lvlJc w:val="left"/>
      <w:pPr>
        <w:ind w:left="2880" w:hanging="360"/>
      </w:pPr>
    </w:lvl>
    <w:lvl w:ilvl="4" w:tplc="F95000CE">
      <w:start w:val="1"/>
      <w:numFmt w:val="lowerLetter"/>
      <w:lvlText w:val="%5."/>
      <w:lvlJc w:val="left"/>
      <w:pPr>
        <w:ind w:left="3600" w:hanging="360"/>
      </w:pPr>
    </w:lvl>
    <w:lvl w:ilvl="5" w:tplc="38F46E20">
      <w:start w:val="1"/>
      <w:numFmt w:val="lowerRoman"/>
      <w:lvlText w:val="%6."/>
      <w:lvlJc w:val="right"/>
      <w:pPr>
        <w:ind w:left="4320" w:hanging="180"/>
      </w:pPr>
    </w:lvl>
    <w:lvl w:ilvl="6" w:tplc="1D362C0E">
      <w:start w:val="1"/>
      <w:numFmt w:val="decimal"/>
      <w:lvlText w:val="%7."/>
      <w:lvlJc w:val="left"/>
      <w:pPr>
        <w:ind w:left="5040" w:hanging="360"/>
      </w:pPr>
    </w:lvl>
    <w:lvl w:ilvl="7" w:tplc="7A9085EA">
      <w:start w:val="1"/>
      <w:numFmt w:val="lowerLetter"/>
      <w:lvlText w:val="%8."/>
      <w:lvlJc w:val="left"/>
      <w:pPr>
        <w:ind w:left="5760" w:hanging="360"/>
      </w:pPr>
    </w:lvl>
    <w:lvl w:ilvl="8" w:tplc="D5C8DD36">
      <w:start w:val="1"/>
      <w:numFmt w:val="lowerRoman"/>
      <w:lvlText w:val="%9."/>
      <w:lvlJc w:val="right"/>
      <w:pPr>
        <w:ind w:left="6480" w:hanging="180"/>
      </w:pPr>
    </w:lvl>
  </w:abstractNum>
  <w:abstractNum w:abstractNumId="2" w15:restartNumberingAfterBreak="0">
    <w:nsid w:val="2D9D1306"/>
    <w:multiLevelType w:val="hybridMultilevel"/>
    <w:tmpl w:val="682CEC72"/>
    <w:lvl w:ilvl="0" w:tplc="839EADCE">
      <w:start w:val="1"/>
      <w:numFmt w:val="decimal"/>
      <w:lvlText w:val="%1."/>
      <w:lvlJc w:val="left"/>
      <w:pPr>
        <w:ind w:left="360" w:hanging="360"/>
      </w:pPr>
      <w:rPr>
        <w:rFonts w:eastAsia="Arial" w:cs="Arial"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A85BE0"/>
    <w:multiLevelType w:val="hybridMultilevel"/>
    <w:tmpl w:val="4CFA83EA"/>
    <w:lvl w:ilvl="0" w:tplc="8E7EDD0A">
      <w:start w:val="4"/>
      <w:numFmt w:val="decimal"/>
      <w:lvlText w:val="%1."/>
      <w:lvlJc w:val="left"/>
      <w:pPr>
        <w:ind w:left="720" w:hanging="360"/>
      </w:pPr>
      <w:rPr>
        <w:rFonts w:ascii="Aptos" w:hAnsi="Apto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3730DE"/>
    <w:multiLevelType w:val="hybridMultilevel"/>
    <w:tmpl w:val="8B721B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DB4181"/>
    <w:multiLevelType w:val="hybridMultilevel"/>
    <w:tmpl w:val="5A40B886"/>
    <w:lvl w:ilvl="0" w:tplc="2AD0C670">
      <w:start w:val="4"/>
      <w:numFmt w:val="decimal"/>
      <w:lvlText w:val="%1."/>
      <w:lvlJc w:val="left"/>
      <w:pPr>
        <w:ind w:left="1080" w:hanging="360"/>
      </w:pPr>
      <w:rPr>
        <w:rFonts w:ascii="Aptos" w:hAnsi="Apto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10B08A8"/>
    <w:multiLevelType w:val="hybridMultilevel"/>
    <w:tmpl w:val="E54C1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2359C9"/>
    <w:multiLevelType w:val="multilevel"/>
    <w:tmpl w:val="8D1C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C2EF2"/>
    <w:multiLevelType w:val="hybridMultilevel"/>
    <w:tmpl w:val="596CE352"/>
    <w:lvl w:ilvl="0" w:tplc="2EF4A50C">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D7F6E64"/>
    <w:multiLevelType w:val="hybridMultilevel"/>
    <w:tmpl w:val="42340FFA"/>
    <w:lvl w:ilvl="0" w:tplc="20BAE4E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CE3D45"/>
    <w:multiLevelType w:val="hybridMultilevel"/>
    <w:tmpl w:val="CE6A7722"/>
    <w:lvl w:ilvl="0" w:tplc="9D7C46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2A52B7"/>
    <w:multiLevelType w:val="hybridMultilevel"/>
    <w:tmpl w:val="129A0446"/>
    <w:lvl w:ilvl="0" w:tplc="656C39AE">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6441743">
    <w:abstractNumId w:val="10"/>
  </w:num>
  <w:num w:numId="2" w16cid:durableId="280958777">
    <w:abstractNumId w:val="1"/>
  </w:num>
  <w:num w:numId="3" w16cid:durableId="1131753882">
    <w:abstractNumId w:val="8"/>
  </w:num>
  <w:num w:numId="4" w16cid:durableId="653607610">
    <w:abstractNumId w:val="5"/>
  </w:num>
  <w:num w:numId="5" w16cid:durableId="289943316">
    <w:abstractNumId w:val="3"/>
  </w:num>
  <w:num w:numId="6" w16cid:durableId="1382751567">
    <w:abstractNumId w:val="2"/>
  </w:num>
  <w:num w:numId="7" w16cid:durableId="788203913">
    <w:abstractNumId w:val="0"/>
  </w:num>
  <w:num w:numId="8" w16cid:durableId="1463884445">
    <w:abstractNumId w:val="11"/>
  </w:num>
  <w:num w:numId="9" w16cid:durableId="2091466762">
    <w:abstractNumId w:val="9"/>
  </w:num>
  <w:num w:numId="10" w16cid:durableId="643050393">
    <w:abstractNumId w:val="7"/>
  </w:num>
  <w:num w:numId="11" w16cid:durableId="71434642">
    <w:abstractNumId w:val="6"/>
  </w:num>
  <w:num w:numId="12" w16cid:durableId="84274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3F"/>
    <w:rsid w:val="00005E74"/>
    <w:rsid w:val="0004361F"/>
    <w:rsid w:val="000730A1"/>
    <w:rsid w:val="00077FED"/>
    <w:rsid w:val="000B2634"/>
    <w:rsid w:val="000C10D1"/>
    <w:rsid w:val="0012344C"/>
    <w:rsid w:val="001367B8"/>
    <w:rsid w:val="00157EB7"/>
    <w:rsid w:val="001755DA"/>
    <w:rsid w:val="00184B68"/>
    <w:rsid w:val="001A4789"/>
    <w:rsid w:val="001D39E9"/>
    <w:rsid w:val="00216F3D"/>
    <w:rsid w:val="00221FD8"/>
    <w:rsid w:val="00352ED5"/>
    <w:rsid w:val="00390F37"/>
    <w:rsid w:val="003C47C6"/>
    <w:rsid w:val="003D3CFA"/>
    <w:rsid w:val="003D40BC"/>
    <w:rsid w:val="003D5889"/>
    <w:rsid w:val="004153C9"/>
    <w:rsid w:val="00426017"/>
    <w:rsid w:val="0046147C"/>
    <w:rsid w:val="00486046"/>
    <w:rsid w:val="004B3637"/>
    <w:rsid w:val="004C0BF7"/>
    <w:rsid w:val="004E7C05"/>
    <w:rsid w:val="00523B21"/>
    <w:rsid w:val="00566DC9"/>
    <w:rsid w:val="0059296D"/>
    <w:rsid w:val="005B13FB"/>
    <w:rsid w:val="005B28A3"/>
    <w:rsid w:val="005B7B88"/>
    <w:rsid w:val="005F4A23"/>
    <w:rsid w:val="00633BF4"/>
    <w:rsid w:val="00665AB4"/>
    <w:rsid w:val="006975F4"/>
    <w:rsid w:val="006A2C3C"/>
    <w:rsid w:val="007219A0"/>
    <w:rsid w:val="00766763"/>
    <w:rsid w:val="007B438E"/>
    <w:rsid w:val="007D1E90"/>
    <w:rsid w:val="007E067C"/>
    <w:rsid w:val="007E1378"/>
    <w:rsid w:val="00824AA9"/>
    <w:rsid w:val="008308C2"/>
    <w:rsid w:val="00873FC7"/>
    <w:rsid w:val="008848D5"/>
    <w:rsid w:val="0089572D"/>
    <w:rsid w:val="00912F8E"/>
    <w:rsid w:val="00922D33"/>
    <w:rsid w:val="009D338B"/>
    <w:rsid w:val="00A9520F"/>
    <w:rsid w:val="00AA38C7"/>
    <w:rsid w:val="00AD3C96"/>
    <w:rsid w:val="00AE754A"/>
    <w:rsid w:val="00B25138"/>
    <w:rsid w:val="00BA10F5"/>
    <w:rsid w:val="00BA1CAC"/>
    <w:rsid w:val="00BB2550"/>
    <w:rsid w:val="00BE4559"/>
    <w:rsid w:val="00C11236"/>
    <w:rsid w:val="00C2760E"/>
    <w:rsid w:val="00C74459"/>
    <w:rsid w:val="00C75C08"/>
    <w:rsid w:val="00C855E3"/>
    <w:rsid w:val="00C939A9"/>
    <w:rsid w:val="00CE1426"/>
    <w:rsid w:val="00D02975"/>
    <w:rsid w:val="00D10FE5"/>
    <w:rsid w:val="00D127F2"/>
    <w:rsid w:val="00D2473F"/>
    <w:rsid w:val="00D75EF4"/>
    <w:rsid w:val="00DD485B"/>
    <w:rsid w:val="00DF0D4B"/>
    <w:rsid w:val="00E418AA"/>
    <w:rsid w:val="00E443B0"/>
    <w:rsid w:val="00E77FF3"/>
    <w:rsid w:val="00E94820"/>
    <w:rsid w:val="00E96891"/>
    <w:rsid w:val="00EA093F"/>
    <w:rsid w:val="00F8489E"/>
    <w:rsid w:val="00FB2D38"/>
    <w:rsid w:val="00FC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79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AA9"/>
    <w:pPr>
      <w:spacing w:line="279" w:lineRule="auto"/>
    </w:pPr>
    <w:rPr>
      <w:kern w:val="0"/>
      <w:sz w:val="24"/>
      <w:szCs w:val="24"/>
      <w14:ligatures w14:val="none"/>
    </w:rPr>
  </w:style>
  <w:style w:type="paragraph" w:styleId="Kop1">
    <w:name w:val="heading 1"/>
    <w:basedOn w:val="Standaard"/>
    <w:next w:val="Standaard"/>
    <w:link w:val="Kop1Char"/>
    <w:uiPriority w:val="9"/>
    <w:qFormat/>
    <w:rsid w:val="00EA0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0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09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09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09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09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9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9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9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9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09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09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09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09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09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9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9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93F"/>
    <w:rPr>
      <w:rFonts w:eastAsiaTheme="majorEastAsia" w:cstheme="majorBidi"/>
      <w:color w:val="272727" w:themeColor="text1" w:themeTint="D8"/>
    </w:rPr>
  </w:style>
  <w:style w:type="paragraph" w:styleId="Titel">
    <w:name w:val="Title"/>
    <w:basedOn w:val="Standaard"/>
    <w:next w:val="Standaard"/>
    <w:link w:val="TitelChar"/>
    <w:uiPriority w:val="10"/>
    <w:qFormat/>
    <w:rsid w:val="00EA0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9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9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9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9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93F"/>
    <w:rPr>
      <w:i/>
      <w:iCs/>
      <w:color w:val="404040" w:themeColor="text1" w:themeTint="BF"/>
    </w:rPr>
  </w:style>
  <w:style w:type="paragraph" w:styleId="Lijstalinea">
    <w:name w:val="List Paragraph"/>
    <w:basedOn w:val="Standaard"/>
    <w:uiPriority w:val="34"/>
    <w:qFormat/>
    <w:rsid w:val="00EA093F"/>
    <w:pPr>
      <w:ind w:left="720"/>
      <w:contextualSpacing/>
    </w:pPr>
  </w:style>
  <w:style w:type="character" w:styleId="Intensievebenadrukking">
    <w:name w:val="Intense Emphasis"/>
    <w:basedOn w:val="Standaardalinea-lettertype"/>
    <w:uiPriority w:val="21"/>
    <w:qFormat/>
    <w:rsid w:val="00EA093F"/>
    <w:rPr>
      <w:i/>
      <w:iCs/>
      <w:color w:val="0F4761" w:themeColor="accent1" w:themeShade="BF"/>
    </w:rPr>
  </w:style>
  <w:style w:type="paragraph" w:styleId="Duidelijkcitaat">
    <w:name w:val="Intense Quote"/>
    <w:basedOn w:val="Standaard"/>
    <w:next w:val="Standaard"/>
    <w:link w:val="DuidelijkcitaatChar"/>
    <w:uiPriority w:val="30"/>
    <w:qFormat/>
    <w:rsid w:val="00EA0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093F"/>
    <w:rPr>
      <w:i/>
      <w:iCs/>
      <w:color w:val="0F4761" w:themeColor="accent1" w:themeShade="BF"/>
    </w:rPr>
  </w:style>
  <w:style w:type="character" w:styleId="Intensieveverwijzing">
    <w:name w:val="Intense Reference"/>
    <w:basedOn w:val="Standaardalinea-lettertype"/>
    <w:uiPriority w:val="32"/>
    <w:qFormat/>
    <w:rsid w:val="00EA093F"/>
    <w:rPr>
      <w:b/>
      <w:bCs/>
      <w:smallCaps/>
      <w:color w:val="0F4761" w:themeColor="accent1" w:themeShade="BF"/>
      <w:spacing w:val="5"/>
    </w:rPr>
  </w:style>
  <w:style w:type="character" w:styleId="Hyperlink">
    <w:name w:val="Hyperlink"/>
    <w:basedOn w:val="Standaardalinea-lettertype"/>
    <w:uiPriority w:val="99"/>
    <w:unhideWhenUsed/>
    <w:rsid w:val="00523B21"/>
    <w:rPr>
      <w:color w:val="467886" w:themeColor="hyperlink"/>
      <w:u w:val="single"/>
    </w:rPr>
  </w:style>
  <w:style w:type="character" w:customStyle="1" w:styleId="normaltextrun">
    <w:name w:val="normaltextrun"/>
    <w:basedOn w:val="Standaardalinea-lettertype"/>
    <w:uiPriority w:val="1"/>
    <w:rsid w:val="00523B21"/>
    <w:rPr>
      <w:rFonts w:asciiTheme="minorHAnsi" w:eastAsiaTheme="minorEastAsia" w:hAnsiTheme="minorHAnsi" w:cstheme="minorBidi"/>
      <w:sz w:val="22"/>
      <w:szCs w:val="22"/>
    </w:rPr>
  </w:style>
  <w:style w:type="character" w:styleId="Verwijzingopmerking">
    <w:name w:val="annotation reference"/>
    <w:basedOn w:val="Standaardalinea-lettertype"/>
    <w:uiPriority w:val="99"/>
    <w:semiHidden/>
    <w:unhideWhenUsed/>
    <w:rsid w:val="00486046"/>
    <w:rPr>
      <w:sz w:val="16"/>
      <w:szCs w:val="16"/>
    </w:rPr>
  </w:style>
  <w:style w:type="paragraph" w:styleId="Tekstopmerking">
    <w:name w:val="annotation text"/>
    <w:basedOn w:val="Standaard"/>
    <w:link w:val="TekstopmerkingChar"/>
    <w:uiPriority w:val="99"/>
    <w:unhideWhenUsed/>
    <w:rsid w:val="00486046"/>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486046"/>
    <w:rPr>
      <w:rFonts w:ascii="Verdana" w:hAnsi="Verdana"/>
      <w:sz w:val="20"/>
      <w:szCs w:val="20"/>
    </w:rPr>
  </w:style>
  <w:style w:type="paragraph" w:styleId="Geenafstand">
    <w:name w:val="No Spacing"/>
    <w:uiPriority w:val="1"/>
    <w:qFormat/>
    <w:rsid w:val="003D3CFA"/>
    <w:pPr>
      <w:spacing w:after="0" w:line="240" w:lineRule="auto"/>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AD3C9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6147C"/>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46147C"/>
    <w:rPr>
      <w:rFonts w:ascii="Verdana" w:hAnsi="Verdana"/>
      <w:b/>
      <w:bCs/>
      <w:sz w:val="20"/>
      <w:szCs w:val="20"/>
    </w:rPr>
  </w:style>
  <w:style w:type="paragraph" w:styleId="Plattetekst">
    <w:name w:val="Body Text"/>
    <w:basedOn w:val="Standaard"/>
    <w:link w:val="PlattetekstChar"/>
    <w:uiPriority w:val="1"/>
    <w:qFormat/>
    <w:rsid w:val="00824AA9"/>
    <w:pPr>
      <w:widowControl w:val="0"/>
      <w:autoSpaceDE w:val="0"/>
      <w:autoSpaceDN w:val="0"/>
      <w:spacing w:after="0" w:line="240" w:lineRule="auto"/>
      <w:ind w:left="115"/>
    </w:pPr>
    <w:rPr>
      <w:rFonts w:ascii="Calibri" w:eastAsia="Calibri" w:hAnsi="Calibri" w:cs="Calibri"/>
      <w:sz w:val="18"/>
      <w:szCs w:val="18"/>
    </w:rPr>
  </w:style>
  <w:style w:type="character" w:customStyle="1" w:styleId="PlattetekstChar">
    <w:name w:val="Platte tekst Char"/>
    <w:basedOn w:val="Standaardalinea-lettertype"/>
    <w:link w:val="Plattetekst"/>
    <w:uiPriority w:val="1"/>
    <w:rsid w:val="00824AA9"/>
    <w:rPr>
      <w:rFonts w:ascii="Calibri" w:eastAsia="Calibri" w:hAnsi="Calibri" w:cs="Calibri"/>
      <w:kern w:val="0"/>
      <w:sz w:val="18"/>
      <w:szCs w:val="18"/>
      <w14:ligatures w14:val="none"/>
    </w:rPr>
  </w:style>
  <w:style w:type="paragraph" w:styleId="Voetnoottekst">
    <w:name w:val="footnote text"/>
    <w:basedOn w:val="Standaard"/>
    <w:link w:val="VoetnoottekstChar"/>
    <w:uiPriority w:val="99"/>
    <w:semiHidden/>
    <w:unhideWhenUsed/>
    <w:rsid w:val="00C7445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C7445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C74459"/>
    <w:rPr>
      <w:vertAlign w:val="superscript"/>
    </w:rPr>
  </w:style>
  <w:style w:type="paragraph" w:styleId="Koptekst">
    <w:name w:val="header"/>
    <w:basedOn w:val="Standaard"/>
    <w:link w:val="KoptekstChar"/>
    <w:uiPriority w:val="99"/>
    <w:unhideWhenUsed/>
    <w:rsid w:val="005F4A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A23"/>
    <w:rPr>
      <w:kern w:val="0"/>
      <w:sz w:val="24"/>
      <w:szCs w:val="24"/>
      <w14:ligatures w14:val="none"/>
    </w:rPr>
  </w:style>
  <w:style w:type="paragraph" w:styleId="Voettekst">
    <w:name w:val="footer"/>
    <w:basedOn w:val="Standaard"/>
    <w:link w:val="VoettekstChar"/>
    <w:uiPriority w:val="99"/>
    <w:unhideWhenUsed/>
    <w:rsid w:val="005F4A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A23"/>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3320">
      <w:bodyDiv w:val="1"/>
      <w:marLeft w:val="0"/>
      <w:marRight w:val="0"/>
      <w:marTop w:val="0"/>
      <w:marBottom w:val="0"/>
      <w:divBdr>
        <w:top w:val="none" w:sz="0" w:space="0" w:color="auto"/>
        <w:left w:val="none" w:sz="0" w:space="0" w:color="auto"/>
        <w:bottom w:val="none" w:sz="0" w:space="0" w:color="auto"/>
        <w:right w:val="none" w:sz="0" w:space="0" w:color="auto"/>
      </w:divBdr>
    </w:div>
    <w:div w:id="1152136113">
      <w:bodyDiv w:val="1"/>
      <w:marLeft w:val="0"/>
      <w:marRight w:val="0"/>
      <w:marTop w:val="0"/>
      <w:marBottom w:val="0"/>
      <w:divBdr>
        <w:top w:val="none" w:sz="0" w:space="0" w:color="auto"/>
        <w:left w:val="none" w:sz="0" w:space="0" w:color="auto"/>
        <w:bottom w:val="none" w:sz="0" w:space="0" w:color="auto"/>
        <w:right w:val="none" w:sz="0" w:space="0" w:color="auto"/>
      </w:divBdr>
    </w:div>
    <w:div w:id="1205410976">
      <w:bodyDiv w:val="1"/>
      <w:marLeft w:val="0"/>
      <w:marRight w:val="0"/>
      <w:marTop w:val="0"/>
      <w:marBottom w:val="0"/>
      <w:divBdr>
        <w:top w:val="none" w:sz="0" w:space="0" w:color="auto"/>
        <w:left w:val="none" w:sz="0" w:space="0" w:color="auto"/>
        <w:bottom w:val="none" w:sz="0" w:space="0" w:color="auto"/>
        <w:right w:val="none" w:sz="0" w:space="0" w:color="auto"/>
      </w:divBdr>
    </w:div>
    <w:div w:id="1640190125">
      <w:bodyDiv w:val="1"/>
      <w:marLeft w:val="0"/>
      <w:marRight w:val="0"/>
      <w:marTop w:val="0"/>
      <w:marBottom w:val="0"/>
      <w:divBdr>
        <w:top w:val="none" w:sz="0" w:space="0" w:color="auto"/>
        <w:left w:val="none" w:sz="0" w:space="0" w:color="auto"/>
        <w:bottom w:val="none" w:sz="0" w:space="0" w:color="auto"/>
        <w:right w:val="none" w:sz="0" w:space="0" w:color="auto"/>
      </w:divBdr>
    </w:div>
    <w:div w:id="1830367206">
      <w:bodyDiv w:val="1"/>
      <w:marLeft w:val="0"/>
      <w:marRight w:val="0"/>
      <w:marTop w:val="0"/>
      <w:marBottom w:val="0"/>
      <w:divBdr>
        <w:top w:val="none" w:sz="0" w:space="0" w:color="auto"/>
        <w:left w:val="none" w:sz="0" w:space="0" w:color="auto"/>
        <w:bottom w:val="none" w:sz="0" w:space="0" w:color="auto"/>
        <w:right w:val="none" w:sz="0" w:space="0" w:color="auto"/>
      </w:divBdr>
    </w:div>
    <w:div w:id="1851214282">
      <w:bodyDiv w:val="1"/>
      <w:marLeft w:val="0"/>
      <w:marRight w:val="0"/>
      <w:marTop w:val="0"/>
      <w:marBottom w:val="0"/>
      <w:divBdr>
        <w:top w:val="none" w:sz="0" w:space="0" w:color="auto"/>
        <w:left w:val="none" w:sz="0" w:space="0" w:color="auto"/>
        <w:bottom w:val="none" w:sz="0" w:space="0" w:color="auto"/>
        <w:right w:val="none" w:sz="0" w:space="0" w:color="auto"/>
      </w:divBdr>
    </w:div>
    <w:div w:id="20782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belastingdienst.nl/wps/wcm/connect/nl/toeslagen/content/hulpmiddel-proefberekening-toeslagen" TargetMode="External" Id="rId13" /><Relationship Type="http://schemas.openxmlformats.org/officeDocument/2006/relationships/hyperlink" Target="https://www.samenvoordeklant.nl/sites/default/files/bestandsbijlage/Handreiking_%28centrum%29gemeenten_implementatie_van_school_naar_duurzaam_werk_2025.pdf" TargetMode="External" Id="rId18" /><Relationship Type="http://schemas.openxmlformats.org/officeDocument/2006/relationships/hyperlink" Target="mailto:alimburg@minszw.nl" TargetMode="External" Id="rId26" /><Relationship Type="http://schemas.openxmlformats.org/officeDocument/2006/relationships/styles" Target="styles.xml" Id="rId3" /><Relationship Type="http://schemas.openxmlformats.org/officeDocument/2006/relationships/hyperlink" Target="https://www.tweedekamer.nl/kamerstukken/detail?id=2025Z12578&amp;did=2025D28648"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s://www.volkshuisvestingnederland.nl/onderwerpen/huurtoeslag/wijzigingen-huurtoeslag" TargetMode="External" Id="rId12" /><Relationship Type="http://schemas.openxmlformats.org/officeDocument/2006/relationships/hyperlink" Target="https://zoek.officielebekendmakingen.nl/stcrt-2025-34596.html" TargetMode="External" Id="rId17" /><Relationship Type="http://schemas.openxmlformats.org/officeDocument/2006/relationships/hyperlink" Target="https://www.rijksoverheid.nl/onderwerpen/financien-gemeenten-en-provincies/documenten/circulaires/2025/07/17/sisa-2025" TargetMode="Externa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s://zoek.officielebekendmakingen.nl/stb-2025-210.html" TargetMode="External" Id="rId16" /><Relationship Type="http://schemas.openxmlformats.org/officeDocument/2006/relationships/hyperlink" Target="https://e-mailabonnementen.rijksoverheid.nl/x/?BcFtCoAgDADQEyVKaPPHDmM2yNoHWHT99V7HUsAFtwrJGWuFCD4x5TVHZ_tIi7TBbTdVEtKXNMxx3Y99NE8aR1D_AQA48&amp;Z=-1053153220" TargetMode="External" Id="rId20" /><Relationship Type="http://schemas.openxmlformats.org/officeDocument/2006/relationships/footer" Target="footer1.xml" Id="rId29" /><Relationship Type="http://schemas.openxmlformats.org/officeDocument/2006/relationships/footnotes" Target="footnotes.xml" Id="rId6" /><Relationship Type="http://schemas.openxmlformats.org/officeDocument/2006/relationships/hyperlink" Target="https://vng.nl/nieuws/begeleiding-en-nazorg-voorkomt-uitval-versterkt-oplossingen" TargetMode="External" Id="rId11" /><Relationship Type="http://schemas.openxmlformats.org/officeDocument/2006/relationships/hyperlink" Target="https://www.divosa.nl/publicaties/maatwerk-participatiewet-voor-de-ondersteuning-van-jongeren-een-kwetsbare-positie/3-toegang-tot-bijstand/36-uitsluitingsgrond-kunnen-volgen-van-onderwijs" TargetMode="External" Id="rId24" /><Relationship Type="http://schemas.openxmlformats.org/officeDocument/2006/relationships/footer" Target="footer3.xml" Id="rId32" /><Relationship Type="http://schemas.openxmlformats.org/officeDocument/2006/relationships/webSettings" Target="webSettings.xml" Id="rId5" /><Relationship Type="http://schemas.openxmlformats.org/officeDocument/2006/relationships/hyperlink" Target="https://www.samenvoordeklant.nl/dossier/wet-van-school-naar-duurzaam-werk" TargetMode="External" Id="rId15" /><Relationship Type="http://schemas.openxmlformats.org/officeDocument/2006/relationships/hyperlink" Target="https://zoek.officielebekendmakingen.nl/kst-34352-324.html" TargetMode="External" Id="rId23" /><Relationship Type="http://schemas.openxmlformats.org/officeDocument/2006/relationships/header" Target="header2.xml" Id="rId28" /><Relationship Type="http://schemas.openxmlformats.org/officeDocument/2006/relationships/hyperlink" Target="https://vng.nl/sites/default/files/2024-11/handreiking-het-begeleiden-van-inwoners-vanuit-de-elementen-basisdienstverlening.pdf" TargetMode="External" Id="rId10" /><Relationship Type="http://schemas.openxmlformats.org/officeDocument/2006/relationships/hyperlink" Target="https://www.rijksoverheid.nl/actueel/nieuwsbrieven/van-school-naar-duurzaam-werk" TargetMode="External" Id="rId19" /><Relationship Type="http://schemas.openxmlformats.org/officeDocument/2006/relationships/header" Target="header3.xml" Id="rId31" /><Relationship Type="http://schemas.openxmlformats.org/officeDocument/2006/relationships/settings" Target="settings.xml" Id="rId4" /><Relationship Type="http://schemas.openxmlformats.org/officeDocument/2006/relationships/hyperlink" Target="https://vng.nl/sites/default/files/2024-11/handreiking-het-begeleiden-van-inwoners-vanuit-de-elementen-basisdienstverlening.pdf" TargetMode="External" Id="rId9" /><Relationship Type="http://schemas.openxmlformats.org/officeDocument/2006/relationships/hyperlink" Target="https://www.samenvoordeklant.nl/faq-hervorming-arbeidsmarktinfrastructuur" TargetMode="External" Id="rId14" /><Relationship Type="http://schemas.openxmlformats.org/officeDocument/2006/relationships/hyperlink" Target="https://www.tweedekamer.nl/kamerstukken/moties/detail?id=2025Z18661&amp;did=2025D43323"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hyperlink" Target="https://vng.nl/nieuws/model-beleidsregels-schuldhulpverlening-beschikbaar" TargetMode="Externa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3316</ap:Words>
  <ap:Characters>18238</ap:Characters>
  <ap:DocSecurity>0</ap:DocSecurity>
  <ap:Lines>151</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2025-12-05T14:02:00.0000000Z</dcterms:created>
  <dcterms:modified xsi:type="dcterms:W3CDTF">2025-12-05T14:02:00.0000000Z</dcterms:modified>
  <version/>
  <category/>
</coreProperties>
</file>