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EF5" w:rsidP="00065EF5" w:rsidRDefault="00065EF5" w14:paraId="6E00A948" w14:textId="137682FA">
      <w:pPr>
        <w:pStyle w:val="Geenafstand"/>
      </w:pPr>
      <w:r>
        <w:t>AH 577</w:t>
      </w:r>
    </w:p>
    <w:p w:rsidR="00065EF5" w:rsidP="00065EF5" w:rsidRDefault="00065EF5" w14:paraId="1F73F47A" w14:textId="77777777">
      <w:pPr>
        <w:pStyle w:val="Geenafstand"/>
      </w:pPr>
      <w:r w:rsidRPr="00E01200">
        <w:t>2025Z19664</w:t>
      </w:r>
    </w:p>
    <w:p w:rsidR="00065EF5" w:rsidP="00065EF5" w:rsidRDefault="00065EF5" w14:paraId="6997D2DD" w14:textId="77777777">
      <w:pPr>
        <w:pStyle w:val="Geenafstand"/>
      </w:pPr>
    </w:p>
    <w:p w:rsidR="00065EF5" w:rsidP="00427BA1" w:rsidRDefault="00065EF5" w14:paraId="130B605B" w14:textId="6AE08761">
      <w:pPr>
        <w:rPr>
          <w:sz w:val="24"/>
        </w:rPr>
      </w:pPr>
      <w:r w:rsidRPr="00EB1060">
        <w:rPr>
          <w:sz w:val="24"/>
          <w:szCs w:val="24"/>
        </w:rPr>
        <w:t>Antwoord van minister Karremans (Economische Zaken) (ontvangen</w:t>
      </w:r>
      <w:r>
        <w:rPr>
          <w:sz w:val="24"/>
          <w:szCs w:val="24"/>
        </w:rPr>
        <w:t xml:space="preserve"> 8 december 2025)</w:t>
      </w:r>
    </w:p>
    <w:p w:rsidRPr="00E01200" w:rsidR="00065EF5" w:rsidP="00065EF5" w:rsidRDefault="00065EF5" w14:paraId="3CE3C082" w14:textId="487386E8">
      <w:pPr>
        <w:pStyle w:val="Geenafstand"/>
      </w:pPr>
      <w:r w:rsidRPr="00E01200">
        <w:br/>
      </w:r>
    </w:p>
    <w:p w:rsidRPr="00E01200" w:rsidR="00065EF5" w:rsidP="00065EF5" w:rsidRDefault="00065EF5" w14:paraId="085D0BB4" w14:textId="77777777">
      <w:pPr>
        <w:rPr>
          <w:szCs w:val="18"/>
        </w:rPr>
      </w:pPr>
      <w:r w:rsidRPr="00E01200">
        <w:rPr>
          <w:szCs w:val="18"/>
        </w:rPr>
        <w:t>1</w:t>
      </w:r>
    </w:p>
    <w:p w:rsidRPr="00E01200" w:rsidR="00065EF5" w:rsidP="00065EF5" w:rsidRDefault="00065EF5" w14:paraId="7496AF03"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Kent u het artikel op de website van de NOS van 31 oktober jl. 'Ook in oktober zakt de inflatie maar niet verder terug'?</w:t>
      </w:r>
    </w:p>
    <w:p w:rsidRPr="00E01200" w:rsidR="00065EF5" w:rsidP="00065EF5" w:rsidRDefault="00065EF5" w14:paraId="53C4EFE3" w14:textId="77777777">
      <w:pPr>
        <w:pStyle w:val="Geenafstand"/>
        <w:spacing w:line="240" w:lineRule="atLeast"/>
        <w:rPr>
          <w:rFonts w:ascii="Verdana" w:hAnsi="Verdana" w:eastAsia="Times New Roman"/>
          <w:sz w:val="18"/>
          <w:szCs w:val="18"/>
        </w:rPr>
      </w:pPr>
    </w:p>
    <w:p w:rsidRPr="00E01200" w:rsidR="00065EF5" w:rsidP="00065EF5" w:rsidRDefault="00065EF5" w14:paraId="4533C396"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Antwoord</w:t>
      </w:r>
    </w:p>
    <w:p w:rsidRPr="00E01200" w:rsidR="00065EF5" w:rsidP="00065EF5" w:rsidRDefault="00065EF5" w14:paraId="6DE32F73"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Ja. </w:t>
      </w:r>
    </w:p>
    <w:p w:rsidRPr="00E01200" w:rsidR="00065EF5" w:rsidP="00065EF5" w:rsidRDefault="00065EF5" w14:paraId="3FA04670" w14:textId="77777777">
      <w:pPr>
        <w:pStyle w:val="Geenafstand"/>
        <w:spacing w:line="240" w:lineRule="atLeast"/>
        <w:rPr>
          <w:rFonts w:ascii="Verdana" w:hAnsi="Verdana" w:eastAsia="Times New Roman"/>
          <w:sz w:val="18"/>
          <w:szCs w:val="18"/>
        </w:rPr>
      </w:pPr>
    </w:p>
    <w:p w:rsidRPr="00E01200" w:rsidR="00065EF5" w:rsidP="00065EF5" w:rsidRDefault="00065EF5" w14:paraId="02BB13AD"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2 </w:t>
      </w:r>
    </w:p>
    <w:p w:rsidRPr="00E01200" w:rsidR="00065EF5" w:rsidP="00065EF5" w:rsidRDefault="00065EF5" w14:paraId="5DEE9748"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Wat is volgens u de oorzaak dat de inflatie relatief hoog blijft? </w:t>
      </w:r>
    </w:p>
    <w:p w:rsidRPr="00E01200" w:rsidR="00065EF5" w:rsidP="00065EF5" w:rsidRDefault="00065EF5" w14:paraId="252E9148" w14:textId="77777777">
      <w:pPr>
        <w:pStyle w:val="Geenafstand"/>
        <w:spacing w:line="240" w:lineRule="atLeast"/>
        <w:rPr>
          <w:rFonts w:ascii="Verdana" w:hAnsi="Verdana" w:eastAsia="Times New Roman"/>
          <w:sz w:val="18"/>
          <w:szCs w:val="18"/>
        </w:rPr>
      </w:pPr>
    </w:p>
    <w:p w:rsidRPr="00E01200" w:rsidR="00065EF5" w:rsidP="00065EF5" w:rsidRDefault="00065EF5" w14:paraId="068845C3"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065EF5" w:rsidP="00065EF5" w:rsidRDefault="00065EF5" w14:paraId="34E8EBB5"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In november kwam de inflatie (cpi) uit op 2,9% bij de snelle raming van het Centraal Bureau voor de Statistiek (CBS). Met name de prijzen van diensten (+4,3%) en voedingsmiddelen, dranken en tabak (+3,1%) droegen deze maand positief bij aan de prijsstijgingen.</w:t>
      </w:r>
      <w:r w:rsidRPr="00E01200">
        <w:rPr>
          <w:rStyle w:val="Voetnootmarkering"/>
          <w:rFonts w:ascii="Verdana" w:hAnsi="Verdana" w:eastAsia="Times New Roman"/>
          <w:sz w:val="18"/>
          <w:szCs w:val="18"/>
        </w:rPr>
        <w:footnoteReference w:id="1"/>
      </w:r>
      <w:r w:rsidRPr="00E01200">
        <w:rPr>
          <w:rFonts w:ascii="Verdana" w:hAnsi="Verdana" w:eastAsia="Times New Roman"/>
          <w:sz w:val="18"/>
          <w:szCs w:val="18"/>
        </w:rPr>
        <w:t xml:space="preserve"> </w:t>
      </w:r>
    </w:p>
    <w:p w:rsidRPr="00E01200" w:rsidR="00065EF5" w:rsidP="00065EF5" w:rsidRDefault="00065EF5" w14:paraId="66A75C7D"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Voor 2025 raamt het Centraal Planbureau (CBP) de inflatie op 3,2%, en voor 2026 verwacht het Planbureau een verdere daling richting de 2,3%.</w:t>
      </w:r>
      <w:r w:rsidRPr="00E01200">
        <w:rPr>
          <w:rStyle w:val="Voetnootmarkering"/>
          <w:rFonts w:ascii="Verdana" w:hAnsi="Verdana" w:eastAsia="Times New Roman"/>
          <w:sz w:val="18"/>
          <w:szCs w:val="18"/>
        </w:rPr>
        <w:footnoteReference w:id="2"/>
      </w:r>
      <w:r w:rsidRPr="00E01200">
        <w:rPr>
          <w:rFonts w:ascii="Verdana" w:hAnsi="Verdana" w:eastAsia="Times New Roman"/>
          <w:sz w:val="18"/>
          <w:szCs w:val="18"/>
        </w:rPr>
        <w:t xml:space="preserve"> Over het gehele jaar 2025 genomen hebben vooral de voedselinflatie, diensteninflatie en huren een opwaarts effect op de inflatie. </w:t>
      </w:r>
    </w:p>
    <w:p w:rsidRPr="00E01200" w:rsidR="00065EF5" w:rsidP="00065EF5" w:rsidRDefault="00065EF5" w14:paraId="3D940A2B" w14:textId="77777777">
      <w:pPr>
        <w:pStyle w:val="Geenafstand"/>
        <w:spacing w:line="240" w:lineRule="atLeast"/>
        <w:rPr>
          <w:rFonts w:ascii="Verdana" w:hAnsi="Verdana" w:eastAsia="Times New Roman"/>
          <w:sz w:val="18"/>
          <w:szCs w:val="18"/>
        </w:rPr>
      </w:pPr>
    </w:p>
    <w:p w:rsidRPr="00E01200" w:rsidR="00065EF5" w:rsidP="00065EF5" w:rsidRDefault="00065EF5" w14:paraId="7356D687" w14:textId="77777777">
      <w:pPr>
        <w:pStyle w:val="Geenafstand"/>
        <w:spacing w:line="240" w:lineRule="atLeast"/>
        <w:rPr>
          <w:rFonts w:ascii="Verdana" w:hAnsi="Verdana" w:eastAsia="Times New Roman"/>
          <w:sz w:val="18"/>
          <w:szCs w:val="18"/>
        </w:rPr>
      </w:pPr>
      <w:r>
        <w:rPr>
          <w:rFonts w:ascii="Verdana" w:hAnsi="Verdana" w:eastAsia="Times New Roman"/>
          <w:sz w:val="18"/>
          <w:szCs w:val="18"/>
        </w:rPr>
        <w:t>3</w:t>
      </w:r>
    </w:p>
    <w:p w:rsidRPr="00E01200" w:rsidR="00065EF5" w:rsidP="00065EF5" w:rsidRDefault="00065EF5" w14:paraId="6571011C"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Hoe hebben de lonen en de inflatie zich de afgelopen 10 jaar elk jaar ontwikkeld? In de Miljoenennota 2024 schreef het kabinet dat mogelijk in 2025 de lonen de hoge inflatie van de afgelopen jaren zou inhalen; is dat ondertussen gebeurd? Zo ja, waar blijkt dat uit? Als dat inderdaad ondertussen is gebeurd, betekent dit dat sinds de coronatijd mensen minder te besteden hebben gehad vanwege de hoge inflatie?</w:t>
      </w:r>
    </w:p>
    <w:p w:rsidRPr="00E01200" w:rsidR="00065EF5" w:rsidP="00065EF5" w:rsidRDefault="00065EF5" w14:paraId="3B4489FB" w14:textId="77777777">
      <w:pPr>
        <w:pStyle w:val="Geenafstand"/>
        <w:spacing w:line="240" w:lineRule="atLeast"/>
        <w:rPr>
          <w:rFonts w:ascii="Verdana" w:hAnsi="Verdana" w:eastAsia="Times New Roman"/>
          <w:sz w:val="18"/>
          <w:szCs w:val="18"/>
        </w:rPr>
      </w:pPr>
    </w:p>
    <w:p w:rsidRPr="00E01200" w:rsidR="00065EF5" w:rsidP="00065EF5" w:rsidRDefault="00065EF5" w14:paraId="4F6E30DC"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065EF5" w:rsidP="00065EF5" w:rsidRDefault="00065EF5" w14:paraId="5155371F"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Tussen 2015 en oktober 2025 is het prijsniveau met 36,4% gestegen.</w:t>
      </w:r>
      <w:r w:rsidRPr="00E01200">
        <w:rPr>
          <w:rStyle w:val="Voetnootmarkering"/>
          <w:rFonts w:ascii="Verdana" w:hAnsi="Verdana" w:eastAsia="Times New Roman"/>
          <w:sz w:val="18"/>
          <w:szCs w:val="18"/>
        </w:rPr>
        <w:footnoteReference w:id="3"/>
      </w:r>
      <w:r w:rsidRPr="00E01200">
        <w:rPr>
          <w:rFonts w:ascii="Verdana" w:hAnsi="Verdana" w:eastAsia="Times New Roman"/>
          <w:sz w:val="18"/>
          <w:szCs w:val="18"/>
        </w:rPr>
        <w:t xml:space="preserve"> In dezelfde periode zijn de Cao-lonen met 40,3% gestegen. Vanaf 2019 tot oktober 2025 zijn de cao-lonen met 29,9% gestegen.</w:t>
      </w:r>
      <w:r w:rsidRPr="00E01200">
        <w:rPr>
          <w:rStyle w:val="Voetnootmarkering"/>
          <w:rFonts w:ascii="Verdana" w:hAnsi="Verdana" w:eastAsia="Times New Roman"/>
          <w:sz w:val="18"/>
          <w:szCs w:val="18"/>
        </w:rPr>
        <w:footnoteReference w:id="4"/>
      </w:r>
      <w:r w:rsidRPr="00E01200">
        <w:rPr>
          <w:rFonts w:ascii="Verdana" w:hAnsi="Verdana" w:eastAsia="Times New Roman"/>
          <w:sz w:val="18"/>
          <w:szCs w:val="18"/>
        </w:rPr>
        <w:t xml:space="preserve"> In diezelfde periode is het prijsniveau met 28,5% gestegen. De lonen zijn de afgelopen periode dus sneller gestegen dan de inflatie. </w:t>
      </w:r>
    </w:p>
    <w:p w:rsidRPr="00E01200" w:rsidR="00065EF5" w:rsidP="00065EF5" w:rsidRDefault="00065EF5" w14:paraId="4D3079E0" w14:textId="77777777">
      <w:pPr>
        <w:pStyle w:val="Geenafstand"/>
        <w:spacing w:line="240" w:lineRule="atLeast"/>
        <w:rPr>
          <w:rFonts w:ascii="Verdana" w:hAnsi="Verdana" w:eastAsia="Times New Roman"/>
          <w:sz w:val="18"/>
          <w:szCs w:val="18"/>
        </w:rPr>
      </w:pPr>
    </w:p>
    <w:p w:rsidRPr="00E01200" w:rsidR="00065EF5" w:rsidP="00065EF5" w:rsidRDefault="00065EF5" w14:paraId="57C06981"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Of mensen meer of minder te besteden hebben wordt gemeten door de koopkracht, die naast de loon- en prijsontwikkeling ook rekening houdt met inkomensbeleid vanuit het kabinet. De mediane koopkracht is sinds de corona-periode gestegen, met name door een forse stijging van 2,8% in 2024. Mensen in Nederland hebben dus meer te besteden sinds de coronatijd. </w:t>
      </w:r>
    </w:p>
    <w:p w:rsidRPr="00E01200" w:rsidR="00065EF5" w:rsidP="00065EF5" w:rsidRDefault="00065EF5" w14:paraId="0B9C5F9F" w14:textId="77777777">
      <w:pPr>
        <w:pStyle w:val="Geenafstand"/>
        <w:spacing w:line="240" w:lineRule="atLeast"/>
        <w:rPr>
          <w:rFonts w:ascii="Verdana" w:hAnsi="Verdana" w:eastAsia="Times New Roman"/>
          <w:sz w:val="18"/>
          <w:szCs w:val="18"/>
        </w:rPr>
      </w:pPr>
    </w:p>
    <w:p w:rsidRPr="00E01200" w:rsidR="00065EF5" w:rsidP="00065EF5" w:rsidRDefault="00065EF5" w14:paraId="090CFD81" w14:textId="77777777">
      <w:pPr>
        <w:rPr>
          <w:szCs w:val="18"/>
        </w:rPr>
      </w:pPr>
      <w:r w:rsidRPr="00E01200">
        <w:rPr>
          <w:szCs w:val="18"/>
        </w:rPr>
        <w:br w:type="page"/>
      </w:r>
    </w:p>
    <w:p w:rsidRPr="00E01200" w:rsidR="00065EF5" w:rsidP="00065EF5" w:rsidRDefault="00065EF5" w14:paraId="5265EDD1"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lastRenderedPageBreak/>
        <w:t>4</w:t>
      </w:r>
    </w:p>
    <w:p w:rsidRPr="00E01200" w:rsidR="00065EF5" w:rsidP="00065EF5" w:rsidRDefault="00065EF5" w14:paraId="2B614E5B"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Kan het zijn dat in oktober 2025 de winsten vooral, weer, hebben gezorgd voor hogere prijzen; in 2024 in een ESB-artikel werd geconstateerd dat vooral de winsten en niet de lonen zorgden voor inflatie, en in de Miljoenennota van 2024 constateert het kabinet dat er inderdaad sprake van winstflatie kan zijn? 2) Hoe staat het marco-economisch met de verdeling tussen geld voor lonen en mensen en geld voor lonen voor winsten en aandeelhouders? Wat is het verloop van deze verdeling (de arbeidsinkomensquote) over de afgelopen 10 jaar inclusief oktober 2025? </w:t>
      </w:r>
    </w:p>
    <w:p w:rsidRPr="00E01200" w:rsidR="00065EF5" w:rsidP="00065EF5" w:rsidRDefault="00065EF5" w14:paraId="4F07D452" w14:textId="77777777">
      <w:pPr>
        <w:pStyle w:val="Geenafstand"/>
        <w:spacing w:line="240" w:lineRule="atLeast"/>
        <w:rPr>
          <w:rFonts w:ascii="Verdana" w:hAnsi="Verdana" w:eastAsia="Times New Roman"/>
          <w:sz w:val="18"/>
          <w:szCs w:val="18"/>
        </w:rPr>
      </w:pPr>
    </w:p>
    <w:p w:rsidRPr="00E01200" w:rsidR="00065EF5" w:rsidP="00065EF5" w:rsidRDefault="00065EF5" w14:paraId="7A6930C4"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065EF5" w:rsidP="00065EF5" w:rsidRDefault="00065EF5" w14:paraId="3080CD62"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Een uitsplitsing van het CPB in het Centraal Economisch Plan eerder dit jaar laat zien dat vooral het bruto-exploitatiesaldo de inflatie tussen 2021 en 2023 verklaarde. Vanaf 2023 slaat dit beeld om en draagt de loonsom meer bij.</w:t>
      </w:r>
      <w:r w:rsidRPr="00E01200">
        <w:rPr>
          <w:rStyle w:val="Voetnootmarkering"/>
          <w:rFonts w:ascii="Verdana" w:hAnsi="Verdana" w:eastAsia="Times New Roman"/>
          <w:sz w:val="18"/>
          <w:szCs w:val="18"/>
        </w:rPr>
        <w:footnoteReference w:id="5"/>
      </w:r>
      <w:r w:rsidRPr="00E01200">
        <w:rPr>
          <w:rFonts w:ascii="Verdana" w:hAnsi="Verdana" w:eastAsia="Times New Roman"/>
          <w:sz w:val="18"/>
          <w:szCs w:val="18"/>
        </w:rPr>
        <w:t xml:space="preserve"> </w:t>
      </w:r>
    </w:p>
    <w:p w:rsidRPr="00E01200" w:rsidR="00065EF5" w:rsidP="00065EF5" w:rsidRDefault="00065EF5" w14:paraId="5853FDF2" w14:textId="77777777">
      <w:pPr>
        <w:pStyle w:val="Geenafstand"/>
        <w:spacing w:line="240" w:lineRule="atLeast"/>
        <w:rPr>
          <w:rFonts w:ascii="Verdana" w:hAnsi="Verdana" w:eastAsia="Times New Roman"/>
          <w:sz w:val="18"/>
          <w:szCs w:val="18"/>
        </w:rPr>
      </w:pPr>
    </w:p>
    <w:p w:rsidRPr="00E01200" w:rsidR="00065EF5" w:rsidP="00065EF5" w:rsidRDefault="00065EF5" w14:paraId="2942027C"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Er zijn geen concrete aanwijzingen dat in oktober 2025 de inflatie voornamelijk werd gedreven door hogere winsten. Wel is het duidelijk dat de diensteninflatie dit jaar fors bijdraagt aan de inflatie; deze was 4,5% in oktober. Gegeven het hoge loonaandeel in de dienstensector, lijkt dit het beeld vanuit het CPB te bevestigen dat het juist de lonen zijn, en niet de winsten, die de inflatie stuwen. </w:t>
      </w:r>
    </w:p>
    <w:p w:rsidRPr="00E01200" w:rsidR="00065EF5" w:rsidP="00065EF5" w:rsidRDefault="00065EF5" w14:paraId="64661328" w14:textId="77777777">
      <w:pPr>
        <w:pStyle w:val="Geenafstand"/>
        <w:spacing w:line="240" w:lineRule="atLeast"/>
        <w:rPr>
          <w:rFonts w:ascii="Verdana" w:hAnsi="Verdana" w:eastAsia="Times New Roman"/>
          <w:sz w:val="18"/>
          <w:szCs w:val="18"/>
        </w:rPr>
      </w:pPr>
    </w:p>
    <w:p w:rsidR="00065EF5" w:rsidP="00065EF5" w:rsidRDefault="00065EF5" w14:paraId="3AF9C3A4"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Het CBS heeft nog geen cijfers gepubliceerd over de arbeidsinkomensquote (AIQ) in 2025. Het meest recente cijfer gaat over 2024, toen lag de AIQ-marktsector op 69,9 procent.</w:t>
      </w:r>
      <w:r w:rsidRPr="00E01200">
        <w:rPr>
          <w:rStyle w:val="Voetnootmarkering"/>
          <w:rFonts w:ascii="Verdana" w:hAnsi="Verdana" w:eastAsia="Times New Roman"/>
          <w:sz w:val="18"/>
          <w:szCs w:val="18"/>
        </w:rPr>
        <w:footnoteReference w:id="6"/>
      </w:r>
      <w:r w:rsidRPr="00E01200">
        <w:rPr>
          <w:rFonts w:ascii="Verdana" w:hAnsi="Verdana" w:eastAsia="Times New Roman"/>
          <w:sz w:val="18"/>
          <w:szCs w:val="18"/>
        </w:rPr>
        <w:t xml:space="preserve"> De figuur hieronder laat de ontwikkeling zien van de afgelopen tien jaar. </w:t>
      </w:r>
    </w:p>
    <w:p w:rsidRPr="00E01200" w:rsidR="00065EF5" w:rsidP="00065EF5" w:rsidRDefault="00065EF5" w14:paraId="1AD349D1" w14:textId="77777777">
      <w:pPr>
        <w:pStyle w:val="Geenafstand"/>
        <w:spacing w:line="240" w:lineRule="atLeast"/>
        <w:rPr>
          <w:rFonts w:ascii="Verdana" w:hAnsi="Verdana" w:eastAsia="Times New Roman"/>
          <w:sz w:val="18"/>
          <w:szCs w:val="18"/>
        </w:rPr>
      </w:pPr>
    </w:p>
    <w:p w:rsidRPr="00E01200" w:rsidR="00065EF5" w:rsidP="00065EF5" w:rsidRDefault="00065EF5" w14:paraId="36C3853B" w14:textId="77777777">
      <w:pPr>
        <w:rPr>
          <w:szCs w:val="18"/>
        </w:rPr>
      </w:pPr>
      <w:r>
        <w:rPr>
          <w:noProof/>
        </w:rPr>
        <w:drawing>
          <wp:inline distT="0" distB="0" distL="0" distR="0" wp14:anchorId="3F168916" wp14:editId="2A6B223F">
            <wp:extent cx="4581525" cy="2752725"/>
            <wp:effectExtent l="0" t="0" r="9525" b="9525"/>
            <wp:docPr id="2101234289" name="Grafiek 1" descr="Afbeelding met tekst, Lettertype, Perce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4289" name="Grafiek 1" descr="Afbeelding met tekst, Lettertype, Perceel, schermopname&#10;&#10;Door AI gegenereerde inhoud is mogelijk onjuis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Pr="00E01200" w:rsidR="00065EF5" w:rsidP="00065EF5" w:rsidRDefault="00065EF5" w14:paraId="05DB0C04" w14:textId="77777777">
      <w:pPr>
        <w:pStyle w:val="Bijschrift"/>
        <w:spacing w:after="0" w:line="240" w:lineRule="atLeast"/>
        <w:rPr>
          <w:rFonts w:ascii="Verdana" w:hAnsi="Verdana" w:eastAsia="Times New Roman"/>
        </w:rPr>
      </w:pPr>
      <w:r w:rsidRPr="00E01200">
        <w:rPr>
          <w:rFonts w:ascii="Verdana" w:hAnsi="Verdana"/>
        </w:rPr>
        <w:t>Bron: CBS.</w:t>
      </w:r>
    </w:p>
    <w:p w:rsidRPr="00E01200" w:rsidR="00065EF5" w:rsidP="00065EF5" w:rsidRDefault="00065EF5" w14:paraId="3F68B84A" w14:textId="77777777">
      <w:pPr>
        <w:rPr>
          <w:szCs w:val="18"/>
        </w:rPr>
      </w:pPr>
    </w:p>
    <w:p w:rsidRPr="00E01200" w:rsidR="00065EF5" w:rsidP="00065EF5" w:rsidRDefault="00065EF5" w14:paraId="2F72C99F"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5</w:t>
      </w:r>
    </w:p>
    <w:p w:rsidRPr="00E01200" w:rsidR="00065EF5" w:rsidP="00065EF5" w:rsidRDefault="00065EF5" w14:paraId="61ADB153"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Hoeveel geld zou er beschikbaar komen voor geld voor lonen en mensen als de verdeling tussen geld voor lonen en mensen en geld voor winst </w:t>
      </w:r>
      <w:r w:rsidRPr="00E01200">
        <w:rPr>
          <w:rFonts w:ascii="Verdana" w:hAnsi="Verdana" w:eastAsia="Times New Roman"/>
          <w:sz w:val="18"/>
          <w:szCs w:val="18"/>
        </w:rPr>
        <w:lastRenderedPageBreak/>
        <w:t xml:space="preserve">en aandeelhouders weer zou zijn zoals voor de coronacrisis? Hoeveel miljarden zouden er in dat geval nog steeds naar winst gaan? </w:t>
      </w:r>
    </w:p>
    <w:p w:rsidRPr="00E01200" w:rsidR="00065EF5" w:rsidP="00065EF5" w:rsidRDefault="00065EF5" w14:paraId="5F78B1D0" w14:textId="77777777">
      <w:pPr>
        <w:pStyle w:val="Geenafstand"/>
        <w:spacing w:line="240" w:lineRule="atLeast"/>
        <w:rPr>
          <w:rFonts w:ascii="Verdana" w:hAnsi="Verdana" w:eastAsia="Times New Roman"/>
          <w:sz w:val="18"/>
          <w:szCs w:val="18"/>
        </w:rPr>
      </w:pPr>
    </w:p>
    <w:p w:rsidRPr="00E01200" w:rsidR="00065EF5" w:rsidP="00065EF5" w:rsidRDefault="00065EF5" w14:paraId="344A71A6"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Antwoord</w:t>
      </w:r>
    </w:p>
    <w:p w:rsidRPr="00E01200" w:rsidR="00065EF5" w:rsidP="00065EF5" w:rsidRDefault="00065EF5" w14:paraId="26F6B52A"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Deze berekening is niet goed te maken. Winsten worden deels opnieuw geïnvesteerd in de economie en dragen daarmee bij aan de economische groei en productiviteitsgroei. Dit wordt vaak gevolgd door meer werkgelegenheid en hogere lonen. Het ingrijpen op de winsten kan leiden tot lagere investeringen en daarmee ook op de lonen. Hierdoor is het niet mogelijk om een accuraat antwoord te geven op deze vraag. </w:t>
      </w:r>
    </w:p>
    <w:p w:rsidRPr="00E01200" w:rsidR="00065EF5" w:rsidP="00065EF5" w:rsidRDefault="00065EF5" w14:paraId="6190C726" w14:textId="77777777">
      <w:pPr>
        <w:pStyle w:val="Geenafstand"/>
        <w:spacing w:line="240" w:lineRule="atLeast"/>
        <w:rPr>
          <w:rFonts w:ascii="Verdana" w:hAnsi="Verdana" w:eastAsia="Times New Roman"/>
          <w:sz w:val="18"/>
          <w:szCs w:val="18"/>
        </w:rPr>
      </w:pPr>
    </w:p>
    <w:p w:rsidRPr="00E01200" w:rsidR="00065EF5" w:rsidP="00065EF5" w:rsidRDefault="00065EF5" w14:paraId="0A34F42B"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6</w:t>
      </w:r>
    </w:p>
    <w:p w:rsidRPr="00E01200" w:rsidR="00065EF5" w:rsidP="00065EF5" w:rsidRDefault="00065EF5" w14:paraId="2C87D6A9"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Wat betekent het voor het inkomen van de overheid als er meer van het geld dat verdiend wordt naar lonen gaat en minder naar winsten? Hoeveel belasting ontvangt de overheid gemiddeld voor elke euro die naar lonen gaan? Hoeveel belasting ontvangt de overheid gemiddeld voor elke euro die naar winsten gaat? </w:t>
      </w:r>
    </w:p>
    <w:p w:rsidRPr="00E01200" w:rsidR="00065EF5" w:rsidP="00065EF5" w:rsidRDefault="00065EF5" w14:paraId="7242DE58" w14:textId="77777777">
      <w:pPr>
        <w:pStyle w:val="Geenafstand"/>
        <w:spacing w:line="240" w:lineRule="atLeast"/>
        <w:rPr>
          <w:rFonts w:ascii="Verdana" w:hAnsi="Verdana" w:eastAsia="Times New Roman"/>
          <w:sz w:val="18"/>
          <w:szCs w:val="18"/>
        </w:rPr>
      </w:pPr>
    </w:p>
    <w:p w:rsidRPr="00E01200" w:rsidR="00065EF5" w:rsidP="00065EF5" w:rsidRDefault="00065EF5" w14:paraId="0A58C4B7"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065EF5" w:rsidP="00065EF5" w:rsidRDefault="00065EF5" w14:paraId="0A7F65F1"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Zoals beschreven in antwoord vijf is deze vergelijking niet zomaar te maken. Bij een verschuiving van belasting op arbeid naar belasting op winst moet namelijk rekening worden gehouden met het feit dat dit kan leiden tot lagere investeringen en verplaatsing van bedrijvigheid naar het buitenland. Het effect op de werkgelegenheid, lonen en inkomen voor de overheid is daarmee vooraf niet in te schatten. </w:t>
      </w:r>
    </w:p>
    <w:p w:rsidRPr="00E01200" w:rsidR="00065EF5" w:rsidP="00065EF5" w:rsidRDefault="00065EF5" w14:paraId="547690A3" w14:textId="77777777">
      <w:pPr>
        <w:pStyle w:val="Geenafstand"/>
        <w:spacing w:line="240" w:lineRule="atLeast"/>
        <w:rPr>
          <w:rFonts w:ascii="Verdana" w:hAnsi="Verdana" w:eastAsia="Times New Roman"/>
          <w:sz w:val="18"/>
          <w:szCs w:val="18"/>
        </w:rPr>
      </w:pPr>
    </w:p>
    <w:p w:rsidRPr="00E01200" w:rsidR="00065EF5" w:rsidP="00065EF5" w:rsidRDefault="00065EF5" w14:paraId="63979EFF"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Looninkomsten worden progressief belast in box 1 van de inkomstenbelasting. Daarnaast dragen werkgevers premies af over (een deel van) de loonsom. Winsten van bedrijven worden belast in de vennootschapsbelasting. Afhankelijk van de mate waarin een bedrijf gemaakte winst uitkeert, vindt aanvullend belastingheffing plaats over dit inkomen via de dividendbelasting (of box 2 van de inkomensheffing in het geval van een aanmerkelijk belang). Voor zover een euro extra winst ten koste gaat van een extra euro loon, staan tegenover hogere vpb-inkomsten dus inderdaad lagere belastinginkomsten op arbeid. Het netto effect op de belastinginkomsten is afhankelijk van de </w:t>
      </w:r>
      <w:r w:rsidRPr="00E01200">
        <w:rPr>
          <w:rFonts w:ascii="Verdana" w:hAnsi="Verdana" w:eastAsia="Times New Roman"/>
          <w:i/>
          <w:iCs/>
          <w:sz w:val="18"/>
          <w:szCs w:val="18"/>
        </w:rPr>
        <w:t>marginale</w:t>
      </w:r>
      <w:r w:rsidRPr="00E01200">
        <w:rPr>
          <w:rFonts w:ascii="Verdana" w:hAnsi="Verdana" w:eastAsia="Times New Roman"/>
          <w:sz w:val="18"/>
          <w:szCs w:val="18"/>
        </w:rPr>
        <w:t xml:space="preserve"> belastingdruk van zowel het bedrijf als de werknemer. Deze belastingdruk verschilt sterk afhankelijk van de specifieke omstandigheden. Een kwantitatieve inschatting op macroniveau van een dergelijke schuif is niet beschikbaar. </w:t>
      </w:r>
    </w:p>
    <w:p w:rsidRPr="00E01200" w:rsidR="00065EF5" w:rsidP="00065EF5" w:rsidRDefault="00065EF5" w14:paraId="4ABB780D" w14:textId="77777777">
      <w:pPr>
        <w:rPr>
          <w:szCs w:val="18"/>
        </w:rPr>
      </w:pPr>
    </w:p>
    <w:p w:rsidRPr="00E01200" w:rsidR="00065EF5" w:rsidP="00065EF5" w:rsidRDefault="00065EF5" w14:paraId="14F95547" w14:textId="77777777">
      <w:pPr>
        <w:rPr>
          <w:szCs w:val="18"/>
        </w:rPr>
      </w:pPr>
    </w:p>
    <w:p w:rsidRPr="00E01200" w:rsidR="00065EF5" w:rsidP="00065EF5" w:rsidRDefault="00065EF5" w14:paraId="3C49545E" w14:textId="77777777">
      <w:pPr>
        <w:pStyle w:val="Normaalweb"/>
        <w:spacing w:before="0" w:beforeAutospacing="0" w:after="0" w:afterAutospacing="0" w:line="240" w:lineRule="atLeast"/>
        <w:rPr>
          <w:rFonts w:ascii="Verdana" w:hAnsi="Verdana"/>
          <w:sz w:val="18"/>
          <w:szCs w:val="18"/>
        </w:rPr>
      </w:pPr>
    </w:p>
    <w:p w:rsidR="002C3023" w:rsidRDefault="002C3023" w14:paraId="6436703D" w14:textId="77777777"/>
    <w:sectPr w:rsidR="002C3023" w:rsidSect="00065EF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195A" w14:textId="77777777" w:rsidR="00065EF5" w:rsidRDefault="00065EF5" w:rsidP="00065EF5">
      <w:pPr>
        <w:spacing w:after="0" w:line="240" w:lineRule="auto"/>
      </w:pPr>
      <w:r>
        <w:separator/>
      </w:r>
    </w:p>
  </w:endnote>
  <w:endnote w:type="continuationSeparator" w:id="0">
    <w:p w14:paraId="7C549179" w14:textId="77777777" w:rsidR="00065EF5" w:rsidRDefault="00065EF5" w:rsidP="0006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77A" w14:textId="77777777" w:rsidR="00065EF5" w:rsidRPr="00065EF5" w:rsidRDefault="00065EF5" w:rsidP="00065E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5A95" w14:textId="77777777" w:rsidR="00065EF5" w:rsidRPr="00065EF5" w:rsidRDefault="00065EF5" w:rsidP="00065E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785" w14:textId="77777777" w:rsidR="00065EF5" w:rsidRPr="00065EF5" w:rsidRDefault="00065EF5" w:rsidP="00065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F85E" w14:textId="77777777" w:rsidR="00065EF5" w:rsidRDefault="00065EF5" w:rsidP="00065EF5">
      <w:pPr>
        <w:spacing w:after="0" w:line="240" w:lineRule="auto"/>
      </w:pPr>
      <w:r>
        <w:separator/>
      </w:r>
    </w:p>
  </w:footnote>
  <w:footnote w:type="continuationSeparator" w:id="0">
    <w:p w14:paraId="113AD393" w14:textId="77777777" w:rsidR="00065EF5" w:rsidRDefault="00065EF5" w:rsidP="00065EF5">
      <w:pPr>
        <w:spacing w:after="0" w:line="240" w:lineRule="auto"/>
      </w:pPr>
      <w:r>
        <w:continuationSeparator/>
      </w:r>
    </w:p>
  </w:footnote>
  <w:footnote w:id="1">
    <w:p w14:paraId="7450B893" w14:textId="77777777" w:rsidR="00065EF5" w:rsidRDefault="00065EF5" w:rsidP="00065EF5">
      <w:pPr>
        <w:pStyle w:val="Voetnoottekst"/>
      </w:pPr>
      <w:r>
        <w:rPr>
          <w:rStyle w:val="Voetnootmarkering"/>
        </w:rPr>
        <w:footnoteRef/>
      </w:r>
      <w:r>
        <w:t xml:space="preserve"> </w:t>
      </w:r>
      <w:hyperlink r:id="rId1" w:anchor=":~:text=Inflatie%20in%20november%202%2C9,CBS" w:history="1">
        <w:r w:rsidRPr="006D3651">
          <w:rPr>
            <w:rStyle w:val="Hyperlink"/>
          </w:rPr>
          <w:t>Inflatie in november 2,9 procent bij snelle raming | CBS</w:t>
        </w:r>
      </w:hyperlink>
      <w:r>
        <w:t xml:space="preserve"> </w:t>
      </w:r>
    </w:p>
  </w:footnote>
  <w:footnote w:id="2">
    <w:p w14:paraId="57C5E419" w14:textId="77777777" w:rsidR="00065EF5" w:rsidRDefault="00065EF5" w:rsidP="00065EF5">
      <w:pPr>
        <w:pStyle w:val="Voetnoottekst"/>
      </w:pPr>
      <w:r>
        <w:rPr>
          <w:rStyle w:val="Voetnootmarkering"/>
        </w:rPr>
        <w:footnoteRef/>
      </w:r>
      <w:r>
        <w:t xml:space="preserve"> CPB - </w:t>
      </w:r>
      <w:hyperlink r:id="rId2" w:history="1">
        <w:r w:rsidRPr="00FB1F38">
          <w:rPr>
            <w:rStyle w:val="Hyperlink"/>
          </w:rPr>
          <w:t>Macro Economische Verkenning 2026</w:t>
        </w:r>
      </w:hyperlink>
    </w:p>
  </w:footnote>
  <w:footnote w:id="3">
    <w:p w14:paraId="5DCC874B" w14:textId="77777777" w:rsidR="00065EF5" w:rsidRDefault="00065EF5" w:rsidP="00065EF5">
      <w:pPr>
        <w:pStyle w:val="Voetnoottekst"/>
      </w:pPr>
      <w:r>
        <w:rPr>
          <w:rStyle w:val="Voetnootmarkering"/>
        </w:rPr>
        <w:footnoteRef/>
      </w:r>
      <w:r>
        <w:t xml:space="preserve"> </w:t>
      </w:r>
      <w:hyperlink r:id="rId3" w:anchor="/CBS/nl/dataset/83131ned/table?fromstatweb" w:history="1">
        <w:r w:rsidRPr="008E1706">
          <w:rPr>
            <w:rStyle w:val="Hyperlink"/>
          </w:rPr>
          <w:t>StatLine - Consumentenprijzen; prijsindex 2015=100</w:t>
        </w:r>
      </w:hyperlink>
    </w:p>
  </w:footnote>
  <w:footnote w:id="4">
    <w:p w14:paraId="0A6F3DE3" w14:textId="77777777" w:rsidR="00065EF5" w:rsidRDefault="00065EF5" w:rsidP="00065EF5">
      <w:pPr>
        <w:pStyle w:val="Voetnoottekst"/>
      </w:pPr>
      <w:r>
        <w:rPr>
          <w:rStyle w:val="Voetnootmarkering"/>
        </w:rPr>
        <w:footnoteRef/>
      </w:r>
      <w:r>
        <w:t xml:space="preserve"> </w:t>
      </w:r>
      <w:hyperlink r:id="rId4" w:anchor="/CBS/nl/dataset/85663NED/table" w:history="1">
        <w:r w:rsidRPr="008E1706">
          <w:rPr>
            <w:rStyle w:val="Hyperlink"/>
          </w:rPr>
          <w:t>StatLine - Cao-lonen, contractuele loonkosten en arbeidsduur; indexcijfers (2020=100)</w:t>
        </w:r>
      </w:hyperlink>
    </w:p>
  </w:footnote>
  <w:footnote w:id="5">
    <w:p w14:paraId="68A5E7AF" w14:textId="77777777" w:rsidR="00065EF5" w:rsidRDefault="00065EF5" w:rsidP="00065EF5">
      <w:pPr>
        <w:pStyle w:val="Voetnoottekst"/>
      </w:pPr>
      <w:r>
        <w:rPr>
          <w:rStyle w:val="Voetnootmarkering"/>
        </w:rPr>
        <w:footnoteRef/>
      </w:r>
      <w:r>
        <w:t xml:space="preserve"> </w:t>
      </w:r>
      <w:hyperlink r:id="rId5" w:history="1">
        <w:r>
          <w:rPr>
            <w:rStyle w:val="Hyperlink"/>
          </w:rPr>
          <w:t>CPB (2025), Centraal Economisch Plan</w:t>
        </w:r>
      </w:hyperlink>
    </w:p>
  </w:footnote>
  <w:footnote w:id="6">
    <w:p w14:paraId="3FB60395" w14:textId="77777777" w:rsidR="00065EF5" w:rsidRDefault="00065EF5" w:rsidP="00065EF5">
      <w:pPr>
        <w:pStyle w:val="Voetnoottekst"/>
      </w:pPr>
      <w:r>
        <w:rPr>
          <w:rStyle w:val="Voetnootmarkering"/>
        </w:rPr>
        <w:footnoteRef/>
      </w:r>
      <w:r>
        <w:t xml:space="preserve"> </w:t>
      </w:r>
      <w:hyperlink r:id="rId6" w:history="1">
        <w:r w:rsidRPr="003063EA">
          <w:rPr>
            <w:rStyle w:val="Hyperlink"/>
          </w:rPr>
          <w:t>https://www.cbs.nl/nl-nl/nieuws/2025/31/aandeel-arbeid-in-de-marktsector-licht-toegenomen-in-2024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0025" w14:textId="77777777" w:rsidR="00065EF5" w:rsidRPr="00065EF5" w:rsidRDefault="00065EF5" w:rsidP="00065E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3603" w14:textId="77777777" w:rsidR="00065EF5" w:rsidRPr="00065EF5" w:rsidRDefault="00065EF5" w:rsidP="00065E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6B91" w14:textId="77777777" w:rsidR="00065EF5" w:rsidRPr="00065EF5" w:rsidRDefault="00065EF5" w:rsidP="00065E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F5"/>
    <w:rsid w:val="00065EF5"/>
    <w:rsid w:val="002C3023"/>
    <w:rsid w:val="00B9402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DD4C"/>
  <w15:chartTrackingRefBased/>
  <w15:docId w15:val="{72DCFA11-2674-47D1-A805-F7A1F81B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5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5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5E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5E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5E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5E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5E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5E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5E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E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5E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5E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5E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5E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5E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5E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5E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5EF5"/>
    <w:rPr>
      <w:rFonts w:eastAsiaTheme="majorEastAsia" w:cstheme="majorBidi"/>
      <w:color w:val="272727" w:themeColor="text1" w:themeTint="D8"/>
    </w:rPr>
  </w:style>
  <w:style w:type="paragraph" w:styleId="Titel">
    <w:name w:val="Title"/>
    <w:basedOn w:val="Standaard"/>
    <w:next w:val="Standaard"/>
    <w:link w:val="TitelChar"/>
    <w:uiPriority w:val="10"/>
    <w:qFormat/>
    <w:rsid w:val="00065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5E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5E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5E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5E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5EF5"/>
    <w:rPr>
      <w:i/>
      <w:iCs/>
      <w:color w:val="404040" w:themeColor="text1" w:themeTint="BF"/>
    </w:rPr>
  </w:style>
  <w:style w:type="paragraph" w:styleId="Lijstalinea">
    <w:name w:val="List Paragraph"/>
    <w:basedOn w:val="Standaard"/>
    <w:uiPriority w:val="34"/>
    <w:qFormat/>
    <w:rsid w:val="00065EF5"/>
    <w:pPr>
      <w:ind w:left="720"/>
      <w:contextualSpacing/>
    </w:pPr>
  </w:style>
  <w:style w:type="character" w:styleId="Intensievebenadrukking">
    <w:name w:val="Intense Emphasis"/>
    <w:basedOn w:val="Standaardalinea-lettertype"/>
    <w:uiPriority w:val="21"/>
    <w:qFormat/>
    <w:rsid w:val="00065EF5"/>
    <w:rPr>
      <w:i/>
      <w:iCs/>
      <w:color w:val="0F4761" w:themeColor="accent1" w:themeShade="BF"/>
    </w:rPr>
  </w:style>
  <w:style w:type="paragraph" w:styleId="Duidelijkcitaat">
    <w:name w:val="Intense Quote"/>
    <w:basedOn w:val="Standaard"/>
    <w:next w:val="Standaard"/>
    <w:link w:val="DuidelijkcitaatChar"/>
    <w:uiPriority w:val="30"/>
    <w:qFormat/>
    <w:rsid w:val="00065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5EF5"/>
    <w:rPr>
      <w:i/>
      <w:iCs/>
      <w:color w:val="0F4761" w:themeColor="accent1" w:themeShade="BF"/>
    </w:rPr>
  </w:style>
  <w:style w:type="character" w:styleId="Intensieveverwijzing">
    <w:name w:val="Intense Reference"/>
    <w:basedOn w:val="Standaardalinea-lettertype"/>
    <w:uiPriority w:val="32"/>
    <w:qFormat/>
    <w:rsid w:val="00065EF5"/>
    <w:rPr>
      <w:b/>
      <w:bCs/>
      <w:smallCaps/>
      <w:color w:val="0F4761" w:themeColor="accent1" w:themeShade="BF"/>
      <w:spacing w:val="5"/>
    </w:rPr>
  </w:style>
  <w:style w:type="paragraph" w:styleId="Koptekst">
    <w:name w:val="header"/>
    <w:basedOn w:val="Standaard"/>
    <w:link w:val="KoptekstChar"/>
    <w:rsid w:val="00065E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65E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65E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65EF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65E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65EF5"/>
    <w:rPr>
      <w:rFonts w:ascii="Verdana" w:hAnsi="Verdana"/>
      <w:noProof/>
      <w:sz w:val="13"/>
      <w:szCs w:val="24"/>
      <w:lang w:eastAsia="nl-NL"/>
    </w:rPr>
  </w:style>
  <w:style w:type="paragraph" w:customStyle="1" w:styleId="Huisstijl-Gegeven">
    <w:name w:val="Huisstijl-Gegeven"/>
    <w:basedOn w:val="Standaard"/>
    <w:link w:val="Huisstijl-GegevenCharChar"/>
    <w:rsid w:val="00065E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65E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65EF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065EF5"/>
    <w:rPr>
      <w:color w:val="0000FF"/>
      <w:u w:val="single"/>
    </w:rPr>
  </w:style>
  <w:style w:type="paragraph" w:customStyle="1" w:styleId="Huisstijl-Retouradres">
    <w:name w:val="Huisstijl-Retouradres"/>
    <w:basedOn w:val="Standaard"/>
    <w:rsid w:val="00065EF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65EF5"/>
    <w:pPr>
      <w:spacing w:after="0"/>
    </w:pPr>
    <w:rPr>
      <w:b/>
    </w:rPr>
  </w:style>
  <w:style w:type="paragraph" w:customStyle="1" w:styleId="Huisstijl-Paginanummering">
    <w:name w:val="Huisstijl-Paginanummering"/>
    <w:basedOn w:val="Standaard"/>
    <w:rsid w:val="00065EF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65EF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65EF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65EF5"/>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065EF5"/>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065EF5"/>
    <w:rPr>
      <w:vertAlign w:val="superscript"/>
    </w:rPr>
  </w:style>
  <w:style w:type="paragraph" w:styleId="Bijschrift">
    <w:name w:val="caption"/>
    <w:basedOn w:val="Standaard"/>
    <w:next w:val="Standaard"/>
    <w:uiPriority w:val="35"/>
    <w:unhideWhenUsed/>
    <w:qFormat/>
    <w:rsid w:val="00065EF5"/>
    <w:pPr>
      <w:spacing w:after="200" w:line="240" w:lineRule="auto"/>
    </w:pPr>
    <w:rPr>
      <w:rFonts w:ascii="Times New Roman" w:eastAsiaTheme="minorEastAsia" w:hAnsi="Times New Roman" w:cs="Times New Roman"/>
      <w:i/>
      <w:iCs/>
      <w:color w:val="0E2841" w:themeColor="text2"/>
      <w:kern w:val="0"/>
      <w:sz w:val="18"/>
      <w:szCs w:val="18"/>
      <w:lang w:eastAsia="nl-NL"/>
      <w14:ligatures w14:val="none"/>
    </w:rPr>
  </w:style>
  <w:style w:type="paragraph" w:styleId="Geenafstand">
    <w:name w:val="No Spacing"/>
    <w:uiPriority w:val="1"/>
    <w:qFormat/>
    <w:rsid w:val="00065EF5"/>
    <w:pPr>
      <w:spacing w:after="0" w:line="240" w:lineRule="auto"/>
    </w:pPr>
    <w:rPr>
      <w:rFonts w:ascii="Times New Roman" w:eastAsiaTheme="minorEastAsia"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 TargetMode="External"/><Relationship Id="rId2" Type="http://schemas.openxmlformats.org/officeDocument/2006/relationships/hyperlink" Target="https://www.cpb.nl/system/files/cpbmedia/CPB_Raming-macro-economische-verkenning-2026.pdf" TargetMode="External"/><Relationship Id="rId1" Type="http://schemas.openxmlformats.org/officeDocument/2006/relationships/hyperlink" Target="https://www.cbs.nl/nl-nl/nieuws/2025/49/inflatie-in-november-2-9-procent-bij-snelle-raming" TargetMode="External"/><Relationship Id="rId6" Type="http://schemas.openxmlformats.org/officeDocument/2006/relationships/hyperlink" Target="https://www.cbs.nl/nl-nl/nieuws/2025/31/aandeel-arbeid-in-de-marktsector-licht-toegenomen-in-2024" TargetMode="External"/><Relationship Id="rId5" Type="http://schemas.openxmlformats.org/officeDocument/2006/relationships/hyperlink" Target="https://www.cpb.nl/system/files/cpbmedia/omnidownload/CPB-Publicatie-cep-2025-verantwoording_0.pdf" TargetMode="External"/><Relationship Id="rId4"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885</ap:Words>
  <ap:Characters>4873</ap:Characters>
  <ap:DocSecurity>0</ap:DocSecurity>
  <ap:Lines>40</ap:Lines>
  <ap:Paragraphs>11</ap:Paragraphs>
  <ap:ScaleCrop>false</ap:ScaleCrop>
  <ap:LinksUpToDate>false</ap:LinksUpToDate>
  <ap:CharactersWithSpaces>5747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2025-12-08T10:42:00.0000000Z</dcterms:created>
  <dcterms:modified xsi:type="dcterms:W3CDTF">2025-12-08T10:43:00.0000000Z</dcterms:modified>
  <version/>
  <category/>
</coreProperties>
</file>