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F5AA7" w:rsidTr="00D9561B" w14:paraId="6B573E6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E4F0C" w14:paraId="7696508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E4F0C" w14:paraId="7F9CDF61" w14:textId="77777777">
            <w:r>
              <w:t>Postbus 20018</w:t>
            </w:r>
          </w:p>
          <w:p w:rsidR="008E3932" w:rsidP="00D9561B" w:rsidRDefault="00FE4F0C" w14:paraId="403278F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F5AA7" w:rsidTr="00FF66F9" w14:paraId="06B1C1F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E4F0C" w14:paraId="0D0292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B436B" w14:paraId="36CA3721" w14:textId="55C440AA">
            <w:pPr>
              <w:rPr>
                <w:lang w:eastAsia="en-US"/>
              </w:rPr>
            </w:pPr>
            <w:r>
              <w:rPr>
                <w:lang w:eastAsia="en-US"/>
              </w:rPr>
              <w:t>8 december 2025</w:t>
            </w:r>
          </w:p>
        </w:tc>
      </w:tr>
      <w:tr w:rsidR="002F5AA7" w:rsidTr="00FF66F9" w14:paraId="5557608F" w14:textId="77777777">
        <w:trPr>
          <w:trHeight w:val="368"/>
        </w:trPr>
        <w:tc>
          <w:tcPr>
            <w:tcW w:w="929" w:type="dxa"/>
          </w:tcPr>
          <w:p w:rsidR="0005404B" w:rsidP="00FF66F9" w:rsidRDefault="00FE4F0C" w14:paraId="6C6AAD1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E4F0C" w14:paraId="537F4A6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Actualisatie toezeggingen Emancipatiebeleid Q4 2025</w:t>
            </w:r>
          </w:p>
        </w:tc>
      </w:tr>
    </w:tbl>
    <w:p w:rsidR="002F5AA7" w:rsidRDefault="002F5AA7" w14:paraId="14203ECB" w14:textId="65A6372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F5AA7" w:rsidTr="00A421A1" w14:paraId="6BFB2419" w14:textId="77777777">
        <w:tc>
          <w:tcPr>
            <w:tcW w:w="2160" w:type="dxa"/>
          </w:tcPr>
          <w:p w:rsidRPr="00F53C9D" w:rsidR="006205C0" w:rsidP="00686AED" w:rsidRDefault="00FE4F0C" w14:paraId="3415BA5A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FE4F0C" w14:paraId="409AE8E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E4F0C" w14:paraId="11E600C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E4F0C" w14:paraId="3FB956E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E4F0C" w14:paraId="44475F4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70DD2" w:rsidR="006205C0" w:rsidP="00D70DD2" w:rsidRDefault="00FE4F0C" w14:paraId="2DD553C3" w14:textId="5E2AA40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F5AA7" w:rsidTr="00A421A1" w14:paraId="77452C2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CA4BF2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F5AA7" w:rsidTr="00A421A1" w14:paraId="49233E2F" w14:textId="77777777">
        <w:trPr>
          <w:trHeight w:val="450"/>
        </w:trPr>
        <w:tc>
          <w:tcPr>
            <w:tcW w:w="2160" w:type="dxa"/>
          </w:tcPr>
          <w:p w:rsidR="00F51A76" w:rsidP="00A421A1" w:rsidRDefault="00FE4F0C" w14:paraId="33BAD15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E4F0C" w14:paraId="20FDF16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57253120</w:t>
            </w:r>
          </w:p>
        </w:tc>
      </w:tr>
      <w:tr w:rsidR="002F5AA7" w:rsidTr="00D130C0" w14:paraId="171B370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E4F0C" w14:paraId="6815604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F5AA7" w:rsidTr="00D130C0" w14:paraId="5CA8A560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0A1B8421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FE4F0C" w:rsidP="00FE4F0C" w:rsidRDefault="00FE4F0C" w14:paraId="206A0427" w14:textId="77777777">
      <w:r>
        <w:t xml:space="preserve">Met deze brief informeer ik uw Kamer over de afhandeling van twee openstaande toezeggingen binnen het Emancipatiebeleid die gedaan zijn voor 2025. </w:t>
      </w:r>
    </w:p>
    <w:p w:rsidR="00FE4F0C" w:rsidP="00FE4F0C" w:rsidRDefault="00FE4F0C" w14:paraId="1E2E09C3" w14:textId="77777777"/>
    <w:p w:rsidRPr="000422D1" w:rsidR="00FE4F0C" w:rsidP="00FE4F0C" w:rsidRDefault="00FE4F0C" w14:paraId="67393D27" w14:textId="77777777">
      <w:pPr>
        <w:rPr>
          <w:b/>
          <w:bCs/>
        </w:rPr>
      </w:pPr>
      <w:r w:rsidRPr="000422D1">
        <w:rPr>
          <w:b/>
          <w:bCs/>
        </w:rPr>
        <w:t xml:space="preserve">Kosten medisch onderzoek slachtoffers seksueel geweld </w:t>
      </w:r>
    </w:p>
    <w:p w:rsidR="00A8546E" w:rsidP="00A8546E" w:rsidRDefault="00A8546E" w14:paraId="6A30860F" w14:textId="43C1744A">
      <w:r>
        <w:t xml:space="preserve">In het commissiedebat Emancipatie van 18 juni 2025 heb ik </w:t>
      </w:r>
      <w:r w:rsidRPr="000422D1">
        <w:t>toegezegd</w:t>
      </w:r>
      <w:r w:rsidR="002126F5">
        <w:t xml:space="preserve"> te spreken</w:t>
      </w:r>
      <w:r w:rsidRPr="000422D1">
        <w:t xml:space="preserve"> met</w:t>
      </w:r>
      <w:r>
        <w:t xml:space="preserve"> de minister van Volksgezondheid, Welzijn en Sport </w:t>
      </w:r>
      <w:r w:rsidRPr="000422D1">
        <w:t>over de eigen bijdrage die slachtoffers van seksueel geweld</w:t>
      </w:r>
      <w:r>
        <w:t xml:space="preserve"> in rekening gebracht kunnen krijgen na</w:t>
      </w:r>
      <w:r w:rsidR="002126F5">
        <w:t xml:space="preserve">dat ze </w:t>
      </w:r>
      <w:r>
        <w:t xml:space="preserve">hulp </w:t>
      </w:r>
      <w:r w:rsidR="002126F5">
        <w:t xml:space="preserve">hebben ontvangen </w:t>
      </w:r>
      <w:r>
        <w:t xml:space="preserve">vanuit een Centrum Seksueel Geweld. </w:t>
      </w:r>
      <w:r w:rsidRPr="000422D1">
        <w:t xml:space="preserve">In de afstemming is geconstateerd dat slachtoffers van seksueel geweld kosteloos hulp kunnen zoeken bij </w:t>
      </w:r>
      <w:r>
        <w:t xml:space="preserve">een </w:t>
      </w:r>
      <w:r w:rsidRPr="000422D1">
        <w:t>C</w:t>
      </w:r>
      <w:r>
        <w:t>entrum Seksueel Geweld</w:t>
      </w:r>
      <w:r w:rsidRPr="000422D1">
        <w:t xml:space="preserve">. </w:t>
      </w:r>
      <w:r w:rsidRPr="00A8546E">
        <w:rPr>
          <w:szCs w:val="18"/>
        </w:rPr>
        <w:t xml:space="preserve">Op basis van de situatie en behoeften van het slachtoffer wordt bepaald welke zorg nodig is. Het is namelijk niet voor alle slachtoffers van seksueel geweld noodzakelijk om medische-, forensische- en/of psychologische zorg te ontvangen. De geboden zorg wordt geleverd op basis van maatwerk en dus niet een standaardpakket van zorg. </w:t>
      </w:r>
      <w:r w:rsidRPr="000422D1">
        <w:t xml:space="preserve">Voor sommige medische zorg geldt het </w:t>
      </w:r>
      <w:r>
        <w:t xml:space="preserve">wettelijk verplichte </w:t>
      </w:r>
      <w:r w:rsidRPr="000422D1">
        <w:t>eigen risico</w:t>
      </w:r>
      <w:r>
        <w:t xml:space="preserve"> vanuit de zorgverzekeringswet (</w:t>
      </w:r>
      <w:proofErr w:type="spellStart"/>
      <w:r>
        <w:t>Zvw</w:t>
      </w:r>
      <w:proofErr w:type="spellEnd"/>
      <w:r>
        <w:t>)</w:t>
      </w:r>
      <w:r w:rsidRPr="000422D1">
        <w:t xml:space="preserve">. </w:t>
      </w:r>
    </w:p>
    <w:p w:rsidR="00A8546E" w:rsidP="00FE4F0C" w:rsidRDefault="00A8546E" w14:paraId="7CC6A6DA" w14:textId="77777777"/>
    <w:p w:rsidRPr="000422D1" w:rsidR="00FE4F0C" w:rsidP="00FE4F0C" w:rsidRDefault="00FE4F0C" w14:paraId="03AEFA39" w14:textId="77777777">
      <w:pPr>
        <w:rPr>
          <w:b/>
          <w:bCs/>
        </w:rPr>
      </w:pPr>
      <w:r w:rsidRPr="000422D1">
        <w:rPr>
          <w:b/>
          <w:bCs/>
        </w:rPr>
        <w:t xml:space="preserve">Genderpraatjes </w:t>
      </w:r>
    </w:p>
    <w:p w:rsidR="00F06AD9" w:rsidP="00F06AD9" w:rsidRDefault="00FE4F0C" w14:paraId="6157426A" w14:textId="77777777">
      <w:r w:rsidRPr="002F2045">
        <w:t>Afgelopen zomer is in het commissiedebat Emancipatie en het daaropvolgende tweeminutendebat door de leden Westerveld en Rooderkerk aandacht gevraagd voor de</w:t>
      </w:r>
      <w:r>
        <w:t xml:space="preserve"> borging en</w:t>
      </w:r>
      <w:r w:rsidRPr="002F2045">
        <w:t xml:space="preserve"> financiering van de jongerenhulplijn Genderpraatjes van Transgender Netwerk. </w:t>
      </w:r>
      <w:r>
        <w:t xml:space="preserve">De toezegging is gedaan om met Transgender Netwerk en het COC in gesprek te gaan over verregaande samenwerking tussen Genderpraatjes en Switchboard, de lhbtiq+ hulplijn van het COC. </w:t>
      </w:r>
      <w:r w:rsidRPr="002F2045">
        <w:t xml:space="preserve">Vanaf medio november 2025 wordt Genderpraatjes geïntegreerd in Switchboard. </w:t>
      </w:r>
    </w:p>
    <w:p w:rsidRPr="002F2045" w:rsidR="00FE4F0C" w:rsidP="00F06AD9" w:rsidRDefault="00F06AD9" w14:paraId="5036B46A" w14:textId="58CFCADC">
      <w:pPr>
        <w:spacing w:line="240" w:lineRule="auto"/>
      </w:pPr>
      <w:r>
        <w:br w:type="page"/>
      </w:r>
      <w:r w:rsidRPr="002F2045" w:rsidR="00FE4F0C">
        <w:lastRenderedPageBreak/>
        <w:t>Door deze samenwerking ontstaat een sterke en brede ondersteuningslijn voor lhbtiq+ personen en blijft de steun behouden voor jongeren met gendervragen.</w:t>
      </w:r>
      <w:r w:rsidR="00FE4F0C">
        <w:t xml:space="preserve"> </w:t>
      </w:r>
      <w:r w:rsidR="00051074">
        <w:t xml:space="preserve">Hiermee geef ik invulling aan deze toezegging. </w:t>
      </w:r>
    </w:p>
    <w:p w:rsidR="00FE4F0C" w:rsidP="00FE4F0C" w:rsidRDefault="00FE4F0C" w14:paraId="5DB436E6" w14:textId="77777777"/>
    <w:p w:rsidR="00D70DD2" w:rsidP="00FE4F0C" w:rsidRDefault="00D70DD2" w14:paraId="1E0D3D98" w14:textId="77777777"/>
    <w:p w:rsidR="00820DDA" w:rsidP="00CA35E4" w:rsidRDefault="00FE4F0C" w14:paraId="1D0F6FF2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4465015" w14:textId="77777777"/>
    <w:p w:rsidR="00745AE0" w:rsidP="003A7160" w:rsidRDefault="00745AE0" w14:paraId="487B262C" w14:textId="77777777"/>
    <w:p w:rsidR="00745AE0" w:rsidP="003A7160" w:rsidRDefault="00745AE0" w14:paraId="3774393B" w14:textId="77777777"/>
    <w:p w:rsidR="00745AE0" w:rsidP="003A7160" w:rsidRDefault="00745AE0" w14:paraId="00C45EB6" w14:textId="77777777"/>
    <w:p w:rsidR="00745AE0" w:rsidP="003A7160" w:rsidRDefault="00745AE0" w14:paraId="08720A2B" w14:textId="77777777"/>
    <w:p w:rsidR="00E93891" w:rsidP="00347221" w:rsidRDefault="00E93891" w14:paraId="19FCC0E2" w14:textId="77777777"/>
    <w:p w:rsidR="00F06AD9" w:rsidP="00347221" w:rsidRDefault="00F06AD9" w14:paraId="40491EFB" w14:textId="77777777"/>
    <w:p w:rsidR="00F06AD9" w:rsidP="00347221" w:rsidRDefault="00F06AD9" w14:paraId="63D192BE" w14:textId="77777777"/>
    <w:p w:rsidRPr="00347221" w:rsidR="00697943" w:rsidP="00347221" w:rsidRDefault="00FE4F0C" w14:paraId="108051FE" w14:textId="3F1A0228">
      <w:r w:rsidRPr="00480E05">
        <w:t>Koen Becking</w:t>
      </w:r>
    </w:p>
    <w:p w:rsidR="00C7013F" w:rsidP="003A7160" w:rsidRDefault="00C7013F" w14:paraId="25D63BBA" w14:textId="77777777"/>
    <w:p w:rsidR="00C7013F" w:rsidP="003A7160" w:rsidRDefault="00C7013F" w14:paraId="26BE247A" w14:textId="77777777"/>
    <w:p w:rsidR="00184B30" w:rsidP="00A60B58" w:rsidRDefault="00184B30" w14:paraId="678A2C9B" w14:textId="77777777"/>
    <w:p w:rsidR="00184B30" w:rsidP="00A60B58" w:rsidRDefault="00184B30" w14:paraId="3ADE150E" w14:textId="77777777"/>
    <w:p w:rsidRPr="00820DDA" w:rsidR="00820DDA" w:rsidP="00215964" w:rsidRDefault="00820DDA" w14:paraId="74DA9B0A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82F4" w14:textId="77777777" w:rsidR="00DC691C" w:rsidRDefault="00FE4F0C">
      <w:r>
        <w:separator/>
      </w:r>
    </w:p>
    <w:p w14:paraId="755DB21D" w14:textId="77777777" w:rsidR="00DC691C" w:rsidRDefault="00DC691C"/>
  </w:endnote>
  <w:endnote w:type="continuationSeparator" w:id="0">
    <w:p w14:paraId="23A0A87F" w14:textId="77777777" w:rsidR="00DC691C" w:rsidRDefault="00FE4F0C">
      <w:r>
        <w:continuationSeparator/>
      </w:r>
    </w:p>
    <w:p w14:paraId="656CD8A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4CF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FA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5AA7" w14:paraId="75A04DEA" w14:textId="77777777" w:rsidTr="004C7E1D">
      <w:trPr>
        <w:trHeight w:hRule="exact" w:val="357"/>
      </w:trPr>
      <w:tc>
        <w:tcPr>
          <w:tcW w:w="7603" w:type="dxa"/>
        </w:tcPr>
        <w:p w14:paraId="0B9B399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CFD1F22" w14:textId="5950A5BF" w:rsidR="002F71BB" w:rsidRPr="004C7E1D" w:rsidRDefault="00FE4F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B436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1D9FFC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F5AA7" w14:paraId="2FDABC29" w14:textId="77777777" w:rsidTr="004C7E1D">
      <w:trPr>
        <w:trHeight w:hRule="exact" w:val="357"/>
      </w:trPr>
      <w:tc>
        <w:tcPr>
          <w:tcW w:w="7709" w:type="dxa"/>
        </w:tcPr>
        <w:p w14:paraId="7F35710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03E449B" w14:textId="7D06145D" w:rsidR="00D17084" w:rsidRPr="004C7E1D" w:rsidRDefault="00FE4F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B436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571402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F6A4" w14:textId="77777777" w:rsidR="00DC691C" w:rsidRDefault="00FE4F0C">
      <w:r>
        <w:separator/>
      </w:r>
    </w:p>
    <w:p w14:paraId="23AEEA5E" w14:textId="77777777" w:rsidR="00DC691C" w:rsidRDefault="00DC691C"/>
  </w:footnote>
  <w:footnote w:type="continuationSeparator" w:id="0">
    <w:p w14:paraId="2B65E3F2" w14:textId="77777777" w:rsidR="00DC691C" w:rsidRDefault="00FE4F0C">
      <w:r>
        <w:continuationSeparator/>
      </w:r>
    </w:p>
    <w:p w14:paraId="7EE679B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476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F5AA7" w14:paraId="6CA9CA0F" w14:textId="77777777" w:rsidTr="006D2D53">
      <w:trPr>
        <w:trHeight w:hRule="exact" w:val="400"/>
      </w:trPr>
      <w:tc>
        <w:tcPr>
          <w:tcW w:w="7518" w:type="dxa"/>
        </w:tcPr>
        <w:p w14:paraId="7180938F" w14:textId="77777777" w:rsidR="00527BD4" w:rsidRPr="00275984" w:rsidRDefault="00527BD4" w:rsidP="00BF4427">
          <w:pPr>
            <w:pStyle w:val="Huisstijl-Rubricering"/>
          </w:pPr>
        </w:p>
      </w:tc>
    </w:tr>
  </w:tbl>
  <w:p w14:paraId="48B99E0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F5AA7" w14:paraId="2D54C91D" w14:textId="77777777" w:rsidTr="003B528D">
      <w:tc>
        <w:tcPr>
          <w:tcW w:w="2160" w:type="dxa"/>
        </w:tcPr>
        <w:p w14:paraId="13F15BA0" w14:textId="77777777" w:rsidR="002F71BB" w:rsidRPr="000407BB" w:rsidRDefault="00FE4F0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F5AA7" w14:paraId="256F6788" w14:textId="77777777" w:rsidTr="002F71BB">
      <w:trPr>
        <w:trHeight w:val="259"/>
      </w:trPr>
      <w:tc>
        <w:tcPr>
          <w:tcW w:w="2160" w:type="dxa"/>
        </w:tcPr>
        <w:p w14:paraId="28B43C05" w14:textId="77777777" w:rsidR="00E35CF4" w:rsidRPr="005D283A" w:rsidRDefault="00FE4F0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57253120</w:t>
          </w:r>
        </w:p>
      </w:tc>
    </w:tr>
  </w:tbl>
  <w:p w14:paraId="3DE38C7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F5AA7" w14:paraId="2AE4BD01" w14:textId="77777777" w:rsidTr="001377D4">
      <w:trPr>
        <w:trHeight w:val="2636"/>
      </w:trPr>
      <w:tc>
        <w:tcPr>
          <w:tcW w:w="737" w:type="dxa"/>
        </w:tcPr>
        <w:p w14:paraId="2F9EF07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F7C1277" w14:textId="77777777" w:rsidR="00704845" w:rsidRDefault="00FE4F0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BB5448E" wp14:editId="3413C10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DD6E7E" w14:textId="77777777" w:rsidR="00483ECA" w:rsidRDefault="00483ECA" w:rsidP="00D037A9"/>
      </w:tc>
    </w:tr>
  </w:tbl>
  <w:p w14:paraId="2433920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F5AA7" w14:paraId="0D1DFA7E" w14:textId="77777777" w:rsidTr="0008539E">
      <w:trPr>
        <w:trHeight w:hRule="exact" w:val="572"/>
      </w:trPr>
      <w:tc>
        <w:tcPr>
          <w:tcW w:w="7520" w:type="dxa"/>
        </w:tcPr>
        <w:p w14:paraId="6976C986" w14:textId="77777777" w:rsidR="00527BD4" w:rsidRPr="00963440" w:rsidRDefault="00FE4F0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F5AA7" w14:paraId="17F16922" w14:textId="77777777" w:rsidTr="00E776C6">
      <w:trPr>
        <w:cantSplit/>
        <w:trHeight w:hRule="exact" w:val="238"/>
      </w:trPr>
      <w:tc>
        <w:tcPr>
          <w:tcW w:w="7520" w:type="dxa"/>
        </w:tcPr>
        <w:p w14:paraId="521F5AF6" w14:textId="77777777" w:rsidR="00093ABC" w:rsidRPr="00963440" w:rsidRDefault="00093ABC" w:rsidP="00963440"/>
      </w:tc>
    </w:tr>
    <w:tr w:rsidR="002F5AA7" w14:paraId="7650DE98" w14:textId="77777777" w:rsidTr="00E776C6">
      <w:trPr>
        <w:cantSplit/>
        <w:trHeight w:hRule="exact" w:val="1520"/>
      </w:trPr>
      <w:tc>
        <w:tcPr>
          <w:tcW w:w="7520" w:type="dxa"/>
        </w:tcPr>
        <w:p w14:paraId="235B080F" w14:textId="77777777" w:rsidR="00A604D3" w:rsidRPr="00963440" w:rsidRDefault="00A604D3" w:rsidP="00963440"/>
      </w:tc>
    </w:tr>
    <w:tr w:rsidR="002F5AA7" w14:paraId="003EAEAD" w14:textId="77777777" w:rsidTr="00E776C6">
      <w:trPr>
        <w:trHeight w:hRule="exact" w:val="1077"/>
      </w:trPr>
      <w:tc>
        <w:tcPr>
          <w:tcW w:w="7520" w:type="dxa"/>
        </w:tcPr>
        <w:p w14:paraId="1778616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FBFE408" w14:textId="77777777" w:rsidR="006F273B" w:rsidRDefault="006F273B" w:rsidP="00BC4AE3">
    <w:pPr>
      <w:pStyle w:val="Koptekst"/>
    </w:pPr>
  </w:p>
  <w:p w14:paraId="7F9C0828" w14:textId="77777777" w:rsidR="00153BD0" w:rsidRDefault="00153BD0" w:rsidP="00BC4AE3">
    <w:pPr>
      <w:pStyle w:val="Koptekst"/>
    </w:pPr>
  </w:p>
  <w:p w14:paraId="1FF1DB7F" w14:textId="77777777" w:rsidR="0044605E" w:rsidRDefault="0044605E" w:rsidP="00BC4AE3">
    <w:pPr>
      <w:pStyle w:val="Koptekst"/>
    </w:pPr>
  </w:p>
  <w:p w14:paraId="1C7E5F72" w14:textId="77777777" w:rsidR="0044605E" w:rsidRDefault="0044605E" w:rsidP="00BC4AE3">
    <w:pPr>
      <w:pStyle w:val="Koptekst"/>
    </w:pPr>
  </w:p>
  <w:p w14:paraId="372056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1C1F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9C3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A6A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6A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49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AE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21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268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A0E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38B8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8AD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221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24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ED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F63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C9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E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CB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836767">
    <w:abstractNumId w:val="10"/>
  </w:num>
  <w:num w:numId="2" w16cid:durableId="2092770111">
    <w:abstractNumId w:val="7"/>
  </w:num>
  <w:num w:numId="3" w16cid:durableId="432482464">
    <w:abstractNumId w:val="6"/>
  </w:num>
  <w:num w:numId="4" w16cid:durableId="328099877">
    <w:abstractNumId w:val="5"/>
  </w:num>
  <w:num w:numId="5" w16cid:durableId="1611089495">
    <w:abstractNumId w:val="4"/>
  </w:num>
  <w:num w:numId="6" w16cid:durableId="1415586109">
    <w:abstractNumId w:val="8"/>
  </w:num>
  <w:num w:numId="7" w16cid:durableId="331880211">
    <w:abstractNumId w:val="3"/>
  </w:num>
  <w:num w:numId="8" w16cid:durableId="1263369017">
    <w:abstractNumId w:val="2"/>
  </w:num>
  <w:num w:numId="9" w16cid:durableId="763844916">
    <w:abstractNumId w:val="1"/>
  </w:num>
  <w:num w:numId="10" w16cid:durableId="853108879">
    <w:abstractNumId w:val="0"/>
  </w:num>
  <w:num w:numId="11" w16cid:durableId="583490647">
    <w:abstractNumId w:val="9"/>
  </w:num>
  <w:num w:numId="12" w16cid:durableId="194390459">
    <w:abstractNumId w:val="11"/>
  </w:num>
  <w:num w:numId="13" w16cid:durableId="1044595963">
    <w:abstractNumId w:val="13"/>
  </w:num>
  <w:num w:numId="14" w16cid:durableId="105108070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1074"/>
    <w:rsid w:val="0005336D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1C5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6F5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5AA7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505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480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7206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46E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512D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0DD2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B6623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436B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0C2F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6AD9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6EBD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E4F0C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1633"/>
  <w15:docId w15:val="{5838FF20-AB01-4782-98B8-7B43D280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customStyle="1" w:styleId="VoetnoottekstChar">
    <w:name w:val="Voetnoottekst Char"/>
    <w:basedOn w:val="Standaardalinea-lettertype"/>
    <w:link w:val="Voetnoottekst"/>
    <w:semiHidden/>
    <w:rsid w:val="00FE4F0C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rsid w:val="00FE4F0C"/>
    <w:rPr>
      <w:vertAlign w:val="superscript"/>
    </w:rPr>
  </w:style>
  <w:style w:type="character" w:styleId="Verwijzingopmerking">
    <w:name w:val="annotation reference"/>
    <w:basedOn w:val="Standaardalinea-lettertype"/>
    <w:rsid w:val="00A8546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854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8546E"/>
    <w:rPr>
      <w:rFonts w:ascii="Verdana" w:hAnsi="Verdana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303</ap:Words>
  <ap:Characters>1881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2025-12-08T13:39:00.0000000Z</dcterms:created>
  <dcterms:modified xsi:type="dcterms:W3CDTF">2025-12-08T13:39:00.0000000Z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O226KRA</vt:lpwstr>
  </property>
  <property fmtid="{D5CDD505-2E9C-101B-9397-08002B2CF9AE}" pid="3" name="Author">
    <vt:lpwstr>O226KRA</vt:lpwstr>
  </property>
  <property fmtid="{D5CDD505-2E9C-101B-9397-08002B2CF9AE}" pid="4" name="cs_objectid">
    <vt:lpwstr>57253120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Actualisatie toezeggingen Emancipatiebeleid Q4 2025</vt:lpwstr>
  </property>
  <property fmtid="{D5CDD505-2E9C-101B-9397-08002B2CF9AE}" pid="9" name="ocw_directie">
    <vt:lpwstr>DE/2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O226KRA</vt:lpwstr>
  </property>
</Properties>
</file>