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5B9C" w:rsidRDefault="001856D0" w14:paraId="0504166A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36850-IX</w:t>
      </w:r>
      <w:r>
        <w:rPr>
          <w:b/>
          <w:bCs/>
          <w:sz w:val="23"/>
          <w:szCs w:val="23"/>
        </w:rPr>
        <w:tab/>
        <w:t>Wijziging van de begrotingsstaten van het Ministerie van Financiën (IXB) en Nationale Schuld (IXA) voor het jaar 2025 (wijziging samenhangende met de Najaarsnota)</w:t>
      </w:r>
    </w:p>
    <w:p w:rsidR="00F45B9C" w:rsidRDefault="00F45B9C" w14:paraId="08DC90D7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F45B9C" w:rsidRDefault="001856D0" w14:paraId="10AD41A7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F45B9C" w:rsidRDefault="001856D0" w14:paraId="61BC6A53" w14:textId="77777777">
      <w:r>
        <w:tab/>
      </w:r>
      <w:r>
        <w:tab/>
      </w:r>
    </w:p>
    <w:p w:rsidR="00F45B9C" w:rsidRDefault="001856D0" w14:paraId="1447D702" w14:textId="0AADE38F">
      <w:pPr>
        <w:ind w:left="702" w:firstLine="708"/>
        <w:rPr>
          <w:i/>
        </w:rPr>
      </w:pPr>
      <w:r>
        <w:t xml:space="preserve">Vastgesteld </w:t>
      </w:r>
      <w:r w:rsidR="00636600">
        <w:rPr>
          <w:i/>
        </w:rPr>
        <w:t>… 2025</w:t>
      </w:r>
    </w:p>
    <w:p w:rsidR="00F45B9C" w:rsidRDefault="001856D0" w14:paraId="23102DF0" w14:textId="22FDCECE">
      <w:pPr>
        <w:ind w:left="1410"/>
      </w:pPr>
      <w:r>
        <w:t xml:space="preserve">De vaste commissie voor </w:t>
      </w:r>
      <w:r w:rsidR="00636600">
        <w:t>Financiën</w:t>
      </w:r>
      <w:r>
        <w:t xml:space="preserve"> heeft een aantal vragen voorgelegd aan de </w:t>
      </w:r>
      <w:r w:rsidR="00636600">
        <w:t>minister van Financiën o</w:t>
      </w:r>
      <w:r>
        <w:t>ver</w:t>
      </w:r>
      <w:r w:rsidR="00636600">
        <w:t xml:space="preserve"> </w:t>
      </w:r>
      <w:r>
        <w:t xml:space="preserve">de </w:t>
      </w:r>
      <w:r>
        <w:rPr>
          <w:b/>
        </w:rPr>
        <w:t>Wijziging van de begrotingsstaten van het Ministerie van Financiën (IXB) en Nationale Schuld (IXA) voor het jaar 2025 (wijziging samenhangende met de Najaarsnota)</w:t>
      </w:r>
      <w:r>
        <w:t xml:space="preserve"> (</w:t>
      </w:r>
      <w:r>
        <w:rPr>
          <w:b/>
        </w:rPr>
        <w:t>36850-IX</w:t>
      </w:r>
      <w:r>
        <w:t>).</w:t>
      </w:r>
    </w:p>
    <w:p w:rsidR="00636600" w:rsidRDefault="00636600" w14:paraId="7DF596BB" w14:textId="77777777">
      <w:pPr>
        <w:ind w:left="1410"/>
      </w:pPr>
    </w:p>
    <w:p w:rsidR="00F45B9C" w:rsidRDefault="001856D0" w14:paraId="3EBF0B3B" w14:textId="5DCB8D72">
      <w:pPr>
        <w:ind w:left="1410"/>
      </w:pPr>
      <w:r>
        <w:t xml:space="preserve">De daarop door de </w:t>
      </w:r>
      <w:r w:rsidR="00636600">
        <w:t>minister van Financiën</w:t>
      </w:r>
      <w:r>
        <w:t xml:space="preserve"> gegeven antwoorden zijn hierbij afgedrukt.</w:t>
      </w:r>
    </w:p>
    <w:p w:rsidR="00F45B9C" w:rsidRDefault="00F45B9C" w14:paraId="421EB55E" w14:textId="77777777">
      <w:pPr>
        <w:spacing w:before="0" w:after="0"/>
      </w:pPr>
    </w:p>
    <w:p w:rsidR="00F45B9C" w:rsidRDefault="00636600" w14:paraId="2F20B64F" w14:textId="5BED97FC">
      <w:pPr>
        <w:spacing w:before="0" w:after="0"/>
        <w:ind w:left="703" w:firstLine="709"/>
      </w:pPr>
      <w:r>
        <w:t>Fungerend v</w:t>
      </w:r>
      <w:r w:rsidR="001856D0">
        <w:t xml:space="preserve">oorzitter van de commissie, </w:t>
      </w:r>
    </w:p>
    <w:p w:rsidR="00F45B9C" w:rsidRDefault="001856D0" w14:paraId="14FEC267" w14:textId="6F6FF2FA">
      <w:pPr>
        <w:spacing w:before="0" w:after="0"/>
      </w:pPr>
      <w:r>
        <w:tab/>
      </w:r>
      <w:r>
        <w:tab/>
      </w:r>
      <w:r w:rsidR="00636600">
        <w:t>Van der Lee</w:t>
      </w:r>
    </w:p>
    <w:p w:rsidR="00F45B9C" w:rsidRDefault="001856D0" w14:paraId="0C74AAC2" w14:textId="77777777">
      <w:pPr>
        <w:spacing w:before="0" w:after="0"/>
      </w:pPr>
      <w:r>
        <w:tab/>
      </w:r>
      <w:r>
        <w:tab/>
      </w:r>
    </w:p>
    <w:p w:rsidR="00F45B9C" w:rsidRDefault="001856D0" w14:paraId="72C796EF" w14:textId="4B52931F">
      <w:pPr>
        <w:spacing w:before="0" w:after="0"/>
      </w:pPr>
      <w:r>
        <w:tab/>
      </w:r>
      <w:r>
        <w:tab/>
      </w:r>
      <w:r w:rsidR="00636600">
        <w:t>Adjunct-g</w:t>
      </w:r>
      <w:r>
        <w:t>riffier van de commissie,</w:t>
      </w:r>
    </w:p>
    <w:p w:rsidR="00F45B9C" w:rsidRDefault="001856D0" w14:paraId="6DF65372" w14:textId="4882B929">
      <w:pPr>
        <w:spacing w:before="0" w:after="0"/>
      </w:pPr>
      <w:r>
        <w:tab/>
      </w:r>
      <w:r>
        <w:tab/>
      </w:r>
      <w:r w:rsidR="00636600">
        <w:t>Van der Steur</w:t>
      </w:r>
    </w:p>
    <w:p w:rsidR="00F45B9C" w:rsidRDefault="00F45B9C" w14:paraId="1DEC29BD" w14:textId="77777777"/>
    <w:tbl>
      <w:tblPr>
        <w:tblW w:w="8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"/>
        <w:gridCol w:w="4942"/>
        <w:gridCol w:w="957"/>
        <w:gridCol w:w="955"/>
        <w:gridCol w:w="952"/>
      </w:tblGrid>
      <w:tr w:rsidRPr="005C2151" w:rsidR="00636600" w:rsidTr="00636600" w14:paraId="2702B88D" w14:textId="77777777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5C2151" w:rsidR="00636600" w:rsidP="00636600" w:rsidRDefault="00636600" w14:paraId="3F2ACBB9" w14:textId="77777777">
            <w:pPr>
              <w:spacing w:before="0" w:after="0"/>
              <w:rPr>
                <w:b/>
                <w:bCs/>
                <w:color w:val="000000"/>
              </w:rPr>
            </w:pPr>
            <w:bookmarkStart w:name="bmkStartTabel" w:id="0"/>
            <w:bookmarkEnd w:id="0"/>
            <w:proofErr w:type="spellStart"/>
            <w:r w:rsidRPr="005C2151">
              <w:rPr>
                <w:b/>
                <w:bCs/>
                <w:color w:val="000000"/>
              </w:rPr>
              <w:t>Nr</w:t>
            </w:r>
            <w:proofErr w:type="spellEnd"/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5C2151" w:rsidR="00636600" w:rsidP="00636600" w:rsidRDefault="00636600" w14:paraId="67D64B27" w14:textId="77777777">
            <w:pPr>
              <w:spacing w:before="0" w:after="0"/>
              <w:rPr>
                <w:b/>
                <w:bCs/>
                <w:color w:val="000000"/>
              </w:rPr>
            </w:pPr>
            <w:r w:rsidRPr="005C2151">
              <w:rPr>
                <w:b/>
                <w:bCs/>
                <w:color w:val="000000"/>
              </w:rPr>
              <w:t>Vraag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5C2151" w:rsidR="00636600" w:rsidP="00636600" w:rsidRDefault="00636600" w14:paraId="230DF3EE" w14:textId="77777777">
            <w:pPr>
              <w:spacing w:before="0" w:after="0"/>
              <w:jc w:val="right"/>
              <w:rPr>
                <w:b/>
                <w:bCs/>
                <w:color w:val="000000"/>
              </w:rPr>
            </w:pPr>
            <w:r w:rsidRPr="005C2151">
              <w:rPr>
                <w:b/>
                <w:bCs/>
                <w:color w:val="000000"/>
              </w:rPr>
              <w:t>Bijlage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5C2151" w:rsidR="00636600" w:rsidP="00636600" w:rsidRDefault="00636600" w14:paraId="6953C65A" w14:textId="77777777">
            <w:pPr>
              <w:spacing w:before="0" w:after="0"/>
              <w:jc w:val="right"/>
              <w:rPr>
                <w:b/>
                <w:bCs/>
                <w:color w:val="000000"/>
              </w:rPr>
            </w:pPr>
            <w:r w:rsidRPr="005C2151">
              <w:rPr>
                <w:b/>
                <w:bCs/>
                <w:color w:val="000000"/>
              </w:rPr>
              <w:t>Blz. (van)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5C2151" w:rsidR="00636600" w:rsidP="00636600" w:rsidRDefault="00636600" w14:paraId="4DED632E" w14:textId="77777777">
            <w:pPr>
              <w:spacing w:before="0" w:after="0"/>
              <w:jc w:val="center"/>
              <w:rPr>
                <w:b/>
                <w:bCs/>
                <w:color w:val="000000"/>
              </w:rPr>
            </w:pPr>
            <w:r w:rsidRPr="005C2151">
              <w:rPr>
                <w:b/>
                <w:bCs/>
                <w:color w:val="000000"/>
              </w:rPr>
              <w:t>t/m</w:t>
            </w:r>
          </w:p>
        </w:tc>
      </w:tr>
      <w:tr w:rsidRPr="00636600" w:rsidR="00636600" w:rsidTr="00636600" w14:paraId="181B3911" w14:textId="77777777">
        <w:trPr>
          <w:trHeight w:val="52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2E6EAEB9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6731BD35" w14:textId="77777777">
            <w:pPr>
              <w:spacing w:before="0" w:after="0"/>
              <w:rPr>
                <w:color w:val="000000"/>
              </w:rPr>
            </w:pPr>
            <w:r w:rsidRPr="00636600">
              <w:rPr>
                <w:color w:val="000000"/>
              </w:rPr>
              <w:t xml:space="preserve">Hoe verklaart u de 9 </w:t>
            </w:r>
            <w:proofErr w:type="spellStart"/>
            <w:r w:rsidRPr="00636600">
              <w:rPr>
                <w:color w:val="000000"/>
              </w:rPr>
              <w:t>mrd</w:t>
            </w:r>
            <w:proofErr w:type="spellEnd"/>
            <w:r w:rsidRPr="00636600">
              <w:rPr>
                <w:color w:val="000000"/>
              </w:rPr>
              <w:t>. hogere ontvangsten inkomstenbelasting?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7A347776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49D7E892" w14:textId="77777777">
            <w:pPr>
              <w:spacing w:before="0" w:after="0"/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7B0208DE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 xml:space="preserve"> </w:t>
            </w:r>
          </w:p>
        </w:tc>
      </w:tr>
      <w:tr w:rsidRPr="00636600" w:rsidR="00636600" w:rsidTr="00636600" w14:paraId="0F30689A" w14:textId="77777777">
        <w:trPr>
          <w:trHeight w:val="79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676903EF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>2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42C8E1F5" w14:textId="77777777">
            <w:pPr>
              <w:spacing w:before="0" w:after="0"/>
              <w:rPr>
                <w:color w:val="000000"/>
              </w:rPr>
            </w:pPr>
            <w:r w:rsidRPr="00636600">
              <w:rPr>
                <w:color w:val="000000"/>
              </w:rPr>
              <w:t>Kan er een prognose gegeven worden van de instroom en de uitstroom van het personeel bij de Belastingdienst en bij de Douane?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2F9150B1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74D16439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1FFEDB51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 xml:space="preserve"> </w:t>
            </w:r>
          </w:p>
        </w:tc>
      </w:tr>
      <w:tr w:rsidRPr="00636600" w:rsidR="00636600" w:rsidTr="00636600" w14:paraId="4E46B15D" w14:textId="77777777">
        <w:trPr>
          <w:trHeight w:val="52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4F299BEF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>3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0A4FFE50" w14:textId="77777777">
            <w:pPr>
              <w:spacing w:before="0" w:after="0"/>
              <w:rPr>
                <w:color w:val="000000"/>
              </w:rPr>
            </w:pPr>
            <w:r w:rsidRPr="00636600">
              <w:rPr>
                <w:color w:val="000000"/>
              </w:rPr>
              <w:t>Wat zijn de gevolgen van de vertraging van de uitvoering aanvullende schaderoutes?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39DBF86A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46D5BA92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1063587F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 xml:space="preserve"> </w:t>
            </w:r>
          </w:p>
        </w:tc>
      </w:tr>
      <w:tr w:rsidRPr="00636600" w:rsidR="00636600" w:rsidTr="00636600" w14:paraId="42CC9DF2" w14:textId="77777777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090F2397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>4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24D5136D" w14:textId="77777777">
            <w:pPr>
              <w:spacing w:before="0" w:after="0"/>
              <w:rPr>
                <w:color w:val="000000"/>
              </w:rPr>
            </w:pPr>
            <w:r w:rsidRPr="00636600">
              <w:rPr>
                <w:color w:val="000000"/>
              </w:rPr>
              <w:t>Wat is de visie op de belasting- en invorderingsrente?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1D56FF96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2D97DFCE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3671B229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 xml:space="preserve"> </w:t>
            </w:r>
          </w:p>
        </w:tc>
      </w:tr>
      <w:tr w:rsidRPr="00636600" w:rsidR="00636600" w:rsidTr="00636600" w14:paraId="38E82C5D" w14:textId="77777777">
        <w:trPr>
          <w:trHeight w:val="79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3ED41898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>5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69C0443A" w14:textId="77777777">
            <w:pPr>
              <w:spacing w:before="0" w:after="0"/>
              <w:rPr>
                <w:color w:val="000000"/>
              </w:rPr>
            </w:pPr>
            <w:r w:rsidRPr="00636600">
              <w:rPr>
                <w:color w:val="000000"/>
              </w:rPr>
              <w:t xml:space="preserve">Hoe verhouden de 9,2 </w:t>
            </w:r>
            <w:proofErr w:type="spellStart"/>
            <w:r w:rsidRPr="00636600">
              <w:rPr>
                <w:color w:val="000000"/>
              </w:rPr>
              <w:t>mrd</w:t>
            </w:r>
            <w:proofErr w:type="spellEnd"/>
            <w:r w:rsidRPr="00636600">
              <w:rPr>
                <w:color w:val="000000"/>
              </w:rPr>
              <w:t xml:space="preserve">. hogere belastingontvangsten zich tot de 9,7 </w:t>
            </w:r>
            <w:proofErr w:type="spellStart"/>
            <w:r w:rsidRPr="00636600">
              <w:rPr>
                <w:color w:val="000000"/>
              </w:rPr>
              <w:t>mrd</w:t>
            </w:r>
            <w:proofErr w:type="spellEnd"/>
            <w:r w:rsidRPr="00636600">
              <w:rPr>
                <w:color w:val="000000"/>
              </w:rPr>
              <w:t>. hogere belastingontvangsten op kasbasis in tabel 2 (p.99) van de Najaarsnota?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10064A14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5C548F0C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33009886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 xml:space="preserve"> </w:t>
            </w:r>
          </w:p>
        </w:tc>
      </w:tr>
      <w:tr w:rsidRPr="00636600" w:rsidR="00636600" w:rsidTr="00636600" w14:paraId="59366748" w14:textId="77777777">
        <w:trPr>
          <w:trHeight w:val="79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3DFAC3E7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>6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583A3FC5" w14:textId="77777777">
            <w:pPr>
              <w:spacing w:before="0" w:after="0"/>
              <w:rPr>
                <w:color w:val="000000"/>
              </w:rPr>
            </w:pPr>
            <w:r w:rsidRPr="00636600">
              <w:rPr>
                <w:color w:val="000000"/>
              </w:rPr>
              <w:t>Op welke activiteit heeft er zich een tegenvaller voorgedaan bij de EIB waarvoor Nederland een garantie heeft afgegeven? Wat hield de tegenvaller in?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4DAD5403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0D7CE311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0B1FACD7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 xml:space="preserve"> </w:t>
            </w:r>
          </w:p>
        </w:tc>
      </w:tr>
      <w:tr w:rsidRPr="00636600" w:rsidR="00636600" w:rsidTr="00636600" w14:paraId="36623554" w14:textId="77777777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17251152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>7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04163A4E" w14:textId="77777777">
            <w:pPr>
              <w:spacing w:before="0" w:after="0"/>
              <w:rPr>
                <w:color w:val="000000"/>
              </w:rPr>
            </w:pPr>
            <w:r w:rsidRPr="00636600">
              <w:rPr>
                <w:color w:val="000000"/>
              </w:rPr>
              <w:t>Wat voor garantie heeft Nederland afgegeven?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63C768B3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740874DD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03783A53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 xml:space="preserve"> </w:t>
            </w:r>
          </w:p>
        </w:tc>
      </w:tr>
      <w:tr w:rsidRPr="00636600" w:rsidR="00636600" w:rsidTr="00636600" w14:paraId="74E1CE71" w14:textId="77777777">
        <w:trPr>
          <w:trHeight w:val="132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70A4B3AD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>8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798DDDB8" w14:textId="77777777">
            <w:pPr>
              <w:spacing w:before="0" w:after="0"/>
              <w:rPr>
                <w:color w:val="000000"/>
              </w:rPr>
            </w:pPr>
            <w:r w:rsidRPr="00636600">
              <w:rPr>
                <w:color w:val="000000"/>
              </w:rPr>
              <w:t>Wat is van de afgelopen twintig jaar per jaar de totale omvang van de aangegane transacties aan exportkredietverzekeringen, rekening houdend met inflatie? Met andere woorden: neemt het gebruik van exportkredietverzekeringen toe of af?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527FCF02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0C35609D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76C81530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 xml:space="preserve"> </w:t>
            </w:r>
          </w:p>
        </w:tc>
      </w:tr>
      <w:tr w:rsidRPr="00636600" w:rsidR="00636600" w:rsidTr="00636600" w14:paraId="12B6EBE4" w14:textId="77777777">
        <w:trPr>
          <w:trHeight w:val="52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15B9B692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>9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5312DA" w14:paraId="109DB9B6" w14:textId="5019E747">
            <w:pPr>
              <w:spacing w:before="0" w:after="0"/>
              <w:rPr>
                <w:color w:val="000000"/>
              </w:rPr>
            </w:pPr>
            <w:r w:rsidRPr="005312DA">
              <w:rPr>
                <w:color w:val="000000"/>
              </w:rPr>
              <w:t>Wat is de rede</w:t>
            </w:r>
            <w:r>
              <w:rPr>
                <w:color w:val="000000"/>
              </w:rPr>
              <w:t>n</w:t>
            </w:r>
            <w:r w:rsidRPr="005312DA">
              <w:rPr>
                <w:color w:val="000000"/>
              </w:rPr>
              <w:t xml:space="preserve"> dat het plafond van 10 miljard voor de exportkredietverzekeringen niet is benut? Wat is de trend van de afgelopen jaren hiervoor? Welk bedrag kan er structureel worden verwacht?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0DEA3737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6D54E004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6C22EBA4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 xml:space="preserve"> </w:t>
            </w:r>
          </w:p>
        </w:tc>
      </w:tr>
      <w:tr w:rsidRPr="00636600" w:rsidR="00636600" w:rsidTr="00636600" w14:paraId="373EEAC5" w14:textId="77777777">
        <w:trPr>
          <w:trHeight w:val="52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0E84404E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>10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02A3A5D7" w14:textId="77777777">
            <w:pPr>
              <w:spacing w:before="0" w:after="0"/>
              <w:rPr>
                <w:color w:val="000000"/>
              </w:rPr>
            </w:pPr>
            <w:r w:rsidRPr="00636600">
              <w:rPr>
                <w:color w:val="000000"/>
              </w:rPr>
              <w:t>Hoe groot is de toename van eigen personeel en extra inhuur bij de Douane?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5B1DD0BE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21DDE63D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58D67B24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 xml:space="preserve"> </w:t>
            </w:r>
          </w:p>
        </w:tc>
      </w:tr>
      <w:tr w:rsidRPr="00636600" w:rsidR="00636600" w:rsidTr="00636600" w14:paraId="5FF6ADB5" w14:textId="77777777">
        <w:trPr>
          <w:trHeight w:val="52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03C1677B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>11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2DAB79FB" w14:textId="77777777">
            <w:pPr>
              <w:spacing w:before="0" w:after="0"/>
              <w:rPr>
                <w:color w:val="000000"/>
              </w:rPr>
            </w:pPr>
            <w:r w:rsidRPr="00636600">
              <w:rPr>
                <w:color w:val="000000"/>
              </w:rPr>
              <w:t>Zijn er ook toeslagen die in de tabel horen te staan? Zo ja, welke?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267350AD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30EAC30F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3949D17E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 xml:space="preserve"> </w:t>
            </w:r>
          </w:p>
        </w:tc>
      </w:tr>
      <w:tr w:rsidRPr="00636600" w:rsidR="00636600" w:rsidTr="00636600" w14:paraId="5AFD1A14" w14:textId="77777777">
        <w:trPr>
          <w:trHeight w:val="52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1572D7EA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>12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5312DA" w14:paraId="71D1F9B5" w14:textId="1AA01417">
            <w:pPr>
              <w:spacing w:before="0" w:after="0"/>
              <w:rPr>
                <w:color w:val="000000"/>
              </w:rPr>
            </w:pPr>
            <w:r w:rsidRPr="005312DA">
              <w:rPr>
                <w:color w:val="000000"/>
              </w:rPr>
              <w:t>Worden er aflopende inhuurcontracten verlengd bij de Dienst Toeslagen? Zo ja, hoeveel?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1F657C75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136456F8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636600" w:rsidR="00636600" w:rsidP="00636600" w:rsidRDefault="00636600" w14:paraId="0B691FFE" w14:textId="77777777">
            <w:pPr>
              <w:spacing w:before="0" w:after="0"/>
              <w:jc w:val="right"/>
              <w:rPr>
                <w:color w:val="000000"/>
              </w:rPr>
            </w:pPr>
            <w:r w:rsidRPr="00636600">
              <w:rPr>
                <w:color w:val="000000"/>
              </w:rPr>
              <w:t xml:space="preserve"> </w:t>
            </w:r>
          </w:p>
        </w:tc>
      </w:tr>
    </w:tbl>
    <w:p w:rsidR="00F45B9C" w:rsidRDefault="00F45B9C" w14:paraId="336EAE6B" w14:textId="77777777"/>
    <w:sectPr w:rsidR="00F45B9C" w:rsidSect="00B915EC">
      <w:footerReference w:type="defaul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8D9B7" w14:textId="77777777" w:rsidR="0011054C" w:rsidRDefault="0011054C">
      <w:pPr>
        <w:spacing w:before="0" w:after="0"/>
      </w:pPr>
      <w:r>
        <w:separator/>
      </w:r>
    </w:p>
  </w:endnote>
  <w:endnote w:type="continuationSeparator" w:id="0">
    <w:p w14:paraId="775217FC" w14:textId="77777777" w:rsidR="0011054C" w:rsidRDefault="0011054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B8968" w14:textId="4221A815" w:rsidR="00F45B9C" w:rsidRDefault="001856D0">
    <w:pPr>
      <w:pStyle w:val="Voettekst"/>
    </w:pPr>
    <w:r>
      <w:t xml:space="preserve">Totaallijst feitelijke vragen Wijziging van de begrotingsstaten van het Ministerie van Financiën (IXB) en Nationale Schuld (IXA) voor het jaar 2025 (wijziging samenhangende met de Najaarsnota) (36850-IX)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14777" w14:textId="77777777" w:rsidR="0011054C" w:rsidRDefault="0011054C">
      <w:pPr>
        <w:spacing w:before="0" w:after="0"/>
      </w:pPr>
      <w:r>
        <w:separator/>
      </w:r>
    </w:p>
  </w:footnote>
  <w:footnote w:type="continuationSeparator" w:id="0">
    <w:p w14:paraId="15018EB7" w14:textId="77777777" w:rsidR="0011054C" w:rsidRDefault="0011054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75AF8"/>
    <w:multiLevelType w:val="multilevel"/>
    <w:tmpl w:val="651A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076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C3E"/>
    <w:rsid w:val="00015658"/>
    <w:rsid w:val="0011054C"/>
    <w:rsid w:val="001856D0"/>
    <w:rsid w:val="001A47AF"/>
    <w:rsid w:val="001A56AB"/>
    <w:rsid w:val="001F56B8"/>
    <w:rsid w:val="003D44DD"/>
    <w:rsid w:val="005312DA"/>
    <w:rsid w:val="005543A7"/>
    <w:rsid w:val="005C2151"/>
    <w:rsid w:val="00636600"/>
    <w:rsid w:val="00894624"/>
    <w:rsid w:val="00A709C0"/>
    <w:rsid w:val="00A77C3E"/>
    <w:rsid w:val="00B915EC"/>
    <w:rsid w:val="00BA4086"/>
    <w:rsid w:val="00CA596B"/>
    <w:rsid w:val="00E7153D"/>
    <w:rsid w:val="00F4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D43D77"/>
  <w15:docId w15:val="{EEAAF199-6F18-46B3-A133-ABF2F291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336</ap:Words>
  <ap:Characters>1851</ap:Characters>
  <ap:DocSecurity>0</ap:DocSecurity>
  <ap:Lines>15</ap:Lines>
  <ap:Paragraphs>4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2015-03-16T09:52:00.0000000Z</dcterms:created>
  <dcterms:modified xsi:type="dcterms:W3CDTF">2025-12-08T17:35:00.0000000Z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0x0101003EBEF98046509448AC7610C7D5538E30</vt:lpwstr>
  </property>
  <property fmtid="{D5CDD505-2E9C-101B-9397-08002B2CF9AE}" pid="3" name="_dlc_DocIdItemGuid">
    <vt:lpwstr>1a9d1e59-5179-4ce8-8af4-16ea5d3af20e</vt:lpwstr>
  </property>
</Properties>
</file>