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65FF9" w:rsidTr="00D9561B" w14:paraId="36975CD6" w14:textId="77777777">
        <w:trPr>
          <w:trHeight w:val="1514"/>
        </w:trPr>
        <w:tc>
          <w:tcPr>
            <w:tcW w:w="7522" w:type="dxa"/>
            <w:tcBorders>
              <w:top w:val="nil"/>
              <w:left w:val="nil"/>
              <w:bottom w:val="nil"/>
              <w:right w:val="nil"/>
            </w:tcBorders>
            <w:tcMar>
              <w:left w:w="0" w:type="dxa"/>
              <w:right w:w="0" w:type="dxa"/>
            </w:tcMar>
          </w:tcPr>
          <w:p w:rsidR="00374412" w:rsidP="00D9561B" w:rsidRDefault="00372131" w14:paraId="4297B9FD" w14:textId="77777777">
            <w:r>
              <w:t>De v</w:t>
            </w:r>
            <w:r w:rsidR="008E3932">
              <w:t>oorzitter van de Tweede Kamer der Staten-Generaal</w:t>
            </w:r>
          </w:p>
          <w:p w:rsidR="00374412" w:rsidP="00D9561B" w:rsidRDefault="00372131" w14:paraId="51C6EA36" w14:textId="77777777">
            <w:r>
              <w:t>Postbus 20018</w:t>
            </w:r>
          </w:p>
          <w:p w:rsidR="008E3932" w:rsidP="00D9561B" w:rsidRDefault="00372131" w14:paraId="5714088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65FF9" w:rsidTr="00FF66F9" w14:paraId="263E8AE8" w14:textId="77777777">
        <w:trPr>
          <w:trHeight w:val="289" w:hRule="exact"/>
        </w:trPr>
        <w:tc>
          <w:tcPr>
            <w:tcW w:w="929" w:type="dxa"/>
          </w:tcPr>
          <w:p w:rsidRPr="00434042" w:rsidR="0005404B" w:rsidP="00FF66F9" w:rsidRDefault="00372131" w14:paraId="67D15003" w14:textId="77777777">
            <w:pPr>
              <w:rPr>
                <w:lang w:eastAsia="en-US"/>
              </w:rPr>
            </w:pPr>
            <w:r>
              <w:rPr>
                <w:lang w:eastAsia="en-US"/>
              </w:rPr>
              <w:t>Datum</w:t>
            </w:r>
          </w:p>
        </w:tc>
        <w:tc>
          <w:tcPr>
            <w:tcW w:w="6581" w:type="dxa"/>
          </w:tcPr>
          <w:p w:rsidRPr="00434042" w:rsidR="0005404B" w:rsidP="00FF66F9" w:rsidRDefault="00664F72" w14:paraId="63F76DDC" w14:textId="347DB88D">
            <w:pPr>
              <w:rPr>
                <w:lang w:eastAsia="en-US"/>
              </w:rPr>
            </w:pPr>
            <w:r>
              <w:rPr>
                <w:lang w:eastAsia="en-US"/>
              </w:rPr>
              <w:t>9 december 2025</w:t>
            </w:r>
          </w:p>
        </w:tc>
      </w:tr>
      <w:tr w:rsidR="00865FF9" w:rsidTr="00FF66F9" w14:paraId="02691066" w14:textId="77777777">
        <w:trPr>
          <w:trHeight w:val="368"/>
        </w:trPr>
        <w:tc>
          <w:tcPr>
            <w:tcW w:w="929" w:type="dxa"/>
          </w:tcPr>
          <w:p w:rsidR="0005404B" w:rsidP="00FF66F9" w:rsidRDefault="00372131" w14:paraId="4863B508" w14:textId="77777777">
            <w:pPr>
              <w:rPr>
                <w:lang w:eastAsia="en-US"/>
              </w:rPr>
            </w:pPr>
            <w:r>
              <w:rPr>
                <w:lang w:eastAsia="en-US"/>
              </w:rPr>
              <w:t>Betreft</w:t>
            </w:r>
          </w:p>
        </w:tc>
        <w:tc>
          <w:tcPr>
            <w:tcW w:w="6581" w:type="dxa"/>
          </w:tcPr>
          <w:p w:rsidR="0005404B" w:rsidP="00FF66F9" w:rsidRDefault="00372131" w14:paraId="3424CA13" w14:textId="77777777">
            <w:pPr>
              <w:rPr>
                <w:lang w:eastAsia="en-US"/>
              </w:rPr>
            </w:pPr>
            <w:r>
              <w:rPr>
                <w:lang w:eastAsia="en-US"/>
              </w:rPr>
              <w:t xml:space="preserve">Antwoord op schriftelijke vragen van het lid </w:t>
            </w:r>
            <w:proofErr w:type="spellStart"/>
            <w:r>
              <w:rPr>
                <w:lang w:eastAsia="en-US"/>
              </w:rPr>
              <w:t>Mohandis</w:t>
            </w:r>
            <w:proofErr w:type="spellEnd"/>
            <w:r>
              <w:rPr>
                <w:lang w:eastAsia="en-US"/>
              </w:rPr>
              <w:t xml:space="preserve"> (GL/PvdA)</w:t>
            </w:r>
          </w:p>
        </w:tc>
      </w:tr>
    </w:tbl>
    <w:p w:rsidR="00865FF9" w:rsidRDefault="001C2C36" w14:paraId="13A6D63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E1634" w:rsidR="00865FF9" w:rsidTr="00A421A1" w14:paraId="49FB0D2F" w14:textId="77777777">
        <w:tc>
          <w:tcPr>
            <w:tcW w:w="2160" w:type="dxa"/>
          </w:tcPr>
          <w:p w:rsidRPr="00F53C9D" w:rsidR="006205C0" w:rsidP="00686AED" w:rsidRDefault="00372131" w14:paraId="02741E67" w14:textId="77777777">
            <w:pPr>
              <w:pStyle w:val="Colofonkop"/>
              <w:framePr w:hSpace="0" w:wrap="auto" w:hAnchor="text" w:vAnchor="margin" w:xAlign="left" w:yAlign="inline"/>
            </w:pPr>
            <w:r>
              <w:t>Media en Creatieve Industrie</w:t>
            </w:r>
          </w:p>
          <w:p w:rsidR="006205C0" w:rsidP="00A421A1" w:rsidRDefault="00372131" w14:paraId="3BBEFE8E" w14:textId="77777777">
            <w:pPr>
              <w:pStyle w:val="Huisstijl-Gegeven"/>
              <w:spacing w:after="0"/>
            </w:pPr>
            <w:r>
              <w:t xml:space="preserve">Rijnstraat 50 </w:t>
            </w:r>
          </w:p>
          <w:p w:rsidR="004425A7" w:rsidP="00E972A2" w:rsidRDefault="00372131" w14:paraId="29385CB7" w14:textId="77777777">
            <w:pPr>
              <w:pStyle w:val="Huisstijl-Gegeven"/>
              <w:spacing w:after="0"/>
            </w:pPr>
            <w:r>
              <w:t>Den Haag</w:t>
            </w:r>
          </w:p>
          <w:p w:rsidR="004425A7" w:rsidP="00E972A2" w:rsidRDefault="00372131" w14:paraId="72499BC3" w14:textId="77777777">
            <w:pPr>
              <w:pStyle w:val="Huisstijl-Gegeven"/>
              <w:spacing w:after="0"/>
            </w:pPr>
            <w:r>
              <w:t>Postbus 16375</w:t>
            </w:r>
          </w:p>
          <w:p w:rsidR="004425A7" w:rsidP="00E972A2" w:rsidRDefault="00372131" w14:paraId="0CE98C64" w14:textId="77777777">
            <w:pPr>
              <w:pStyle w:val="Huisstijl-Gegeven"/>
              <w:spacing w:after="0"/>
            </w:pPr>
            <w:r>
              <w:t>2500 BJ Den Haag</w:t>
            </w:r>
          </w:p>
          <w:p w:rsidR="004425A7" w:rsidP="00E972A2" w:rsidRDefault="00372131" w14:paraId="76BB983D" w14:textId="77777777">
            <w:pPr>
              <w:pStyle w:val="Huisstijl-Gegeven"/>
              <w:spacing w:after="90"/>
            </w:pPr>
            <w:r>
              <w:t>www.rijksoverheid.nl</w:t>
            </w:r>
          </w:p>
          <w:p w:rsidRPr="00D86CC6" w:rsidR="006205C0" w:rsidP="00A421A1" w:rsidRDefault="00372131" w14:paraId="15CC5A0B" w14:textId="77777777">
            <w:pPr>
              <w:spacing w:line="180" w:lineRule="exact"/>
              <w:rPr>
                <w:b/>
                <w:sz w:val="13"/>
                <w:szCs w:val="13"/>
              </w:rPr>
            </w:pPr>
            <w:r>
              <w:rPr>
                <w:b/>
                <w:sz w:val="13"/>
                <w:szCs w:val="13"/>
              </w:rPr>
              <w:t>Contactpersoon</w:t>
            </w:r>
          </w:p>
          <w:p w:rsidRPr="007B6067" w:rsidR="006205C0" w:rsidP="00A421A1" w:rsidRDefault="006205C0" w14:paraId="01BCFB23" w14:textId="765BC2FD">
            <w:pPr>
              <w:spacing w:line="180" w:lineRule="exact"/>
              <w:rPr>
                <w:sz w:val="13"/>
                <w:szCs w:val="13"/>
                <w:lang w:val="en-US"/>
              </w:rPr>
            </w:pPr>
          </w:p>
        </w:tc>
      </w:tr>
      <w:tr w:rsidRPr="006E1634" w:rsidR="00865FF9" w:rsidTr="00A421A1" w14:paraId="08A16F8C" w14:textId="77777777">
        <w:trPr>
          <w:trHeight w:val="200" w:hRule="exact"/>
        </w:trPr>
        <w:tc>
          <w:tcPr>
            <w:tcW w:w="2160" w:type="dxa"/>
          </w:tcPr>
          <w:p w:rsidRPr="007B6067" w:rsidR="006205C0" w:rsidP="00A421A1" w:rsidRDefault="006205C0" w14:paraId="3F35A901" w14:textId="77777777">
            <w:pPr>
              <w:spacing w:after="90" w:line="180" w:lineRule="exact"/>
              <w:rPr>
                <w:sz w:val="13"/>
                <w:szCs w:val="13"/>
                <w:lang w:val="en-US"/>
              </w:rPr>
            </w:pPr>
          </w:p>
        </w:tc>
      </w:tr>
      <w:tr w:rsidR="00865FF9" w:rsidTr="00A421A1" w14:paraId="39641199" w14:textId="77777777">
        <w:trPr>
          <w:trHeight w:val="450"/>
        </w:trPr>
        <w:tc>
          <w:tcPr>
            <w:tcW w:w="2160" w:type="dxa"/>
          </w:tcPr>
          <w:p w:rsidR="00F51A76" w:rsidP="00A421A1" w:rsidRDefault="00372131" w14:paraId="3440FBB7" w14:textId="77777777">
            <w:pPr>
              <w:spacing w:line="180" w:lineRule="exact"/>
              <w:rPr>
                <w:b/>
                <w:sz w:val="13"/>
                <w:szCs w:val="13"/>
              </w:rPr>
            </w:pPr>
            <w:r>
              <w:rPr>
                <w:b/>
                <w:sz w:val="13"/>
                <w:szCs w:val="13"/>
              </w:rPr>
              <w:t>Onze referentie</w:t>
            </w:r>
          </w:p>
          <w:p w:rsidRPr="00FA7882" w:rsidR="006205C0" w:rsidP="00215356" w:rsidRDefault="00372131" w14:paraId="3C057B9D" w14:textId="77777777">
            <w:pPr>
              <w:spacing w:line="180" w:lineRule="exact"/>
              <w:rPr>
                <w:sz w:val="13"/>
                <w:szCs w:val="13"/>
              </w:rPr>
            </w:pPr>
            <w:r>
              <w:rPr>
                <w:sz w:val="13"/>
                <w:szCs w:val="13"/>
              </w:rPr>
              <w:t>55816487</w:t>
            </w:r>
          </w:p>
        </w:tc>
      </w:tr>
      <w:tr w:rsidR="00865FF9" w:rsidTr="00A421A1" w14:paraId="0303BFA5" w14:textId="77777777">
        <w:trPr>
          <w:trHeight w:val="136"/>
        </w:trPr>
        <w:tc>
          <w:tcPr>
            <w:tcW w:w="2160" w:type="dxa"/>
          </w:tcPr>
          <w:p w:rsidRPr="00C5333A" w:rsidR="006205C0" w:rsidP="00A421A1" w:rsidRDefault="00372131" w14:paraId="4F03F312" w14:textId="77777777">
            <w:pPr>
              <w:tabs>
                <w:tab w:val="left" w:pos="1890"/>
              </w:tabs>
              <w:spacing w:line="180" w:lineRule="exact"/>
              <w:rPr>
                <w:b/>
                <w:sz w:val="13"/>
                <w:szCs w:val="13"/>
              </w:rPr>
            </w:pPr>
            <w:r w:rsidRPr="00003544">
              <w:rPr>
                <w:b/>
                <w:sz w:val="13"/>
                <w:szCs w:val="13"/>
              </w:rPr>
              <w:t>Uw brief</w:t>
            </w:r>
          </w:p>
          <w:p w:rsidRPr="00E06CD4" w:rsidR="00E91674" w:rsidP="00E210E0" w:rsidRDefault="00372131" w14:paraId="6590E73B" w14:textId="77777777">
            <w:pPr>
              <w:tabs>
                <w:tab w:val="left" w:pos="1890"/>
              </w:tabs>
              <w:spacing w:after="92" w:line="180" w:lineRule="exact"/>
              <w:rPr>
                <w:sz w:val="13"/>
                <w:szCs w:val="13"/>
              </w:rPr>
            </w:pPr>
            <w:r>
              <w:rPr>
                <w:sz w:val="13"/>
                <w:szCs w:val="13"/>
              </w:rPr>
              <w:t>26 november 2025</w:t>
            </w:r>
          </w:p>
        </w:tc>
      </w:tr>
      <w:tr w:rsidR="00865FF9" w:rsidTr="00A421A1" w14:paraId="61BBEFAD" w14:textId="77777777">
        <w:trPr>
          <w:trHeight w:val="227"/>
        </w:trPr>
        <w:tc>
          <w:tcPr>
            <w:tcW w:w="2160" w:type="dxa"/>
          </w:tcPr>
          <w:p w:rsidRPr="004A65A5" w:rsidR="006205C0" w:rsidP="00A421A1" w:rsidRDefault="00372131" w14:paraId="41DBBE0F" w14:textId="77777777">
            <w:pPr>
              <w:spacing w:line="180" w:lineRule="exact"/>
              <w:rPr>
                <w:b/>
                <w:sz w:val="13"/>
                <w:szCs w:val="13"/>
              </w:rPr>
            </w:pPr>
            <w:r>
              <w:rPr>
                <w:b/>
                <w:sz w:val="13"/>
                <w:szCs w:val="13"/>
              </w:rPr>
              <w:t>Uw referentie</w:t>
            </w:r>
          </w:p>
          <w:p w:rsidRPr="00D74F66" w:rsidR="006205C0" w:rsidP="00A421A1" w:rsidRDefault="00BD0E48" w14:paraId="26172A3B" w14:textId="5C2B5CFD">
            <w:pPr>
              <w:spacing w:after="90" w:line="180" w:lineRule="exact"/>
              <w:rPr>
                <w:sz w:val="13"/>
              </w:rPr>
            </w:pPr>
            <w:r w:rsidRPr="00BD0E48">
              <w:rPr>
                <w:sz w:val="13"/>
              </w:rPr>
              <w:t>2025Z20418</w:t>
            </w:r>
          </w:p>
        </w:tc>
      </w:tr>
    </w:tbl>
    <w:p w:rsidR="00215356" w:rsidRDefault="00215356" w14:paraId="01E69C50" w14:textId="77777777"/>
    <w:p w:rsidR="006205C0" w:rsidP="00A421A1" w:rsidRDefault="006205C0" w14:paraId="07076216" w14:textId="77777777"/>
    <w:p w:rsidR="00CA35E4" w:rsidP="00CA35E4" w:rsidRDefault="00437472" w14:paraId="414AA23D" w14:textId="77777777">
      <w:r>
        <w:t xml:space="preserve">Hierbij </w:t>
      </w:r>
      <w:r w:rsidR="00372131">
        <w:t>stuur ik</w:t>
      </w:r>
      <w:r w:rsidR="00D45993">
        <w:t xml:space="preserve"> u</w:t>
      </w:r>
      <w:r w:rsidR="00372131">
        <w:t xml:space="preserve"> de antwoorden</w:t>
      </w:r>
      <w:r w:rsidR="006B0A79">
        <w:t xml:space="preserve"> op</w:t>
      </w:r>
      <w:r w:rsidR="00C82662">
        <w:t xml:space="preserve"> </w:t>
      </w:r>
      <w:r w:rsidRPr="007B6067" w:rsidR="00372131">
        <w:t>de vragen</w:t>
      </w:r>
      <w:r w:rsidR="00372131">
        <w:t xml:space="preserve"> van het lid </w:t>
      </w:r>
      <w:proofErr w:type="spellStart"/>
      <w:r w:rsidR="00372131">
        <w:t>Mohandis</w:t>
      </w:r>
      <w:proofErr w:type="spellEnd"/>
      <w:r w:rsidR="00372131">
        <w:t xml:space="preserve"> (GL/PvdA)</w:t>
      </w:r>
      <w:r w:rsidR="00AD7C7C">
        <w:t xml:space="preserve"> </w:t>
      </w:r>
      <w:r w:rsidR="00127580">
        <w:t>over</w:t>
      </w:r>
      <w:r w:rsidR="00372131">
        <w:t> de transparantie van besteding van budget door een aspirant-omroeporganisatie</w:t>
      </w:r>
      <w:r w:rsidR="005E637C">
        <w:t>.</w:t>
      </w:r>
    </w:p>
    <w:p w:rsidR="00CA35E4" w:rsidP="00CA35E4" w:rsidRDefault="00CA35E4" w14:paraId="673ECA20" w14:textId="77777777"/>
    <w:p w:rsidR="00463FBD" w:rsidP="00CA35E4" w:rsidRDefault="00372131" w14:paraId="6EDD2595" w14:textId="5A5DAED2">
      <w:r w:rsidRPr="007B6067">
        <w:t>De vragen werden</w:t>
      </w:r>
      <w:r w:rsidR="00B11469">
        <w:t> </w:t>
      </w:r>
      <w:r w:rsidR="00BD7E81">
        <w:t>in</w:t>
      </w:r>
      <w:r w:rsidR="00CA35E4">
        <w:t xml:space="preserve">gezonden </w:t>
      </w:r>
      <w:r w:rsidR="00BD7E81">
        <w:t>op</w:t>
      </w:r>
      <w:r w:rsidR="00EB5D85">
        <w:t xml:space="preserve"> </w:t>
      </w:r>
      <w:r>
        <w:t>26 november 2025</w:t>
      </w:r>
      <w:r w:rsidR="00E82C38">
        <w:t xml:space="preserve"> met kenmerk </w:t>
      </w:r>
      <w:r w:rsidR="00BD0E48">
        <w:t>2025Z20418</w:t>
      </w:r>
      <w:r w:rsidR="00E82C38">
        <w:t>.</w:t>
      </w:r>
    </w:p>
    <w:p w:rsidR="00930C09" w:rsidP="00CA35E4" w:rsidRDefault="00930C09" w14:paraId="34F7BDEA" w14:textId="77777777"/>
    <w:p w:rsidR="00105677" w:rsidP="00CA35E4" w:rsidRDefault="00105677" w14:paraId="1F3D8C5B" w14:textId="77777777"/>
    <w:p w:rsidR="00820DDA" w:rsidP="00CA35E4" w:rsidRDefault="00820DDA" w14:paraId="173E4A70" w14:textId="77777777"/>
    <w:p w:rsidR="00820DDA" w:rsidP="00CA35E4" w:rsidRDefault="00372131" w14:paraId="4BBA7A30" w14:textId="77777777">
      <w:r>
        <w:t>De minister van Onderwijs, Cultuur en Wetenschap,</w:t>
      </w:r>
    </w:p>
    <w:p w:rsidR="00950170" w:rsidP="00950170" w:rsidRDefault="00950170" w14:paraId="4BEE5290" w14:textId="77777777"/>
    <w:p w:rsidR="00950170" w:rsidP="00950170" w:rsidRDefault="00950170" w14:paraId="10E230F6" w14:textId="77777777"/>
    <w:p w:rsidR="00950170" w:rsidP="00950170" w:rsidRDefault="00950170" w14:paraId="507D0E41" w14:textId="77777777"/>
    <w:p w:rsidR="00950170" w:rsidP="00950170" w:rsidRDefault="00372131" w14:paraId="6898B8FD" w14:textId="77777777">
      <w:pPr>
        <w:pStyle w:val="standaard-tekst"/>
      </w:pPr>
      <w:proofErr w:type="spellStart"/>
      <w:r>
        <w:t>Gouke</w:t>
      </w:r>
      <w:proofErr w:type="spellEnd"/>
      <w:r>
        <w:t xml:space="preserve"> Moes</w:t>
      </w:r>
    </w:p>
    <w:p w:rsidR="00930C09" w:rsidRDefault="00372131" w14:paraId="45FDB8E5" w14:textId="77777777">
      <w:pPr>
        <w:spacing w:line="240" w:lineRule="auto"/>
      </w:pPr>
      <w:r>
        <w:br w:type="page"/>
      </w:r>
    </w:p>
    <w:p w:rsidR="00820DDA" w:rsidP="007B6067" w:rsidRDefault="00372131" w14:paraId="0B2F7E18" w14:textId="2AA252C2">
      <w:pPr>
        <w:pStyle w:val="pagebreak"/>
        <w:pageBreakBefore w:val="0"/>
      </w:pPr>
      <w:r>
        <w:lastRenderedPageBreak/>
        <w:t xml:space="preserve">De antwoorden </w:t>
      </w:r>
      <w:r w:rsidR="00D51F76">
        <w:t xml:space="preserve">op de schriftelijke </w:t>
      </w:r>
      <w:r>
        <w:t>vragen</w:t>
      </w:r>
      <w:r w:rsidR="00D51F76">
        <w:t> </w:t>
      </w:r>
      <w:r>
        <w:t xml:space="preserve">van het lid </w:t>
      </w:r>
      <w:proofErr w:type="spellStart"/>
      <w:r>
        <w:t>Mohandis</w:t>
      </w:r>
      <w:proofErr w:type="spellEnd"/>
      <w:r>
        <w:t xml:space="preserve"> (GL/PvdA)</w:t>
      </w:r>
      <w:r w:rsidR="00D51F76">
        <w:t xml:space="preserve"> </w:t>
      </w:r>
      <w:r w:rsidR="009E4507">
        <w:t>over</w:t>
      </w:r>
      <w:r w:rsidR="00EE09A7">
        <w:t xml:space="preserve"> </w:t>
      </w:r>
      <w:r>
        <w:t>de transparantie van besteding van budget door een aspirant-omroeporganisatie</w:t>
      </w:r>
      <w:r w:rsidR="00C50C4E">
        <w:t xml:space="preserve"> </w:t>
      </w:r>
      <w:r w:rsidR="009E4507">
        <w:t xml:space="preserve">met kenmerk </w:t>
      </w:r>
      <w:r w:rsidR="00BD0E48">
        <w:t>2025Z20418</w:t>
      </w:r>
      <w:r w:rsidR="00C50C4E">
        <w:t xml:space="preserve">, ingezonden op </w:t>
      </w:r>
      <w:r>
        <w:t>26 november 2025</w:t>
      </w:r>
      <w:r w:rsidR="00C50C4E">
        <w:t>.</w:t>
      </w:r>
    </w:p>
    <w:p w:rsidRPr="006567D4" w:rsidR="007B6067" w:rsidP="007B6067" w:rsidRDefault="007B6067" w14:paraId="11685018" w14:textId="1E972498">
      <w:pPr>
        <w:rPr>
          <w:szCs w:val="18"/>
        </w:rPr>
      </w:pPr>
    </w:p>
    <w:p w:rsidR="00C10531" w:rsidP="007B6067" w:rsidRDefault="007B6067" w14:paraId="2F197418" w14:textId="77777777">
      <w:pPr>
        <w:rPr>
          <w:szCs w:val="18"/>
        </w:rPr>
      </w:pPr>
      <w:r w:rsidRPr="006567D4">
        <w:rPr>
          <w:szCs w:val="18"/>
        </w:rPr>
        <w:t>Vraag 1</w:t>
      </w:r>
      <w:r w:rsidRPr="006567D4">
        <w:rPr>
          <w:szCs w:val="18"/>
        </w:rPr>
        <w:br/>
        <w:t xml:space="preserve">Kent u het bericht dat in het strafproces tegen een presentator van een aspirant-omroep de betreffende omroep de juridische kosten grotendeels voor haar rekening heeft genomen, dat zou zijn afgesproken om deze kosten ‘weg te schrijven’ in het jaarverslag en dat deze presentator een </w:t>
      </w:r>
      <w:proofErr w:type="spellStart"/>
      <w:r w:rsidRPr="006567D4">
        <w:rPr>
          <w:szCs w:val="18"/>
        </w:rPr>
        <w:t>crowdfunding</w:t>
      </w:r>
      <w:proofErr w:type="spellEnd"/>
      <w:r w:rsidRPr="006567D4">
        <w:rPr>
          <w:szCs w:val="18"/>
        </w:rPr>
        <w:t xml:space="preserve"> startte om de juridische kosten te financieren? Zo ja, wat vindt u van dit bericht? [1]</w:t>
      </w:r>
    </w:p>
    <w:p w:rsidR="00C10531" w:rsidP="007B6067" w:rsidRDefault="00C10531" w14:paraId="1B22CB0F" w14:textId="77777777">
      <w:pPr>
        <w:rPr>
          <w:szCs w:val="18"/>
        </w:rPr>
      </w:pPr>
    </w:p>
    <w:p w:rsidRPr="006567D4" w:rsidR="007B6067" w:rsidP="007B6067" w:rsidRDefault="00C10531" w14:paraId="38BD61A8" w14:textId="703A7CEB">
      <w:pPr>
        <w:rPr>
          <w:szCs w:val="18"/>
        </w:rPr>
      </w:pPr>
      <w:r>
        <w:rPr>
          <w:szCs w:val="18"/>
        </w:rPr>
        <w:t xml:space="preserve">Ik ken het bericht. </w:t>
      </w:r>
      <w:r w:rsidR="00F73AB9">
        <w:rPr>
          <w:szCs w:val="18"/>
        </w:rPr>
        <w:t xml:space="preserve">Het Commissariaat voor de Media, als onafhankelijk toezichthouder, </w:t>
      </w:r>
      <w:r w:rsidR="00B03544">
        <w:rPr>
          <w:szCs w:val="18"/>
        </w:rPr>
        <w:t>heeft mij laten weten nader onderzoek te doen naar de rechtmatigheid van bestedingen in deze kwestie</w:t>
      </w:r>
      <w:r w:rsidR="00F73AB9">
        <w:rPr>
          <w:szCs w:val="18"/>
        </w:rPr>
        <w:t>. Omdat deze zaak onderwerp van lopend onderzoek van de toezichthouder is, past het mij niet hier verder</w:t>
      </w:r>
      <w:r w:rsidR="008505EC">
        <w:rPr>
          <w:szCs w:val="18"/>
        </w:rPr>
        <w:t>e</w:t>
      </w:r>
      <w:r w:rsidR="00F73AB9">
        <w:rPr>
          <w:szCs w:val="18"/>
        </w:rPr>
        <w:t xml:space="preserve"> uitspraken over te doen.</w:t>
      </w:r>
      <w:r w:rsidRPr="006567D4" w:rsidR="007B6067">
        <w:rPr>
          <w:szCs w:val="18"/>
        </w:rPr>
        <w:br/>
      </w:r>
    </w:p>
    <w:p w:rsidR="00C10531" w:rsidP="007B6067" w:rsidRDefault="007B6067" w14:paraId="3391F7EE" w14:textId="3994D7EE">
      <w:pPr>
        <w:rPr>
          <w:szCs w:val="18"/>
        </w:rPr>
      </w:pPr>
      <w:r w:rsidRPr="006567D4">
        <w:rPr>
          <w:szCs w:val="18"/>
        </w:rPr>
        <w:t>Vraag 2</w:t>
      </w:r>
      <w:r w:rsidRPr="006567D4">
        <w:rPr>
          <w:szCs w:val="18"/>
        </w:rPr>
        <w:br/>
        <w:t>Kunt u uiteenzetten hoe in algemene zin toezicht wordt gehouden op de naleving van het uitgangspunt dat de financiering die publieke omroepen ontvangen alleen mogen worden besteed aan de uitvoering van de publieke mediaopdracht?</w:t>
      </w:r>
    </w:p>
    <w:p w:rsidR="00C10531" w:rsidP="007B6067" w:rsidRDefault="00C10531" w14:paraId="5225BBC7" w14:textId="77777777">
      <w:pPr>
        <w:rPr>
          <w:szCs w:val="18"/>
        </w:rPr>
      </w:pPr>
    </w:p>
    <w:p w:rsidR="007B6067" w:rsidP="007B6067" w:rsidRDefault="00F73AB9" w14:paraId="582AFF73" w14:textId="7FD6FC05">
      <w:pPr>
        <w:rPr>
          <w:szCs w:val="18"/>
        </w:rPr>
      </w:pPr>
      <w:r>
        <w:rPr>
          <w:szCs w:val="18"/>
        </w:rPr>
        <w:t xml:space="preserve">Hoofdregel van de wet is dat alle inkomsten van een omroepvereniging bestemd zijn voor de uitvoering van de publieke media-opdracht, tenzij daar door de wet een uitzondering op is gemaakt (artikel 2.135 Mediawet 2008). </w:t>
      </w:r>
      <w:r w:rsidRPr="00C10531">
        <w:rPr>
          <w:szCs w:val="18"/>
        </w:rPr>
        <w:t>Het Commissariaat</w:t>
      </w:r>
      <w:r w:rsidR="006E1634">
        <w:rPr>
          <w:szCs w:val="18"/>
        </w:rPr>
        <w:t xml:space="preserve"> voor de Media</w:t>
      </w:r>
      <w:r w:rsidRPr="00C10531">
        <w:rPr>
          <w:szCs w:val="18"/>
        </w:rPr>
        <w:t xml:space="preserve"> (Commissariaat) is verantwoordelijk voor het financiële toezicht op publieke omroepen</w:t>
      </w:r>
      <w:r>
        <w:rPr>
          <w:szCs w:val="18"/>
        </w:rPr>
        <w:t xml:space="preserve"> (</w:t>
      </w:r>
      <w:r w:rsidRPr="00E26CB9">
        <w:rPr>
          <w:szCs w:val="18"/>
        </w:rPr>
        <w:t>artikel 2.171 van de Mediawet 2008</w:t>
      </w:r>
      <w:r>
        <w:rPr>
          <w:szCs w:val="18"/>
        </w:rPr>
        <w:t>)</w:t>
      </w:r>
      <w:r w:rsidRPr="00C10531">
        <w:rPr>
          <w:szCs w:val="18"/>
        </w:rPr>
        <w:t xml:space="preserve">. Dit toezicht richt zich onder meer op de rechtmatigheid van de besteding van </w:t>
      </w:r>
      <w:r>
        <w:rPr>
          <w:szCs w:val="18"/>
        </w:rPr>
        <w:t xml:space="preserve">de middelen die bestemd zijn voor de uitvoering van de publieke media-opdracht. </w:t>
      </w:r>
      <w:r w:rsidRPr="00C10531">
        <w:rPr>
          <w:szCs w:val="18"/>
        </w:rPr>
        <w:t>Het toezicht gebeurt onder meer aan de hand van de jaarrekeningen die de (aspirant-)omroepen met een controleverklaring van de accountant jaarlijks bij het Commissariaat moeten aanleveren. Als daar aanleiding toe bestaat</w:t>
      </w:r>
      <w:r>
        <w:rPr>
          <w:szCs w:val="18"/>
        </w:rPr>
        <w:t>,</w:t>
      </w:r>
      <w:r w:rsidRPr="00C10531">
        <w:rPr>
          <w:szCs w:val="18"/>
        </w:rPr>
        <w:t xml:space="preserve"> </w:t>
      </w:r>
      <w:r>
        <w:rPr>
          <w:szCs w:val="18"/>
        </w:rPr>
        <w:t>zal</w:t>
      </w:r>
      <w:r w:rsidRPr="00C10531">
        <w:rPr>
          <w:szCs w:val="18"/>
        </w:rPr>
        <w:t xml:space="preserve"> het Commissariaat de financiële rechtmatigheid van bestedingen </w:t>
      </w:r>
      <w:r>
        <w:rPr>
          <w:szCs w:val="18"/>
        </w:rPr>
        <w:t xml:space="preserve">nader </w:t>
      </w:r>
      <w:r w:rsidRPr="00C10531">
        <w:rPr>
          <w:szCs w:val="18"/>
        </w:rPr>
        <w:t>onderzoeken.</w:t>
      </w:r>
      <w:r w:rsidRPr="00C10531">
        <w:rPr>
          <w:szCs w:val="18"/>
          <w:vertAlign w:val="superscript"/>
        </w:rPr>
        <w:footnoteReference w:id="1"/>
      </w:r>
      <w:r w:rsidRPr="00C10531">
        <w:rPr>
          <w:szCs w:val="18"/>
        </w:rPr>
        <w:t xml:space="preserve"> Wanneer (aspirant-)omroepen zich niet houden aan de </w:t>
      </w:r>
      <w:r>
        <w:rPr>
          <w:szCs w:val="18"/>
        </w:rPr>
        <w:t>wettelijke</w:t>
      </w:r>
      <w:r w:rsidRPr="00C10531">
        <w:rPr>
          <w:szCs w:val="18"/>
        </w:rPr>
        <w:t xml:space="preserve"> verplichtingen </w:t>
      </w:r>
      <w:r w:rsidR="00827A69">
        <w:rPr>
          <w:szCs w:val="18"/>
        </w:rPr>
        <w:t>kan</w:t>
      </w:r>
      <w:r w:rsidRPr="00C10531">
        <w:rPr>
          <w:szCs w:val="18"/>
        </w:rPr>
        <w:t xml:space="preserve"> het Commissariaat handhavend optreden</w:t>
      </w:r>
      <w:r w:rsidR="00827A69">
        <w:rPr>
          <w:szCs w:val="18"/>
        </w:rPr>
        <w:t>. Middelen die onrechtmatig besteed zijn vordert het Commissariaat terug.</w:t>
      </w:r>
    </w:p>
    <w:p w:rsidRPr="006567D4" w:rsidR="00827A69" w:rsidP="007B6067" w:rsidRDefault="00827A69" w14:paraId="602402AF" w14:textId="77777777">
      <w:pPr>
        <w:rPr>
          <w:szCs w:val="18"/>
        </w:rPr>
      </w:pPr>
    </w:p>
    <w:p w:rsidR="00C10531" w:rsidP="007B6067" w:rsidRDefault="007B6067" w14:paraId="02765427" w14:textId="77777777">
      <w:pPr>
        <w:rPr>
          <w:szCs w:val="18"/>
        </w:rPr>
      </w:pPr>
      <w:r w:rsidRPr="006567D4">
        <w:rPr>
          <w:szCs w:val="18"/>
        </w:rPr>
        <w:t>Vraag 3</w:t>
      </w:r>
      <w:r w:rsidRPr="006567D4">
        <w:rPr>
          <w:szCs w:val="18"/>
        </w:rPr>
        <w:br/>
        <w:t>Welke sancties kunnen worden opgelegd aan (aspirant-)omroepen die zich niet houden aan de geldende juridische verplichtingen?</w:t>
      </w:r>
    </w:p>
    <w:p w:rsidR="00C10531" w:rsidP="007B6067" w:rsidRDefault="00C10531" w14:paraId="3C77614A" w14:textId="77777777">
      <w:pPr>
        <w:rPr>
          <w:szCs w:val="18"/>
        </w:rPr>
      </w:pPr>
    </w:p>
    <w:p w:rsidRPr="00C10531" w:rsidR="00C10531" w:rsidP="00C10531" w:rsidRDefault="00C10531" w14:paraId="2D98A676" w14:textId="14B93BE2">
      <w:pPr>
        <w:rPr>
          <w:szCs w:val="18"/>
        </w:rPr>
      </w:pPr>
      <w:r w:rsidRPr="00C10531">
        <w:rPr>
          <w:szCs w:val="18"/>
        </w:rPr>
        <w:t xml:space="preserve">In algemene zin geldt dat bij overtreding van geldende juridische verplichtingen door (aspirant-)omroepen het Commissariaat per casus kijkt welk handhavingsinstrument het meest effectief is om herstel te bereiken of herhaling te voorkomen. Dit kan variëren van het voeren van een </w:t>
      </w:r>
      <w:proofErr w:type="spellStart"/>
      <w:r w:rsidRPr="00C10531">
        <w:rPr>
          <w:szCs w:val="18"/>
        </w:rPr>
        <w:t>normoverdragend</w:t>
      </w:r>
      <w:proofErr w:type="spellEnd"/>
      <w:r w:rsidRPr="00C10531">
        <w:rPr>
          <w:szCs w:val="18"/>
        </w:rPr>
        <w:t xml:space="preserve"> gesprek en het opleggen van een waarschuwing, tot formele handhavingsinstrumenten zoals een last onder dwangsom of een boete. </w:t>
      </w:r>
      <w:r w:rsidR="00F73AB9">
        <w:rPr>
          <w:szCs w:val="18"/>
        </w:rPr>
        <w:t xml:space="preserve">Bij </w:t>
      </w:r>
      <w:r w:rsidR="00F73AB9">
        <w:rPr>
          <w:szCs w:val="18"/>
        </w:rPr>
        <w:lastRenderedPageBreak/>
        <w:t xml:space="preserve">onrechtmatige besteding van middelen vordert het Commissariaat deze terug. </w:t>
      </w:r>
      <w:r w:rsidRPr="00C10531">
        <w:rPr>
          <w:szCs w:val="18"/>
        </w:rPr>
        <w:t xml:space="preserve">Ook kan het Commissariaat een aanwijzing geven als sprake is van wanbeheer of als een deugdelijke inrichting, sturing en beheersing van bedrijfsprocessen of het voeren van een deugdelijke administratie onvoldoende gewaarborgd zijn. Bij deze keuze baseert de toezichthouder zich op feiten die zijn verzameld en een beoordeling van de aard en de ernst van de overtreding en de omstandigheden waaronder de overtreding is </w:t>
      </w:r>
      <w:r w:rsidR="00F73AB9">
        <w:rPr>
          <w:szCs w:val="18"/>
        </w:rPr>
        <w:t>begaan</w:t>
      </w:r>
      <w:r w:rsidRPr="00C10531">
        <w:rPr>
          <w:szCs w:val="18"/>
        </w:rPr>
        <w:t>.</w:t>
      </w:r>
    </w:p>
    <w:p w:rsidRPr="006567D4" w:rsidR="007B6067" w:rsidP="007B6067" w:rsidRDefault="007B6067" w14:paraId="29994481" w14:textId="52898354">
      <w:pPr>
        <w:rPr>
          <w:szCs w:val="18"/>
        </w:rPr>
      </w:pPr>
    </w:p>
    <w:p w:rsidR="00C10531" w:rsidP="007B6067" w:rsidRDefault="007B6067" w14:paraId="7D0402E2" w14:textId="77777777">
      <w:pPr>
        <w:rPr>
          <w:szCs w:val="18"/>
        </w:rPr>
      </w:pPr>
      <w:r w:rsidRPr="006567D4">
        <w:rPr>
          <w:szCs w:val="18"/>
        </w:rPr>
        <w:t xml:space="preserve">Vraag </w:t>
      </w:r>
      <w:r w:rsidR="00C10531">
        <w:rPr>
          <w:szCs w:val="18"/>
        </w:rPr>
        <w:t>4</w:t>
      </w:r>
      <w:r w:rsidRPr="006567D4">
        <w:rPr>
          <w:szCs w:val="18"/>
        </w:rPr>
        <w:br/>
        <w:t>Wie legt volgens u sancties op conform de mediawet en hoe effectief is het wetsartikel 2.33 van de mediawet volgens u? Kunt u dit toelichten?</w:t>
      </w:r>
    </w:p>
    <w:p w:rsidR="00C10531" w:rsidP="007B6067" w:rsidRDefault="00C10531" w14:paraId="6D5F71CC" w14:textId="77777777">
      <w:pPr>
        <w:rPr>
          <w:szCs w:val="18"/>
        </w:rPr>
      </w:pPr>
    </w:p>
    <w:p w:rsidRPr="00C10531" w:rsidR="007B6067" w:rsidP="007B6067" w:rsidRDefault="00C10531" w14:paraId="4922C5F8" w14:textId="3AF895FE">
      <w:pPr>
        <w:rPr>
          <w:szCs w:val="18"/>
        </w:rPr>
      </w:pPr>
      <w:r w:rsidRPr="00C10531">
        <w:rPr>
          <w:szCs w:val="18"/>
        </w:rPr>
        <w:t>Het Commissariaat voor de Media is verantwoordelijk voor het toezicht op de naleving van de Mediawet 2008, en kan bij overtredingen sanctioneren. Dat is onder meer het geval als sprake is van onrechtmatige besteding van gelden.</w:t>
      </w:r>
      <w:r w:rsidR="00C21A50">
        <w:rPr>
          <w:szCs w:val="18"/>
        </w:rPr>
        <w:t xml:space="preserve"> Artikel 2.33 van de Mediawet 2008 ziet op het intrekken van een (voorlopige) erkenning. Dat is een zeer verstrekkende bevoegdheid </w:t>
      </w:r>
      <w:r w:rsidR="00F73AB9">
        <w:rPr>
          <w:szCs w:val="18"/>
        </w:rPr>
        <w:t xml:space="preserve">van de minister die alleen als ultimum remedium moet worden ingezet. </w:t>
      </w:r>
      <w:r w:rsidRPr="00C10531" w:rsidR="007B6067">
        <w:rPr>
          <w:szCs w:val="18"/>
        </w:rPr>
        <w:br/>
      </w:r>
    </w:p>
    <w:p w:rsidRPr="006567D4" w:rsidR="007B6067" w:rsidP="007B6067" w:rsidRDefault="007B6067" w14:paraId="56118B0B" w14:textId="31712B79">
      <w:pPr>
        <w:rPr>
          <w:szCs w:val="18"/>
        </w:rPr>
      </w:pPr>
      <w:r w:rsidRPr="006567D4">
        <w:rPr>
          <w:szCs w:val="18"/>
        </w:rPr>
        <w:t>Vraag 5</w:t>
      </w:r>
    </w:p>
    <w:p w:rsidR="00BD0E48" w:rsidP="007B6067" w:rsidRDefault="007B6067" w14:paraId="472441B3" w14:textId="77777777">
      <w:pPr>
        <w:rPr>
          <w:szCs w:val="18"/>
        </w:rPr>
      </w:pPr>
      <w:r w:rsidRPr="006567D4">
        <w:rPr>
          <w:szCs w:val="18"/>
        </w:rPr>
        <w:t xml:space="preserve">Kunt u zich het Kamerdebat herinneren over de rolduidelijkheid aangaande sanctioneren van (aspirant-)omroepen door de NPO, het Commissariaat voor de Media en het kabinet en de aangenomen motie van het lid </w:t>
      </w:r>
      <w:proofErr w:type="spellStart"/>
      <w:r w:rsidRPr="006567D4">
        <w:rPr>
          <w:szCs w:val="18"/>
        </w:rPr>
        <w:t>Mohandis</w:t>
      </w:r>
      <w:proofErr w:type="spellEnd"/>
      <w:r w:rsidRPr="006567D4">
        <w:rPr>
          <w:szCs w:val="18"/>
        </w:rPr>
        <w:t xml:space="preserve"> c.s. om de rollen en het sanctiebeleid in den brede aan te scherpen en te verduidelijken, zodat duidelijker wordt na hoeveel overtredingen de licentie in het geding komt? Zo ja, hoe verhoudt dit geval zich tot deze rolduidelijkheid? [2]</w:t>
      </w:r>
    </w:p>
    <w:p w:rsidR="00F32785" w:rsidP="007B6067" w:rsidRDefault="00F32785" w14:paraId="04D6AFF7" w14:textId="77777777">
      <w:pPr>
        <w:rPr>
          <w:szCs w:val="18"/>
        </w:rPr>
      </w:pPr>
    </w:p>
    <w:p w:rsidRPr="006567D4" w:rsidR="007B6067" w:rsidP="007B6067" w:rsidRDefault="00BD0E48" w14:paraId="7A0FF790" w14:textId="32F44996">
      <w:pPr>
        <w:rPr>
          <w:szCs w:val="18"/>
        </w:rPr>
      </w:pPr>
      <w:r>
        <w:rPr>
          <w:szCs w:val="18"/>
        </w:rPr>
        <w:t xml:space="preserve">Ja. </w:t>
      </w:r>
      <w:r w:rsidR="00F32785">
        <w:rPr>
          <w:szCs w:val="18"/>
        </w:rPr>
        <w:t xml:space="preserve">In de reactie op deze motie heeft mijn ambtsvoorganger aangegeven dat dit </w:t>
      </w:r>
      <w:r w:rsidR="00F73AB9">
        <w:rPr>
          <w:szCs w:val="18"/>
        </w:rPr>
        <w:t>onderwerp</w:t>
      </w:r>
      <w:r w:rsidR="00F32785">
        <w:rPr>
          <w:szCs w:val="18"/>
        </w:rPr>
        <w:t xml:space="preserve"> wordt meegenomen in het wetsvoorstel voor de hervorming van de landelijke publieke omroep.</w:t>
      </w:r>
      <w:r w:rsidR="00C21A50">
        <w:rPr>
          <w:szCs w:val="18"/>
        </w:rPr>
        <w:t xml:space="preserve"> Die toezegging staat.</w:t>
      </w:r>
      <w:r w:rsidRPr="00F73AB9" w:rsidR="00F73AB9">
        <w:rPr>
          <w:szCs w:val="18"/>
        </w:rPr>
        <w:t xml:space="preserve"> In het onderhavige geval is er </w:t>
      </w:r>
      <w:r w:rsidR="00F73AB9">
        <w:rPr>
          <w:szCs w:val="18"/>
        </w:rPr>
        <w:t xml:space="preserve">overigens </w:t>
      </w:r>
      <w:r w:rsidRPr="00F73AB9" w:rsidR="00F73AB9">
        <w:rPr>
          <w:szCs w:val="18"/>
        </w:rPr>
        <w:t>geen rolonduidelijkheid. Volgens de wet is het Commissariaat belast met het toezicht op de rechtmatige besteding van publieke omroepmiddelen. Daar hebben de NPO noch het kabinet een rol.</w:t>
      </w:r>
      <w:r w:rsidRPr="006567D4" w:rsidR="007B6067">
        <w:rPr>
          <w:szCs w:val="18"/>
        </w:rPr>
        <w:br/>
      </w:r>
    </w:p>
    <w:p w:rsidR="007B6067" w:rsidP="007B6067" w:rsidRDefault="007B6067" w14:paraId="0A0EE1FC" w14:textId="7FEBEEB2">
      <w:pPr>
        <w:rPr>
          <w:szCs w:val="18"/>
        </w:rPr>
      </w:pPr>
      <w:r w:rsidRPr="006567D4">
        <w:rPr>
          <w:szCs w:val="18"/>
        </w:rPr>
        <w:t>Vraag 6</w:t>
      </w:r>
      <w:r w:rsidRPr="006567D4">
        <w:rPr>
          <w:szCs w:val="18"/>
        </w:rPr>
        <w:br/>
        <w:t>Betrekt u de uitvoering van deze motie bij de komende wetsbehandeling conform uw toezegging tijdens het notaoverleg Media van 14 april 2025? Zo nee, waarom niet?</w:t>
      </w:r>
      <w:r w:rsidRPr="006567D4">
        <w:rPr>
          <w:szCs w:val="18"/>
        </w:rPr>
        <w:br/>
      </w:r>
    </w:p>
    <w:p w:rsidR="00BD0E48" w:rsidP="007B6067" w:rsidRDefault="00BD0E48" w14:paraId="58E0EEE3" w14:textId="29E9A4EC">
      <w:pPr>
        <w:rPr>
          <w:szCs w:val="18"/>
        </w:rPr>
      </w:pPr>
      <w:r>
        <w:rPr>
          <w:szCs w:val="18"/>
        </w:rPr>
        <w:t xml:space="preserve">Ja. </w:t>
      </w:r>
    </w:p>
    <w:p w:rsidR="00BD0E48" w:rsidP="007B6067" w:rsidRDefault="00BD0E48" w14:paraId="136C217D" w14:textId="77777777">
      <w:pPr>
        <w:rPr>
          <w:szCs w:val="18"/>
        </w:rPr>
      </w:pPr>
    </w:p>
    <w:p w:rsidR="00F32785" w:rsidP="007B6067" w:rsidRDefault="007B6067" w14:paraId="5D546355" w14:textId="528030FB">
      <w:pPr>
        <w:rPr>
          <w:szCs w:val="18"/>
        </w:rPr>
      </w:pPr>
      <w:r w:rsidRPr="006567D4">
        <w:rPr>
          <w:szCs w:val="18"/>
        </w:rPr>
        <w:t>Vraag 7</w:t>
      </w:r>
      <w:r w:rsidRPr="006567D4">
        <w:rPr>
          <w:szCs w:val="18"/>
        </w:rPr>
        <w:br/>
        <w:t>Deelt u de mening dat, met het oog op het belang van betrouwbare en transparante journalistiek, herhaald overtreden van de uit de mediawet conform artikel 2.33 voortvloeiende verplichtingen moet worden gesanctioneerd en de omroeplicentie in het geding kan komen? Zo nee, waarom niet?</w:t>
      </w:r>
    </w:p>
    <w:p w:rsidR="00F32785" w:rsidP="007B6067" w:rsidRDefault="00F32785" w14:paraId="22573D0D" w14:textId="77777777">
      <w:pPr>
        <w:rPr>
          <w:szCs w:val="18"/>
        </w:rPr>
      </w:pPr>
    </w:p>
    <w:p w:rsidRPr="006567D4" w:rsidR="007B6067" w:rsidP="007B6067" w:rsidRDefault="00F73AB9" w14:paraId="3D511665" w14:textId="59A10AB0">
      <w:pPr>
        <w:rPr>
          <w:szCs w:val="18"/>
        </w:rPr>
      </w:pPr>
      <w:r>
        <w:rPr>
          <w:szCs w:val="18"/>
        </w:rPr>
        <w:t>A</w:t>
      </w:r>
      <w:r w:rsidR="00372131">
        <w:rPr>
          <w:szCs w:val="18"/>
        </w:rPr>
        <w:t>lle omroepen</w:t>
      </w:r>
      <w:r>
        <w:rPr>
          <w:szCs w:val="18"/>
        </w:rPr>
        <w:t>, geen enkele uitgezonderd, dienen</w:t>
      </w:r>
      <w:r w:rsidR="00372131">
        <w:rPr>
          <w:szCs w:val="18"/>
        </w:rPr>
        <w:t xml:space="preserve"> zich aan de voor hen geldende wettelijke verplichtingen</w:t>
      </w:r>
      <w:r>
        <w:rPr>
          <w:szCs w:val="18"/>
        </w:rPr>
        <w:t xml:space="preserve"> te</w:t>
      </w:r>
      <w:r w:rsidR="00372131">
        <w:rPr>
          <w:szCs w:val="18"/>
        </w:rPr>
        <w:t xml:space="preserve"> houden. Als men da</w:t>
      </w:r>
      <w:r>
        <w:rPr>
          <w:szCs w:val="18"/>
        </w:rPr>
        <w:t>t</w:t>
      </w:r>
      <w:r w:rsidR="00372131">
        <w:rPr>
          <w:szCs w:val="18"/>
        </w:rPr>
        <w:t xml:space="preserve"> nalaat geldt het handhavingsregime zoals dat in de Mediawet is vastgelegd</w:t>
      </w:r>
      <w:r w:rsidR="00CB7791">
        <w:rPr>
          <w:szCs w:val="18"/>
        </w:rPr>
        <w:t xml:space="preserve"> en zoals</w:t>
      </w:r>
      <w:r>
        <w:rPr>
          <w:szCs w:val="18"/>
        </w:rPr>
        <w:t xml:space="preserve"> ik heb</w:t>
      </w:r>
      <w:r w:rsidR="00CB7791">
        <w:rPr>
          <w:szCs w:val="18"/>
        </w:rPr>
        <w:t xml:space="preserve"> toegelicht in mijn antwoorden op vraag 2 tot en met 4. </w:t>
      </w:r>
      <w:r w:rsidRPr="00F73AB9">
        <w:rPr>
          <w:szCs w:val="18"/>
        </w:rPr>
        <w:t>De mogelijkheid van artikel 2.33 van de Mediawet 2008 om een (voorlopige) erkenning in te trekken, kan pas aan de orde komen als het Commissariaat minstens twee sancties in een jaar heeft opgelegd</w:t>
      </w:r>
      <w:r w:rsidR="00827A69">
        <w:rPr>
          <w:szCs w:val="18"/>
        </w:rPr>
        <w:t xml:space="preserve"> of wanneer daar een tweede negatief oordeel van de evaluatiecommissie aan ten grondslag ligt</w:t>
      </w:r>
      <w:r w:rsidRPr="00F73AB9">
        <w:rPr>
          <w:szCs w:val="18"/>
        </w:rPr>
        <w:t>. Dat is overigens geen automatisme, er dient altijd een zorgvuldige afweging gemaakt te worden</w:t>
      </w:r>
      <w:r w:rsidRPr="006567D4" w:rsidR="007B6067">
        <w:rPr>
          <w:szCs w:val="18"/>
        </w:rPr>
        <w:br/>
      </w:r>
    </w:p>
    <w:p w:rsidRPr="006567D4" w:rsidR="007B6067" w:rsidP="007B6067" w:rsidRDefault="007B6067" w14:paraId="6AD4EFE3" w14:textId="77777777">
      <w:pPr>
        <w:rPr>
          <w:szCs w:val="18"/>
        </w:rPr>
      </w:pPr>
      <w:r w:rsidRPr="006567D4">
        <w:rPr>
          <w:szCs w:val="18"/>
        </w:rPr>
        <w:t xml:space="preserve">[1] Algemeen Dagblad, d.d. 5 november 2025, ‘Ongehoord Nederland betaalt mee aan rechtszaak presentatrice </w:t>
      </w:r>
      <w:proofErr w:type="spellStart"/>
      <w:r w:rsidRPr="006567D4">
        <w:rPr>
          <w:szCs w:val="18"/>
        </w:rPr>
        <w:t>Raisa</w:t>
      </w:r>
      <w:proofErr w:type="spellEnd"/>
      <w:r w:rsidRPr="006567D4">
        <w:rPr>
          <w:szCs w:val="18"/>
        </w:rPr>
        <w:t xml:space="preserve"> </w:t>
      </w:r>
      <w:proofErr w:type="spellStart"/>
      <w:r w:rsidRPr="006567D4">
        <w:rPr>
          <w:szCs w:val="18"/>
        </w:rPr>
        <w:t>Blommestijn</w:t>
      </w:r>
      <w:proofErr w:type="spellEnd"/>
      <w:r w:rsidRPr="006567D4">
        <w:rPr>
          <w:szCs w:val="18"/>
        </w:rPr>
        <w:t xml:space="preserve"> en moffelt dat weg’, https://www.ad.nl/show/ongehoord-nederland-betaalt-mee-aan-rechtszaak-presentatrice-raisa-blommestijn-en-moffelt-dat-weg~a4af8999/</w:t>
      </w:r>
      <w:r w:rsidRPr="006567D4">
        <w:rPr>
          <w:szCs w:val="18"/>
        </w:rPr>
        <w:br/>
      </w:r>
    </w:p>
    <w:p w:rsidRPr="00CB7791" w:rsidR="00820DDA" w:rsidP="00CB7791" w:rsidRDefault="007B6067" w14:paraId="52B6D225" w14:textId="1F51890D">
      <w:pPr>
        <w:rPr>
          <w:szCs w:val="18"/>
        </w:rPr>
      </w:pPr>
      <w:r w:rsidRPr="006567D4">
        <w:rPr>
          <w:szCs w:val="18"/>
        </w:rPr>
        <w:t>[2] Kamerstuk 32 827, nr. 255</w:t>
      </w:r>
      <w:r w:rsidRPr="006567D4">
        <w:rPr>
          <w:szCs w:val="18"/>
        </w:rPr>
        <w:br/>
      </w:r>
    </w:p>
    <w:sectPr w:rsidRPr="00CB7791"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BD4A" w14:textId="77777777" w:rsidR="00DC691C" w:rsidRDefault="00372131">
      <w:r>
        <w:separator/>
      </w:r>
    </w:p>
    <w:p w14:paraId="6C1EACE7" w14:textId="77777777" w:rsidR="00DC691C" w:rsidRDefault="00DC691C"/>
  </w:endnote>
  <w:endnote w:type="continuationSeparator" w:id="0">
    <w:p w14:paraId="65C9B849" w14:textId="77777777" w:rsidR="00DC691C" w:rsidRDefault="00372131">
      <w:r>
        <w:continuationSeparator/>
      </w:r>
    </w:p>
    <w:p w14:paraId="06AFB7F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FED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18E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65FF9" w14:paraId="425752C5" w14:textId="77777777" w:rsidTr="004C7E1D">
      <w:trPr>
        <w:trHeight w:hRule="exact" w:val="357"/>
      </w:trPr>
      <w:tc>
        <w:tcPr>
          <w:tcW w:w="7603" w:type="dxa"/>
        </w:tcPr>
        <w:p w14:paraId="76568B3E" w14:textId="77777777" w:rsidR="002F71BB" w:rsidRPr="004C7E1D" w:rsidRDefault="002F71BB" w:rsidP="004C7E1D">
          <w:pPr>
            <w:spacing w:line="180" w:lineRule="exact"/>
            <w:rPr>
              <w:sz w:val="13"/>
              <w:szCs w:val="13"/>
            </w:rPr>
          </w:pPr>
        </w:p>
      </w:tc>
      <w:tc>
        <w:tcPr>
          <w:tcW w:w="2172" w:type="dxa"/>
        </w:tcPr>
        <w:p w14:paraId="7128B93D" w14:textId="2A3294E5" w:rsidR="002F71BB" w:rsidRPr="004C7E1D" w:rsidRDefault="0037213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F53AE">
            <w:rPr>
              <w:szCs w:val="13"/>
            </w:rPr>
            <w:t>4</w:t>
          </w:r>
          <w:r w:rsidRPr="004C7E1D">
            <w:rPr>
              <w:szCs w:val="13"/>
            </w:rPr>
            <w:fldChar w:fldCharType="end"/>
          </w:r>
        </w:p>
      </w:tc>
    </w:tr>
  </w:tbl>
  <w:p w14:paraId="2B0F21E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65FF9" w14:paraId="74E48723" w14:textId="77777777" w:rsidTr="004C7E1D">
      <w:trPr>
        <w:trHeight w:hRule="exact" w:val="357"/>
      </w:trPr>
      <w:tc>
        <w:tcPr>
          <w:tcW w:w="7709" w:type="dxa"/>
        </w:tcPr>
        <w:p w14:paraId="0A81B868" w14:textId="77777777" w:rsidR="00D17084" w:rsidRPr="004C7E1D" w:rsidRDefault="00D17084" w:rsidP="004C7E1D">
          <w:pPr>
            <w:spacing w:line="180" w:lineRule="exact"/>
            <w:rPr>
              <w:sz w:val="13"/>
              <w:szCs w:val="13"/>
            </w:rPr>
          </w:pPr>
        </w:p>
      </w:tc>
      <w:tc>
        <w:tcPr>
          <w:tcW w:w="2060" w:type="dxa"/>
        </w:tcPr>
        <w:p w14:paraId="2D8C27ED" w14:textId="0AA01AA8" w:rsidR="00D17084" w:rsidRPr="004C7E1D" w:rsidRDefault="0037213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F53AE">
            <w:rPr>
              <w:szCs w:val="13"/>
            </w:rPr>
            <w:t>4</w:t>
          </w:r>
          <w:r w:rsidRPr="004C7E1D">
            <w:rPr>
              <w:szCs w:val="13"/>
            </w:rPr>
            <w:fldChar w:fldCharType="end"/>
          </w:r>
        </w:p>
      </w:tc>
    </w:tr>
  </w:tbl>
  <w:p w14:paraId="7E2133F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D2CD1" w14:textId="77777777" w:rsidR="00DC691C" w:rsidRDefault="00372131">
      <w:r>
        <w:separator/>
      </w:r>
    </w:p>
    <w:p w14:paraId="76BD1DA5" w14:textId="77777777" w:rsidR="00DC691C" w:rsidRDefault="00DC691C"/>
  </w:footnote>
  <w:footnote w:type="continuationSeparator" w:id="0">
    <w:p w14:paraId="0ECEA29A" w14:textId="77777777" w:rsidR="00DC691C" w:rsidRDefault="00372131">
      <w:r>
        <w:continuationSeparator/>
      </w:r>
    </w:p>
    <w:p w14:paraId="2840B6ED" w14:textId="77777777" w:rsidR="00DC691C" w:rsidRDefault="00DC691C"/>
  </w:footnote>
  <w:footnote w:id="1">
    <w:p w14:paraId="398EE95F" w14:textId="77777777" w:rsidR="00F73AB9" w:rsidRDefault="00F73AB9" w:rsidP="00F73AB9">
      <w:pPr>
        <w:pStyle w:val="Voetnoottekst"/>
      </w:pPr>
      <w:r>
        <w:rPr>
          <w:rStyle w:val="Voetnootmarkering"/>
          <w:rFonts w:eastAsiaTheme="majorEastAsia"/>
        </w:rPr>
        <w:footnoteRef/>
      </w:r>
      <w:r>
        <w:t xml:space="preserve"> </w:t>
      </w:r>
      <w:hyperlink r:id="rId1" w:history="1">
        <w:r w:rsidRPr="005F2DE4">
          <w:rPr>
            <w:rStyle w:val="Hyperlink"/>
          </w:rPr>
          <w:t>Besluit tot het opleggen van een last onder dwangsom aan Ongehoord Nederland - Commissariaat voor de Media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139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65FF9" w14:paraId="32C4193C" w14:textId="77777777" w:rsidTr="006D2D53">
      <w:trPr>
        <w:trHeight w:hRule="exact" w:val="400"/>
      </w:trPr>
      <w:tc>
        <w:tcPr>
          <w:tcW w:w="7518" w:type="dxa"/>
        </w:tcPr>
        <w:p w14:paraId="4E7D2A14" w14:textId="77777777" w:rsidR="00527BD4" w:rsidRPr="00275984" w:rsidRDefault="00527BD4" w:rsidP="00BF4427">
          <w:pPr>
            <w:pStyle w:val="Huisstijl-Rubricering"/>
          </w:pPr>
        </w:p>
      </w:tc>
    </w:tr>
  </w:tbl>
  <w:p w14:paraId="2808CFB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65FF9" w14:paraId="51FC060F" w14:textId="77777777" w:rsidTr="003B528D">
      <w:tc>
        <w:tcPr>
          <w:tcW w:w="2160" w:type="dxa"/>
        </w:tcPr>
        <w:p w14:paraId="75156CCE" w14:textId="77777777" w:rsidR="002F71BB" w:rsidRPr="000407BB" w:rsidRDefault="00372131" w:rsidP="005D283A">
          <w:pPr>
            <w:pStyle w:val="Colofonkop"/>
            <w:framePr w:hSpace="0" w:wrap="auto" w:vAnchor="margin" w:hAnchor="text" w:xAlign="left" w:yAlign="inline"/>
          </w:pPr>
          <w:r>
            <w:t>Onze referentie</w:t>
          </w:r>
        </w:p>
      </w:tc>
    </w:tr>
    <w:tr w:rsidR="00865FF9" w14:paraId="16313837" w14:textId="77777777" w:rsidTr="002F71BB">
      <w:trPr>
        <w:trHeight w:val="259"/>
      </w:trPr>
      <w:tc>
        <w:tcPr>
          <w:tcW w:w="2160" w:type="dxa"/>
        </w:tcPr>
        <w:p w14:paraId="4C814497" w14:textId="77777777" w:rsidR="00E35CF4" w:rsidRPr="005D283A" w:rsidRDefault="00372131" w:rsidP="0049501A">
          <w:pPr>
            <w:spacing w:line="180" w:lineRule="exact"/>
            <w:rPr>
              <w:sz w:val="13"/>
              <w:szCs w:val="13"/>
            </w:rPr>
          </w:pPr>
          <w:r>
            <w:rPr>
              <w:sz w:val="13"/>
              <w:szCs w:val="13"/>
            </w:rPr>
            <w:t>55816487</w:t>
          </w:r>
        </w:p>
      </w:tc>
    </w:tr>
  </w:tbl>
  <w:p w14:paraId="794643E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65FF9" w14:paraId="0FD1F189" w14:textId="77777777" w:rsidTr="001377D4">
      <w:trPr>
        <w:trHeight w:val="2636"/>
      </w:trPr>
      <w:tc>
        <w:tcPr>
          <w:tcW w:w="737" w:type="dxa"/>
        </w:tcPr>
        <w:p w14:paraId="2F647A77" w14:textId="77777777" w:rsidR="00704845" w:rsidRDefault="00704845" w:rsidP="0047126E">
          <w:pPr>
            <w:framePr w:w="6339" w:h="2750" w:hRule="exact" w:hSpace="181" w:wrap="around" w:vAnchor="page" w:hAnchor="page" w:x="5586" w:y="1"/>
            <w:spacing w:line="240" w:lineRule="auto"/>
          </w:pPr>
        </w:p>
      </w:tc>
      <w:tc>
        <w:tcPr>
          <w:tcW w:w="5156" w:type="dxa"/>
        </w:tcPr>
        <w:p w14:paraId="3CBAF66E" w14:textId="77777777" w:rsidR="00704845" w:rsidRDefault="00372131" w:rsidP="0047126E">
          <w:pPr>
            <w:framePr w:w="3873" w:h="2625" w:hRule="exact" w:wrap="around" w:vAnchor="page" w:hAnchor="page" w:x="6323" w:y="1"/>
          </w:pPr>
          <w:r>
            <w:rPr>
              <w:noProof/>
              <w:lang w:val="en-US" w:eastAsia="en-US"/>
            </w:rPr>
            <w:drawing>
              <wp:inline distT="0" distB="0" distL="0" distR="0" wp14:anchorId="557C2D6E" wp14:editId="17E7BFE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B8CB393" w14:textId="77777777" w:rsidR="00483ECA" w:rsidRDefault="00483ECA" w:rsidP="00D037A9"/>
      </w:tc>
    </w:tr>
  </w:tbl>
  <w:p w14:paraId="042BD43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65FF9" w14:paraId="7D0E77D7" w14:textId="77777777" w:rsidTr="0008539E">
      <w:trPr>
        <w:trHeight w:hRule="exact" w:val="572"/>
      </w:trPr>
      <w:tc>
        <w:tcPr>
          <w:tcW w:w="7520" w:type="dxa"/>
        </w:tcPr>
        <w:p w14:paraId="2079D5DE" w14:textId="77777777" w:rsidR="00527BD4" w:rsidRPr="00963440" w:rsidRDefault="00372131" w:rsidP="00210BA3">
          <w:pPr>
            <w:pStyle w:val="Huisstijl-Adres"/>
            <w:spacing w:after="0"/>
          </w:pPr>
          <w:r w:rsidRPr="009E3B07">
            <w:t>&gt;Retouradres </w:t>
          </w:r>
          <w:r>
            <w:t>Postbus 16375 2500 BJ Den Haag</w:t>
          </w:r>
          <w:r w:rsidRPr="009E3B07">
            <w:t xml:space="preserve"> </w:t>
          </w:r>
        </w:p>
      </w:tc>
    </w:tr>
    <w:tr w:rsidR="00865FF9" w14:paraId="598ABE2B" w14:textId="77777777" w:rsidTr="00E776C6">
      <w:trPr>
        <w:cantSplit/>
        <w:trHeight w:hRule="exact" w:val="238"/>
      </w:trPr>
      <w:tc>
        <w:tcPr>
          <w:tcW w:w="7520" w:type="dxa"/>
        </w:tcPr>
        <w:p w14:paraId="2F187D46" w14:textId="77777777" w:rsidR="00093ABC" w:rsidRPr="00963440" w:rsidRDefault="00093ABC" w:rsidP="00963440"/>
      </w:tc>
    </w:tr>
    <w:tr w:rsidR="00865FF9" w14:paraId="507FDF1C" w14:textId="77777777" w:rsidTr="00E776C6">
      <w:trPr>
        <w:cantSplit/>
        <w:trHeight w:hRule="exact" w:val="1520"/>
      </w:trPr>
      <w:tc>
        <w:tcPr>
          <w:tcW w:w="7520" w:type="dxa"/>
        </w:tcPr>
        <w:p w14:paraId="3AAE6C5C" w14:textId="77777777" w:rsidR="00A604D3" w:rsidRPr="00963440" w:rsidRDefault="00A604D3" w:rsidP="00963440"/>
      </w:tc>
    </w:tr>
    <w:tr w:rsidR="00865FF9" w14:paraId="777F7BB2" w14:textId="77777777" w:rsidTr="00E776C6">
      <w:trPr>
        <w:trHeight w:hRule="exact" w:val="1077"/>
      </w:trPr>
      <w:tc>
        <w:tcPr>
          <w:tcW w:w="7520" w:type="dxa"/>
        </w:tcPr>
        <w:p w14:paraId="549F1F45" w14:textId="77777777" w:rsidR="00892BA5" w:rsidRPr="00035E67" w:rsidRDefault="00892BA5" w:rsidP="00892BA5">
          <w:pPr>
            <w:tabs>
              <w:tab w:val="left" w:pos="740"/>
            </w:tabs>
            <w:autoSpaceDE w:val="0"/>
            <w:autoSpaceDN w:val="0"/>
            <w:adjustRightInd w:val="0"/>
            <w:rPr>
              <w:rFonts w:cs="Verdana"/>
              <w:szCs w:val="18"/>
            </w:rPr>
          </w:pPr>
        </w:p>
      </w:tc>
    </w:tr>
  </w:tbl>
  <w:p w14:paraId="70B94F80" w14:textId="77777777" w:rsidR="006F273B" w:rsidRDefault="006F273B" w:rsidP="00BC4AE3">
    <w:pPr>
      <w:pStyle w:val="Koptekst"/>
    </w:pPr>
  </w:p>
  <w:p w14:paraId="102BDAD0" w14:textId="77777777" w:rsidR="00153BD0" w:rsidRDefault="00153BD0" w:rsidP="00BC4AE3">
    <w:pPr>
      <w:pStyle w:val="Koptekst"/>
    </w:pPr>
  </w:p>
  <w:p w14:paraId="7D761408" w14:textId="77777777" w:rsidR="0044605E" w:rsidRDefault="0044605E" w:rsidP="00BC4AE3">
    <w:pPr>
      <w:pStyle w:val="Koptekst"/>
    </w:pPr>
  </w:p>
  <w:p w14:paraId="35EB7922" w14:textId="77777777" w:rsidR="0044605E" w:rsidRDefault="0044605E" w:rsidP="00BC4AE3">
    <w:pPr>
      <w:pStyle w:val="Koptekst"/>
    </w:pPr>
  </w:p>
  <w:p w14:paraId="2592DB8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678E4A6">
      <w:start w:val="1"/>
      <w:numFmt w:val="bullet"/>
      <w:pStyle w:val="Lijstopsomteken"/>
      <w:lvlText w:val="•"/>
      <w:lvlJc w:val="left"/>
      <w:pPr>
        <w:tabs>
          <w:tab w:val="num" w:pos="227"/>
        </w:tabs>
        <w:ind w:left="227" w:hanging="227"/>
      </w:pPr>
      <w:rPr>
        <w:rFonts w:ascii="Verdana" w:hAnsi="Verdana" w:hint="default"/>
        <w:sz w:val="18"/>
        <w:szCs w:val="18"/>
      </w:rPr>
    </w:lvl>
    <w:lvl w:ilvl="1" w:tplc="4D4A8A90" w:tentative="1">
      <w:start w:val="1"/>
      <w:numFmt w:val="bullet"/>
      <w:lvlText w:val="o"/>
      <w:lvlJc w:val="left"/>
      <w:pPr>
        <w:tabs>
          <w:tab w:val="num" w:pos="1440"/>
        </w:tabs>
        <w:ind w:left="1440" w:hanging="360"/>
      </w:pPr>
      <w:rPr>
        <w:rFonts w:ascii="Courier New" w:hAnsi="Courier New" w:cs="Courier New" w:hint="default"/>
      </w:rPr>
    </w:lvl>
    <w:lvl w:ilvl="2" w:tplc="3148F5A8" w:tentative="1">
      <w:start w:val="1"/>
      <w:numFmt w:val="bullet"/>
      <w:lvlText w:val=""/>
      <w:lvlJc w:val="left"/>
      <w:pPr>
        <w:tabs>
          <w:tab w:val="num" w:pos="2160"/>
        </w:tabs>
        <w:ind w:left="2160" w:hanging="360"/>
      </w:pPr>
      <w:rPr>
        <w:rFonts w:ascii="Wingdings" w:hAnsi="Wingdings" w:hint="default"/>
      </w:rPr>
    </w:lvl>
    <w:lvl w:ilvl="3" w:tplc="F836BEB2" w:tentative="1">
      <w:start w:val="1"/>
      <w:numFmt w:val="bullet"/>
      <w:lvlText w:val=""/>
      <w:lvlJc w:val="left"/>
      <w:pPr>
        <w:tabs>
          <w:tab w:val="num" w:pos="2880"/>
        </w:tabs>
        <w:ind w:left="2880" w:hanging="360"/>
      </w:pPr>
      <w:rPr>
        <w:rFonts w:ascii="Symbol" w:hAnsi="Symbol" w:hint="default"/>
      </w:rPr>
    </w:lvl>
    <w:lvl w:ilvl="4" w:tplc="6CD6BFCA" w:tentative="1">
      <w:start w:val="1"/>
      <w:numFmt w:val="bullet"/>
      <w:lvlText w:val="o"/>
      <w:lvlJc w:val="left"/>
      <w:pPr>
        <w:tabs>
          <w:tab w:val="num" w:pos="3600"/>
        </w:tabs>
        <w:ind w:left="3600" w:hanging="360"/>
      </w:pPr>
      <w:rPr>
        <w:rFonts w:ascii="Courier New" w:hAnsi="Courier New" w:cs="Courier New" w:hint="default"/>
      </w:rPr>
    </w:lvl>
    <w:lvl w:ilvl="5" w:tplc="434043BA" w:tentative="1">
      <w:start w:val="1"/>
      <w:numFmt w:val="bullet"/>
      <w:lvlText w:val=""/>
      <w:lvlJc w:val="left"/>
      <w:pPr>
        <w:tabs>
          <w:tab w:val="num" w:pos="4320"/>
        </w:tabs>
        <w:ind w:left="4320" w:hanging="360"/>
      </w:pPr>
      <w:rPr>
        <w:rFonts w:ascii="Wingdings" w:hAnsi="Wingdings" w:hint="default"/>
      </w:rPr>
    </w:lvl>
    <w:lvl w:ilvl="6" w:tplc="A7B2DF4C" w:tentative="1">
      <w:start w:val="1"/>
      <w:numFmt w:val="bullet"/>
      <w:lvlText w:val=""/>
      <w:lvlJc w:val="left"/>
      <w:pPr>
        <w:tabs>
          <w:tab w:val="num" w:pos="5040"/>
        </w:tabs>
        <w:ind w:left="5040" w:hanging="360"/>
      </w:pPr>
      <w:rPr>
        <w:rFonts w:ascii="Symbol" w:hAnsi="Symbol" w:hint="default"/>
      </w:rPr>
    </w:lvl>
    <w:lvl w:ilvl="7" w:tplc="06E4D110" w:tentative="1">
      <w:start w:val="1"/>
      <w:numFmt w:val="bullet"/>
      <w:lvlText w:val="o"/>
      <w:lvlJc w:val="left"/>
      <w:pPr>
        <w:tabs>
          <w:tab w:val="num" w:pos="5760"/>
        </w:tabs>
        <w:ind w:left="5760" w:hanging="360"/>
      </w:pPr>
      <w:rPr>
        <w:rFonts w:ascii="Courier New" w:hAnsi="Courier New" w:cs="Courier New" w:hint="default"/>
      </w:rPr>
    </w:lvl>
    <w:lvl w:ilvl="8" w:tplc="F23ED9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5EE439A">
      <w:start w:val="1"/>
      <w:numFmt w:val="bullet"/>
      <w:pStyle w:val="Lijstopsomteken2"/>
      <w:lvlText w:val="–"/>
      <w:lvlJc w:val="left"/>
      <w:pPr>
        <w:tabs>
          <w:tab w:val="num" w:pos="227"/>
        </w:tabs>
        <w:ind w:left="227" w:firstLine="0"/>
      </w:pPr>
      <w:rPr>
        <w:rFonts w:ascii="Verdana" w:hAnsi="Verdana" w:hint="default"/>
      </w:rPr>
    </w:lvl>
    <w:lvl w:ilvl="1" w:tplc="D1624694" w:tentative="1">
      <w:start w:val="1"/>
      <w:numFmt w:val="bullet"/>
      <w:lvlText w:val="o"/>
      <w:lvlJc w:val="left"/>
      <w:pPr>
        <w:tabs>
          <w:tab w:val="num" w:pos="1440"/>
        </w:tabs>
        <w:ind w:left="1440" w:hanging="360"/>
      </w:pPr>
      <w:rPr>
        <w:rFonts w:ascii="Courier New" w:hAnsi="Courier New" w:cs="Courier New" w:hint="default"/>
      </w:rPr>
    </w:lvl>
    <w:lvl w:ilvl="2" w:tplc="3388713A" w:tentative="1">
      <w:start w:val="1"/>
      <w:numFmt w:val="bullet"/>
      <w:lvlText w:val=""/>
      <w:lvlJc w:val="left"/>
      <w:pPr>
        <w:tabs>
          <w:tab w:val="num" w:pos="2160"/>
        </w:tabs>
        <w:ind w:left="2160" w:hanging="360"/>
      </w:pPr>
      <w:rPr>
        <w:rFonts w:ascii="Wingdings" w:hAnsi="Wingdings" w:hint="default"/>
      </w:rPr>
    </w:lvl>
    <w:lvl w:ilvl="3" w:tplc="3432CEAA" w:tentative="1">
      <w:start w:val="1"/>
      <w:numFmt w:val="bullet"/>
      <w:lvlText w:val=""/>
      <w:lvlJc w:val="left"/>
      <w:pPr>
        <w:tabs>
          <w:tab w:val="num" w:pos="2880"/>
        </w:tabs>
        <w:ind w:left="2880" w:hanging="360"/>
      </w:pPr>
      <w:rPr>
        <w:rFonts w:ascii="Symbol" w:hAnsi="Symbol" w:hint="default"/>
      </w:rPr>
    </w:lvl>
    <w:lvl w:ilvl="4" w:tplc="EDFEC254" w:tentative="1">
      <w:start w:val="1"/>
      <w:numFmt w:val="bullet"/>
      <w:lvlText w:val="o"/>
      <w:lvlJc w:val="left"/>
      <w:pPr>
        <w:tabs>
          <w:tab w:val="num" w:pos="3600"/>
        </w:tabs>
        <w:ind w:left="3600" w:hanging="360"/>
      </w:pPr>
      <w:rPr>
        <w:rFonts w:ascii="Courier New" w:hAnsi="Courier New" w:cs="Courier New" w:hint="default"/>
      </w:rPr>
    </w:lvl>
    <w:lvl w:ilvl="5" w:tplc="87761BE2" w:tentative="1">
      <w:start w:val="1"/>
      <w:numFmt w:val="bullet"/>
      <w:lvlText w:val=""/>
      <w:lvlJc w:val="left"/>
      <w:pPr>
        <w:tabs>
          <w:tab w:val="num" w:pos="4320"/>
        </w:tabs>
        <w:ind w:left="4320" w:hanging="360"/>
      </w:pPr>
      <w:rPr>
        <w:rFonts w:ascii="Wingdings" w:hAnsi="Wingdings" w:hint="default"/>
      </w:rPr>
    </w:lvl>
    <w:lvl w:ilvl="6" w:tplc="2578E9D6" w:tentative="1">
      <w:start w:val="1"/>
      <w:numFmt w:val="bullet"/>
      <w:lvlText w:val=""/>
      <w:lvlJc w:val="left"/>
      <w:pPr>
        <w:tabs>
          <w:tab w:val="num" w:pos="5040"/>
        </w:tabs>
        <w:ind w:left="5040" w:hanging="360"/>
      </w:pPr>
      <w:rPr>
        <w:rFonts w:ascii="Symbol" w:hAnsi="Symbol" w:hint="default"/>
      </w:rPr>
    </w:lvl>
    <w:lvl w:ilvl="7" w:tplc="7C508024" w:tentative="1">
      <w:start w:val="1"/>
      <w:numFmt w:val="bullet"/>
      <w:lvlText w:val="o"/>
      <w:lvlJc w:val="left"/>
      <w:pPr>
        <w:tabs>
          <w:tab w:val="num" w:pos="5760"/>
        </w:tabs>
        <w:ind w:left="5760" w:hanging="360"/>
      </w:pPr>
      <w:rPr>
        <w:rFonts w:ascii="Courier New" w:hAnsi="Courier New" w:cs="Courier New" w:hint="default"/>
      </w:rPr>
    </w:lvl>
    <w:lvl w:ilvl="8" w:tplc="8C3673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89279291">
    <w:abstractNumId w:val="10"/>
  </w:num>
  <w:num w:numId="2" w16cid:durableId="1653214490">
    <w:abstractNumId w:val="7"/>
  </w:num>
  <w:num w:numId="3" w16cid:durableId="118382388">
    <w:abstractNumId w:val="6"/>
  </w:num>
  <w:num w:numId="4" w16cid:durableId="993531540">
    <w:abstractNumId w:val="5"/>
  </w:num>
  <w:num w:numId="5" w16cid:durableId="1336686718">
    <w:abstractNumId w:val="4"/>
  </w:num>
  <w:num w:numId="6" w16cid:durableId="227152740">
    <w:abstractNumId w:val="8"/>
  </w:num>
  <w:num w:numId="7" w16cid:durableId="256065974">
    <w:abstractNumId w:val="3"/>
  </w:num>
  <w:num w:numId="8" w16cid:durableId="246229526">
    <w:abstractNumId w:val="2"/>
  </w:num>
  <w:num w:numId="9" w16cid:durableId="782457450">
    <w:abstractNumId w:val="1"/>
  </w:num>
  <w:num w:numId="10" w16cid:durableId="1683168927">
    <w:abstractNumId w:val="0"/>
  </w:num>
  <w:num w:numId="11" w16cid:durableId="868294881">
    <w:abstractNumId w:val="9"/>
  </w:num>
  <w:num w:numId="12" w16cid:durableId="459105687">
    <w:abstractNumId w:val="11"/>
  </w:num>
  <w:num w:numId="13" w16cid:durableId="1066949922">
    <w:abstractNumId w:val="13"/>
  </w:num>
  <w:num w:numId="14" w16cid:durableId="13129067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2BE"/>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24A"/>
    <w:rsid w:val="000E6621"/>
    <w:rsid w:val="000E7895"/>
    <w:rsid w:val="000F161D"/>
    <w:rsid w:val="000F1B4E"/>
    <w:rsid w:val="000F1FFF"/>
    <w:rsid w:val="000F53AE"/>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9FD"/>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2131"/>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4DFF"/>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4F72"/>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634"/>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6067"/>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27A69"/>
    <w:rsid w:val="0083178B"/>
    <w:rsid w:val="00833695"/>
    <w:rsid w:val="008336B7"/>
    <w:rsid w:val="00833A8E"/>
    <w:rsid w:val="0084255A"/>
    <w:rsid w:val="00842CD8"/>
    <w:rsid w:val="008431FA"/>
    <w:rsid w:val="008505EC"/>
    <w:rsid w:val="008547BA"/>
    <w:rsid w:val="008553C7"/>
    <w:rsid w:val="00857FEB"/>
    <w:rsid w:val="008601AF"/>
    <w:rsid w:val="00865FF9"/>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4D0"/>
    <w:rsid w:val="008F2584"/>
    <w:rsid w:val="008F3246"/>
    <w:rsid w:val="008F3C1B"/>
    <w:rsid w:val="008F508C"/>
    <w:rsid w:val="0090271B"/>
    <w:rsid w:val="00910642"/>
    <w:rsid w:val="00910DDF"/>
    <w:rsid w:val="00921861"/>
    <w:rsid w:val="00924639"/>
    <w:rsid w:val="0092611E"/>
    <w:rsid w:val="00926F1F"/>
    <w:rsid w:val="00926F4B"/>
    <w:rsid w:val="00927773"/>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25FC"/>
    <w:rsid w:val="009C3F20"/>
    <w:rsid w:val="009C64FB"/>
    <w:rsid w:val="009C7CA1"/>
    <w:rsid w:val="009D043D"/>
    <w:rsid w:val="009D716F"/>
    <w:rsid w:val="009E3B07"/>
    <w:rsid w:val="009E4507"/>
    <w:rsid w:val="009F3259"/>
    <w:rsid w:val="009F541F"/>
    <w:rsid w:val="009F5496"/>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3544"/>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0E48"/>
    <w:rsid w:val="00BD7E81"/>
    <w:rsid w:val="00BE17D4"/>
    <w:rsid w:val="00BE3F88"/>
    <w:rsid w:val="00BE4756"/>
    <w:rsid w:val="00BE5ED9"/>
    <w:rsid w:val="00BE7B41"/>
    <w:rsid w:val="00BF4427"/>
    <w:rsid w:val="00BF46B6"/>
    <w:rsid w:val="00BF5675"/>
    <w:rsid w:val="00C10531"/>
    <w:rsid w:val="00C15A91"/>
    <w:rsid w:val="00C206F1"/>
    <w:rsid w:val="00C2159D"/>
    <w:rsid w:val="00C217E1"/>
    <w:rsid w:val="00C219B1"/>
    <w:rsid w:val="00C21A50"/>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7791"/>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2D2"/>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217A"/>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2785"/>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3AB9"/>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373E7"/>
  <w15:docId w15:val="{B3A91291-206D-4FC5-B470-8002F18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C10531"/>
    <w:rPr>
      <w:vertAlign w:val="superscript"/>
    </w:rPr>
  </w:style>
  <w:style w:type="character" w:styleId="Verwijzingopmerking">
    <w:name w:val="annotation reference"/>
    <w:basedOn w:val="Standaardalinea-lettertype"/>
    <w:uiPriority w:val="99"/>
    <w:unhideWhenUsed/>
    <w:rsid w:val="00C10531"/>
    <w:rPr>
      <w:sz w:val="16"/>
      <w:szCs w:val="16"/>
    </w:rPr>
  </w:style>
  <w:style w:type="paragraph" w:styleId="Tekstopmerking">
    <w:name w:val="annotation text"/>
    <w:basedOn w:val="Standaard"/>
    <w:link w:val="TekstopmerkingChar"/>
    <w:uiPriority w:val="99"/>
    <w:unhideWhenUsed/>
    <w:rsid w:val="00C10531"/>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10531"/>
    <w:rPr>
      <w:rFonts w:asciiTheme="minorHAnsi" w:eastAsiaTheme="minorHAnsi" w:hAnsiTheme="minorHAnsi" w:cstheme="minorBidi"/>
      <w:kern w:val="2"/>
      <w:lang w:val="nl-NL"/>
      <w14:ligatures w14:val="standardContextual"/>
    </w:rPr>
  </w:style>
  <w:style w:type="character" w:customStyle="1" w:styleId="VoetnoottekstChar">
    <w:name w:val="Voetnoottekst Char"/>
    <w:basedOn w:val="Standaardalinea-lettertype"/>
    <w:link w:val="Voetnoottekst"/>
    <w:semiHidden/>
    <w:rsid w:val="00F73AB9"/>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vdm.nl/besluiten/besluit-tot-het-opleggen-van-een-last-onder-dwangs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1010</ap:Words>
  <ap:Characters>5850</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2025-12-09T09:21:00.0000000Z</dcterms:created>
  <dcterms:modified xsi:type="dcterms:W3CDTF">2025-12-09T09:30:00.0000000Z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O204VEN</vt:lpwstr>
  </property>
  <property fmtid="{D5CDD505-2E9C-101B-9397-08002B2CF9AE}" pid="3" name="Author">
    <vt:lpwstr>O204VEN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Mohandis (GL/PvdA)</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O204VEN</vt:lpwstr>
  </property>
</Properties>
</file>