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0DC2" w:rsidP="00D10DC2" w:rsidRDefault="00D10DC2" w14:paraId="09F794CF" w14:textId="77777777">
      <w:pPr>
        <w:rPr>
          <w:b/>
          <w:bCs/>
        </w:rPr>
      </w:pPr>
      <w:r>
        <w:rPr>
          <w:b/>
          <w:bCs/>
        </w:rPr>
        <w:t>Aanleiding</w:t>
      </w:r>
    </w:p>
    <w:p w:rsidR="00D10DC2" w:rsidP="00D10DC2" w:rsidRDefault="00D10DC2" w14:paraId="7A1489C9" w14:textId="0393E255">
      <w:r>
        <w:t xml:space="preserve">Van april 2023 tot juli 2025 heeft het Nederlands Studiecentrum voor Criminaliteit en Rechtshandhaving (NSCR) in opdracht van het </w:t>
      </w:r>
      <w:r w:rsidRPr="006D66D7">
        <w:t>Wetenschappelijk Onderzoek- en Documentatie Centrum (WODC)</w:t>
      </w:r>
      <w:r>
        <w:t xml:space="preserve"> en op verzoek van </w:t>
      </w:r>
      <w:r w:rsidR="00F742E7">
        <w:t>het ministerie van Justitie en Veiligheid</w:t>
      </w:r>
      <w:r>
        <w:t xml:space="preserve"> en het Openbaar Ministerie</w:t>
      </w:r>
      <w:r w:rsidR="00F742E7">
        <w:t xml:space="preserve"> (OM)</w:t>
      </w:r>
      <w:r>
        <w:t xml:space="preserve">, een onderzoek uitgevoerd naar de effecten van de civiele verboden op Outlaw </w:t>
      </w:r>
      <w:proofErr w:type="spellStart"/>
      <w:r>
        <w:t>Motorcycle</w:t>
      </w:r>
      <w:proofErr w:type="spellEnd"/>
      <w:r>
        <w:t xml:space="preserve"> Gangs (</w:t>
      </w:r>
      <w:proofErr w:type="spellStart"/>
      <w:r>
        <w:t>OMG’s</w:t>
      </w:r>
      <w:proofErr w:type="spellEnd"/>
      <w:r>
        <w:t xml:space="preserve">). Het civiele verbod betreft de bevoegdheid van </w:t>
      </w:r>
      <w:r w:rsidR="00F742E7">
        <w:t>het OM</w:t>
      </w:r>
      <w:r>
        <w:t xml:space="preserve"> </w:t>
      </w:r>
      <w:proofErr w:type="spellStart"/>
      <w:r>
        <w:t>om</w:t>
      </w:r>
      <w:proofErr w:type="spellEnd"/>
      <w:r>
        <w:t xml:space="preserve"> op grond van artikel 2:20 Burgerlijk Wetboek (BW) aan de rechter een verzoek tot verbodenverklaring van een rechtspersoon te doen. Het eindrapport van het onderzoek is </w:t>
      </w:r>
      <w:r w:rsidR="00F742E7">
        <w:t>1</w:t>
      </w:r>
      <w:r>
        <w:t xml:space="preserve"> september jl. aan </w:t>
      </w:r>
      <w:r w:rsidR="00557D1F">
        <w:t>uw</w:t>
      </w:r>
      <w:r w:rsidR="00E76668">
        <w:t xml:space="preserve"> </w:t>
      </w:r>
      <w:r>
        <w:t xml:space="preserve">Kamer aangeboden, onder </w:t>
      </w:r>
      <w:r w:rsidRPr="003F79C0">
        <w:t>toezegging van een inhoudelijke reactie</w:t>
      </w:r>
      <w:r>
        <w:t xml:space="preserve"> eind 2025.</w:t>
      </w:r>
      <w:r>
        <w:rPr>
          <w:rStyle w:val="Voetnootmarkering"/>
        </w:rPr>
        <w:footnoteReference w:id="1"/>
      </w:r>
      <w:r w:rsidRPr="00EB3E1D">
        <w:t xml:space="preserve"> Hiermee </w:t>
      </w:r>
      <w:r>
        <w:t>geef ik uitvoering aan deze</w:t>
      </w:r>
      <w:r w:rsidRPr="00EB3E1D">
        <w:t xml:space="preserve"> toezegging.</w:t>
      </w:r>
    </w:p>
    <w:p w:rsidR="00D10DC2" w:rsidP="00D10DC2" w:rsidRDefault="00D10DC2" w14:paraId="00F6D3E4" w14:textId="77777777"/>
    <w:p w:rsidR="00D10DC2" w:rsidP="00D10DC2" w:rsidRDefault="00D10DC2" w14:paraId="182B8CA6" w14:textId="7DDBDEB9">
      <w:r>
        <w:t xml:space="preserve">In deze brief </w:t>
      </w:r>
      <w:r w:rsidR="00323E97">
        <w:t>ga ik</w:t>
      </w:r>
      <w:r>
        <w:t xml:space="preserve"> eerst in op enkele bevindingen van de onderzoekers. V</w:t>
      </w:r>
      <w:r w:rsidRPr="00EB3E1D">
        <w:t xml:space="preserve">ervolgens </w:t>
      </w:r>
      <w:r w:rsidR="00323E97">
        <w:t xml:space="preserve">licht ik toe </w:t>
      </w:r>
      <w:r w:rsidRPr="00EB3E1D">
        <w:t xml:space="preserve">op welke manier </w:t>
      </w:r>
      <w:r w:rsidR="00F742E7">
        <w:t xml:space="preserve">ik </w:t>
      </w:r>
      <w:r w:rsidRPr="00EB3E1D">
        <w:t>hier gevolg aan zal geven.</w:t>
      </w:r>
      <w:r>
        <w:t xml:space="preserve"> Ook geef ik in deze brief uitvoering aan een toezegging aan </w:t>
      </w:r>
      <w:r w:rsidR="00E76668">
        <w:t>de Eerste</w:t>
      </w:r>
      <w:r>
        <w:t xml:space="preserve"> Kamer uit 2021 door de toenmalige Minister voor Rechtsbescherming omtrent het in gesprek gaan met het OM en de Raad voor de rechtspraak over mogelijkheden tot het versnellen van de toepassing van het civiel verbod.</w:t>
      </w:r>
      <w:r>
        <w:rPr>
          <w:rStyle w:val="Voetnootmarkering"/>
        </w:rPr>
        <w:footnoteReference w:id="2"/>
      </w:r>
    </w:p>
    <w:p w:rsidR="00D10DC2" w:rsidP="00D10DC2" w:rsidRDefault="00D10DC2" w14:paraId="59BF8655" w14:textId="77777777"/>
    <w:p w:rsidR="00D10DC2" w:rsidP="00D10DC2" w:rsidRDefault="00D10DC2" w14:paraId="239161E8" w14:textId="77777777">
      <w:pPr>
        <w:rPr>
          <w:b/>
          <w:bCs/>
        </w:rPr>
      </w:pPr>
      <w:r>
        <w:rPr>
          <w:b/>
          <w:bCs/>
        </w:rPr>
        <w:t xml:space="preserve">Bevindingen </w:t>
      </w:r>
    </w:p>
    <w:p w:rsidRPr="00AF33F2" w:rsidR="00D10DC2" w:rsidP="00D10DC2" w:rsidRDefault="00D10DC2" w14:paraId="1B65B62F" w14:textId="77777777">
      <w:r w:rsidRPr="00AF33F2">
        <w:t xml:space="preserve">De onderzoekers hebben ten eerste de beleidstheorie gereconstrueerd die ten grondslag ligt aan het civiel verbod van </w:t>
      </w:r>
      <w:proofErr w:type="spellStart"/>
      <w:r w:rsidRPr="00AF33F2">
        <w:t>OMG’s</w:t>
      </w:r>
      <w:proofErr w:type="spellEnd"/>
      <w:r w:rsidRPr="00AF33F2">
        <w:t>. Uit de beleidstheorie volgt dat het civiele verbod drie doelen kent:</w:t>
      </w:r>
    </w:p>
    <w:p w:rsidRPr="00AF33F2" w:rsidR="00D10DC2" w:rsidP="00D10DC2" w:rsidRDefault="00D10DC2" w14:paraId="280AE5B1" w14:textId="77777777"/>
    <w:p w:rsidRPr="00AF33F2" w:rsidR="00D10DC2" w:rsidP="00D10DC2" w:rsidRDefault="00D10DC2" w14:paraId="451A8F1E" w14:textId="69EE8CAA">
      <w:pPr>
        <w:pStyle w:val="Lijstalinea"/>
        <w:numPr>
          <w:ilvl w:val="0"/>
          <w:numId w:val="7"/>
        </w:numPr>
      </w:pPr>
      <w:r w:rsidRPr="00AF33F2">
        <w:t>Niet tolereren dat de overheid organisaties laat bestaan die de veiligheid van burgers en ondernemers aantast</w:t>
      </w:r>
      <w:r w:rsidR="00AB22F2">
        <w:t>en</w:t>
      </w:r>
      <w:r w:rsidRPr="00AF33F2">
        <w:t xml:space="preserve"> (normatief).</w:t>
      </w:r>
    </w:p>
    <w:p w:rsidRPr="00AF33F2" w:rsidR="00D10DC2" w:rsidP="00D10DC2" w:rsidRDefault="00D10DC2" w14:paraId="26F1473E" w14:textId="77777777">
      <w:pPr>
        <w:pStyle w:val="Lijstalinea"/>
        <w:numPr>
          <w:ilvl w:val="0"/>
          <w:numId w:val="7"/>
        </w:numPr>
      </w:pPr>
      <w:r w:rsidRPr="00AF33F2">
        <w:t xml:space="preserve">Het doorbreken van het organiserend vermogen van </w:t>
      </w:r>
      <w:proofErr w:type="spellStart"/>
      <w:r w:rsidRPr="00AF33F2">
        <w:t>OMG’s</w:t>
      </w:r>
      <w:proofErr w:type="spellEnd"/>
      <w:r w:rsidRPr="00AF33F2">
        <w:t xml:space="preserve"> om criminaliteit te voorkomen (instrumenteel).</w:t>
      </w:r>
    </w:p>
    <w:p w:rsidRPr="00AF33F2" w:rsidR="00D10DC2" w:rsidP="00D10DC2" w:rsidRDefault="00D10DC2" w14:paraId="1146EB18" w14:textId="77777777">
      <w:pPr>
        <w:pStyle w:val="Lijstalinea"/>
        <w:numPr>
          <w:ilvl w:val="0"/>
          <w:numId w:val="7"/>
        </w:numPr>
      </w:pPr>
      <w:r w:rsidRPr="00AF33F2">
        <w:t xml:space="preserve">Het ondersteunen en vergemakkelijken van de integrale aanpak van </w:t>
      </w:r>
      <w:proofErr w:type="spellStart"/>
      <w:r w:rsidRPr="00AF33F2">
        <w:t>OMG’s</w:t>
      </w:r>
      <w:proofErr w:type="spellEnd"/>
      <w:r w:rsidRPr="00AF33F2">
        <w:t xml:space="preserve"> (faciliterend).</w:t>
      </w:r>
    </w:p>
    <w:p w:rsidRPr="00AF33F2" w:rsidR="00D10DC2" w:rsidP="00D10DC2" w:rsidRDefault="00D10DC2" w14:paraId="68B5BBD4" w14:textId="77777777">
      <w:pPr>
        <w:rPr>
          <w:b/>
          <w:bCs/>
        </w:rPr>
      </w:pPr>
    </w:p>
    <w:p w:rsidR="00D10DC2" w:rsidP="00D10DC2" w:rsidRDefault="00D10DC2" w14:paraId="1EF39221" w14:textId="77777777">
      <w:pPr>
        <w:rPr>
          <w:szCs w:val="20"/>
        </w:rPr>
      </w:pPr>
      <w:r w:rsidRPr="00AF33F2">
        <w:t xml:space="preserve">De onderzoekers concluderen dat het </w:t>
      </w:r>
      <w:r w:rsidRPr="00AF33F2">
        <w:rPr>
          <w:i/>
          <w:iCs/>
        </w:rPr>
        <w:t>normatieve</w:t>
      </w:r>
      <w:r w:rsidRPr="00AF33F2">
        <w:t xml:space="preserve"> doel is gerealiseerd, omdat er zeven </w:t>
      </w:r>
      <w:proofErr w:type="spellStart"/>
      <w:r>
        <w:t>OMG’s</w:t>
      </w:r>
      <w:proofErr w:type="spellEnd"/>
      <w:r w:rsidRPr="00AF33F2">
        <w:t xml:space="preserve"> onherroepelijk zijn verboden</w:t>
      </w:r>
      <w:r>
        <w:t xml:space="preserve"> door de rechter</w:t>
      </w:r>
      <w:r w:rsidRPr="00AF33F2">
        <w:t xml:space="preserve">. Voor wat betreft het instrumentele doel is de conclusie van de onderzoekers dat dit </w:t>
      </w:r>
      <w:r w:rsidRPr="00AF33F2">
        <w:rPr>
          <w:i/>
          <w:iCs/>
        </w:rPr>
        <w:t>deels</w:t>
      </w:r>
      <w:r w:rsidRPr="00AF33F2">
        <w:t xml:space="preserve"> is gerealiseerd. Het is immers lastiger geworden voor verboden </w:t>
      </w:r>
      <w:proofErr w:type="spellStart"/>
      <w:r w:rsidRPr="00AF33F2">
        <w:t>OMG’s</w:t>
      </w:r>
      <w:proofErr w:type="spellEnd"/>
      <w:r w:rsidRPr="00AF33F2">
        <w:t xml:space="preserve"> om zichtbare clubactiviteiten te ontplooien; de civiele verboden hebben vooral daar effect op gehad. Er zijn evenwel geen </w:t>
      </w:r>
      <w:r w:rsidRPr="00AF33F2">
        <w:rPr>
          <w:szCs w:val="20"/>
        </w:rPr>
        <w:t xml:space="preserve">indicaties dat het civiel verbod effect heeft gehad op de frequentie van het criminele gedrag door OMG-leden. Wel suggereren de data dat het lastiger is geworden om met andere OMG-leden delicten te plegen en dat de leden daarom dit nu meer doen met partners buiten de OMG-populatie. </w:t>
      </w:r>
    </w:p>
    <w:p w:rsidRPr="00AF33F2" w:rsidR="00D10DC2" w:rsidP="00D10DC2" w:rsidRDefault="00D10DC2" w14:paraId="0139B4DD" w14:textId="77777777">
      <w:pPr>
        <w:rPr>
          <w:szCs w:val="20"/>
        </w:rPr>
      </w:pPr>
    </w:p>
    <w:p w:rsidRPr="00AF33F2" w:rsidR="00D10DC2" w:rsidP="00D10DC2" w:rsidRDefault="00D10DC2" w14:paraId="1DDC3098" w14:textId="77777777">
      <w:pPr>
        <w:rPr>
          <w:szCs w:val="20"/>
        </w:rPr>
      </w:pPr>
      <w:r w:rsidRPr="00AF33F2">
        <w:rPr>
          <w:szCs w:val="20"/>
        </w:rPr>
        <w:t xml:space="preserve">Hoewel het aantal </w:t>
      </w:r>
      <w:r>
        <w:rPr>
          <w:szCs w:val="20"/>
        </w:rPr>
        <w:t xml:space="preserve">geregistreerde </w:t>
      </w:r>
      <w:r w:rsidRPr="00AF33F2">
        <w:rPr>
          <w:szCs w:val="20"/>
        </w:rPr>
        <w:t xml:space="preserve">leden van </w:t>
      </w:r>
      <w:proofErr w:type="spellStart"/>
      <w:r w:rsidRPr="00AF33F2">
        <w:rPr>
          <w:szCs w:val="20"/>
        </w:rPr>
        <w:t>OMG’s</w:t>
      </w:r>
      <w:proofErr w:type="spellEnd"/>
      <w:r w:rsidRPr="00AF33F2">
        <w:rPr>
          <w:szCs w:val="20"/>
        </w:rPr>
        <w:t xml:space="preserve"> na de verboden is gedaald, is dit aantal groter dan het aantal omstreeks de start van de aanpak in 2014. Daar komt bij dat er ook nieuwe </w:t>
      </w:r>
      <w:proofErr w:type="spellStart"/>
      <w:r w:rsidRPr="00AF33F2">
        <w:rPr>
          <w:szCs w:val="20"/>
        </w:rPr>
        <w:t>OMG’s</w:t>
      </w:r>
      <w:proofErr w:type="spellEnd"/>
      <w:r w:rsidRPr="00AF33F2">
        <w:rPr>
          <w:szCs w:val="20"/>
        </w:rPr>
        <w:t xml:space="preserve"> zijn opgericht, die ook een nieuwe groep leden aanboort. Het lidmaatschap van een OMG blijft dus voor sommige mannen aantrekkelijk. De wereld van georganiseerde criminaliteit en de OMG-subcultuur wordt dus minder gemakkelijk geraakt door een civiel verbod. </w:t>
      </w:r>
    </w:p>
    <w:p w:rsidRPr="00AF33F2" w:rsidR="00D10DC2" w:rsidP="00D10DC2" w:rsidRDefault="00D10DC2" w14:paraId="2340F470" w14:textId="77777777">
      <w:pPr>
        <w:rPr>
          <w:szCs w:val="20"/>
        </w:rPr>
      </w:pPr>
    </w:p>
    <w:p w:rsidRPr="00AF33F2" w:rsidR="00D10DC2" w:rsidP="00D10DC2" w:rsidRDefault="00D10DC2" w14:paraId="0DEE3B07" w14:textId="61CDA0BF">
      <w:pPr>
        <w:rPr>
          <w:szCs w:val="20"/>
        </w:rPr>
      </w:pPr>
      <w:r>
        <w:rPr>
          <w:szCs w:val="20"/>
        </w:rPr>
        <w:t>De onderzoekers</w:t>
      </w:r>
      <w:r w:rsidRPr="00AF33F2">
        <w:rPr>
          <w:szCs w:val="20"/>
        </w:rPr>
        <w:t xml:space="preserve"> doe</w:t>
      </w:r>
      <w:r>
        <w:rPr>
          <w:szCs w:val="20"/>
        </w:rPr>
        <w:t>n</w:t>
      </w:r>
      <w:r w:rsidRPr="00AF33F2">
        <w:rPr>
          <w:szCs w:val="20"/>
        </w:rPr>
        <w:t xml:space="preserve"> </w:t>
      </w:r>
      <w:r w:rsidRPr="00AF33F2">
        <w:rPr>
          <w:i/>
          <w:iCs/>
          <w:szCs w:val="20"/>
        </w:rPr>
        <w:t>geen</w:t>
      </w:r>
      <w:r w:rsidRPr="00AF33F2">
        <w:rPr>
          <w:szCs w:val="20"/>
        </w:rPr>
        <w:t xml:space="preserve"> uitspraken over de mate waarin het faciliterend doel is behaald, maar</w:t>
      </w:r>
      <w:r>
        <w:rPr>
          <w:szCs w:val="20"/>
        </w:rPr>
        <w:t xml:space="preserve"> zij stellen</w:t>
      </w:r>
      <w:r w:rsidRPr="00AF33F2">
        <w:rPr>
          <w:szCs w:val="20"/>
        </w:rPr>
        <w:t xml:space="preserve"> wel dat de verboden de integrale aanpak hebben ondersteund omdat het makkelijker is geworden om </w:t>
      </w:r>
      <w:proofErr w:type="spellStart"/>
      <w:r w:rsidRPr="00AF33F2">
        <w:rPr>
          <w:szCs w:val="20"/>
        </w:rPr>
        <w:t>OMG’s</w:t>
      </w:r>
      <w:proofErr w:type="spellEnd"/>
      <w:r w:rsidRPr="00AF33F2">
        <w:rPr>
          <w:szCs w:val="20"/>
        </w:rPr>
        <w:t xml:space="preserve"> te vervolgen voor bijvoorbeeld het dragen van </w:t>
      </w:r>
      <w:r>
        <w:rPr>
          <w:szCs w:val="20"/>
        </w:rPr>
        <w:t>clubkleuren</w:t>
      </w:r>
      <w:r w:rsidRPr="00AF33F2">
        <w:rPr>
          <w:szCs w:val="20"/>
        </w:rPr>
        <w:t xml:space="preserve">. </w:t>
      </w:r>
    </w:p>
    <w:p w:rsidRPr="00AF33F2" w:rsidR="00D10DC2" w:rsidP="00D10DC2" w:rsidRDefault="00D10DC2" w14:paraId="075B3E92" w14:textId="77777777">
      <w:pPr>
        <w:rPr>
          <w:b/>
          <w:bCs/>
        </w:rPr>
      </w:pPr>
    </w:p>
    <w:p w:rsidR="00D10DC2" w:rsidP="00D10DC2" w:rsidRDefault="00D10DC2" w14:paraId="527C19A7" w14:textId="22A8E585">
      <w:r w:rsidRPr="00AF33F2">
        <w:rPr>
          <w:szCs w:val="20"/>
        </w:rPr>
        <w:t xml:space="preserve">Wat betreft de reputatie en zichtbaarheid van de clubs is er veel veranderd: clubhuizen zijn gesloten, evenementen en </w:t>
      </w:r>
      <w:proofErr w:type="spellStart"/>
      <w:r w:rsidRPr="00AF33F2">
        <w:rPr>
          <w:szCs w:val="20"/>
        </w:rPr>
        <w:t>ride</w:t>
      </w:r>
      <w:proofErr w:type="spellEnd"/>
      <w:r w:rsidRPr="00AF33F2">
        <w:rPr>
          <w:szCs w:val="20"/>
        </w:rPr>
        <w:t>-outs vinden niet of nauwelijks plaats en de clubsymbolen zijn grotendeels uit het straatbeeld verdwenen. Ook zijn de belangrijkste clubs hun legale status kwijt. Het verbod bemoeilijkt clubactiviteiten en leden zien zich genoodzaakt zich aan te passen. Ook laat h</w:t>
      </w:r>
      <w:r w:rsidRPr="00AF33F2">
        <w:t>et onderzoek zien dat</w:t>
      </w:r>
      <w:r>
        <w:t xml:space="preserve"> met het opleggen van de civiele verboden</w:t>
      </w:r>
      <w:r w:rsidRPr="00AF33F2">
        <w:t xml:space="preserve"> </w:t>
      </w:r>
      <w:r>
        <w:t xml:space="preserve">een norm is gesteld, </w:t>
      </w:r>
      <w:r w:rsidR="00323E97">
        <w:t>namelijk dat</w:t>
      </w:r>
      <w:r>
        <w:t xml:space="preserve"> </w:t>
      </w:r>
      <w:r w:rsidRPr="00AF33F2">
        <w:t>de samenleving niet accepteert dat er organisaties zijn die zichzelf buiten de wet plaatsen.</w:t>
      </w:r>
      <w:r w:rsidRPr="002D36F9">
        <w:t xml:space="preserve"> </w:t>
      </w:r>
      <w:r>
        <w:t>Dit heeft de</w:t>
      </w:r>
      <w:r w:rsidRPr="00AF33F2">
        <w:t xml:space="preserve"> rechtsstaat versterkt</w:t>
      </w:r>
      <w:r>
        <w:t>.</w:t>
      </w:r>
    </w:p>
    <w:p w:rsidR="00D10DC2" w:rsidP="00D10DC2" w:rsidRDefault="00D10DC2" w14:paraId="7DF0FD1C" w14:textId="77777777"/>
    <w:p w:rsidR="00D10DC2" w:rsidP="00D10DC2" w:rsidRDefault="00D10DC2" w14:paraId="212B10D0" w14:textId="77777777">
      <w:pPr>
        <w:rPr>
          <w:szCs w:val="20"/>
        </w:rPr>
      </w:pPr>
      <w:r w:rsidRPr="00BA1A8C">
        <w:rPr>
          <w:szCs w:val="20"/>
        </w:rPr>
        <w:t>Omdat het OMG-landschap sinds de start van de aanpak sterk is versplinterd</w:t>
      </w:r>
      <w:r>
        <w:rPr>
          <w:szCs w:val="20"/>
        </w:rPr>
        <w:t>,</w:t>
      </w:r>
      <w:r w:rsidRPr="00BA1A8C">
        <w:rPr>
          <w:szCs w:val="20"/>
        </w:rPr>
        <w:t xml:space="preserve"> doen de onderzoekers de aanbeveling om te heroverwegen of de aanpak niet meer gefocust zou moeten zijn op de meest bedreigende en/of criminele (leden van) </w:t>
      </w:r>
      <w:proofErr w:type="spellStart"/>
      <w:r w:rsidRPr="00BA1A8C">
        <w:rPr>
          <w:szCs w:val="20"/>
        </w:rPr>
        <w:t>OMG’s</w:t>
      </w:r>
      <w:proofErr w:type="spellEnd"/>
      <w:r w:rsidRPr="00BA1A8C">
        <w:rPr>
          <w:szCs w:val="20"/>
        </w:rPr>
        <w:t xml:space="preserve">, in plaats van de huidige brede inzet op alle </w:t>
      </w:r>
      <w:proofErr w:type="spellStart"/>
      <w:r w:rsidRPr="00BA1A8C">
        <w:rPr>
          <w:szCs w:val="20"/>
        </w:rPr>
        <w:t>OMG’s</w:t>
      </w:r>
      <w:proofErr w:type="spellEnd"/>
      <w:r w:rsidRPr="00BA1A8C">
        <w:rPr>
          <w:szCs w:val="20"/>
        </w:rPr>
        <w:t xml:space="preserve"> in Nederland.</w:t>
      </w:r>
    </w:p>
    <w:p w:rsidR="00D10DC2" w:rsidP="00D10DC2" w:rsidRDefault="00D10DC2" w14:paraId="0C30B5EF" w14:textId="77777777">
      <w:pPr>
        <w:rPr>
          <w:b/>
          <w:bCs/>
        </w:rPr>
      </w:pPr>
    </w:p>
    <w:p w:rsidRPr="00561E28" w:rsidR="00C96BA3" w:rsidP="00C96BA3" w:rsidRDefault="00C96BA3" w14:paraId="4641F699" w14:textId="77777777">
      <w:pPr>
        <w:rPr>
          <w:b/>
          <w:bCs/>
        </w:rPr>
      </w:pPr>
      <w:r>
        <w:rPr>
          <w:b/>
          <w:bCs/>
        </w:rPr>
        <w:t>Reactie op onderzoek</w:t>
      </w:r>
    </w:p>
    <w:p w:rsidR="00C96BA3" w:rsidP="00C96BA3" w:rsidRDefault="00C96BA3" w14:paraId="6B9E1815" w14:textId="77777777">
      <w:r>
        <w:t xml:space="preserve">Ten eerste dank ik de onderzoekers voor hun gedegen analyse. Ik constateer dat we succesvol zijn geweest in het terugdringen van </w:t>
      </w:r>
      <w:proofErr w:type="spellStart"/>
      <w:r>
        <w:t>OMG’s</w:t>
      </w:r>
      <w:proofErr w:type="spellEnd"/>
      <w:r>
        <w:t xml:space="preserve"> in de openbare ruimte, en dat zij daarmee minder intimiderend kunnen werken naar hun omgeving en op (onschuldige) burgers. Hun ogenschijnlijke onaantastbaarheid is door de civiele verboden hard geraakt. Zij zoeken nu eerder samenwerking buiten de club, dan binnen de club. </w:t>
      </w:r>
    </w:p>
    <w:p w:rsidR="00C96BA3" w:rsidP="00C96BA3" w:rsidRDefault="00C96BA3" w14:paraId="2B0EC8EE" w14:textId="77777777"/>
    <w:p w:rsidR="00C96BA3" w:rsidP="00C96BA3" w:rsidRDefault="00C96BA3" w14:paraId="713F0A21" w14:textId="77777777">
      <w:r>
        <w:t xml:space="preserve">De bestuurlijke, integrale aanpak heeft sinds de start in 2012 een belangrijke rol gespeeld in het terugdringen van </w:t>
      </w:r>
      <w:proofErr w:type="spellStart"/>
      <w:r>
        <w:t>OMG’s</w:t>
      </w:r>
      <w:proofErr w:type="spellEnd"/>
      <w:r>
        <w:t xml:space="preserve"> uit het straatbeeld, zoals de sluiting van vele clubhuizen, het voeren van stop-gesprekken met horecaeigenaren en het handhavend optreden bij evenementen en </w:t>
      </w:r>
      <w:proofErr w:type="spellStart"/>
      <w:r w:rsidRPr="00393621">
        <w:rPr>
          <w:i/>
          <w:iCs/>
        </w:rPr>
        <w:t>ride</w:t>
      </w:r>
      <w:proofErr w:type="spellEnd"/>
      <w:r w:rsidRPr="00393621">
        <w:rPr>
          <w:i/>
          <w:iCs/>
        </w:rPr>
        <w:t>-outs</w:t>
      </w:r>
      <w:r>
        <w:t xml:space="preserve">. Bij de start van de integrale aanpak van </w:t>
      </w:r>
      <w:proofErr w:type="spellStart"/>
      <w:r>
        <w:t>OMG’s</w:t>
      </w:r>
      <w:proofErr w:type="spellEnd"/>
      <w:r>
        <w:t xml:space="preserve"> lag de </w:t>
      </w:r>
      <w:r w:rsidRPr="003B70D9">
        <w:t xml:space="preserve">focus </w:t>
      </w:r>
      <w:r>
        <w:t xml:space="preserve">lag </w:t>
      </w:r>
      <w:r w:rsidRPr="003B70D9">
        <w:t xml:space="preserve">op </w:t>
      </w:r>
      <w:r>
        <w:t>een klein aantal</w:t>
      </w:r>
      <w:r w:rsidRPr="003B70D9">
        <w:t xml:space="preserve"> bedreigende clubs</w:t>
      </w:r>
      <w:r>
        <w:t xml:space="preserve">. </w:t>
      </w:r>
      <w:r w:rsidRPr="003B70D9">
        <w:t>Inmiddels is de werkelijkheid veranderd met een grote versplintering in het OMG</w:t>
      </w:r>
      <w:r>
        <w:t>-</w:t>
      </w:r>
      <w:r w:rsidRPr="003B70D9">
        <w:t xml:space="preserve">landschap. </w:t>
      </w:r>
      <w:r>
        <w:t xml:space="preserve">De vraag is of </w:t>
      </w:r>
      <w:r w:rsidRPr="003B70D9">
        <w:t>dit brede spectrum ook eenzelfde</w:t>
      </w:r>
      <w:r>
        <w:t xml:space="preserve"> </w:t>
      </w:r>
      <w:r w:rsidRPr="003B70D9">
        <w:t xml:space="preserve">aanpak </w:t>
      </w:r>
      <w:r>
        <w:t xml:space="preserve">moet </w:t>
      </w:r>
      <w:r w:rsidRPr="003B70D9">
        <w:t>krijgen, met zeer veel capaciteitsinzet tot gevolg</w:t>
      </w:r>
      <w:r>
        <w:t>, of dat</w:t>
      </w:r>
      <w:r w:rsidRPr="003B70D9">
        <w:t xml:space="preserve"> de individuele leden via hun criminele activiteiten en het reguliere prioriteringsproces van politie en justitie de prioriteit </w:t>
      </w:r>
      <w:r>
        <w:t xml:space="preserve">moeten </w:t>
      </w:r>
      <w:r w:rsidRPr="003B70D9">
        <w:t>krijgen die zij op grond van hun gevaarzetting verdienen</w:t>
      </w:r>
      <w:r>
        <w:t xml:space="preserve">. </w:t>
      </w:r>
      <w:r w:rsidRPr="003B70D9">
        <w:t xml:space="preserve"> </w:t>
      </w:r>
    </w:p>
    <w:p w:rsidR="00C96BA3" w:rsidP="00C96BA3" w:rsidRDefault="00C96BA3" w14:paraId="1A74929F" w14:textId="77777777"/>
    <w:p w:rsidR="00C96BA3" w:rsidP="00C96BA3" w:rsidRDefault="00C96BA3" w14:paraId="05299058" w14:textId="77777777">
      <w:bookmarkStart w:name="_Hlk214373414" w:id="0"/>
      <w:r>
        <w:t xml:space="preserve">Ik heb de bevindingen van het onderzoek besproken met de leden van het Landelijk Strategisch Overleg (LSO) </w:t>
      </w:r>
      <w:proofErr w:type="spellStart"/>
      <w:r>
        <w:t>OMG’s</w:t>
      </w:r>
      <w:proofErr w:type="spellEnd"/>
      <w:r>
        <w:t>.</w:t>
      </w:r>
      <w:r>
        <w:rPr>
          <w:rStyle w:val="Voetnootmarkering"/>
        </w:rPr>
        <w:footnoteReference w:id="3"/>
      </w:r>
      <w:r>
        <w:t xml:space="preserve"> Daarbij is in lijn met de aanbeveling van de onderzoekers uitgebreid stilgestaan bij de vraag of de huidige inzet </w:t>
      </w:r>
      <w:r w:rsidRPr="003B70D9">
        <w:t xml:space="preserve">qua aard en omvang nog in verhouding staat tot de problematiek en versnippering van de </w:t>
      </w:r>
      <w:proofErr w:type="spellStart"/>
      <w:r w:rsidRPr="003B70D9">
        <w:t>OMG’s</w:t>
      </w:r>
      <w:proofErr w:type="spellEnd"/>
      <w:r w:rsidRPr="003B70D9">
        <w:t xml:space="preserve"> op dit moment.</w:t>
      </w:r>
      <w:r>
        <w:t xml:space="preserve"> Alle leden van het LSO zijn van mening dat dit gelet op de veranderende aard en omvang van de problematiek niet langer het geval is en dat het wenselijk is om de aanpak verder lokaal en regionaal op te pakken. Ik deel deze mening. </w:t>
      </w:r>
    </w:p>
    <w:p w:rsidR="00C96BA3" w:rsidP="00C96BA3" w:rsidRDefault="00C96BA3" w14:paraId="26932463" w14:textId="77777777"/>
    <w:p w:rsidR="00C96BA3" w:rsidP="00C96BA3" w:rsidRDefault="00C96BA3" w14:paraId="75E7A814" w14:textId="77777777">
      <w:r>
        <w:t>Dat betekent dat</w:t>
      </w:r>
      <w:r w:rsidRPr="00B22F93">
        <w:t xml:space="preserve"> de problematiek niet meer vraagt om een landelijke aanpak in de vorm van een Landelijke Fenomeentafel</w:t>
      </w:r>
      <w:r>
        <w:t xml:space="preserve"> en </w:t>
      </w:r>
      <w:r w:rsidRPr="00B22F93">
        <w:t xml:space="preserve">het LSO </w:t>
      </w:r>
      <w:r>
        <w:t xml:space="preserve">zal </w:t>
      </w:r>
      <w:r w:rsidRPr="00B22F93">
        <w:t>word</w:t>
      </w:r>
      <w:r>
        <w:t>en</w:t>
      </w:r>
      <w:r w:rsidRPr="00B22F93">
        <w:t xml:space="preserve"> opgeheven. Dit is een gezamenlijke beslissing van de partners binnen het LSO. Ik bedank de voorzitter, burgemeester Jan Hamming (Zaanstad), en deelnemers van het LSO hartelijk voor hun tomeloze en succesvolle inzet tegen </w:t>
      </w:r>
      <w:proofErr w:type="spellStart"/>
      <w:r w:rsidRPr="00B22F93">
        <w:t>OMG’s</w:t>
      </w:r>
      <w:proofErr w:type="spellEnd"/>
      <w:r w:rsidRPr="00B22F93">
        <w:t xml:space="preserve"> de afgelopen jaren.</w:t>
      </w:r>
    </w:p>
    <w:p w:rsidR="00C96BA3" w:rsidP="00C96BA3" w:rsidRDefault="00C96BA3" w14:paraId="5327F75C" w14:textId="77777777"/>
    <w:p w:rsidR="00C96BA3" w:rsidP="00C96BA3" w:rsidRDefault="00C96BA3" w14:paraId="3F495412" w14:textId="77777777">
      <w:r>
        <w:t xml:space="preserve">Het stoppen met het LSO betekent nadrukkelijk niet dat wordt gestopt met de aanpak van </w:t>
      </w:r>
      <w:proofErr w:type="spellStart"/>
      <w:r>
        <w:t>OMG’s</w:t>
      </w:r>
      <w:proofErr w:type="spellEnd"/>
      <w:r>
        <w:t xml:space="preserve">. </w:t>
      </w:r>
      <w:r w:rsidRPr="00393621">
        <w:t>Zorgelijk</w:t>
      </w:r>
      <w:r>
        <w:t xml:space="preserve"> blijft immers de betrokkenheid van individuele OMG-leden bij (zware) georganiseerde criminaliteit, evenals het bestaan van voortzettingsvormen van verboden </w:t>
      </w:r>
      <w:proofErr w:type="spellStart"/>
      <w:r>
        <w:t>OMG’s</w:t>
      </w:r>
      <w:proofErr w:type="spellEnd"/>
      <w:r>
        <w:t xml:space="preserve"> en de opkomst van nieuwe </w:t>
      </w:r>
      <w:proofErr w:type="spellStart"/>
      <w:r>
        <w:t>OMG’s</w:t>
      </w:r>
      <w:proofErr w:type="spellEnd"/>
      <w:r>
        <w:t xml:space="preserve">. </w:t>
      </w:r>
    </w:p>
    <w:p w:rsidR="00C96BA3" w:rsidP="00C96BA3" w:rsidRDefault="00C96BA3" w14:paraId="7B2B1399" w14:textId="77777777">
      <w:r>
        <w:t>Er is mij en de leden van het LSO veel aan gelegen dat de successen die we hebben geboekt met de integrale aanpak</w:t>
      </w:r>
      <w:r w:rsidRPr="00E2701B">
        <w:t xml:space="preserve"> </w:t>
      </w:r>
      <w:r>
        <w:t>intact blijven. Dat wil zeggen:</w:t>
      </w:r>
      <w:r>
        <w:br/>
      </w:r>
    </w:p>
    <w:p w:rsidR="00C96BA3" w:rsidP="00C96BA3" w:rsidRDefault="00C96BA3" w14:paraId="3E9BC559" w14:textId="77777777">
      <w:pPr>
        <w:pStyle w:val="Lijstalinea"/>
        <w:numPr>
          <w:ilvl w:val="0"/>
          <w:numId w:val="10"/>
        </w:numPr>
      </w:pPr>
      <w:r>
        <w:t xml:space="preserve">de civiele verboden van </w:t>
      </w:r>
      <w:proofErr w:type="spellStart"/>
      <w:r>
        <w:t>OMG’s</w:t>
      </w:r>
      <w:proofErr w:type="spellEnd"/>
      <w:r>
        <w:t xml:space="preserve"> moeten blijvend worden gehandhaafd;</w:t>
      </w:r>
    </w:p>
    <w:p w:rsidRPr="00705FE9" w:rsidR="00C96BA3" w:rsidP="00C96BA3" w:rsidRDefault="00C96BA3" w14:paraId="78EECF67" w14:textId="77777777">
      <w:pPr>
        <w:pStyle w:val="Lijstalinea"/>
        <w:numPr>
          <w:ilvl w:val="0"/>
          <w:numId w:val="10"/>
        </w:numPr>
        <w:rPr>
          <w:color w:val="auto"/>
        </w:rPr>
      </w:pPr>
      <w:r w:rsidRPr="00705FE9">
        <w:rPr>
          <w:color w:val="auto"/>
        </w:rPr>
        <w:t xml:space="preserve">(nieuwe) </w:t>
      </w:r>
      <w:proofErr w:type="spellStart"/>
      <w:r w:rsidRPr="00705FE9">
        <w:rPr>
          <w:color w:val="auto"/>
        </w:rPr>
        <w:t>OMG’s</w:t>
      </w:r>
      <w:proofErr w:type="spellEnd"/>
      <w:r w:rsidRPr="00705FE9">
        <w:rPr>
          <w:color w:val="auto"/>
        </w:rPr>
        <w:t xml:space="preserve"> mag geen vrijplaats worden geboden;</w:t>
      </w:r>
    </w:p>
    <w:p w:rsidR="00C96BA3" w:rsidP="00C96BA3" w:rsidRDefault="00C96BA3" w14:paraId="7C97AE15" w14:textId="77777777">
      <w:pPr>
        <w:pStyle w:val="Lijstalinea"/>
        <w:numPr>
          <w:ilvl w:val="0"/>
          <w:numId w:val="10"/>
        </w:numPr>
      </w:pPr>
      <w:r w:rsidRPr="00705FE9">
        <w:rPr>
          <w:color w:val="auto"/>
        </w:rPr>
        <w:t>er wordt tijdig ingegrepen</w:t>
      </w:r>
      <w:r>
        <w:t xml:space="preserve"> waar nodig;</w:t>
      </w:r>
    </w:p>
    <w:p w:rsidR="00C96BA3" w:rsidP="00C96BA3" w:rsidRDefault="00C96BA3" w14:paraId="61FE4BA5" w14:textId="77777777">
      <w:pPr>
        <w:pStyle w:val="Lijstalinea"/>
        <w:numPr>
          <w:ilvl w:val="0"/>
          <w:numId w:val="10"/>
        </w:numPr>
      </w:pPr>
      <w:r>
        <w:t>(</w:t>
      </w:r>
      <w:r w:rsidRPr="000B241B">
        <w:t>nieuwe</w:t>
      </w:r>
      <w:r>
        <w:t>)</w:t>
      </w:r>
      <w:r w:rsidRPr="000B241B">
        <w:t xml:space="preserve"> </w:t>
      </w:r>
      <w:proofErr w:type="spellStart"/>
      <w:r w:rsidRPr="000B241B">
        <w:t>OMG</w:t>
      </w:r>
      <w:r>
        <w:t>’</w:t>
      </w:r>
      <w:r w:rsidRPr="000B241B">
        <w:t>s</w:t>
      </w:r>
      <w:proofErr w:type="spellEnd"/>
      <w:r w:rsidRPr="000B241B">
        <w:t xml:space="preserve"> </w:t>
      </w:r>
      <w:r>
        <w:t xml:space="preserve">moeten </w:t>
      </w:r>
      <w:r w:rsidRPr="000B241B">
        <w:t>blijven</w:t>
      </w:r>
      <w:r>
        <w:t>d worden ge</w:t>
      </w:r>
      <w:r w:rsidRPr="00705FE9">
        <w:rPr>
          <w:color w:val="auto"/>
        </w:rPr>
        <w:t>monitord.</w:t>
      </w:r>
    </w:p>
    <w:p w:rsidR="00C96BA3" w:rsidP="00C96BA3" w:rsidRDefault="00C96BA3" w14:paraId="73A8E80F" w14:textId="77777777"/>
    <w:p w:rsidR="00C96BA3" w:rsidP="00C96BA3" w:rsidRDefault="00C96BA3" w14:paraId="31DB6F9A" w14:textId="77777777">
      <w:r>
        <w:t>Om bovenstaande te waarborgen heb ik de volgende afspraken gemaakt met de betrokken partners:</w:t>
      </w:r>
      <w:r>
        <w:br/>
      </w:r>
    </w:p>
    <w:p w:rsidR="00C96BA3" w:rsidP="00C96BA3" w:rsidRDefault="00C96BA3" w14:paraId="4A552D01" w14:textId="77777777">
      <w:pPr>
        <w:pStyle w:val="Lijstalinea"/>
        <w:numPr>
          <w:ilvl w:val="0"/>
          <w:numId w:val="9"/>
        </w:numPr>
      </w:pPr>
      <w:r>
        <w:t xml:space="preserve">De partners uit het RIEC-LIEC samenwerkingsverband blijven binnen de </w:t>
      </w:r>
      <w:proofErr w:type="spellStart"/>
      <w:r>
        <w:t>RIEC’s</w:t>
      </w:r>
      <w:proofErr w:type="spellEnd"/>
      <w:r>
        <w:rPr>
          <w:rStyle w:val="Voetnootmarkering"/>
        </w:rPr>
        <w:footnoteReference w:id="4"/>
      </w:r>
      <w:r>
        <w:t xml:space="preserve"> doorgaan met de OMG-aanpak. </w:t>
      </w:r>
    </w:p>
    <w:p w:rsidR="00C96BA3" w:rsidP="00C96BA3" w:rsidRDefault="00C96BA3" w14:paraId="40AC52D5" w14:textId="77777777">
      <w:pPr>
        <w:pStyle w:val="Lijstalinea"/>
        <w:numPr>
          <w:ilvl w:val="0"/>
          <w:numId w:val="9"/>
        </w:numPr>
      </w:pPr>
      <w:r>
        <w:t xml:space="preserve">De partners uit het RIEC-LIEC samenwerkingsverband blijven binnen de </w:t>
      </w:r>
      <w:proofErr w:type="spellStart"/>
      <w:r>
        <w:t>RIEC’s</w:t>
      </w:r>
      <w:proofErr w:type="spellEnd"/>
      <w:r>
        <w:t xml:space="preserve"> optreden tegen (leden van) </w:t>
      </w:r>
      <w:proofErr w:type="spellStart"/>
      <w:r>
        <w:t>OMG’s</w:t>
      </w:r>
      <w:proofErr w:type="spellEnd"/>
      <w:r>
        <w:t xml:space="preserve"> die zich schuldig maken aan georganiseerde criminaliteit. Zo blijven we gepaste aandacht hebben voor (leden van) </w:t>
      </w:r>
      <w:proofErr w:type="spellStart"/>
      <w:r>
        <w:t>OMG’s</w:t>
      </w:r>
      <w:proofErr w:type="spellEnd"/>
      <w:r>
        <w:t xml:space="preserve"> die zich manifesteren in zowel de boven- als onderwereld. </w:t>
      </w:r>
    </w:p>
    <w:p w:rsidR="00C96BA3" w:rsidP="00C96BA3" w:rsidRDefault="00C96BA3" w14:paraId="2DF29C8E" w14:textId="77777777">
      <w:pPr>
        <w:pStyle w:val="Lijstalinea"/>
        <w:numPr>
          <w:ilvl w:val="0"/>
          <w:numId w:val="9"/>
        </w:numPr>
      </w:pPr>
      <w:r>
        <w:t xml:space="preserve">Om vinger aan de pols te houden, zal de politie jaarlijks een beeld van het OMG-landschap rapporteren aan het ministerie van </w:t>
      </w:r>
      <w:proofErr w:type="spellStart"/>
      <w:r>
        <w:t>JenV</w:t>
      </w:r>
      <w:proofErr w:type="spellEnd"/>
      <w:r>
        <w:t xml:space="preserve"> en het LIEC. Zo kunnen we tijdig ingrijpen en opschalen indien de situatie hierom vraagt.</w:t>
      </w:r>
    </w:p>
    <w:p w:rsidR="00C96BA3" w:rsidP="00C96BA3" w:rsidRDefault="00C96BA3" w14:paraId="4F6CD1FF" w14:textId="77777777">
      <w:pPr>
        <w:pStyle w:val="Lijstalinea"/>
        <w:numPr>
          <w:ilvl w:val="0"/>
          <w:numId w:val="9"/>
        </w:numPr>
      </w:pPr>
      <w:r>
        <w:t xml:space="preserve">De partners  borgen en incorporeren de opgedane kennis en werkwijze in de bestaande samenwerkingsstructuren op het gebied van georganiseerde criminaliteit en ondermijning. </w:t>
      </w:r>
    </w:p>
    <w:p w:rsidR="00C96BA3" w:rsidP="00C96BA3" w:rsidRDefault="00C96BA3" w14:paraId="1CC0F862" w14:textId="77777777"/>
    <w:p w:rsidRPr="00AB22F2" w:rsidR="00AB22F2" w:rsidP="00AB22F2" w:rsidRDefault="00AB22F2" w14:paraId="6CA544EA" w14:textId="77777777">
      <w:r w:rsidRPr="00AB22F2">
        <w:t xml:space="preserve">Kortom, ik blijf uitvoerig met de partners inzetten op de aanpak van </w:t>
      </w:r>
      <w:proofErr w:type="spellStart"/>
      <w:r w:rsidRPr="00AB22F2">
        <w:t>OMG’s</w:t>
      </w:r>
      <w:proofErr w:type="spellEnd"/>
      <w:r w:rsidRPr="00AB22F2">
        <w:t>, maar op een manier die past bij het in de afgelopen jaren veranderde OMG-landschap.</w:t>
      </w:r>
    </w:p>
    <w:p w:rsidR="00C96BA3" w:rsidP="00C96BA3" w:rsidRDefault="00C96BA3" w14:paraId="19D0831A" w14:textId="77777777">
      <w:r>
        <w:t xml:space="preserve"> </w:t>
      </w:r>
    </w:p>
    <w:bookmarkEnd w:id="0"/>
    <w:p w:rsidRPr="001668ED" w:rsidR="00C96BA3" w:rsidP="00C96BA3" w:rsidRDefault="00C96BA3" w14:paraId="3DDDD866" w14:textId="77777777">
      <w:pPr>
        <w:rPr>
          <w:b/>
          <w:bCs/>
        </w:rPr>
      </w:pPr>
      <w:r>
        <w:rPr>
          <w:b/>
          <w:bCs/>
        </w:rPr>
        <w:t xml:space="preserve">Toezegging over eventuele versnelling civiel verbod </w:t>
      </w:r>
    </w:p>
    <w:p w:rsidRPr="00096E0F" w:rsidR="00C96BA3" w:rsidP="00C96BA3" w:rsidRDefault="00C96BA3" w14:paraId="02C39A60" w14:textId="7CEB6BFD">
      <w:bookmarkStart w:name="_Hlk213760196" w:id="1"/>
      <w:r>
        <w:t xml:space="preserve">Eén van de instrumenten in de integrale aanpak van </w:t>
      </w:r>
      <w:proofErr w:type="spellStart"/>
      <w:r>
        <w:t>OMG’s</w:t>
      </w:r>
      <w:proofErr w:type="spellEnd"/>
      <w:r>
        <w:t xml:space="preserve">, is het verbieden van </w:t>
      </w:r>
      <w:proofErr w:type="spellStart"/>
      <w:r>
        <w:t>OMG’s</w:t>
      </w:r>
      <w:proofErr w:type="spellEnd"/>
      <w:r>
        <w:t xml:space="preserve"> door middel van het civiel verbod. </w:t>
      </w:r>
      <w:r w:rsidRPr="00096E0F">
        <w:t xml:space="preserve">In deze beleidsreactie doe ik </w:t>
      </w:r>
      <w:r>
        <w:t>verslag</w:t>
      </w:r>
      <w:r w:rsidR="00944248">
        <w:t xml:space="preserve"> </w:t>
      </w:r>
      <w:r>
        <w:t>hoe ik uitvoering heb gegeven aan</w:t>
      </w:r>
      <w:r w:rsidRPr="00096E0F">
        <w:t xml:space="preserve"> een toezegging</w:t>
      </w:r>
      <w:r>
        <w:t xml:space="preserve"> over het civiel verbod</w:t>
      </w:r>
      <w:r w:rsidRPr="00096E0F">
        <w:t xml:space="preserve"> </w:t>
      </w:r>
      <w:r>
        <w:t xml:space="preserve">aan </w:t>
      </w:r>
      <w:r w:rsidR="00A13E5F">
        <w:t>de Eerste</w:t>
      </w:r>
      <w:r>
        <w:t xml:space="preserve"> Kamer </w:t>
      </w:r>
      <w:r w:rsidRPr="00096E0F">
        <w:t>uit 2021 van de toenmalige minister voor Rechtsbescherming</w:t>
      </w:r>
      <w:r>
        <w:t xml:space="preserve"> naar aanleiding van een verzoek van het lid Talsma.</w:t>
      </w:r>
      <w:r>
        <w:rPr>
          <w:rStyle w:val="Voetnootmarkering"/>
        </w:rPr>
        <w:footnoteReference w:id="5"/>
      </w:r>
      <w:r w:rsidRPr="00096E0F">
        <w:t xml:space="preserve"> Het betreft de toezegging om met het </w:t>
      </w:r>
      <w:r>
        <w:t>OM</w:t>
      </w:r>
      <w:r w:rsidRPr="00096E0F">
        <w:t xml:space="preserve"> en de Raad voor de </w:t>
      </w:r>
      <w:r>
        <w:t>r</w:t>
      </w:r>
      <w:r w:rsidRPr="00096E0F">
        <w:t xml:space="preserve">echtspraak in gesprek te gaan over een eventuele versnelling van de civiele procedure (op grond van 2:20 </w:t>
      </w:r>
      <w:r>
        <w:t>BW</w:t>
      </w:r>
      <w:r w:rsidRPr="00096E0F">
        <w:t xml:space="preserve">) voor het verbieden van rechtspersonen, in het geval het </w:t>
      </w:r>
      <w:r w:rsidRPr="00703BE7">
        <w:t>Initiatiefvoorstel bestuurlijk verbod ondermijnende organisaties</w:t>
      </w:r>
      <w:r w:rsidRPr="00096E0F">
        <w:rPr>
          <w:i/>
          <w:iCs/>
        </w:rPr>
        <w:t xml:space="preserve"> </w:t>
      </w:r>
      <w:r w:rsidRPr="00096E0F">
        <w:t xml:space="preserve">niet in werking zou treden. Dit initiatiefvoorstel is op 27 mei jl. verworpen door </w:t>
      </w:r>
      <w:r w:rsidR="004E0E47">
        <w:t xml:space="preserve">de Eerste </w:t>
      </w:r>
      <w:r>
        <w:t>Kamer</w:t>
      </w:r>
      <w:r w:rsidRPr="00096E0F">
        <w:t>.</w:t>
      </w:r>
      <w:r w:rsidRPr="00096E0F">
        <w:rPr>
          <w:rStyle w:val="Voetnootmarkering"/>
        </w:rPr>
        <w:footnoteReference w:id="6"/>
      </w:r>
      <w:r w:rsidRPr="00096E0F">
        <w:t xml:space="preserve"> </w:t>
      </w:r>
    </w:p>
    <w:p w:rsidRPr="00096E0F" w:rsidR="00C96BA3" w:rsidP="00C96BA3" w:rsidRDefault="00C96BA3" w14:paraId="2505F5C5" w14:textId="77777777"/>
    <w:p w:rsidRPr="00096E0F" w:rsidR="00C96BA3" w:rsidP="00C96BA3" w:rsidRDefault="00C96BA3" w14:paraId="70B25671" w14:textId="3653FE19">
      <w:pPr>
        <w:spacing w:after="240"/>
      </w:pPr>
      <w:r w:rsidRPr="00096E0F">
        <w:t xml:space="preserve">Na verwerping van het initiatiefvoorstel ben ik met het </w:t>
      </w:r>
      <w:r>
        <w:t>OM</w:t>
      </w:r>
      <w:r w:rsidRPr="00096E0F">
        <w:t xml:space="preserve"> en de Raad voor de </w:t>
      </w:r>
      <w:r>
        <w:t>r</w:t>
      </w:r>
      <w:r w:rsidRPr="00096E0F">
        <w:t>echtspraak in gesprek gegaan over het civiel verbod. Uit deze gesprekken kwam naar voren dat sinds de inwerkingtreding van de wetswijziging van 2:20 BW</w:t>
      </w:r>
      <w:r>
        <w:t xml:space="preserve"> </w:t>
      </w:r>
      <w:r w:rsidRPr="00096E0F">
        <w:t>in 2022</w:t>
      </w:r>
      <w:r>
        <w:t>,</w:t>
      </w:r>
      <w:r w:rsidRPr="00096E0F">
        <w:rPr>
          <w:rStyle w:val="Voetnootmarkering"/>
        </w:rPr>
        <w:footnoteReference w:id="7"/>
      </w:r>
      <w:r>
        <w:t xml:space="preserve"> </w:t>
      </w:r>
      <w:r w:rsidRPr="00096E0F">
        <w:t>de doorlooptijden voor het opleggen van een civiel verbod lijken te zijn afgenomen</w:t>
      </w:r>
      <w:r>
        <w:t>.</w:t>
      </w:r>
      <w:r w:rsidRPr="00096E0F">
        <w:t xml:space="preserve"> </w:t>
      </w:r>
      <w:r>
        <w:t>D</w:t>
      </w:r>
      <w:r w:rsidRPr="00096E0F">
        <w:t xml:space="preserve">aarbij </w:t>
      </w:r>
      <w:r>
        <w:t xml:space="preserve">lijkt </w:t>
      </w:r>
      <w:r w:rsidRPr="00096E0F">
        <w:t xml:space="preserve">met name </w:t>
      </w:r>
      <w:r>
        <w:t xml:space="preserve">het gegeven dat het verbod en de bevelen die de rechter daar nu bij kan geven als gevolg van </w:t>
      </w:r>
      <w:r w:rsidRPr="00096E0F">
        <w:t>die wet</w:t>
      </w:r>
      <w:r>
        <w:t>swijziging</w:t>
      </w:r>
      <w:r w:rsidRPr="00096E0F">
        <w:t xml:space="preserve"> </w:t>
      </w:r>
      <w:r>
        <w:t>steeds</w:t>
      </w:r>
      <w:r w:rsidRPr="00096E0F">
        <w:t xml:space="preserve"> uitvoerbaar bij voorraad</w:t>
      </w:r>
      <w:r>
        <w:t xml:space="preserve"> zijn (dat wil zeggen, de uitspraak heeft directe consequenties, ondanks dat er nog hoger beroep of cassatie tegen de uitspraak mogelijk is)</w:t>
      </w:r>
      <w:r w:rsidRPr="00096E0F">
        <w:t xml:space="preserve"> een belangrijke rol </w:t>
      </w:r>
      <w:r>
        <w:t xml:space="preserve">te </w:t>
      </w:r>
      <w:r w:rsidRPr="00096E0F">
        <w:t>spe</w:t>
      </w:r>
      <w:r>
        <w:t>len</w:t>
      </w:r>
      <w:r w:rsidRPr="00096E0F">
        <w:t>. Zo moest voorheen een uitspraak eerst onherroepelijk zijn alvorens een overtreding van het verbod strafrechtelijke consequenties had. Nu is dat niet meer het geval omdat de rechter bij de eerste uitspraak al bevelen kan geven om activiteiten te staken</w:t>
      </w:r>
      <w:r>
        <w:t>, zoals het dragen van clubkleuren (</w:t>
      </w:r>
      <w:proofErr w:type="spellStart"/>
      <w:r>
        <w:t>colors</w:t>
      </w:r>
      <w:proofErr w:type="spellEnd"/>
      <w:r>
        <w:t xml:space="preserve">). </w:t>
      </w:r>
      <w:r w:rsidRPr="00096E0F">
        <w:t>Hoger beroep tegen een rechterlijk bevel is mogelijk, maar het niet naleven ervan</w:t>
      </w:r>
      <w:r>
        <w:t xml:space="preserve"> voorafgaand aan een mogelijke vernietiging blijft</w:t>
      </w:r>
      <w:r w:rsidRPr="00096E0F">
        <w:t xml:space="preserve"> strafbaar. Ik verwijs daarbij ook naar een soortgelijke constatering over de versnelling van het civiele verbod in de beantwoording van mijn ambtsvoorganger op de schriftelijke vragen die zijn gesteld door </w:t>
      </w:r>
      <w:r w:rsidR="00A13E5F">
        <w:t>de Eerste</w:t>
      </w:r>
      <w:r>
        <w:t xml:space="preserve"> Kamer</w:t>
      </w:r>
      <w:r w:rsidRPr="00096E0F">
        <w:t xml:space="preserve"> voorafgaand </w:t>
      </w:r>
      <w:r w:rsidR="00AB22F2">
        <w:t xml:space="preserve">aan </w:t>
      </w:r>
      <w:r w:rsidRPr="00096E0F">
        <w:t>de plenaire behandeling van bovengenoemd initiatiefvoorstel.</w:t>
      </w:r>
      <w:r w:rsidRPr="00096E0F">
        <w:rPr>
          <w:rStyle w:val="Voetnootmarkering"/>
        </w:rPr>
        <w:footnoteReference w:id="8"/>
      </w:r>
      <w:r w:rsidRPr="00096E0F">
        <w:t xml:space="preserve"> Zowel het </w:t>
      </w:r>
      <w:r>
        <w:t>OM</w:t>
      </w:r>
      <w:r w:rsidRPr="00096E0F">
        <w:t xml:space="preserve"> als de Raad voor de rechtspraak geven aan voor nu geen noodzaak te zien voor (verdere) versnelling van de civiele procedure. </w:t>
      </w:r>
    </w:p>
    <w:bookmarkEnd w:id="1"/>
    <w:p w:rsidRPr="00096E0F" w:rsidR="00C96BA3" w:rsidP="00C96BA3" w:rsidRDefault="00C96BA3" w14:paraId="31847B5F" w14:textId="77777777"/>
    <w:p w:rsidRPr="00096E0F" w:rsidR="00C96BA3" w:rsidP="00C96BA3" w:rsidRDefault="00C96BA3" w14:paraId="427DAF19" w14:textId="74DA17E2">
      <w:r w:rsidRPr="00096E0F">
        <w:t>De Minister van Justitie en Veiligheid</w:t>
      </w:r>
      <w:r w:rsidR="00AB6ADE">
        <w:t>,</w:t>
      </w:r>
    </w:p>
    <w:p w:rsidRPr="00096E0F" w:rsidR="00C96BA3" w:rsidP="00C96BA3" w:rsidRDefault="00C96BA3" w14:paraId="6AB325C6" w14:textId="77777777"/>
    <w:p w:rsidR="00C96BA3" w:rsidP="00C96BA3" w:rsidRDefault="00C96BA3" w14:paraId="75BD1902" w14:textId="77777777"/>
    <w:p w:rsidR="00C96BA3" w:rsidP="00C96BA3" w:rsidRDefault="00C96BA3" w14:paraId="72755A22" w14:textId="77777777"/>
    <w:p w:rsidRPr="00096E0F" w:rsidR="00C96BA3" w:rsidP="00C96BA3" w:rsidRDefault="00C96BA3" w14:paraId="1B0FC6A9" w14:textId="77777777"/>
    <w:p w:rsidRPr="00D10DC2" w:rsidR="003622C2" w:rsidP="00D10DC2" w:rsidRDefault="00C96BA3" w14:paraId="711468D9" w14:textId="705B13CC">
      <w:proofErr w:type="spellStart"/>
      <w:r w:rsidRPr="00096E0F">
        <w:t>Foort</w:t>
      </w:r>
      <w:proofErr w:type="spellEnd"/>
      <w:r w:rsidRPr="00096E0F">
        <w:t xml:space="preserve"> van Oost</w:t>
      </w:r>
      <w:r>
        <w:t>en</w:t>
      </w:r>
    </w:p>
    <w:sectPr w:rsidRPr="00D10DC2" w:rsidR="003622C2">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8ED9A" w14:textId="77777777" w:rsidR="0020386D" w:rsidRDefault="0020386D">
      <w:pPr>
        <w:spacing w:line="240" w:lineRule="auto"/>
      </w:pPr>
      <w:r>
        <w:separator/>
      </w:r>
    </w:p>
  </w:endnote>
  <w:endnote w:type="continuationSeparator" w:id="0">
    <w:p w14:paraId="11BD3583" w14:textId="77777777" w:rsidR="0020386D" w:rsidRDefault="002038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7D9D" w14:textId="77777777" w:rsidR="009F5095" w:rsidRDefault="009F50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060C" w14:textId="77777777" w:rsidR="003622C2" w:rsidRDefault="003622C2">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67E1" w14:textId="77777777" w:rsidR="009F5095" w:rsidRDefault="009F50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029CF" w14:textId="77777777" w:rsidR="0020386D" w:rsidRDefault="0020386D">
      <w:pPr>
        <w:spacing w:line="240" w:lineRule="auto"/>
      </w:pPr>
      <w:r>
        <w:separator/>
      </w:r>
    </w:p>
  </w:footnote>
  <w:footnote w:type="continuationSeparator" w:id="0">
    <w:p w14:paraId="3B44124B" w14:textId="77777777" w:rsidR="0020386D" w:rsidRDefault="0020386D">
      <w:pPr>
        <w:spacing w:line="240" w:lineRule="auto"/>
      </w:pPr>
      <w:r>
        <w:continuationSeparator/>
      </w:r>
    </w:p>
  </w:footnote>
  <w:footnote w:id="1">
    <w:p w14:paraId="4A08A434" w14:textId="77777777" w:rsidR="00D10DC2" w:rsidRPr="00C1702C" w:rsidRDefault="00D10DC2" w:rsidP="00D10DC2">
      <w:pPr>
        <w:pStyle w:val="Voetnoottekst"/>
        <w:rPr>
          <w:sz w:val="16"/>
          <w:szCs w:val="16"/>
        </w:rPr>
      </w:pPr>
      <w:r w:rsidRPr="00C1702C">
        <w:rPr>
          <w:rStyle w:val="Voetnootmarkering"/>
          <w:sz w:val="16"/>
          <w:szCs w:val="16"/>
        </w:rPr>
        <w:footnoteRef/>
      </w:r>
      <w:r w:rsidRPr="00C1702C">
        <w:rPr>
          <w:sz w:val="16"/>
          <w:szCs w:val="16"/>
        </w:rPr>
        <w:t xml:space="preserve"> Kamerstukken II, 2024/25, 29911, nr. 476.</w:t>
      </w:r>
    </w:p>
  </w:footnote>
  <w:footnote w:id="2">
    <w:p w14:paraId="489038E1" w14:textId="77777777" w:rsidR="00D10DC2" w:rsidRPr="00C1702C" w:rsidRDefault="00D10DC2" w:rsidP="00D10DC2">
      <w:pPr>
        <w:pStyle w:val="Voetnoottekst"/>
        <w:rPr>
          <w:sz w:val="16"/>
          <w:szCs w:val="16"/>
        </w:rPr>
      </w:pPr>
      <w:r w:rsidRPr="00C1702C">
        <w:rPr>
          <w:rStyle w:val="Voetnootmarkering"/>
          <w:sz w:val="16"/>
          <w:szCs w:val="16"/>
        </w:rPr>
        <w:footnoteRef/>
      </w:r>
      <w:r w:rsidRPr="00C1702C">
        <w:rPr>
          <w:sz w:val="16"/>
          <w:szCs w:val="16"/>
        </w:rPr>
        <w:t xml:space="preserve"> Handelingen I 2020/21, nr. 41, item 8, p. 13 (nummer toezegging: T03290).</w:t>
      </w:r>
    </w:p>
  </w:footnote>
  <w:footnote w:id="3">
    <w:p w14:paraId="6F423131" w14:textId="77777777" w:rsidR="00C96BA3" w:rsidRPr="00C1702C" w:rsidRDefault="00C96BA3" w:rsidP="00C96BA3">
      <w:pPr>
        <w:pStyle w:val="Voetnoottekst"/>
        <w:rPr>
          <w:sz w:val="16"/>
          <w:szCs w:val="16"/>
        </w:rPr>
      </w:pPr>
      <w:r w:rsidRPr="00C1702C">
        <w:rPr>
          <w:rStyle w:val="Voetnootmarkering"/>
          <w:sz w:val="16"/>
          <w:szCs w:val="16"/>
        </w:rPr>
        <w:footnoteRef/>
      </w:r>
      <w:r w:rsidRPr="00C1702C">
        <w:rPr>
          <w:sz w:val="16"/>
          <w:szCs w:val="16"/>
        </w:rPr>
        <w:t xml:space="preserve"> Het LSO informeert en adviseert de minister van Justitie en Veiligheid namens de samenwerkende partners die deelnemen aan de Regionale en Landelijke Informatie- en Expertise Centra (Belastingdienst Directie MKB en FIOD, politie, Openbaar Ministerie, lokaal bestuur, Koninklijke Marechaussee) in de aanpak van </w:t>
      </w:r>
      <w:proofErr w:type="spellStart"/>
      <w:r w:rsidRPr="00C1702C">
        <w:rPr>
          <w:sz w:val="16"/>
          <w:szCs w:val="16"/>
        </w:rPr>
        <w:t>OMG´s</w:t>
      </w:r>
      <w:proofErr w:type="spellEnd"/>
      <w:r w:rsidRPr="00C1702C">
        <w:rPr>
          <w:sz w:val="16"/>
          <w:szCs w:val="16"/>
        </w:rPr>
        <w:t>.</w:t>
      </w:r>
    </w:p>
  </w:footnote>
  <w:footnote w:id="4">
    <w:p w14:paraId="59662035" w14:textId="77777777" w:rsidR="00C96BA3" w:rsidRPr="00C1702C" w:rsidRDefault="00C96BA3" w:rsidP="00C96BA3">
      <w:pPr>
        <w:pStyle w:val="Voetnoottekst"/>
        <w:rPr>
          <w:sz w:val="16"/>
          <w:szCs w:val="16"/>
        </w:rPr>
      </w:pPr>
      <w:r w:rsidRPr="00C1702C">
        <w:rPr>
          <w:sz w:val="16"/>
          <w:szCs w:val="16"/>
          <w:vertAlign w:val="superscript"/>
        </w:rPr>
        <w:footnoteRef/>
      </w:r>
      <w:r w:rsidRPr="00C1702C">
        <w:rPr>
          <w:sz w:val="16"/>
          <w:szCs w:val="16"/>
        </w:rPr>
        <w:t xml:space="preserve"> Regionale Informatie en Expertise Centra (</w:t>
      </w:r>
      <w:proofErr w:type="spellStart"/>
      <w:r w:rsidRPr="00C1702C">
        <w:rPr>
          <w:sz w:val="16"/>
          <w:szCs w:val="16"/>
        </w:rPr>
        <w:t>RIEC’s</w:t>
      </w:r>
      <w:proofErr w:type="spellEnd"/>
      <w:r w:rsidRPr="00C1702C">
        <w:rPr>
          <w:sz w:val="16"/>
          <w:szCs w:val="16"/>
        </w:rPr>
        <w:t>) en Landelijk Informatie en Expertise Centrum (LIEC).</w:t>
      </w:r>
      <w:r w:rsidRPr="00C33C4D">
        <w:rPr>
          <w:sz w:val="18"/>
          <w:szCs w:val="18"/>
        </w:rPr>
        <w:t xml:space="preserve"> </w:t>
      </w:r>
      <w:r w:rsidRPr="00C33C4D">
        <w:rPr>
          <w:sz w:val="16"/>
          <w:szCs w:val="16"/>
        </w:rPr>
        <w:t>Zij richten zich op de bestrijding van ondermijnende criminaliteit.</w:t>
      </w:r>
    </w:p>
  </w:footnote>
  <w:footnote w:id="5">
    <w:p w14:paraId="3D6CC9EC" w14:textId="77777777" w:rsidR="00C96BA3" w:rsidRPr="00C1702C" w:rsidRDefault="00C96BA3" w:rsidP="00C96BA3">
      <w:pPr>
        <w:pStyle w:val="Voetnoottekst"/>
        <w:rPr>
          <w:sz w:val="16"/>
          <w:szCs w:val="16"/>
        </w:rPr>
      </w:pPr>
      <w:r w:rsidRPr="00C1702C">
        <w:rPr>
          <w:rStyle w:val="Voetnootmarkering"/>
          <w:sz w:val="16"/>
          <w:szCs w:val="16"/>
        </w:rPr>
        <w:footnoteRef/>
      </w:r>
      <w:r w:rsidRPr="00C1702C">
        <w:rPr>
          <w:sz w:val="16"/>
          <w:szCs w:val="16"/>
        </w:rPr>
        <w:t xml:space="preserve"> Handelingen I 2020/21, nr. 41, item 8, p. 13 (nummer toezegging: T03290).</w:t>
      </w:r>
    </w:p>
  </w:footnote>
  <w:footnote w:id="6">
    <w:p w14:paraId="118B3FB9" w14:textId="77777777" w:rsidR="00C96BA3" w:rsidRPr="00C1702C" w:rsidRDefault="00C96BA3" w:rsidP="00C96BA3">
      <w:pPr>
        <w:pStyle w:val="Voetnoottekst"/>
        <w:rPr>
          <w:sz w:val="16"/>
          <w:szCs w:val="16"/>
        </w:rPr>
      </w:pPr>
      <w:r w:rsidRPr="00C1702C">
        <w:rPr>
          <w:rStyle w:val="Voetnootmarkering"/>
          <w:sz w:val="16"/>
          <w:szCs w:val="16"/>
        </w:rPr>
        <w:footnoteRef/>
      </w:r>
      <w:r w:rsidRPr="00C1702C">
        <w:rPr>
          <w:sz w:val="16"/>
          <w:szCs w:val="16"/>
        </w:rPr>
        <w:t xml:space="preserve"> Verslag EK 2024/2025, nr. 30, item 6.</w:t>
      </w:r>
    </w:p>
  </w:footnote>
  <w:footnote w:id="7">
    <w:p w14:paraId="26185FA5" w14:textId="77777777" w:rsidR="00C96BA3" w:rsidRPr="00C1702C" w:rsidRDefault="00C96BA3" w:rsidP="00C96BA3">
      <w:pPr>
        <w:pStyle w:val="Voetnoottekst"/>
        <w:rPr>
          <w:sz w:val="16"/>
          <w:szCs w:val="16"/>
        </w:rPr>
      </w:pPr>
      <w:r w:rsidRPr="00C1702C">
        <w:rPr>
          <w:rStyle w:val="Voetnootmarkering"/>
          <w:sz w:val="16"/>
          <w:szCs w:val="16"/>
        </w:rPr>
        <w:footnoteRef/>
      </w:r>
      <w:r w:rsidRPr="00C1702C">
        <w:rPr>
          <w:sz w:val="16"/>
          <w:szCs w:val="16"/>
        </w:rPr>
        <w:t xml:space="preserve"> Wet tot wijziging van Boek 2 van het Burgerlijk Wetboek ter verruiming van de mogelijkheden tot het verbieden van rechtspersonen (Stb. 2021, 310).</w:t>
      </w:r>
    </w:p>
  </w:footnote>
  <w:footnote w:id="8">
    <w:p w14:paraId="101A02B4" w14:textId="77777777" w:rsidR="00C96BA3" w:rsidRPr="00C1702C" w:rsidRDefault="00C96BA3" w:rsidP="00C96BA3">
      <w:pPr>
        <w:pStyle w:val="Voetnoottekst"/>
        <w:rPr>
          <w:sz w:val="16"/>
          <w:szCs w:val="16"/>
        </w:rPr>
      </w:pPr>
      <w:r w:rsidRPr="00C1702C">
        <w:rPr>
          <w:rStyle w:val="Voetnootmarkering"/>
          <w:sz w:val="16"/>
          <w:szCs w:val="16"/>
        </w:rPr>
        <w:footnoteRef/>
      </w:r>
      <w:r w:rsidRPr="00C1702C">
        <w:rPr>
          <w:sz w:val="16"/>
          <w:szCs w:val="16"/>
        </w:rPr>
        <w:t xml:space="preserve"> Kamerstukken 2024–2025, 35079, L, p. 11-12.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4AF" w14:textId="77777777" w:rsidR="009F5095" w:rsidRDefault="009F50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EBC7" w14:textId="77777777" w:rsidR="003622C2" w:rsidRDefault="002057A0">
    <w:r>
      <w:rPr>
        <w:noProof/>
      </w:rPr>
      <mc:AlternateContent>
        <mc:Choice Requires="wps">
          <w:drawing>
            <wp:anchor distT="0" distB="0" distL="0" distR="0" simplePos="0" relativeHeight="251652608" behindDoc="0" locked="1" layoutInCell="1" allowOverlap="1" wp14:anchorId="38EF6C03" wp14:editId="540F6EA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B2B44B" w14:textId="77777777" w:rsidR="003622C2" w:rsidRDefault="002057A0">
                          <w:pPr>
                            <w:pStyle w:val="Referentiegegevensbold"/>
                          </w:pPr>
                          <w:r>
                            <w:t>Programma Directoraat-Generaal</w:t>
                          </w:r>
                        </w:p>
                        <w:p w14:paraId="09BB92FE" w14:textId="77777777" w:rsidR="003622C2" w:rsidRDefault="002057A0">
                          <w:pPr>
                            <w:pStyle w:val="Referentiegegevens"/>
                          </w:pPr>
                          <w:r>
                            <w:t>Directoraat-Generaal Ondermijning</w:t>
                          </w:r>
                        </w:p>
                        <w:p w14:paraId="7C02C368" w14:textId="77777777" w:rsidR="003622C2" w:rsidRDefault="003622C2">
                          <w:pPr>
                            <w:pStyle w:val="WitregelW2"/>
                          </w:pPr>
                        </w:p>
                        <w:p w14:paraId="110F6246" w14:textId="77777777" w:rsidR="003622C2" w:rsidRDefault="002057A0">
                          <w:pPr>
                            <w:pStyle w:val="Referentiegegevensbold"/>
                          </w:pPr>
                          <w:r>
                            <w:t>Datum</w:t>
                          </w:r>
                        </w:p>
                        <w:p w14:paraId="1639C3B7" w14:textId="711379AF" w:rsidR="003622C2" w:rsidRDefault="0020386D">
                          <w:pPr>
                            <w:pStyle w:val="Referentiegegevens"/>
                          </w:pPr>
                          <w:sdt>
                            <w:sdtPr>
                              <w:id w:val="-1957252621"/>
                              <w:date w:fullDate="2025-12-09T00:00:00Z">
                                <w:dateFormat w:val="d MMMM yyyy"/>
                                <w:lid w:val="nl"/>
                                <w:storeMappedDataAs w:val="dateTime"/>
                                <w:calendar w:val="gregorian"/>
                              </w:date>
                            </w:sdtPr>
                            <w:sdtEndPr/>
                            <w:sdtContent>
                              <w:r w:rsidR="009F5095">
                                <w:rPr>
                                  <w:lang w:val="nl"/>
                                </w:rPr>
                                <w:t>9 december 2025</w:t>
                              </w:r>
                            </w:sdtContent>
                          </w:sdt>
                        </w:p>
                        <w:p w14:paraId="4116045E" w14:textId="77777777" w:rsidR="003622C2" w:rsidRDefault="003622C2">
                          <w:pPr>
                            <w:pStyle w:val="WitregelW1"/>
                          </w:pPr>
                        </w:p>
                        <w:p w14:paraId="04B26F88" w14:textId="77777777" w:rsidR="003622C2" w:rsidRDefault="002057A0">
                          <w:pPr>
                            <w:pStyle w:val="Referentiegegevensbold"/>
                          </w:pPr>
                          <w:r>
                            <w:t>Onze referentie</w:t>
                          </w:r>
                        </w:p>
                        <w:p w14:paraId="4C6D5EAA" w14:textId="77777777" w:rsidR="003622C2" w:rsidRDefault="002057A0">
                          <w:pPr>
                            <w:pStyle w:val="Referentiegegevens"/>
                          </w:pPr>
                          <w:r>
                            <w:t>6896496</w:t>
                          </w:r>
                        </w:p>
                      </w:txbxContent>
                    </wps:txbx>
                    <wps:bodyPr vert="horz" wrap="square" lIns="0" tIns="0" rIns="0" bIns="0" anchor="t" anchorCtr="0"/>
                  </wps:wsp>
                </a:graphicData>
              </a:graphic>
            </wp:anchor>
          </w:drawing>
        </mc:Choice>
        <mc:Fallback>
          <w:pict>
            <v:shapetype w14:anchorId="38EF6C0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3B2B44B" w14:textId="77777777" w:rsidR="003622C2" w:rsidRDefault="002057A0">
                    <w:pPr>
                      <w:pStyle w:val="Referentiegegevensbold"/>
                    </w:pPr>
                    <w:r>
                      <w:t>Programma Directoraat-Generaal</w:t>
                    </w:r>
                  </w:p>
                  <w:p w14:paraId="09BB92FE" w14:textId="77777777" w:rsidR="003622C2" w:rsidRDefault="002057A0">
                    <w:pPr>
                      <w:pStyle w:val="Referentiegegevens"/>
                    </w:pPr>
                    <w:r>
                      <w:t>Directoraat-Generaal Ondermijning</w:t>
                    </w:r>
                  </w:p>
                  <w:p w14:paraId="7C02C368" w14:textId="77777777" w:rsidR="003622C2" w:rsidRDefault="003622C2">
                    <w:pPr>
                      <w:pStyle w:val="WitregelW2"/>
                    </w:pPr>
                  </w:p>
                  <w:p w14:paraId="110F6246" w14:textId="77777777" w:rsidR="003622C2" w:rsidRDefault="002057A0">
                    <w:pPr>
                      <w:pStyle w:val="Referentiegegevensbold"/>
                    </w:pPr>
                    <w:r>
                      <w:t>Datum</w:t>
                    </w:r>
                  </w:p>
                  <w:p w14:paraId="1639C3B7" w14:textId="711379AF" w:rsidR="003622C2" w:rsidRDefault="0020386D">
                    <w:pPr>
                      <w:pStyle w:val="Referentiegegevens"/>
                    </w:pPr>
                    <w:sdt>
                      <w:sdtPr>
                        <w:id w:val="-1957252621"/>
                        <w:date w:fullDate="2025-12-09T00:00:00Z">
                          <w:dateFormat w:val="d MMMM yyyy"/>
                          <w:lid w:val="nl"/>
                          <w:storeMappedDataAs w:val="dateTime"/>
                          <w:calendar w:val="gregorian"/>
                        </w:date>
                      </w:sdtPr>
                      <w:sdtEndPr/>
                      <w:sdtContent>
                        <w:r w:rsidR="009F5095">
                          <w:rPr>
                            <w:lang w:val="nl"/>
                          </w:rPr>
                          <w:t>9 december 2025</w:t>
                        </w:r>
                      </w:sdtContent>
                    </w:sdt>
                  </w:p>
                  <w:p w14:paraId="4116045E" w14:textId="77777777" w:rsidR="003622C2" w:rsidRDefault="003622C2">
                    <w:pPr>
                      <w:pStyle w:val="WitregelW1"/>
                    </w:pPr>
                  </w:p>
                  <w:p w14:paraId="04B26F88" w14:textId="77777777" w:rsidR="003622C2" w:rsidRDefault="002057A0">
                    <w:pPr>
                      <w:pStyle w:val="Referentiegegevensbold"/>
                    </w:pPr>
                    <w:r>
                      <w:t>Onze referentie</w:t>
                    </w:r>
                  </w:p>
                  <w:p w14:paraId="4C6D5EAA" w14:textId="77777777" w:rsidR="003622C2" w:rsidRDefault="002057A0">
                    <w:pPr>
                      <w:pStyle w:val="Referentiegegevens"/>
                    </w:pPr>
                    <w:r>
                      <w:t>6896496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F13F186" wp14:editId="6B25961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D3616C5" w14:textId="77777777" w:rsidR="006B155D" w:rsidRDefault="006B155D"/>
                      </w:txbxContent>
                    </wps:txbx>
                    <wps:bodyPr vert="horz" wrap="square" lIns="0" tIns="0" rIns="0" bIns="0" anchor="t" anchorCtr="0"/>
                  </wps:wsp>
                </a:graphicData>
              </a:graphic>
            </wp:anchor>
          </w:drawing>
        </mc:Choice>
        <mc:Fallback>
          <w:pict>
            <v:shape w14:anchorId="6F13F18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D3616C5" w14:textId="77777777" w:rsidR="006B155D" w:rsidRDefault="006B155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BFCE13B" wp14:editId="4F59504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86A91D1" w14:textId="77777777" w:rsidR="003622C2" w:rsidRDefault="002057A0">
                          <w:pPr>
                            <w:pStyle w:val="Referentiegegevens"/>
                          </w:pPr>
                          <w:r>
                            <w:t xml:space="preserve">Pagina </w:t>
                          </w:r>
                          <w:r>
                            <w:fldChar w:fldCharType="begin"/>
                          </w:r>
                          <w:r>
                            <w:instrText>PAGE</w:instrText>
                          </w:r>
                          <w:r>
                            <w:fldChar w:fldCharType="separate"/>
                          </w:r>
                          <w:r w:rsidR="00C46B3C">
                            <w:rPr>
                              <w:noProof/>
                            </w:rPr>
                            <w:t>3</w:t>
                          </w:r>
                          <w:r>
                            <w:fldChar w:fldCharType="end"/>
                          </w:r>
                          <w:r>
                            <w:t xml:space="preserve"> van </w:t>
                          </w:r>
                          <w:r>
                            <w:fldChar w:fldCharType="begin"/>
                          </w:r>
                          <w:r>
                            <w:instrText>NUMPAGES</w:instrText>
                          </w:r>
                          <w:r>
                            <w:fldChar w:fldCharType="separate"/>
                          </w:r>
                          <w:r w:rsidR="00C46B3C">
                            <w:rPr>
                              <w:noProof/>
                            </w:rPr>
                            <w:t>3</w:t>
                          </w:r>
                          <w:r>
                            <w:fldChar w:fldCharType="end"/>
                          </w:r>
                        </w:p>
                      </w:txbxContent>
                    </wps:txbx>
                    <wps:bodyPr vert="horz" wrap="square" lIns="0" tIns="0" rIns="0" bIns="0" anchor="t" anchorCtr="0"/>
                  </wps:wsp>
                </a:graphicData>
              </a:graphic>
            </wp:anchor>
          </w:drawing>
        </mc:Choice>
        <mc:Fallback>
          <w:pict>
            <v:shape w14:anchorId="1BFCE13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86A91D1" w14:textId="77777777" w:rsidR="003622C2" w:rsidRDefault="002057A0">
                    <w:pPr>
                      <w:pStyle w:val="Referentiegegevens"/>
                    </w:pPr>
                    <w:r>
                      <w:t xml:space="preserve">Pagina </w:t>
                    </w:r>
                    <w:r>
                      <w:fldChar w:fldCharType="begin"/>
                    </w:r>
                    <w:r>
                      <w:instrText>PAGE</w:instrText>
                    </w:r>
                    <w:r>
                      <w:fldChar w:fldCharType="separate"/>
                    </w:r>
                    <w:r w:rsidR="00C46B3C">
                      <w:rPr>
                        <w:noProof/>
                      </w:rPr>
                      <w:t>3</w:t>
                    </w:r>
                    <w:r>
                      <w:fldChar w:fldCharType="end"/>
                    </w:r>
                    <w:r>
                      <w:t xml:space="preserve"> van </w:t>
                    </w:r>
                    <w:r>
                      <w:fldChar w:fldCharType="begin"/>
                    </w:r>
                    <w:r>
                      <w:instrText>NUMPAGES</w:instrText>
                    </w:r>
                    <w:r>
                      <w:fldChar w:fldCharType="separate"/>
                    </w:r>
                    <w:r w:rsidR="00C46B3C">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37EE" w14:textId="77777777" w:rsidR="003622C2" w:rsidRDefault="002057A0">
    <w:pPr>
      <w:spacing w:after="6377" w:line="14" w:lineRule="exact"/>
    </w:pPr>
    <w:r>
      <w:rPr>
        <w:noProof/>
      </w:rPr>
      <mc:AlternateContent>
        <mc:Choice Requires="wps">
          <w:drawing>
            <wp:anchor distT="0" distB="0" distL="0" distR="0" simplePos="0" relativeHeight="251655680" behindDoc="0" locked="1" layoutInCell="1" allowOverlap="1" wp14:anchorId="306A78D5" wp14:editId="7FAA5B9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6B566AF" w14:textId="77777777" w:rsidR="009F5095" w:rsidRDefault="002057A0">
                          <w:r>
                            <w:t xml:space="preserve">Aan de Voorzitter van de Tweede Kamer </w:t>
                          </w:r>
                        </w:p>
                        <w:p w14:paraId="745B7A64" w14:textId="3BECCE5C" w:rsidR="003622C2" w:rsidRDefault="002057A0">
                          <w:r>
                            <w:t>der Staten-Generaal</w:t>
                          </w:r>
                        </w:p>
                        <w:p w14:paraId="74733B45" w14:textId="77777777" w:rsidR="003622C2" w:rsidRDefault="002057A0">
                          <w:r>
                            <w:t xml:space="preserve">Postbus 20018 </w:t>
                          </w:r>
                        </w:p>
                        <w:p w14:paraId="03B5CA78" w14:textId="77777777" w:rsidR="003622C2" w:rsidRDefault="002057A0">
                          <w:r>
                            <w:t>2500 EA  DEN HAAG</w:t>
                          </w:r>
                        </w:p>
                      </w:txbxContent>
                    </wps:txbx>
                    <wps:bodyPr vert="horz" wrap="square" lIns="0" tIns="0" rIns="0" bIns="0" anchor="t" anchorCtr="0"/>
                  </wps:wsp>
                </a:graphicData>
              </a:graphic>
            </wp:anchor>
          </w:drawing>
        </mc:Choice>
        <mc:Fallback>
          <w:pict>
            <v:shapetype w14:anchorId="306A78D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6B566AF" w14:textId="77777777" w:rsidR="009F5095" w:rsidRDefault="002057A0">
                    <w:r>
                      <w:t xml:space="preserve">Aan de Voorzitter van de Tweede Kamer </w:t>
                    </w:r>
                  </w:p>
                  <w:p w14:paraId="745B7A64" w14:textId="3BECCE5C" w:rsidR="003622C2" w:rsidRDefault="002057A0">
                    <w:r>
                      <w:t>der Staten-Generaal</w:t>
                    </w:r>
                  </w:p>
                  <w:p w14:paraId="74733B45" w14:textId="77777777" w:rsidR="003622C2" w:rsidRDefault="002057A0">
                    <w:r>
                      <w:t xml:space="preserve">Postbus 20018 </w:t>
                    </w:r>
                  </w:p>
                  <w:p w14:paraId="03B5CA78" w14:textId="77777777" w:rsidR="003622C2" w:rsidRDefault="002057A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587C1DC" wp14:editId="0424FC41">
              <wp:simplePos x="0" y="0"/>
              <wp:positionH relativeFrom="page">
                <wp:posOffset>1009650</wp:posOffset>
              </wp:positionH>
              <wp:positionV relativeFrom="page">
                <wp:posOffset>3357245</wp:posOffset>
              </wp:positionV>
              <wp:extent cx="4787900" cy="5111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111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622C2" w14:paraId="24221CA4" w14:textId="77777777">
                            <w:trPr>
                              <w:trHeight w:val="240"/>
                            </w:trPr>
                            <w:tc>
                              <w:tcPr>
                                <w:tcW w:w="1140" w:type="dxa"/>
                              </w:tcPr>
                              <w:p w14:paraId="58D333CC" w14:textId="77777777" w:rsidR="003622C2" w:rsidRDefault="002057A0">
                                <w:r>
                                  <w:t>Datum</w:t>
                                </w:r>
                              </w:p>
                            </w:tc>
                            <w:tc>
                              <w:tcPr>
                                <w:tcW w:w="5918" w:type="dxa"/>
                              </w:tcPr>
                              <w:p w14:paraId="3976F858" w14:textId="089DA499" w:rsidR="003622C2" w:rsidRDefault="0020386D">
                                <w:sdt>
                                  <w:sdtPr>
                                    <w:id w:val="224108057"/>
                                    <w:date w:fullDate="2025-12-09T00:00:00Z">
                                      <w:dateFormat w:val="d MMMM yyyy"/>
                                      <w:lid w:val="nl"/>
                                      <w:storeMappedDataAs w:val="dateTime"/>
                                      <w:calendar w:val="gregorian"/>
                                    </w:date>
                                  </w:sdtPr>
                                  <w:sdtEndPr/>
                                  <w:sdtContent>
                                    <w:r w:rsidR="009F5095">
                                      <w:rPr>
                                        <w:lang w:val="nl"/>
                                      </w:rPr>
                                      <w:t>9 december 2025</w:t>
                                    </w:r>
                                  </w:sdtContent>
                                </w:sdt>
                              </w:p>
                            </w:tc>
                          </w:tr>
                          <w:tr w:rsidR="003622C2" w14:paraId="634CFEA7" w14:textId="77777777">
                            <w:trPr>
                              <w:trHeight w:val="240"/>
                            </w:trPr>
                            <w:tc>
                              <w:tcPr>
                                <w:tcW w:w="1140" w:type="dxa"/>
                              </w:tcPr>
                              <w:p w14:paraId="4BB17CCB" w14:textId="77777777" w:rsidR="003622C2" w:rsidRDefault="002057A0">
                                <w:r>
                                  <w:t>Betreft</w:t>
                                </w:r>
                              </w:p>
                            </w:tc>
                            <w:tc>
                              <w:tcPr>
                                <w:tcW w:w="5918" w:type="dxa"/>
                              </w:tcPr>
                              <w:p w14:paraId="730D60F1" w14:textId="77777777" w:rsidR="003622C2" w:rsidRDefault="002057A0">
                                <w:r>
                                  <w:t xml:space="preserve">Beleidsreactie WODC-onderzoek naar effecten civiele verboden op Outlaw </w:t>
                                </w:r>
                                <w:proofErr w:type="spellStart"/>
                                <w:r>
                                  <w:t>Motorcycle</w:t>
                                </w:r>
                                <w:proofErr w:type="spellEnd"/>
                                <w:r>
                                  <w:t xml:space="preserve"> Gangs</w:t>
                                </w:r>
                              </w:p>
                            </w:tc>
                          </w:tr>
                        </w:tbl>
                        <w:p w14:paraId="1BD22550" w14:textId="77777777" w:rsidR="006B155D" w:rsidRDefault="006B155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587C1DC" id="46feebd0-aa3c-11ea-a756-beb5f67e67be" o:spid="_x0000_s1030" type="#_x0000_t202" style="position:absolute;margin-left:79.5pt;margin-top:264.35pt;width:377pt;height:40.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622C2" w14:paraId="24221CA4" w14:textId="77777777">
                      <w:trPr>
                        <w:trHeight w:val="240"/>
                      </w:trPr>
                      <w:tc>
                        <w:tcPr>
                          <w:tcW w:w="1140" w:type="dxa"/>
                        </w:tcPr>
                        <w:p w14:paraId="58D333CC" w14:textId="77777777" w:rsidR="003622C2" w:rsidRDefault="002057A0">
                          <w:r>
                            <w:t>Datum</w:t>
                          </w:r>
                        </w:p>
                      </w:tc>
                      <w:tc>
                        <w:tcPr>
                          <w:tcW w:w="5918" w:type="dxa"/>
                        </w:tcPr>
                        <w:p w14:paraId="3976F858" w14:textId="089DA499" w:rsidR="003622C2" w:rsidRDefault="0020386D">
                          <w:sdt>
                            <w:sdtPr>
                              <w:id w:val="224108057"/>
                              <w:date w:fullDate="2025-12-09T00:00:00Z">
                                <w:dateFormat w:val="d MMMM yyyy"/>
                                <w:lid w:val="nl"/>
                                <w:storeMappedDataAs w:val="dateTime"/>
                                <w:calendar w:val="gregorian"/>
                              </w:date>
                            </w:sdtPr>
                            <w:sdtEndPr/>
                            <w:sdtContent>
                              <w:r w:rsidR="009F5095">
                                <w:rPr>
                                  <w:lang w:val="nl"/>
                                </w:rPr>
                                <w:t>9 december 2025</w:t>
                              </w:r>
                            </w:sdtContent>
                          </w:sdt>
                        </w:p>
                      </w:tc>
                    </w:tr>
                    <w:tr w:rsidR="003622C2" w14:paraId="634CFEA7" w14:textId="77777777">
                      <w:trPr>
                        <w:trHeight w:val="240"/>
                      </w:trPr>
                      <w:tc>
                        <w:tcPr>
                          <w:tcW w:w="1140" w:type="dxa"/>
                        </w:tcPr>
                        <w:p w14:paraId="4BB17CCB" w14:textId="77777777" w:rsidR="003622C2" w:rsidRDefault="002057A0">
                          <w:r>
                            <w:t>Betreft</w:t>
                          </w:r>
                        </w:p>
                      </w:tc>
                      <w:tc>
                        <w:tcPr>
                          <w:tcW w:w="5918" w:type="dxa"/>
                        </w:tcPr>
                        <w:p w14:paraId="730D60F1" w14:textId="77777777" w:rsidR="003622C2" w:rsidRDefault="002057A0">
                          <w:r>
                            <w:t xml:space="preserve">Beleidsreactie WODC-onderzoek naar effecten civiele verboden op Outlaw </w:t>
                          </w:r>
                          <w:proofErr w:type="spellStart"/>
                          <w:r>
                            <w:t>Motorcycle</w:t>
                          </w:r>
                          <w:proofErr w:type="spellEnd"/>
                          <w:r>
                            <w:t xml:space="preserve"> Gangs</w:t>
                          </w:r>
                        </w:p>
                      </w:tc>
                    </w:tr>
                  </w:tbl>
                  <w:p w14:paraId="1BD22550" w14:textId="77777777" w:rsidR="006B155D" w:rsidRDefault="006B155D"/>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9EDE93C" wp14:editId="57196F4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4DA24B2" w14:textId="77777777" w:rsidR="003622C2" w:rsidRDefault="002057A0">
                          <w:pPr>
                            <w:pStyle w:val="Referentiegegevensbold"/>
                          </w:pPr>
                          <w:r>
                            <w:t>Programma Directoraat-Generaal</w:t>
                          </w:r>
                        </w:p>
                        <w:p w14:paraId="2FBE88E5" w14:textId="77777777" w:rsidR="003622C2" w:rsidRDefault="002057A0">
                          <w:pPr>
                            <w:pStyle w:val="Referentiegegevens"/>
                          </w:pPr>
                          <w:r>
                            <w:t>Directoraat-Generaal Ondermijning</w:t>
                          </w:r>
                        </w:p>
                        <w:p w14:paraId="3B9696ED" w14:textId="77777777" w:rsidR="003622C2" w:rsidRDefault="003622C2">
                          <w:pPr>
                            <w:pStyle w:val="WitregelW1"/>
                          </w:pPr>
                        </w:p>
                        <w:p w14:paraId="1B28E4DB" w14:textId="77777777" w:rsidR="003622C2" w:rsidRPr="00C46B3C" w:rsidRDefault="002057A0">
                          <w:pPr>
                            <w:pStyle w:val="Referentiegegevens"/>
                            <w:rPr>
                              <w:lang w:val="de-DE"/>
                            </w:rPr>
                          </w:pPr>
                          <w:proofErr w:type="spellStart"/>
                          <w:r w:rsidRPr="00C46B3C">
                            <w:rPr>
                              <w:lang w:val="de-DE"/>
                            </w:rPr>
                            <w:t>Turfmarkt</w:t>
                          </w:r>
                          <w:proofErr w:type="spellEnd"/>
                          <w:r w:rsidRPr="00C46B3C">
                            <w:rPr>
                              <w:lang w:val="de-DE"/>
                            </w:rPr>
                            <w:t xml:space="preserve"> 147</w:t>
                          </w:r>
                        </w:p>
                        <w:p w14:paraId="0AE06879" w14:textId="77777777" w:rsidR="003622C2" w:rsidRPr="00C46B3C" w:rsidRDefault="002057A0">
                          <w:pPr>
                            <w:pStyle w:val="Referentiegegevens"/>
                            <w:rPr>
                              <w:lang w:val="de-DE"/>
                            </w:rPr>
                          </w:pPr>
                          <w:r w:rsidRPr="00C46B3C">
                            <w:rPr>
                              <w:lang w:val="de-DE"/>
                            </w:rPr>
                            <w:t>2511 DP   Den Haag</w:t>
                          </w:r>
                        </w:p>
                        <w:p w14:paraId="5E14A54C" w14:textId="77777777" w:rsidR="003622C2" w:rsidRPr="00C46B3C" w:rsidRDefault="002057A0">
                          <w:pPr>
                            <w:pStyle w:val="Referentiegegevens"/>
                            <w:rPr>
                              <w:lang w:val="de-DE"/>
                            </w:rPr>
                          </w:pPr>
                          <w:r w:rsidRPr="00C46B3C">
                            <w:rPr>
                              <w:lang w:val="de-DE"/>
                            </w:rPr>
                            <w:t>Postbus 20301</w:t>
                          </w:r>
                        </w:p>
                        <w:p w14:paraId="59164F6A" w14:textId="77777777" w:rsidR="003622C2" w:rsidRPr="00C46B3C" w:rsidRDefault="002057A0">
                          <w:pPr>
                            <w:pStyle w:val="Referentiegegevens"/>
                            <w:rPr>
                              <w:lang w:val="de-DE"/>
                            </w:rPr>
                          </w:pPr>
                          <w:r w:rsidRPr="00C46B3C">
                            <w:rPr>
                              <w:lang w:val="de-DE"/>
                            </w:rPr>
                            <w:t>2500 EH   Den Haag</w:t>
                          </w:r>
                        </w:p>
                        <w:p w14:paraId="47F18A8C" w14:textId="77777777" w:rsidR="003622C2" w:rsidRPr="00C46B3C" w:rsidRDefault="002057A0">
                          <w:pPr>
                            <w:pStyle w:val="Referentiegegevens"/>
                            <w:rPr>
                              <w:lang w:val="de-DE"/>
                            </w:rPr>
                          </w:pPr>
                          <w:r w:rsidRPr="00C46B3C">
                            <w:rPr>
                              <w:lang w:val="de-DE"/>
                            </w:rPr>
                            <w:t>www.rijksoverheid.nl/jenv</w:t>
                          </w:r>
                        </w:p>
                        <w:p w14:paraId="185CEC10" w14:textId="77777777" w:rsidR="003622C2" w:rsidRPr="00C46B3C" w:rsidRDefault="003622C2">
                          <w:pPr>
                            <w:pStyle w:val="WitregelW2"/>
                            <w:rPr>
                              <w:lang w:val="de-DE"/>
                            </w:rPr>
                          </w:pPr>
                        </w:p>
                        <w:p w14:paraId="3FD8D510" w14:textId="77777777" w:rsidR="003622C2" w:rsidRDefault="002057A0">
                          <w:pPr>
                            <w:pStyle w:val="Referentiegegevensbold"/>
                          </w:pPr>
                          <w:r>
                            <w:t>Onze referentie</w:t>
                          </w:r>
                        </w:p>
                        <w:p w14:paraId="7C72A9F0" w14:textId="77777777" w:rsidR="003622C2" w:rsidRDefault="002057A0">
                          <w:pPr>
                            <w:pStyle w:val="Referentiegegevens"/>
                          </w:pPr>
                          <w:r>
                            <w:t>6896496</w:t>
                          </w:r>
                        </w:p>
                        <w:p w14:paraId="55EE684D" w14:textId="77777777" w:rsidR="003622C2" w:rsidRDefault="003622C2">
                          <w:pPr>
                            <w:pStyle w:val="WitregelW1"/>
                          </w:pPr>
                        </w:p>
                        <w:p w14:paraId="36244597" w14:textId="77777777" w:rsidR="003622C2" w:rsidRDefault="002057A0">
                          <w:pPr>
                            <w:pStyle w:val="Referentiegegevensbold"/>
                          </w:pPr>
                          <w:r>
                            <w:t>Bijlage(n)</w:t>
                          </w:r>
                        </w:p>
                        <w:p w14:paraId="288E6FBF" w14:textId="44587FC2" w:rsidR="003622C2" w:rsidRDefault="009F5095">
                          <w:pPr>
                            <w:pStyle w:val="Referentiegegevens"/>
                          </w:pPr>
                          <w:r>
                            <w:t>2</w:t>
                          </w:r>
                        </w:p>
                      </w:txbxContent>
                    </wps:txbx>
                    <wps:bodyPr vert="horz" wrap="square" lIns="0" tIns="0" rIns="0" bIns="0" anchor="t" anchorCtr="0"/>
                  </wps:wsp>
                </a:graphicData>
              </a:graphic>
            </wp:anchor>
          </w:drawing>
        </mc:Choice>
        <mc:Fallback>
          <w:pict>
            <v:shape w14:anchorId="19EDE93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4DA24B2" w14:textId="77777777" w:rsidR="003622C2" w:rsidRDefault="002057A0">
                    <w:pPr>
                      <w:pStyle w:val="Referentiegegevensbold"/>
                    </w:pPr>
                    <w:r>
                      <w:t>Programma Directoraat-Generaal</w:t>
                    </w:r>
                  </w:p>
                  <w:p w14:paraId="2FBE88E5" w14:textId="77777777" w:rsidR="003622C2" w:rsidRDefault="002057A0">
                    <w:pPr>
                      <w:pStyle w:val="Referentiegegevens"/>
                    </w:pPr>
                    <w:r>
                      <w:t>Directoraat-Generaal Ondermijning</w:t>
                    </w:r>
                  </w:p>
                  <w:p w14:paraId="3B9696ED" w14:textId="77777777" w:rsidR="003622C2" w:rsidRDefault="003622C2">
                    <w:pPr>
                      <w:pStyle w:val="WitregelW1"/>
                    </w:pPr>
                  </w:p>
                  <w:p w14:paraId="1B28E4DB" w14:textId="77777777" w:rsidR="003622C2" w:rsidRPr="00C46B3C" w:rsidRDefault="002057A0">
                    <w:pPr>
                      <w:pStyle w:val="Referentiegegevens"/>
                      <w:rPr>
                        <w:lang w:val="de-DE"/>
                      </w:rPr>
                    </w:pPr>
                    <w:proofErr w:type="spellStart"/>
                    <w:r w:rsidRPr="00C46B3C">
                      <w:rPr>
                        <w:lang w:val="de-DE"/>
                      </w:rPr>
                      <w:t>Turfmarkt</w:t>
                    </w:r>
                    <w:proofErr w:type="spellEnd"/>
                    <w:r w:rsidRPr="00C46B3C">
                      <w:rPr>
                        <w:lang w:val="de-DE"/>
                      </w:rPr>
                      <w:t xml:space="preserve"> 147</w:t>
                    </w:r>
                  </w:p>
                  <w:p w14:paraId="0AE06879" w14:textId="77777777" w:rsidR="003622C2" w:rsidRPr="00C46B3C" w:rsidRDefault="002057A0">
                    <w:pPr>
                      <w:pStyle w:val="Referentiegegevens"/>
                      <w:rPr>
                        <w:lang w:val="de-DE"/>
                      </w:rPr>
                    </w:pPr>
                    <w:r w:rsidRPr="00C46B3C">
                      <w:rPr>
                        <w:lang w:val="de-DE"/>
                      </w:rPr>
                      <w:t>2511 DP   Den Haag</w:t>
                    </w:r>
                  </w:p>
                  <w:p w14:paraId="5E14A54C" w14:textId="77777777" w:rsidR="003622C2" w:rsidRPr="00C46B3C" w:rsidRDefault="002057A0">
                    <w:pPr>
                      <w:pStyle w:val="Referentiegegevens"/>
                      <w:rPr>
                        <w:lang w:val="de-DE"/>
                      </w:rPr>
                    </w:pPr>
                    <w:r w:rsidRPr="00C46B3C">
                      <w:rPr>
                        <w:lang w:val="de-DE"/>
                      </w:rPr>
                      <w:t>Postbus 20301</w:t>
                    </w:r>
                  </w:p>
                  <w:p w14:paraId="59164F6A" w14:textId="77777777" w:rsidR="003622C2" w:rsidRPr="00C46B3C" w:rsidRDefault="002057A0">
                    <w:pPr>
                      <w:pStyle w:val="Referentiegegevens"/>
                      <w:rPr>
                        <w:lang w:val="de-DE"/>
                      </w:rPr>
                    </w:pPr>
                    <w:r w:rsidRPr="00C46B3C">
                      <w:rPr>
                        <w:lang w:val="de-DE"/>
                      </w:rPr>
                      <w:t>2500 EH   Den Haag</w:t>
                    </w:r>
                  </w:p>
                  <w:p w14:paraId="47F18A8C" w14:textId="77777777" w:rsidR="003622C2" w:rsidRPr="00C46B3C" w:rsidRDefault="002057A0">
                    <w:pPr>
                      <w:pStyle w:val="Referentiegegevens"/>
                      <w:rPr>
                        <w:lang w:val="de-DE"/>
                      </w:rPr>
                    </w:pPr>
                    <w:r w:rsidRPr="00C46B3C">
                      <w:rPr>
                        <w:lang w:val="de-DE"/>
                      </w:rPr>
                      <w:t>www.rijksoverheid.nl/jenv</w:t>
                    </w:r>
                  </w:p>
                  <w:p w14:paraId="185CEC10" w14:textId="77777777" w:rsidR="003622C2" w:rsidRPr="00C46B3C" w:rsidRDefault="003622C2">
                    <w:pPr>
                      <w:pStyle w:val="WitregelW2"/>
                      <w:rPr>
                        <w:lang w:val="de-DE"/>
                      </w:rPr>
                    </w:pPr>
                  </w:p>
                  <w:p w14:paraId="3FD8D510" w14:textId="77777777" w:rsidR="003622C2" w:rsidRDefault="002057A0">
                    <w:pPr>
                      <w:pStyle w:val="Referentiegegevensbold"/>
                    </w:pPr>
                    <w:r>
                      <w:t>Onze referentie</w:t>
                    </w:r>
                  </w:p>
                  <w:p w14:paraId="7C72A9F0" w14:textId="77777777" w:rsidR="003622C2" w:rsidRDefault="002057A0">
                    <w:pPr>
                      <w:pStyle w:val="Referentiegegevens"/>
                    </w:pPr>
                    <w:r>
                      <w:t>6896496</w:t>
                    </w:r>
                  </w:p>
                  <w:p w14:paraId="55EE684D" w14:textId="77777777" w:rsidR="003622C2" w:rsidRDefault="003622C2">
                    <w:pPr>
                      <w:pStyle w:val="WitregelW1"/>
                    </w:pPr>
                  </w:p>
                  <w:p w14:paraId="36244597" w14:textId="77777777" w:rsidR="003622C2" w:rsidRDefault="002057A0">
                    <w:pPr>
                      <w:pStyle w:val="Referentiegegevensbold"/>
                    </w:pPr>
                    <w:r>
                      <w:t>Bijlage(n)</w:t>
                    </w:r>
                  </w:p>
                  <w:p w14:paraId="288E6FBF" w14:textId="44587FC2" w:rsidR="003622C2" w:rsidRDefault="009F5095">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5CFA1E9" wp14:editId="09831F5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185C69" w14:textId="77777777" w:rsidR="006B155D" w:rsidRDefault="006B155D"/>
                      </w:txbxContent>
                    </wps:txbx>
                    <wps:bodyPr vert="horz" wrap="square" lIns="0" tIns="0" rIns="0" bIns="0" anchor="t" anchorCtr="0"/>
                  </wps:wsp>
                </a:graphicData>
              </a:graphic>
            </wp:anchor>
          </w:drawing>
        </mc:Choice>
        <mc:Fallback>
          <w:pict>
            <v:shape w14:anchorId="05CFA1E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2185C69" w14:textId="77777777" w:rsidR="006B155D" w:rsidRDefault="006B155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6553EB2" wp14:editId="0F52E51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DCF2C75" w14:textId="0905C7F8" w:rsidR="003622C2" w:rsidRDefault="002057A0">
                          <w:pPr>
                            <w:pStyle w:val="Referentiegegevens"/>
                          </w:pPr>
                          <w:r>
                            <w:t xml:space="preserve">Pagina </w:t>
                          </w:r>
                          <w:r>
                            <w:fldChar w:fldCharType="begin"/>
                          </w:r>
                          <w:r>
                            <w:instrText>PAGE</w:instrText>
                          </w:r>
                          <w:r>
                            <w:fldChar w:fldCharType="separate"/>
                          </w:r>
                          <w:r w:rsidR="00C46B3C">
                            <w:rPr>
                              <w:noProof/>
                            </w:rPr>
                            <w:t>1</w:t>
                          </w:r>
                          <w:r>
                            <w:fldChar w:fldCharType="end"/>
                          </w:r>
                          <w:r>
                            <w:t xml:space="preserve"> van </w:t>
                          </w:r>
                          <w:r>
                            <w:fldChar w:fldCharType="begin"/>
                          </w:r>
                          <w:r>
                            <w:instrText>NUMPAGES</w:instrText>
                          </w:r>
                          <w:r>
                            <w:fldChar w:fldCharType="separate"/>
                          </w:r>
                          <w:r w:rsidR="00C46B3C">
                            <w:rPr>
                              <w:noProof/>
                            </w:rPr>
                            <w:t>3</w:t>
                          </w:r>
                          <w:r>
                            <w:fldChar w:fldCharType="end"/>
                          </w:r>
                        </w:p>
                      </w:txbxContent>
                    </wps:txbx>
                    <wps:bodyPr vert="horz" wrap="square" lIns="0" tIns="0" rIns="0" bIns="0" anchor="t" anchorCtr="0"/>
                  </wps:wsp>
                </a:graphicData>
              </a:graphic>
            </wp:anchor>
          </w:drawing>
        </mc:Choice>
        <mc:Fallback>
          <w:pict>
            <v:shape w14:anchorId="06553EB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DCF2C75" w14:textId="0905C7F8" w:rsidR="003622C2" w:rsidRDefault="002057A0">
                    <w:pPr>
                      <w:pStyle w:val="Referentiegegevens"/>
                    </w:pPr>
                    <w:r>
                      <w:t xml:space="preserve">Pagina </w:t>
                    </w:r>
                    <w:r>
                      <w:fldChar w:fldCharType="begin"/>
                    </w:r>
                    <w:r>
                      <w:instrText>PAGE</w:instrText>
                    </w:r>
                    <w:r>
                      <w:fldChar w:fldCharType="separate"/>
                    </w:r>
                    <w:r w:rsidR="00C46B3C">
                      <w:rPr>
                        <w:noProof/>
                      </w:rPr>
                      <w:t>1</w:t>
                    </w:r>
                    <w:r>
                      <w:fldChar w:fldCharType="end"/>
                    </w:r>
                    <w:r>
                      <w:t xml:space="preserve"> van </w:t>
                    </w:r>
                    <w:r>
                      <w:fldChar w:fldCharType="begin"/>
                    </w:r>
                    <w:r>
                      <w:instrText>NUMPAGES</w:instrText>
                    </w:r>
                    <w:r>
                      <w:fldChar w:fldCharType="separate"/>
                    </w:r>
                    <w:r w:rsidR="00C46B3C">
                      <w:rPr>
                        <w:noProof/>
                      </w:rPr>
                      <w:t>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A2B868F" wp14:editId="72D608A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7C3BD0E" w14:textId="77777777" w:rsidR="003622C2" w:rsidRDefault="002057A0">
                          <w:pPr>
                            <w:spacing w:line="240" w:lineRule="auto"/>
                          </w:pPr>
                          <w:r>
                            <w:rPr>
                              <w:noProof/>
                            </w:rPr>
                            <w:drawing>
                              <wp:inline distT="0" distB="0" distL="0" distR="0" wp14:anchorId="090BBAA7" wp14:editId="22043D0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2B868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7C3BD0E" w14:textId="77777777" w:rsidR="003622C2" w:rsidRDefault="002057A0">
                    <w:pPr>
                      <w:spacing w:line="240" w:lineRule="auto"/>
                    </w:pPr>
                    <w:r>
                      <w:rPr>
                        <w:noProof/>
                      </w:rPr>
                      <w:drawing>
                        <wp:inline distT="0" distB="0" distL="0" distR="0" wp14:anchorId="090BBAA7" wp14:editId="22043D0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817778B" wp14:editId="5751C6D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43A815" w14:textId="77777777" w:rsidR="003622C2" w:rsidRDefault="002057A0">
                          <w:pPr>
                            <w:spacing w:line="240" w:lineRule="auto"/>
                          </w:pPr>
                          <w:r>
                            <w:rPr>
                              <w:noProof/>
                            </w:rPr>
                            <w:drawing>
                              <wp:inline distT="0" distB="0" distL="0" distR="0" wp14:anchorId="17A5533D" wp14:editId="3C77190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817778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843A815" w14:textId="77777777" w:rsidR="003622C2" w:rsidRDefault="002057A0">
                    <w:pPr>
                      <w:spacing w:line="240" w:lineRule="auto"/>
                    </w:pPr>
                    <w:r>
                      <w:rPr>
                        <w:noProof/>
                      </w:rPr>
                      <w:drawing>
                        <wp:inline distT="0" distB="0" distL="0" distR="0" wp14:anchorId="17A5533D" wp14:editId="3C77190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7471567" wp14:editId="7D0CF9B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77203A" w14:textId="77777777" w:rsidR="003622C2" w:rsidRDefault="002057A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747156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477203A" w14:textId="77777777" w:rsidR="003622C2" w:rsidRDefault="002057A0">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3FF682"/>
    <w:multiLevelType w:val="multilevel"/>
    <w:tmpl w:val="8CC96DF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1BC7913"/>
    <w:multiLevelType w:val="multilevel"/>
    <w:tmpl w:val="2182D28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5B82B29"/>
    <w:multiLevelType w:val="multilevel"/>
    <w:tmpl w:val="A11D8B7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C5260DB"/>
    <w:multiLevelType w:val="hybridMultilevel"/>
    <w:tmpl w:val="CCD24A2E"/>
    <w:lvl w:ilvl="0" w:tplc="C5E2158A">
      <w:start w:val="1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117F3F"/>
    <w:multiLevelType w:val="multilevel"/>
    <w:tmpl w:val="99612ED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65749FC"/>
    <w:multiLevelType w:val="hybridMultilevel"/>
    <w:tmpl w:val="462A1F62"/>
    <w:lvl w:ilvl="0" w:tplc="C5E2158A">
      <w:start w:val="10"/>
      <w:numFmt w:val="bullet"/>
      <w:lvlText w:val="-"/>
      <w:lvlJc w:val="left"/>
      <w:pPr>
        <w:ind w:left="720" w:hanging="360"/>
      </w:pPr>
      <w:rPr>
        <w:rFonts w:ascii="Verdana" w:eastAsia="DejaVu Sans" w:hAnsi="Verdana" w:cs="Lohit Hindi" w:hint="default"/>
      </w:rPr>
    </w:lvl>
    <w:lvl w:ilvl="1" w:tplc="FFFFFFFF">
      <w:numFmt w:val="bullet"/>
      <w:lvlText w:val="-"/>
      <w:lvlJc w:val="left"/>
      <w:pPr>
        <w:ind w:left="1440" w:hanging="360"/>
      </w:pPr>
      <w:rPr>
        <w:rFonts w:ascii="Verdana" w:eastAsia="DejaVu Sans" w:hAnsi="Verdana" w:cs="Lohit Hindi" w:hint="default"/>
        <w:color w:val="00000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9A8FA49"/>
    <w:multiLevelType w:val="multilevel"/>
    <w:tmpl w:val="4DE6CC7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5F8F2FCF"/>
    <w:multiLevelType w:val="hybridMultilevel"/>
    <w:tmpl w:val="86085CCE"/>
    <w:lvl w:ilvl="0" w:tplc="7D906AE0">
      <w:start w:val="1"/>
      <w:numFmt w:val="decimal"/>
      <w:lvlText w:val="%1."/>
      <w:lvlJc w:val="left"/>
      <w:pPr>
        <w:ind w:left="710" w:hanging="71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81008E7"/>
    <w:multiLevelType w:val="hybridMultilevel"/>
    <w:tmpl w:val="1F86DB7C"/>
    <w:lvl w:ilvl="0" w:tplc="C3DC4002">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30F291E"/>
    <w:multiLevelType w:val="multilevel"/>
    <w:tmpl w:val="1AF9689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713119472">
    <w:abstractNumId w:val="6"/>
  </w:num>
  <w:num w:numId="2" w16cid:durableId="1920364696">
    <w:abstractNumId w:val="9"/>
  </w:num>
  <w:num w:numId="3" w16cid:durableId="2058698440">
    <w:abstractNumId w:val="4"/>
  </w:num>
  <w:num w:numId="4" w16cid:durableId="64881049">
    <w:abstractNumId w:val="1"/>
  </w:num>
  <w:num w:numId="5" w16cid:durableId="1839271567">
    <w:abstractNumId w:val="0"/>
  </w:num>
  <w:num w:numId="6" w16cid:durableId="671840475">
    <w:abstractNumId w:val="2"/>
  </w:num>
  <w:num w:numId="7" w16cid:durableId="627275923">
    <w:abstractNumId w:val="7"/>
  </w:num>
  <w:num w:numId="8" w16cid:durableId="839082896">
    <w:abstractNumId w:val="8"/>
  </w:num>
  <w:num w:numId="9" w16cid:durableId="1633250733">
    <w:abstractNumId w:val="3"/>
  </w:num>
  <w:num w:numId="10" w16cid:durableId="415518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E04"/>
    <w:rsid w:val="00023B46"/>
    <w:rsid w:val="00025F7B"/>
    <w:rsid w:val="00090FB2"/>
    <w:rsid w:val="00096E0F"/>
    <w:rsid w:val="000B52AC"/>
    <w:rsid w:val="000C23D4"/>
    <w:rsid w:val="000F090C"/>
    <w:rsid w:val="00106099"/>
    <w:rsid w:val="00125E1B"/>
    <w:rsid w:val="00130259"/>
    <w:rsid w:val="0013535B"/>
    <w:rsid w:val="00155FF8"/>
    <w:rsid w:val="001668ED"/>
    <w:rsid w:val="00170834"/>
    <w:rsid w:val="00176048"/>
    <w:rsid w:val="001A3B8C"/>
    <w:rsid w:val="0020386D"/>
    <w:rsid w:val="00204722"/>
    <w:rsid w:val="002057A0"/>
    <w:rsid w:val="00216E04"/>
    <w:rsid w:val="0021757B"/>
    <w:rsid w:val="00221928"/>
    <w:rsid w:val="00227AFF"/>
    <w:rsid w:val="002448FA"/>
    <w:rsid w:val="00254B95"/>
    <w:rsid w:val="002749D3"/>
    <w:rsid w:val="002775C9"/>
    <w:rsid w:val="00286102"/>
    <w:rsid w:val="002933E8"/>
    <w:rsid w:val="002A28B6"/>
    <w:rsid w:val="002A443C"/>
    <w:rsid w:val="002C5190"/>
    <w:rsid w:val="002D36F9"/>
    <w:rsid w:val="002F4C7F"/>
    <w:rsid w:val="00302777"/>
    <w:rsid w:val="003039D8"/>
    <w:rsid w:val="003211CC"/>
    <w:rsid w:val="00323E97"/>
    <w:rsid w:val="003361DD"/>
    <w:rsid w:val="00345A1F"/>
    <w:rsid w:val="00345B7E"/>
    <w:rsid w:val="003622C2"/>
    <w:rsid w:val="00362B99"/>
    <w:rsid w:val="00374BE6"/>
    <w:rsid w:val="00385DCD"/>
    <w:rsid w:val="003865CC"/>
    <w:rsid w:val="0039286C"/>
    <w:rsid w:val="003A5A28"/>
    <w:rsid w:val="003B273E"/>
    <w:rsid w:val="00443F2A"/>
    <w:rsid w:val="004556AC"/>
    <w:rsid w:val="00476118"/>
    <w:rsid w:val="00481159"/>
    <w:rsid w:val="00483E55"/>
    <w:rsid w:val="004A4CCF"/>
    <w:rsid w:val="004A5BC7"/>
    <w:rsid w:val="004B7E41"/>
    <w:rsid w:val="004E0E47"/>
    <w:rsid w:val="0050757B"/>
    <w:rsid w:val="00517CD5"/>
    <w:rsid w:val="0054060B"/>
    <w:rsid w:val="00545952"/>
    <w:rsid w:val="00555438"/>
    <w:rsid w:val="00557D1F"/>
    <w:rsid w:val="0057451B"/>
    <w:rsid w:val="00575248"/>
    <w:rsid w:val="005941F3"/>
    <w:rsid w:val="005B0A6F"/>
    <w:rsid w:val="005B24FC"/>
    <w:rsid w:val="005C6F6B"/>
    <w:rsid w:val="005D349B"/>
    <w:rsid w:val="005E2E9E"/>
    <w:rsid w:val="005E5F98"/>
    <w:rsid w:val="005F498D"/>
    <w:rsid w:val="00611CF8"/>
    <w:rsid w:val="00614DC1"/>
    <w:rsid w:val="00633DA8"/>
    <w:rsid w:val="00664FD0"/>
    <w:rsid w:val="006743C2"/>
    <w:rsid w:val="00680E77"/>
    <w:rsid w:val="006948D8"/>
    <w:rsid w:val="006A2350"/>
    <w:rsid w:val="006A4B75"/>
    <w:rsid w:val="006B155D"/>
    <w:rsid w:val="006C1CB8"/>
    <w:rsid w:val="006C4E1C"/>
    <w:rsid w:val="006C6C0C"/>
    <w:rsid w:val="006D176D"/>
    <w:rsid w:val="006E2338"/>
    <w:rsid w:val="00703BE7"/>
    <w:rsid w:val="00730ED5"/>
    <w:rsid w:val="00736BF2"/>
    <w:rsid w:val="007457D5"/>
    <w:rsid w:val="007501E3"/>
    <w:rsid w:val="00754CAF"/>
    <w:rsid w:val="00790DA4"/>
    <w:rsid w:val="007A2779"/>
    <w:rsid w:val="007A7B9D"/>
    <w:rsid w:val="007B622D"/>
    <w:rsid w:val="007E37BD"/>
    <w:rsid w:val="008162D6"/>
    <w:rsid w:val="008215FC"/>
    <w:rsid w:val="0082512B"/>
    <w:rsid w:val="008306F4"/>
    <w:rsid w:val="008317D7"/>
    <w:rsid w:val="00837F7A"/>
    <w:rsid w:val="0084348E"/>
    <w:rsid w:val="0085766E"/>
    <w:rsid w:val="0087234B"/>
    <w:rsid w:val="00881770"/>
    <w:rsid w:val="008B7A55"/>
    <w:rsid w:val="008E74AE"/>
    <w:rsid w:val="008F6063"/>
    <w:rsid w:val="009135BC"/>
    <w:rsid w:val="009344AF"/>
    <w:rsid w:val="00936961"/>
    <w:rsid w:val="00941E4F"/>
    <w:rsid w:val="00944248"/>
    <w:rsid w:val="00951870"/>
    <w:rsid w:val="00973616"/>
    <w:rsid w:val="00987300"/>
    <w:rsid w:val="009A1443"/>
    <w:rsid w:val="009B462A"/>
    <w:rsid w:val="009B6AD6"/>
    <w:rsid w:val="009B7078"/>
    <w:rsid w:val="009C2916"/>
    <w:rsid w:val="009F5095"/>
    <w:rsid w:val="00A13E5F"/>
    <w:rsid w:val="00A2353F"/>
    <w:rsid w:val="00A352EC"/>
    <w:rsid w:val="00A474E4"/>
    <w:rsid w:val="00A7500B"/>
    <w:rsid w:val="00A83E22"/>
    <w:rsid w:val="00A925F7"/>
    <w:rsid w:val="00AB22F2"/>
    <w:rsid w:val="00AB6ADE"/>
    <w:rsid w:val="00AC6932"/>
    <w:rsid w:val="00AD519B"/>
    <w:rsid w:val="00AE56EE"/>
    <w:rsid w:val="00B24019"/>
    <w:rsid w:val="00B52B35"/>
    <w:rsid w:val="00B538EF"/>
    <w:rsid w:val="00B62243"/>
    <w:rsid w:val="00B71E49"/>
    <w:rsid w:val="00B76E1A"/>
    <w:rsid w:val="00B87DB3"/>
    <w:rsid w:val="00B9052F"/>
    <w:rsid w:val="00B91B29"/>
    <w:rsid w:val="00BA1A8C"/>
    <w:rsid w:val="00BB797D"/>
    <w:rsid w:val="00BC0F86"/>
    <w:rsid w:val="00BF02EB"/>
    <w:rsid w:val="00C0034A"/>
    <w:rsid w:val="00C06E58"/>
    <w:rsid w:val="00C205CC"/>
    <w:rsid w:val="00C21A10"/>
    <w:rsid w:val="00C46AD3"/>
    <w:rsid w:val="00C46B3C"/>
    <w:rsid w:val="00C4790C"/>
    <w:rsid w:val="00C5475E"/>
    <w:rsid w:val="00C66F1F"/>
    <w:rsid w:val="00C72737"/>
    <w:rsid w:val="00C753B1"/>
    <w:rsid w:val="00C8480F"/>
    <w:rsid w:val="00C96BA3"/>
    <w:rsid w:val="00CB7256"/>
    <w:rsid w:val="00CC3A59"/>
    <w:rsid w:val="00CC5316"/>
    <w:rsid w:val="00CC62A1"/>
    <w:rsid w:val="00CD5A08"/>
    <w:rsid w:val="00CD7F01"/>
    <w:rsid w:val="00CE1DF8"/>
    <w:rsid w:val="00CF0E5A"/>
    <w:rsid w:val="00D10DC2"/>
    <w:rsid w:val="00D22487"/>
    <w:rsid w:val="00D24D73"/>
    <w:rsid w:val="00D27DE5"/>
    <w:rsid w:val="00D57080"/>
    <w:rsid w:val="00D72B29"/>
    <w:rsid w:val="00D86085"/>
    <w:rsid w:val="00D878D3"/>
    <w:rsid w:val="00DA7DB3"/>
    <w:rsid w:val="00DD7AD3"/>
    <w:rsid w:val="00DE49A7"/>
    <w:rsid w:val="00DF3080"/>
    <w:rsid w:val="00E07962"/>
    <w:rsid w:val="00E21B31"/>
    <w:rsid w:val="00E61C92"/>
    <w:rsid w:val="00E65EAE"/>
    <w:rsid w:val="00E76668"/>
    <w:rsid w:val="00E86687"/>
    <w:rsid w:val="00E9503B"/>
    <w:rsid w:val="00EA22D2"/>
    <w:rsid w:val="00EE6100"/>
    <w:rsid w:val="00EF3DC3"/>
    <w:rsid w:val="00EF71B3"/>
    <w:rsid w:val="00F0464D"/>
    <w:rsid w:val="00F44C31"/>
    <w:rsid w:val="00F44F77"/>
    <w:rsid w:val="00F55D59"/>
    <w:rsid w:val="00F62118"/>
    <w:rsid w:val="00F65542"/>
    <w:rsid w:val="00F703D6"/>
    <w:rsid w:val="00F742E7"/>
    <w:rsid w:val="00F74821"/>
    <w:rsid w:val="00F773EA"/>
    <w:rsid w:val="00F81440"/>
    <w:rsid w:val="00FB44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6D429"/>
  <w15:docId w15:val="{CC9ED9AB-08C3-4D71-A302-50759694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73EA"/>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773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773EA"/>
    <w:rPr>
      <w:rFonts w:ascii="Verdana" w:hAnsi="Verdana"/>
      <w:color w:val="000000"/>
      <w:sz w:val="18"/>
      <w:szCs w:val="18"/>
    </w:rPr>
  </w:style>
  <w:style w:type="paragraph" w:styleId="Voetnoottekst">
    <w:name w:val="footnote text"/>
    <w:basedOn w:val="Standaard"/>
    <w:link w:val="VoetnoottekstChar"/>
    <w:uiPriority w:val="99"/>
    <w:unhideWhenUsed/>
    <w:rsid w:val="00F773EA"/>
    <w:pPr>
      <w:spacing w:line="240" w:lineRule="auto"/>
    </w:pPr>
    <w:rPr>
      <w:sz w:val="20"/>
      <w:szCs w:val="20"/>
    </w:rPr>
  </w:style>
  <w:style w:type="character" w:customStyle="1" w:styleId="VoetnoottekstChar">
    <w:name w:val="Voetnoottekst Char"/>
    <w:basedOn w:val="Standaardalinea-lettertype"/>
    <w:link w:val="Voetnoottekst"/>
    <w:uiPriority w:val="99"/>
    <w:rsid w:val="00F773EA"/>
    <w:rPr>
      <w:rFonts w:ascii="Verdana" w:hAnsi="Verdana"/>
      <w:color w:val="000000"/>
    </w:rPr>
  </w:style>
  <w:style w:type="character" w:styleId="Voetnootmarkering">
    <w:name w:val="footnote reference"/>
    <w:basedOn w:val="Standaardalinea-lettertype"/>
    <w:uiPriority w:val="99"/>
    <w:semiHidden/>
    <w:unhideWhenUsed/>
    <w:rsid w:val="00F773EA"/>
    <w:rPr>
      <w:vertAlign w:val="superscript"/>
    </w:rPr>
  </w:style>
  <w:style w:type="paragraph" w:styleId="Lijstalinea">
    <w:name w:val="List Paragraph"/>
    <w:basedOn w:val="Standaard"/>
    <w:uiPriority w:val="34"/>
    <w:qFormat/>
    <w:rsid w:val="00F773EA"/>
    <w:pPr>
      <w:ind w:left="720"/>
      <w:contextualSpacing/>
    </w:pPr>
  </w:style>
  <w:style w:type="paragraph" w:styleId="Revisie">
    <w:name w:val="Revision"/>
    <w:hidden/>
    <w:uiPriority w:val="99"/>
    <w:semiHidden/>
    <w:rsid w:val="00B538E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0757B"/>
    <w:rPr>
      <w:sz w:val="16"/>
      <w:szCs w:val="16"/>
    </w:rPr>
  </w:style>
  <w:style w:type="paragraph" w:styleId="Tekstopmerking">
    <w:name w:val="annotation text"/>
    <w:basedOn w:val="Standaard"/>
    <w:link w:val="TekstopmerkingChar"/>
    <w:uiPriority w:val="99"/>
    <w:unhideWhenUsed/>
    <w:rsid w:val="0050757B"/>
    <w:pPr>
      <w:spacing w:line="240" w:lineRule="auto"/>
    </w:pPr>
    <w:rPr>
      <w:sz w:val="20"/>
      <w:szCs w:val="20"/>
    </w:rPr>
  </w:style>
  <w:style w:type="character" w:customStyle="1" w:styleId="TekstopmerkingChar">
    <w:name w:val="Tekst opmerking Char"/>
    <w:basedOn w:val="Standaardalinea-lettertype"/>
    <w:link w:val="Tekstopmerking"/>
    <w:uiPriority w:val="99"/>
    <w:rsid w:val="0050757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0757B"/>
    <w:rPr>
      <w:b/>
      <w:bCs/>
    </w:rPr>
  </w:style>
  <w:style w:type="character" w:customStyle="1" w:styleId="OnderwerpvanopmerkingChar">
    <w:name w:val="Onderwerp van opmerking Char"/>
    <w:basedOn w:val="TekstopmerkingChar"/>
    <w:link w:val="Onderwerpvanopmerking"/>
    <w:uiPriority w:val="99"/>
    <w:semiHidden/>
    <w:rsid w:val="0050757B"/>
    <w:rPr>
      <w:rFonts w:ascii="Verdana" w:hAnsi="Verdana"/>
      <w:b/>
      <w:bCs/>
      <w:color w:val="000000"/>
    </w:rPr>
  </w:style>
  <w:style w:type="character" w:styleId="Onopgelostemelding">
    <w:name w:val="Unresolved Mention"/>
    <w:basedOn w:val="Standaardalinea-lettertype"/>
    <w:uiPriority w:val="99"/>
    <w:semiHidden/>
    <w:unhideWhenUsed/>
    <w:rsid w:val="00096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0292">
      <w:bodyDiv w:val="1"/>
      <w:marLeft w:val="0"/>
      <w:marRight w:val="0"/>
      <w:marTop w:val="0"/>
      <w:marBottom w:val="0"/>
      <w:divBdr>
        <w:top w:val="none" w:sz="0" w:space="0" w:color="auto"/>
        <w:left w:val="none" w:sz="0" w:space="0" w:color="auto"/>
        <w:bottom w:val="none" w:sz="0" w:space="0" w:color="auto"/>
        <w:right w:val="none" w:sz="0" w:space="0" w:color="auto"/>
      </w:divBdr>
    </w:div>
    <w:div w:id="221411273">
      <w:bodyDiv w:val="1"/>
      <w:marLeft w:val="0"/>
      <w:marRight w:val="0"/>
      <w:marTop w:val="0"/>
      <w:marBottom w:val="0"/>
      <w:divBdr>
        <w:top w:val="none" w:sz="0" w:space="0" w:color="auto"/>
        <w:left w:val="none" w:sz="0" w:space="0" w:color="auto"/>
        <w:bottom w:val="none" w:sz="0" w:space="0" w:color="auto"/>
        <w:right w:val="none" w:sz="0" w:space="0" w:color="auto"/>
      </w:divBdr>
    </w:div>
    <w:div w:id="1783529136">
      <w:bodyDiv w:val="1"/>
      <w:marLeft w:val="0"/>
      <w:marRight w:val="0"/>
      <w:marTop w:val="0"/>
      <w:marBottom w:val="0"/>
      <w:divBdr>
        <w:top w:val="none" w:sz="0" w:space="0" w:color="auto"/>
        <w:left w:val="none" w:sz="0" w:space="0" w:color="auto"/>
        <w:bottom w:val="none" w:sz="0" w:space="0" w:color="auto"/>
        <w:right w:val="none" w:sz="0" w:space="0" w:color="auto"/>
      </w:divBdr>
    </w:div>
    <w:div w:id="178842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1591</ap:Words>
  <ap:Characters>8752</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Brief aan Parlement - Beleidsreactie op WODC-onderzoek naar effecten civiele verboden op Outlaw Motorcycle Gangs</vt:lpstr>
    </vt:vector>
  </ap:TitlesOfParts>
  <ap:LinksUpToDate>false</ap:LinksUpToDate>
  <ap:CharactersWithSpaces>10323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2025-12-09T14:22:00.0000000Z</dcterms:created>
  <dcterms:modified xsi:type="dcterms:W3CDTF">2025-12-09T14:22:00.0000000Z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Beleidsreactie op WODC-onderzoek naar effecten civiele verboden op Outlaw Motorcycle Gangs</vt:lpwstr>
  </property>
  <property fmtid="{D5CDD505-2E9C-101B-9397-08002B2CF9AE}" pid="5" name="Publicatiedatum">
    <vt:lpwstr/>
  </property>
  <property fmtid="{D5CDD505-2E9C-101B-9397-08002B2CF9AE}" pid="6" name="Verantwoordelijke organisatie">
    <vt:lpwstr>Directoraat-Generaal Ondermijning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15 oktober 2025</vt:lpwstr>
  </property>
  <property fmtid="{D5CDD505-2E9C-101B-9397-08002B2CF9AE}" pid="13" name="Opgesteld door, Naam">
    <vt:lpwstr>Nicky Laan</vt:lpwstr>
  </property>
  <property fmtid="{D5CDD505-2E9C-101B-9397-08002B2CF9AE}" pid="14" name="Opgesteld door, Telefoonnummer">
    <vt:lpwstr/>
  </property>
  <property fmtid="{D5CDD505-2E9C-101B-9397-08002B2CF9AE}" pid="15" name="Kenmerk">
    <vt:lpwstr>6896496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