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F83" w:rsidRDefault="00FF7F83" w14:paraId="0CA153A4" w14:textId="6641004B">
      <w:bookmarkStart w:name="_Hlk198560801" w:id="0"/>
    </w:p>
    <w:p w:rsidRPr="00632DCB" w:rsidR="003B1B4E" w:rsidP="003B1B4E" w:rsidRDefault="003B1B4E" w14:paraId="6BC78A28" w14:textId="1979AE3B"/>
    <w:p w:rsidRPr="00632DCB" w:rsidR="003B1B4E" w:rsidP="003B1B4E" w:rsidRDefault="003B1B4E" w14:paraId="28D50388" w14:textId="77777777"/>
    <w:p w:rsidRPr="00632DCB" w:rsidR="003B1B4E" w:rsidP="003B1B4E" w:rsidRDefault="003B1B4E" w14:paraId="721F468D" w14:textId="0640467C"/>
    <w:p w:rsidRPr="00632DCB" w:rsidR="003B1B4E" w:rsidP="003B1B4E" w:rsidRDefault="003B1B4E" w14:paraId="703B1612" w14:textId="05CEA077"/>
    <w:p w:rsidRPr="00632DCB" w:rsidR="0007616A" w:rsidP="003B1B4E" w:rsidRDefault="0007616A" w14:paraId="3792B841" w14:textId="77777777"/>
    <w:p w:rsidRPr="00632DCB" w:rsidR="003B1B4E" w:rsidP="003B1B4E" w:rsidRDefault="003B1B4E" w14:paraId="6C66D548" w14:textId="77777777"/>
    <w:p w:rsidRPr="00632DCB" w:rsidR="003B1B4E" w:rsidP="003B1B4E" w:rsidRDefault="003B1B4E" w14:paraId="6C2F6BF5" w14:textId="77777777"/>
    <w:p w:rsidRPr="00632DCB" w:rsidR="003B1B4E" w:rsidP="003B1B4E" w:rsidRDefault="003B1B4E" w14:paraId="25ECDC8D" w14:textId="77777777"/>
    <w:p w:rsidRPr="00632DCB" w:rsidR="003B1B4E" w:rsidP="003B1B4E" w:rsidRDefault="003B1B4E" w14:paraId="48B83D62" w14:textId="77777777"/>
    <w:p w:rsidRPr="00632DCB" w:rsidR="003B1B4E" w:rsidP="003B1B4E" w:rsidRDefault="003B1B4E" w14:paraId="2D0E14BD" w14:textId="77777777"/>
    <w:p w:rsidRPr="00632DCB" w:rsidR="003B1B4E" w:rsidP="003B1B4E" w:rsidRDefault="003B1B4E" w14:paraId="44DC4247" w14:textId="77777777"/>
    <w:p w:rsidRPr="00632DCB" w:rsidR="003B1B4E" w:rsidP="003B1B4E" w:rsidRDefault="003B1B4E" w14:paraId="5B0D91B6" w14:textId="77777777"/>
    <w:p w:rsidRPr="00632DCB" w:rsidR="003B1B4E" w:rsidP="003B1B4E" w:rsidRDefault="003B1B4E" w14:paraId="20DB849B" w14:textId="77777777"/>
    <w:p w:rsidRPr="00632DCB" w:rsidR="003B1B4E" w:rsidP="003B1B4E" w:rsidRDefault="003B1B4E" w14:paraId="273456AC" w14:textId="77777777"/>
    <w:p w:rsidRPr="00632DCB" w:rsidR="003B1B4E" w:rsidP="003B1B4E" w:rsidRDefault="003B1B4E" w14:paraId="48B3709E" w14:textId="77777777"/>
    <w:p w:rsidRPr="00632DCB" w:rsidR="003B1B4E" w:rsidP="003B1B4E" w:rsidRDefault="003B1B4E" w14:paraId="588D66FE" w14:textId="77777777"/>
    <w:p w:rsidRPr="00632DCB" w:rsidR="003B1B4E" w:rsidP="003B1B4E" w:rsidRDefault="003B1B4E" w14:paraId="6235791D" w14:textId="77777777"/>
    <w:p w:rsidRPr="00632DCB" w:rsidR="003B1B4E" w:rsidP="003B1B4E" w:rsidRDefault="003B1B4E" w14:paraId="3C1A55C6" w14:textId="77777777"/>
    <w:p w:rsidRPr="00632DCB" w:rsidR="003B1B4E" w:rsidP="003B1B4E" w:rsidRDefault="003B1B4E" w14:paraId="1D7C03F5" w14:textId="77777777"/>
    <w:p w:rsidRPr="00632DCB" w:rsidR="003B1B4E" w:rsidP="003B1B4E" w:rsidRDefault="003B1B4E" w14:paraId="104CB67B" w14:textId="77777777"/>
    <w:p w:rsidRPr="00632DCB" w:rsidR="0007616A" w:rsidP="003B1B4E" w:rsidRDefault="0007616A" w14:paraId="27CD2B66" w14:textId="77777777"/>
    <w:p w:rsidRPr="00632DCB" w:rsidR="0007616A" w:rsidP="003B1B4E" w:rsidRDefault="0007616A" w14:paraId="01674F06" w14:textId="77777777"/>
    <w:p w:rsidRPr="00632DCB" w:rsidR="0007616A" w:rsidP="003B1B4E" w:rsidRDefault="0007616A" w14:paraId="43622488" w14:textId="77777777"/>
    <w:p w:rsidRPr="00632DCB" w:rsidR="0007616A" w:rsidP="003B1B4E" w:rsidRDefault="0007616A" w14:paraId="2027D78F" w14:textId="77777777"/>
    <w:p w:rsidRPr="00632DCB" w:rsidR="0007616A" w:rsidP="003B1B4E" w:rsidRDefault="0007616A" w14:paraId="19CDAEE0" w14:textId="77777777"/>
    <w:p w:rsidRPr="00632DCB" w:rsidR="006C0491" w:rsidP="003B1B4E" w:rsidRDefault="006C0491" w14:paraId="06EA3857" w14:textId="77777777"/>
    <w:p w:rsidRPr="00632DCB" w:rsidR="006C0491" w:rsidP="003B1B4E" w:rsidRDefault="006C0491" w14:paraId="3E9A6CC0" w14:textId="77777777"/>
    <w:p w:rsidRPr="00632DCB" w:rsidR="006C0491" w:rsidP="003B1B4E" w:rsidRDefault="006C0491" w14:paraId="018ED1F5" w14:textId="77777777"/>
    <w:p w:rsidRPr="00632DCB" w:rsidR="006C0491" w:rsidP="003B1B4E" w:rsidRDefault="006C0491" w14:paraId="608D447D" w14:textId="77777777"/>
    <w:p w:rsidRPr="00632DCB" w:rsidR="006C0491" w:rsidP="003B1B4E" w:rsidRDefault="006C0491" w14:paraId="694D778F" w14:textId="77777777"/>
    <w:p w:rsidRPr="00632DCB" w:rsidR="006C0491" w:rsidP="003B1B4E" w:rsidRDefault="006C0491" w14:paraId="1744542C" w14:textId="77777777"/>
    <w:p w:rsidRPr="00632DCB" w:rsidR="006C0491" w:rsidP="003B1B4E" w:rsidRDefault="006C0491" w14:paraId="7A27A040" w14:textId="77777777"/>
    <w:p w:rsidRPr="00632DCB" w:rsidR="006C0491" w:rsidP="003B1B4E" w:rsidRDefault="006C0491" w14:paraId="5847564E" w14:textId="77777777"/>
    <w:p w:rsidRPr="00632DCB" w:rsidR="006C0491" w:rsidP="003B1B4E" w:rsidRDefault="006C0491" w14:paraId="7110C43C" w14:textId="77777777"/>
    <w:p w:rsidRPr="00D15C5F" w:rsidR="004F1EE5" w:rsidP="004F1EE5" w:rsidRDefault="004F1EE5" w14:paraId="5BC49FB6" w14:textId="3897E026">
      <w:pPr>
        <w:ind w:left="-1134"/>
        <w:rPr>
          <w:b/>
          <w:bCs/>
          <w:color w:val="156082" w:themeColor="accent1"/>
          <w:sz w:val="24"/>
          <w:szCs w:val="24"/>
        </w:rPr>
      </w:pPr>
      <w:r w:rsidRPr="00D15C5F">
        <w:rPr>
          <w:b/>
          <w:bCs/>
          <w:color w:val="156082" w:themeColor="accent1"/>
          <w:sz w:val="24"/>
          <w:szCs w:val="24"/>
        </w:rPr>
        <w:lastRenderedPageBreak/>
        <w:t>Inhoudsopgave</w:t>
      </w:r>
    </w:p>
    <w:p w:rsidRPr="00632DCB" w:rsidR="004F1EE5" w:rsidP="004F1EE5" w:rsidRDefault="004F1EE5" w14:paraId="60FA467C" w14:textId="77777777">
      <w:pPr>
        <w:ind w:left="-1134"/>
        <w:rPr>
          <w:sz w:val="24"/>
          <w:szCs w:val="24"/>
        </w:rPr>
      </w:pPr>
    </w:p>
    <w:p w:rsidRPr="00632DCB" w:rsidR="004F1EE5" w:rsidP="004F1EE5" w:rsidRDefault="004F1EE5" w14:paraId="4863F0DD" w14:textId="77777777">
      <w:pPr>
        <w:ind w:left="-1134"/>
        <w:rPr>
          <w:sz w:val="24"/>
          <w:szCs w:val="24"/>
        </w:rPr>
      </w:pPr>
    </w:p>
    <w:p w:rsidR="00277BFE" w:rsidRDefault="00D95AFB" w14:paraId="09AAD923" w14:textId="18CC519E">
      <w:pPr>
        <w:pStyle w:val="Inhopg1"/>
        <w:rPr>
          <w:rFonts w:asciiTheme="minorHAnsi" w:hAnsiTheme="minorHAnsi" w:eastAsiaTheme="minorEastAsia" w:cstheme="minorBidi"/>
          <w:b w:val="0"/>
          <w:noProof/>
          <w:kern w:val="2"/>
          <w:sz w:val="24"/>
          <w:szCs w:val="24"/>
          <w14:ligatures w14:val="standardContextual"/>
        </w:rPr>
      </w:pPr>
      <w:r>
        <w:fldChar w:fldCharType="begin"/>
      </w:r>
      <w:r>
        <w:instrText xml:space="preserve"> TOC \o "1-3" \p " " \h \z \u </w:instrText>
      </w:r>
      <w:r>
        <w:fldChar w:fldCharType="separate"/>
      </w:r>
      <w:hyperlink w:history="1" w:anchor="_Toc214547141">
        <w:r w:rsidRPr="00567FE6" w:rsidR="00277BFE">
          <w:rPr>
            <w:rStyle w:val="Hyperlink"/>
            <w:noProof/>
          </w:rPr>
          <w:t>Samenvatting</w:t>
        </w:r>
        <w:r w:rsidR="00277BFE">
          <w:rPr>
            <w:noProof/>
            <w:webHidden/>
          </w:rPr>
          <w:t xml:space="preserve"> </w:t>
        </w:r>
        <w:r w:rsidR="00277BFE">
          <w:rPr>
            <w:noProof/>
            <w:webHidden/>
          </w:rPr>
          <w:fldChar w:fldCharType="begin"/>
        </w:r>
        <w:r w:rsidR="00277BFE">
          <w:rPr>
            <w:noProof/>
            <w:webHidden/>
          </w:rPr>
          <w:instrText xml:space="preserve"> PAGEREF _Toc214547141 \h </w:instrText>
        </w:r>
        <w:r w:rsidR="00277BFE">
          <w:rPr>
            <w:noProof/>
            <w:webHidden/>
          </w:rPr>
        </w:r>
        <w:r w:rsidR="00277BFE">
          <w:rPr>
            <w:noProof/>
            <w:webHidden/>
          </w:rPr>
          <w:fldChar w:fldCharType="separate"/>
        </w:r>
        <w:r w:rsidR="00277BFE">
          <w:rPr>
            <w:noProof/>
            <w:webHidden/>
          </w:rPr>
          <w:t>3</w:t>
        </w:r>
        <w:r w:rsidR="00277BFE">
          <w:rPr>
            <w:noProof/>
            <w:webHidden/>
          </w:rPr>
          <w:fldChar w:fldCharType="end"/>
        </w:r>
      </w:hyperlink>
    </w:p>
    <w:p w:rsidR="00277BFE" w:rsidRDefault="00277BFE" w14:paraId="7A58C816" w14:textId="48EBADC8">
      <w:pPr>
        <w:pStyle w:val="Inhopg1"/>
        <w:rPr>
          <w:rFonts w:asciiTheme="minorHAnsi" w:hAnsiTheme="minorHAnsi" w:eastAsiaTheme="minorEastAsia" w:cstheme="minorBidi"/>
          <w:b w:val="0"/>
          <w:noProof/>
          <w:kern w:val="2"/>
          <w:sz w:val="24"/>
          <w:szCs w:val="24"/>
          <w14:ligatures w14:val="standardContextual"/>
        </w:rPr>
      </w:pPr>
      <w:hyperlink w:history="1" w:anchor="_Toc214547142">
        <w:r w:rsidRPr="00567FE6">
          <w:rPr>
            <w:rStyle w:val="Hyperlink"/>
            <w:noProof/>
          </w:rPr>
          <w:t>1</w:t>
        </w:r>
        <w:r>
          <w:rPr>
            <w:rFonts w:asciiTheme="minorHAnsi" w:hAnsiTheme="minorHAnsi" w:eastAsiaTheme="minorEastAsia" w:cstheme="minorBidi"/>
            <w:b w:val="0"/>
            <w:noProof/>
            <w:kern w:val="2"/>
            <w:sz w:val="24"/>
            <w:szCs w:val="24"/>
            <w14:ligatures w14:val="standardContextual"/>
          </w:rPr>
          <w:tab/>
        </w:r>
        <w:r w:rsidRPr="00567FE6">
          <w:rPr>
            <w:rStyle w:val="Hyperlink"/>
            <w:noProof/>
          </w:rPr>
          <w:t>Inleiding</w:t>
        </w:r>
        <w:r>
          <w:rPr>
            <w:noProof/>
            <w:webHidden/>
          </w:rPr>
          <w:t xml:space="preserve"> </w:t>
        </w:r>
        <w:r>
          <w:rPr>
            <w:noProof/>
            <w:webHidden/>
          </w:rPr>
          <w:fldChar w:fldCharType="begin"/>
        </w:r>
        <w:r>
          <w:rPr>
            <w:noProof/>
            <w:webHidden/>
          </w:rPr>
          <w:instrText xml:space="preserve"> PAGEREF _Toc214547142 \h </w:instrText>
        </w:r>
        <w:r>
          <w:rPr>
            <w:noProof/>
            <w:webHidden/>
          </w:rPr>
        </w:r>
        <w:r>
          <w:rPr>
            <w:noProof/>
            <w:webHidden/>
          </w:rPr>
          <w:fldChar w:fldCharType="separate"/>
        </w:r>
        <w:r>
          <w:rPr>
            <w:noProof/>
            <w:webHidden/>
          </w:rPr>
          <w:t>5</w:t>
        </w:r>
        <w:r>
          <w:rPr>
            <w:noProof/>
            <w:webHidden/>
          </w:rPr>
          <w:fldChar w:fldCharType="end"/>
        </w:r>
      </w:hyperlink>
    </w:p>
    <w:p w:rsidR="00277BFE" w:rsidRDefault="00277BFE" w14:paraId="3B00F2EC" w14:textId="004AC493">
      <w:pPr>
        <w:pStyle w:val="Inhopg2"/>
        <w:tabs>
          <w:tab w:val="right" w:pos="7787"/>
        </w:tabs>
        <w:rPr>
          <w:rFonts w:asciiTheme="minorHAnsi" w:hAnsiTheme="minorHAnsi" w:eastAsiaTheme="minorEastAsia" w:cstheme="minorBidi"/>
          <w:noProof/>
          <w:kern w:val="2"/>
          <w:sz w:val="24"/>
          <w:szCs w:val="24"/>
          <w14:ligatures w14:val="standardContextual"/>
        </w:rPr>
      </w:pPr>
      <w:hyperlink w:history="1" w:anchor="_Toc214547143">
        <w:r w:rsidRPr="00567FE6">
          <w:rPr>
            <w:rStyle w:val="Hyperlink"/>
            <w:rFonts w:eastAsia="MS Mincho" w:cs="Times New Roman"/>
            <w:noProof/>
          </w:rPr>
          <w:t>1.1</w:t>
        </w:r>
        <w:r>
          <w:rPr>
            <w:rFonts w:asciiTheme="minorHAnsi" w:hAnsiTheme="minorHAnsi" w:eastAsiaTheme="minorEastAsia" w:cstheme="minorBidi"/>
            <w:noProof/>
            <w:kern w:val="2"/>
            <w:sz w:val="24"/>
            <w:szCs w:val="24"/>
            <w14:ligatures w14:val="standardContextual"/>
          </w:rPr>
          <w:tab/>
        </w:r>
        <w:r w:rsidRPr="00567FE6">
          <w:rPr>
            <w:rStyle w:val="Hyperlink"/>
            <w:noProof/>
          </w:rPr>
          <w:t>Probleemanalyse</w:t>
        </w:r>
        <w:r>
          <w:rPr>
            <w:noProof/>
            <w:webHidden/>
          </w:rPr>
          <w:t xml:space="preserve"> </w:t>
        </w:r>
        <w:r>
          <w:rPr>
            <w:noProof/>
            <w:webHidden/>
          </w:rPr>
          <w:fldChar w:fldCharType="begin"/>
        </w:r>
        <w:r>
          <w:rPr>
            <w:noProof/>
            <w:webHidden/>
          </w:rPr>
          <w:instrText xml:space="preserve"> PAGEREF _Toc214547143 \h </w:instrText>
        </w:r>
        <w:r>
          <w:rPr>
            <w:noProof/>
            <w:webHidden/>
          </w:rPr>
        </w:r>
        <w:r>
          <w:rPr>
            <w:noProof/>
            <w:webHidden/>
          </w:rPr>
          <w:fldChar w:fldCharType="separate"/>
        </w:r>
        <w:r>
          <w:rPr>
            <w:noProof/>
            <w:webHidden/>
          </w:rPr>
          <w:t>5</w:t>
        </w:r>
        <w:r>
          <w:rPr>
            <w:noProof/>
            <w:webHidden/>
          </w:rPr>
          <w:fldChar w:fldCharType="end"/>
        </w:r>
      </w:hyperlink>
    </w:p>
    <w:p w:rsidR="00277BFE" w:rsidRDefault="00277BFE" w14:paraId="2E741630" w14:textId="1F52F7CC">
      <w:pPr>
        <w:pStyle w:val="Inhopg2"/>
        <w:tabs>
          <w:tab w:val="right" w:pos="7787"/>
        </w:tabs>
        <w:rPr>
          <w:rFonts w:asciiTheme="minorHAnsi" w:hAnsiTheme="minorHAnsi" w:eastAsiaTheme="minorEastAsia" w:cstheme="minorBidi"/>
          <w:noProof/>
          <w:kern w:val="2"/>
          <w:sz w:val="24"/>
          <w:szCs w:val="24"/>
          <w14:ligatures w14:val="standardContextual"/>
        </w:rPr>
      </w:pPr>
      <w:hyperlink w:history="1" w:anchor="_Toc214547144">
        <w:r w:rsidRPr="00567FE6">
          <w:rPr>
            <w:rStyle w:val="Hyperlink"/>
            <w:noProof/>
          </w:rPr>
          <w:t>1.2</w:t>
        </w:r>
        <w:r>
          <w:rPr>
            <w:rFonts w:asciiTheme="minorHAnsi" w:hAnsiTheme="minorHAnsi" w:eastAsiaTheme="minorEastAsia" w:cstheme="minorBidi"/>
            <w:noProof/>
            <w:kern w:val="2"/>
            <w:sz w:val="24"/>
            <w:szCs w:val="24"/>
            <w14:ligatures w14:val="standardContextual"/>
          </w:rPr>
          <w:tab/>
        </w:r>
        <w:r w:rsidRPr="00567FE6">
          <w:rPr>
            <w:rStyle w:val="Hyperlink"/>
            <w:noProof/>
          </w:rPr>
          <w:t>Om wie gaat het?</w:t>
        </w:r>
        <w:r>
          <w:rPr>
            <w:noProof/>
            <w:webHidden/>
          </w:rPr>
          <w:t xml:space="preserve"> </w:t>
        </w:r>
        <w:r>
          <w:rPr>
            <w:noProof/>
            <w:webHidden/>
          </w:rPr>
          <w:fldChar w:fldCharType="begin"/>
        </w:r>
        <w:r>
          <w:rPr>
            <w:noProof/>
            <w:webHidden/>
          </w:rPr>
          <w:instrText xml:space="preserve"> PAGEREF _Toc214547144 \h </w:instrText>
        </w:r>
        <w:r>
          <w:rPr>
            <w:noProof/>
            <w:webHidden/>
          </w:rPr>
        </w:r>
        <w:r>
          <w:rPr>
            <w:noProof/>
            <w:webHidden/>
          </w:rPr>
          <w:fldChar w:fldCharType="separate"/>
        </w:r>
        <w:r>
          <w:rPr>
            <w:noProof/>
            <w:webHidden/>
          </w:rPr>
          <w:t>5</w:t>
        </w:r>
        <w:r>
          <w:rPr>
            <w:noProof/>
            <w:webHidden/>
          </w:rPr>
          <w:fldChar w:fldCharType="end"/>
        </w:r>
      </w:hyperlink>
    </w:p>
    <w:p w:rsidR="00277BFE" w:rsidRDefault="00277BFE" w14:paraId="3683E9BC" w14:textId="744566FB">
      <w:pPr>
        <w:pStyle w:val="Inhopg2"/>
        <w:tabs>
          <w:tab w:val="right" w:pos="7787"/>
        </w:tabs>
        <w:rPr>
          <w:rFonts w:asciiTheme="minorHAnsi" w:hAnsiTheme="minorHAnsi" w:eastAsiaTheme="minorEastAsia" w:cstheme="minorBidi"/>
          <w:noProof/>
          <w:kern w:val="2"/>
          <w:sz w:val="24"/>
          <w:szCs w:val="24"/>
          <w14:ligatures w14:val="standardContextual"/>
        </w:rPr>
      </w:pPr>
      <w:hyperlink w:history="1" w:anchor="_Toc214547145">
        <w:r w:rsidRPr="00567FE6">
          <w:rPr>
            <w:rStyle w:val="Hyperlink"/>
            <w:noProof/>
          </w:rPr>
          <w:t>1.3</w:t>
        </w:r>
        <w:r>
          <w:rPr>
            <w:rFonts w:asciiTheme="minorHAnsi" w:hAnsiTheme="minorHAnsi" w:eastAsiaTheme="minorEastAsia" w:cstheme="minorBidi"/>
            <w:noProof/>
            <w:kern w:val="2"/>
            <w:sz w:val="24"/>
            <w:szCs w:val="24"/>
            <w14:ligatures w14:val="standardContextual"/>
          </w:rPr>
          <w:tab/>
        </w:r>
        <w:r w:rsidRPr="00567FE6">
          <w:rPr>
            <w:rStyle w:val="Hyperlink"/>
            <w:noProof/>
          </w:rPr>
          <w:t>Achtergrond van het rapport</w:t>
        </w:r>
        <w:r>
          <w:rPr>
            <w:noProof/>
            <w:webHidden/>
          </w:rPr>
          <w:t xml:space="preserve"> </w:t>
        </w:r>
        <w:r>
          <w:rPr>
            <w:noProof/>
            <w:webHidden/>
          </w:rPr>
          <w:fldChar w:fldCharType="begin"/>
        </w:r>
        <w:r>
          <w:rPr>
            <w:noProof/>
            <w:webHidden/>
          </w:rPr>
          <w:instrText xml:space="preserve"> PAGEREF _Toc214547145 \h </w:instrText>
        </w:r>
        <w:r>
          <w:rPr>
            <w:noProof/>
            <w:webHidden/>
          </w:rPr>
        </w:r>
        <w:r>
          <w:rPr>
            <w:noProof/>
            <w:webHidden/>
          </w:rPr>
          <w:fldChar w:fldCharType="separate"/>
        </w:r>
        <w:r>
          <w:rPr>
            <w:noProof/>
            <w:webHidden/>
          </w:rPr>
          <w:t>5</w:t>
        </w:r>
        <w:r>
          <w:rPr>
            <w:noProof/>
            <w:webHidden/>
          </w:rPr>
          <w:fldChar w:fldCharType="end"/>
        </w:r>
      </w:hyperlink>
    </w:p>
    <w:p w:rsidR="00277BFE" w:rsidRDefault="00277BFE" w14:paraId="7DAA90E8" w14:textId="0556A713">
      <w:pPr>
        <w:pStyle w:val="Inhopg2"/>
        <w:tabs>
          <w:tab w:val="right" w:pos="7787"/>
        </w:tabs>
        <w:rPr>
          <w:rFonts w:asciiTheme="minorHAnsi" w:hAnsiTheme="minorHAnsi" w:eastAsiaTheme="minorEastAsia" w:cstheme="minorBidi"/>
          <w:noProof/>
          <w:kern w:val="2"/>
          <w:sz w:val="24"/>
          <w:szCs w:val="24"/>
          <w14:ligatures w14:val="standardContextual"/>
        </w:rPr>
      </w:pPr>
      <w:hyperlink w:history="1" w:anchor="_Toc214547146">
        <w:r w:rsidRPr="00567FE6">
          <w:rPr>
            <w:rStyle w:val="Hyperlink"/>
            <w:noProof/>
          </w:rPr>
          <w:t>1.4</w:t>
        </w:r>
        <w:r>
          <w:rPr>
            <w:rFonts w:asciiTheme="minorHAnsi" w:hAnsiTheme="minorHAnsi" w:eastAsiaTheme="minorEastAsia" w:cstheme="minorBidi"/>
            <w:noProof/>
            <w:kern w:val="2"/>
            <w:sz w:val="24"/>
            <w:szCs w:val="24"/>
            <w14:ligatures w14:val="standardContextual"/>
          </w:rPr>
          <w:tab/>
        </w:r>
        <w:r w:rsidRPr="00567FE6">
          <w:rPr>
            <w:rStyle w:val="Hyperlink"/>
            <w:noProof/>
          </w:rPr>
          <w:t>Opzet van het rapport</w:t>
        </w:r>
        <w:r>
          <w:rPr>
            <w:noProof/>
            <w:webHidden/>
          </w:rPr>
          <w:t xml:space="preserve"> </w:t>
        </w:r>
        <w:r>
          <w:rPr>
            <w:noProof/>
            <w:webHidden/>
          </w:rPr>
          <w:fldChar w:fldCharType="begin"/>
        </w:r>
        <w:r>
          <w:rPr>
            <w:noProof/>
            <w:webHidden/>
          </w:rPr>
          <w:instrText xml:space="preserve"> PAGEREF _Toc214547146 \h </w:instrText>
        </w:r>
        <w:r>
          <w:rPr>
            <w:noProof/>
            <w:webHidden/>
          </w:rPr>
        </w:r>
        <w:r>
          <w:rPr>
            <w:noProof/>
            <w:webHidden/>
          </w:rPr>
          <w:fldChar w:fldCharType="separate"/>
        </w:r>
        <w:r>
          <w:rPr>
            <w:noProof/>
            <w:webHidden/>
          </w:rPr>
          <w:t>7</w:t>
        </w:r>
        <w:r>
          <w:rPr>
            <w:noProof/>
            <w:webHidden/>
          </w:rPr>
          <w:fldChar w:fldCharType="end"/>
        </w:r>
      </w:hyperlink>
    </w:p>
    <w:p w:rsidR="00277BFE" w:rsidRDefault="00277BFE" w14:paraId="13861CA7" w14:textId="67B8A4FA">
      <w:pPr>
        <w:pStyle w:val="Inhopg1"/>
        <w:rPr>
          <w:rFonts w:asciiTheme="minorHAnsi" w:hAnsiTheme="minorHAnsi" w:eastAsiaTheme="minorEastAsia" w:cstheme="minorBidi"/>
          <w:b w:val="0"/>
          <w:noProof/>
          <w:kern w:val="2"/>
          <w:sz w:val="24"/>
          <w:szCs w:val="24"/>
          <w14:ligatures w14:val="standardContextual"/>
        </w:rPr>
      </w:pPr>
      <w:hyperlink w:history="1" w:anchor="_Toc214547147">
        <w:r w:rsidRPr="00567FE6">
          <w:rPr>
            <w:rStyle w:val="Hyperlink"/>
            <w:noProof/>
          </w:rPr>
          <w:t>2</w:t>
        </w:r>
        <w:r>
          <w:rPr>
            <w:rFonts w:asciiTheme="minorHAnsi" w:hAnsiTheme="minorHAnsi" w:eastAsiaTheme="minorEastAsia" w:cstheme="minorBidi"/>
            <w:b w:val="0"/>
            <w:noProof/>
            <w:kern w:val="2"/>
            <w:sz w:val="24"/>
            <w:szCs w:val="24"/>
            <w14:ligatures w14:val="standardContextual"/>
          </w:rPr>
          <w:tab/>
        </w:r>
        <w:r w:rsidRPr="00567FE6">
          <w:rPr>
            <w:rStyle w:val="Hyperlink"/>
            <w:noProof/>
          </w:rPr>
          <w:t>Huidig instrumentarium</w:t>
        </w:r>
        <w:r>
          <w:rPr>
            <w:noProof/>
            <w:webHidden/>
          </w:rPr>
          <w:t xml:space="preserve"> </w:t>
        </w:r>
        <w:r>
          <w:rPr>
            <w:noProof/>
            <w:webHidden/>
          </w:rPr>
          <w:fldChar w:fldCharType="begin"/>
        </w:r>
        <w:r>
          <w:rPr>
            <w:noProof/>
            <w:webHidden/>
          </w:rPr>
          <w:instrText xml:space="preserve"> PAGEREF _Toc214547147 \h </w:instrText>
        </w:r>
        <w:r>
          <w:rPr>
            <w:noProof/>
            <w:webHidden/>
          </w:rPr>
        </w:r>
        <w:r>
          <w:rPr>
            <w:noProof/>
            <w:webHidden/>
          </w:rPr>
          <w:fldChar w:fldCharType="separate"/>
        </w:r>
        <w:r>
          <w:rPr>
            <w:noProof/>
            <w:webHidden/>
          </w:rPr>
          <w:t>8</w:t>
        </w:r>
        <w:r>
          <w:rPr>
            <w:noProof/>
            <w:webHidden/>
          </w:rPr>
          <w:fldChar w:fldCharType="end"/>
        </w:r>
      </w:hyperlink>
    </w:p>
    <w:p w:rsidR="00277BFE" w:rsidRDefault="00277BFE" w14:paraId="1B05FCA0" w14:textId="48CDF539">
      <w:pPr>
        <w:pStyle w:val="Inhopg2"/>
        <w:tabs>
          <w:tab w:val="right" w:pos="7787"/>
        </w:tabs>
        <w:rPr>
          <w:rFonts w:asciiTheme="minorHAnsi" w:hAnsiTheme="minorHAnsi" w:eastAsiaTheme="minorEastAsia" w:cstheme="minorBidi"/>
          <w:noProof/>
          <w:kern w:val="2"/>
          <w:sz w:val="24"/>
          <w:szCs w:val="24"/>
          <w14:ligatures w14:val="standardContextual"/>
        </w:rPr>
      </w:pPr>
      <w:hyperlink w:history="1" w:anchor="_Toc214547148">
        <w:r w:rsidRPr="00567FE6">
          <w:rPr>
            <w:rStyle w:val="Hyperlink"/>
            <w:noProof/>
          </w:rPr>
          <w:t>2.1</w:t>
        </w:r>
        <w:r>
          <w:rPr>
            <w:rFonts w:asciiTheme="minorHAnsi" w:hAnsiTheme="minorHAnsi" w:eastAsiaTheme="minorEastAsia" w:cstheme="minorBidi"/>
            <w:noProof/>
            <w:kern w:val="2"/>
            <w:sz w:val="24"/>
            <w:szCs w:val="24"/>
            <w14:ligatures w14:val="standardContextual"/>
          </w:rPr>
          <w:tab/>
        </w:r>
        <w:r w:rsidRPr="00567FE6">
          <w:rPr>
            <w:rStyle w:val="Hyperlink"/>
            <w:bCs/>
            <w:noProof/>
          </w:rPr>
          <w:t>Landelijke instrumentarium</w:t>
        </w:r>
        <w:r>
          <w:rPr>
            <w:noProof/>
            <w:webHidden/>
          </w:rPr>
          <w:t xml:space="preserve"> </w:t>
        </w:r>
        <w:r>
          <w:rPr>
            <w:noProof/>
            <w:webHidden/>
          </w:rPr>
          <w:fldChar w:fldCharType="begin"/>
        </w:r>
        <w:r>
          <w:rPr>
            <w:noProof/>
            <w:webHidden/>
          </w:rPr>
          <w:instrText xml:space="preserve"> PAGEREF _Toc214547148 \h </w:instrText>
        </w:r>
        <w:r>
          <w:rPr>
            <w:noProof/>
            <w:webHidden/>
          </w:rPr>
        </w:r>
        <w:r>
          <w:rPr>
            <w:noProof/>
            <w:webHidden/>
          </w:rPr>
          <w:fldChar w:fldCharType="separate"/>
        </w:r>
        <w:r>
          <w:rPr>
            <w:noProof/>
            <w:webHidden/>
          </w:rPr>
          <w:t>8</w:t>
        </w:r>
        <w:r>
          <w:rPr>
            <w:noProof/>
            <w:webHidden/>
          </w:rPr>
          <w:fldChar w:fldCharType="end"/>
        </w:r>
      </w:hyperlink>
    </w:p>
    <w:p w:rsidR="00277BFE" w:rsidRDefault="00277BFE" w14:paraId="4FB94451" w14:textId="0949EBF4">
      <w:pPr>
        <w:pStyle w:val="Inhopg2"/>
        <w:tabs>
          <w:tab w:val="right" w:pos="7787"/>
        </w:tabs>
        <w:rPr>
          <w:rFonts w:asciiTheme="minorHAnsi" w:hAnsiTheme="minorHAnsi" w:eastAsiaTheme="minorEastAsia" w:cstheme="minorBidi"/>
          <w:noProof/>
          <w:kern w:val="2"/>
          <w:sz w:val="24"/>
          <w:szCs w:val="24"/>
          <w14:ligatures w14:val="standardContextual"/>
        </w:rPr>
      </w:pPr>
      <w:hyperlink w:history="1" w:anchor="_Toc214547149">
        <w:r w:rsidRPr="00567FE6">
          <w:rPr>
            <w:rStyle w:val="Hyperlink"/>
            <w:noProof/>
          </w:rPr>
          <w:t>2.2</w:t>
        </w:r>
        <w:r>
          <w:rPr>
            <w:rFonts w:asciiTheme="minorHAnsi" w:hAnsiTheme="minorHAnsi" w:eastAsiaTheme="minorEastAsia" w:cstheme="minorBidi"/>
            <w:noProof/>
            <w:kern w:val="2"/>
            <w:sz w:val="24"/>
            <w:szCs w:val="24"/>
            <w14:ligatures w14:val="standardContextual"/>
          </w:rPr>
          <w:tab/>
        </w:r>
        <w:r w:rsidRPr="00567FE6">
          <w:rPr>
            <w:rStyle w:val="Hyperlink"/>
            <w:noProof/>
          </w:rPr>
          <w:t>De aanvullende mondzorgverzekering</w:t>
        </w:r>
        <w:r>
          <w:rPr>
            <w:noProof/>
            <w:webHidden/>
          </w:rPr>
          <w:t xml:space="preserve"> </w:t>
        </w:r>
        <w:r>
          <w:rPr>
            <w:noProof/>
            <w:webHidden/>
          </w:rPr>
          <w:fldChar w:fldCharType="begin"/>
        </w:r>
        <w:r>
          <w:rPr>
            <w:noProof/>
            <w:webHidden/>
          </w:rPr>
          <w:instrText xml:space="preserve"> PAGEREF _Toc214547149 \h </w:instrText>
        </w:r>
        <w:r>
          <w:rPr>
            <w:noProof/>
            <w:webHidden/>
          </w:rPr>
        </w:r>
        <w:r>
          <w:rPr>
            <w:noProof/>
            <w:webHidden/>
          </w:rPr>
          <w:fldChar w:fldCharType="separate"/>
        </w:r>
        <w:r>
          <w:rPr>
            <w:noProof/>
            <w:webHidden/>
          </w:rPr>
          <w:t>9</w:t>
        </w:r>
        <w:r>
          <w:rPr>
            <w:noProof/>
            <w:webHidden/>
          </w:rPr>
          <w:fldChar w:fldCharType="end"/>
        </w:r>
      </w:hyperlink>
    </w:p>
    <w:p w:rsidR="00277BFE" w:rsidRDefault="00277BFE" w14:paraId="117EA820" w14:textId="0627D93F">
      <w:pPr>
        <w:pStyle w:val="Inhopg2"/>
        <w:tabs>
          <w:tab w:val="right" w:pos="7787"/>
        </w:tabs>
        <w:rPr>
          <w:rFonts w:asciiTheme="minorHAnsi" w:hAnsiTheme="minorHAnsi" w:eastAsiaTheme="minorEastAsia" w:cstheme="minorBidi"/>
          <w:noProof/>
          <w:kern w:val="2"/>
          <w:sz w:val="24"/>
          <w:szCs w:val="24"/>
          <w14:ligatures w14:val="standardContextual"/>
        </w:rPr>
      </w:pPr>
      <w:hyperlink w:history="1" w:anchor="_Toc214547150">
        <w:r w:rsidRPr="00567FE6">
          <w:rPr>
            <w:rStyle w:val="Hyperlink"/>
            <w:noProof/>
          </w:rPr>
          <w:t>2.3</w:t>
        </w:r>
        <w:r>
          <w:rPr>
            <w:rFonts w:asciiTheme="minorHAnsi" w:hAnsiTheme="minorHAnsi" w:eastAsiaTheme="minorEastAsia" w:cstheme="minorBidi"/>
            <w:noProof/>
            <w:kern w:val="2"/>
            <w:sz w:val="24"/>
            <w:szCs w:val="24"/>
            <w14:ligatures w14:val="standardContextual"/>
          </w:rPr>
          <w:tab/>
        </w:r>
        <w:r w:rsidRPr="00567FE6">
          <w:rPr>
            <w:rStyle w:val="Hyperlink"/>
            <w:noProof/>
          </w:rPr>
          <w:t>Gemeentelijke en lokaal instrumentarium</w:t>
        </w:r>
        <w:r>
          <w:rPr>
            <w:noProof/>
            <w:webHidden/>
          </w:rPr>
          <w:t xml:space="preserve"> </w:t>
        </w:r>
        <w:r>
          <w:rPr>
            <w:noProof/>
            <w:webHidden/>
          </w:rPr>
          <w:fldChar w:fldCharType="begin"/>
        </w:r>
        <w:r>
          <w:rPr>
            <w:noProof/>
            <w:webHidden/>
          </w:rPr>
          <w:instrText xml:space="preserve"> PAGEREF _Toc214547150 \h </w:instrText>
        </w:r>
        <w:r>
          <w:rPr>
            <w:noProof/>
            <w:webHidden/>
          </w:rPr>
        </w:r>
        <w:r>
          <w:rPr>
            <w:noProof/>
            <w:webHidden/>
          </w:rPr>
          <w:fldChar w:fldCharType="separate"/>
        </w:r>
        <w:r>
          <w:rPr>
            <w:noProof/>
            <w:webHidden/>
          </w:rPr>
          <w:t>9</w:t>
        </w:r>
        <w:r>
          <w:rPr>
            <w:noProof/>
            <w:webHidden/>
          </w:rPr>
          <w:fldChar w:fldCharType="end"/>
        </w:r>
      </w:hyperlink>
    </w:p>
    <w:p w:rsidR="00277BFE" w:rsidRDefault="00277BFE" w14:paraId="43049F27" w14:textId="70450389">
      <w:pPr>
        <w:pStyle w:val="Inhopg1"/>
        <w:rPr>
          <w:rFonts w:asciiTheme="minorHAnsi" w:hAnsiTheme="minorHAnsi" w:eastAsiaTheme="minorEastAsia" w:cstheme="minorBidi"/>
          <w:b w:val="0"/>
          <w:noProof/>
          <w:kern w:val="2"/>
          <w:sz w:val="24"/>
          <w:szCs w:val="24"/>
          <w14:ligatures w14:val="standardContextual"/>
        </w:rPr>
      </w:pPr>
      <w:hyperlink w:history="1" w:anchor="_Toc214547151">
        <w:r w:rsidRPr="00567FE6">
          <w:rPr>
            <w:rStyle w:val="Hyperlink"/>
            <w:noProof/>
          </w:rPr>
          <w:t>3</w:t>
        </w:r>
        <w:r>
          <w:rPr>
            <w:rFonts w:asciiTheme="minorHAnsi" w:hAnsiTheme="minorHAnsi" w:eastAsiaTheme="minorEastAsia" w:cstheme="minorBidi"/>
            <w:b w:val="0"/>
            <w:noProof/>
            <w:kern w:val="2"/>
            <w:sz w:val="24"/>
            <w:szCs w:val="24"/>
            <w14:ligatures w14:val="standardContextual"/>
          </w:rPr>
          <w:tab/>
        </w:r>
        <w:r w:rsidRPr="00567FE6">
          <w:rPr>
            <w:rStyle w:val="Hyperlink"/>
            <w:noProof/>
          </w:rPr>
          <w:t>Gerichte financiële maatregelen</w:t>
        </w:r>
        <w:r>
          <w:rPr>
            <w:noProof/>
            <w:webHidden/>
          </w:rPr>
          <w:t xml:space="preserve"> </w:t>
        </w:r>
        <w:r>
          <w:rPr>
            <w:noProof/>
            <w:webHidden/>
          </w:rPr>
          <w:fldChar w:fldCharType="begin"/>
        </w:r>
        <w:r>
          <w:rPr>
            <w:noProof/>
            <w:webHidden/>
          </w:rPr>
          <w:instrText xml:space="preserve"> PAGEREF _Toc214547151 \h </w:instrText>
        </w:r>
        <w:r>
          <w:rPr>
            <w:noProof/>
            <w:webHidden/>
          </w:rPr>
        </w:r>
        <w:r>
          <w:rPr>
            <w:noProof/>
            <w:webHidden/>
          </w:rPr>
          <w:fldChar w:fldCharType="separate"/>
        </w:r>
        <w:r>
          <w:rPr>
            <w:noProof/>
            <w:webHidden/>
          </w:rPr>
          <w:t>12</w:t>
        </w:r>
        <w:r>
          <w:rPr>
            <w:noProof/>
            <w:webHidden/>
          </w:rPr>
          <w:fldChar w:fldCharType="end"/>
        </w:r>
      </w:hyperlink>
    </w:p>
    <w:p w:rsidR="00277BFE" w:rsidRDefault="00277BFE" w14:paraId="235A789B" w14:textId="614E214C">
      <w:pPr>
        <w:pStyle w:val="Inhopg2"/>
        <w:tabs>
          <w:tab w:val="right" w:pos="7787"/>
        </w:tabs>
        <w:rPr>
          <w:rFonts w:asciiTheme="minorHAnsi" w:hAnsiTheme="minorHAnsi" w:eastAsiaTheme="minorEastAsia" w:cstheme="minorBidi"/>
          <w:noProof/>
          <w:kern w:val="2"/>
          <w:sz w:val="24"/>
          <w:szCs w:val="24"/>
          <w14:ligatures w14:val="standardContextual"/>
        </w:rPr>
      </w:pPr>
      <w:hyperlink w:history="1" w:anchor="_Toc214547152">
        <w:r w:rsidRPr="00567FE6">
          <w:rPr>
            <w:rStyle w:val="Hyperlink"/>
            <w:noProof/>
          </w:rPr>
          <w:t>3.1</w:t>
        </w:r>
        <w:r>
          <w:rPr>
            <w:rFonts w:asciiTheme="minorHAnsi" w:hAnsiTheme="minorHAnsi" w:eastAsiaTheme="minorEastAsia" w:cstheme="minorBidi"/>
            <w:noProof/>
            <w:kern w:val="2"/>
            <w:sz w:val="24"/>
            <w:szCs w:val="24"/>
            <w14:ligatures w14:val="standardContextual"/>
          </w:rPr>
          <w:tab/>
        </w:r>
        <w:r w:rsidRPr="00567FE6">
          <w:rPr>
            <w:rStyle w:val="Hyperlink"/>
            <w:noProof/>
          </w:rPr>
          <w:t>Doelgroep en bereik</w:t>
        </w:r>
        <w:r>
          <w:rPr>
            <w:noProof/>
            <w:webHidden/>
          </w:rPr>
          <w:t xml:space="preserve"> </w:t>
        </w:r>
        <w:r>
          <w:rPr>
            <w:noProof/>
            <w:webHidden/>
          </w:rPr>
          <w:fldChar w:fldCharType="begin"/>
        </w:r>
        <w:r>
          <w:rPr>
            <w:noProof/>
            <w:webHidden/>
          </w:rPr>
          <w:instrText xml:space="preserve"> PAGEREF _Toc214547152 \h </w:instrText>
        </w:r>
        <w:r>
          <w:rPr>
            <w:noProof/>
            <w:webHidden/>
          </w:rPr>
        </w:r>
        <w:r>
          <w:rPr>
            <w:noProof/>
            <w:webHidden/>
          </w:rPr>
          <w:fldChar w:fldCharType="separate"/>
        </w:r>
        <w:r>
          <w:rPr>
            <w:noProof/>
            <w:webHidden/>
          </w:rPr>
          <w:t>12</w:t>
        </w:r>
        <w:r>
          <w:rPr>
            <w:noProof/>
            <w:webHidden/>
          </w:rPr>
          <w:fldChar w:fldCharType="end"/>
        </w:r>
      </w:hyperlink>
    </w:p>
    <w:p w:rsidR="00277BFE" w:rsidRDefault="00277BFE" w14:paraId="60D19930" w14:textId="734AE173">
      <w:pPr>
        <w:pStyle w:val="Inhopg2"/>
        <w:tabs>
          <w:tab w:val="right" w:pos="7787"/>
        </w:tabs>
        <w:rPr>
          <w:rFonts w:asciiTheme="minorHAnsi" w:hAnsiTheme="minorHAnsi" w:eastAsiaTheme="minorEastAsia" w:cstheme="minorBidi"/>
          <w:noProof/>
          <w:kern w:val="2"/>
          <w:sz w:val="24"/>
          <w:szCs w:val="24"/>
          <w14:ligatures w14:val="standardContextual"/>
        </w:rPr>
      </w:pPr>
      <w:hyperlink w:history="1" w:anchor="_Toc214547153">
        <w:r w:rsidRPr="00567FE6">
          <w:rPr>
            <w:rStyle w:val="Hyperlink"/>
            <w:noProof/>
          </w:rPr>
          <w:t>3.2</w:t>
        </w:r>
        <w:r>
          <w:rPr>
            <w:rFonts w:asciiTheme="minorHAnsi" w:hAnsiTheme="minorHAnsi" w:eastAsiaTheme="minorEastAsia" w:cstheme="minorBidi"/>
            <w:noProof/>
            <w:kern w:val="2"/>
            <w:sz w:val="24"/>
            <w:szCs w:val="24"/>
            <w14:ligatures w14:val="standardContextual"/>
          </w:rPr>
          <w:tab/>
        </w:r>
        <w:r w:rsidRPr="00567FE6">
          <w:rPr>
            <w:rStyle w:val="Hyperlink"/>
            <w:noProof/>
          </w:rPr>
          <w:t>Dekking</w:t>
        </w:r>
        <w:r>
          <w:rPr>
            <w:noProof/>
            <w:webHidden/>
          </w:rPr>
          <w:t xml:space="preserve"> </w:t>
        </w:r>
        <w:r>
          <w:rPr>
            <w:noProof/>
            <w:webHidden/>
          </w:rPr>
          <w:fldChar w:fldCharType="begin"/>
        </w:r>
        <w:r>
          <w:rPr>
            <w:noProof/>
            <w:webHidden/>
          </w:rPr>
          <w:instrText xml:space="preserve"> PAGEREF _Toc214547153 \h </w:instrText>
        </w:r>
        <w:r>
          <w:rPr>
            <w:noProof/>
            <w:webHidden/>
          </w:rPr>
        </w:r>
        <w:r>
          <w:rPr>
            <w:noProof/>
            <w:webHidden/>
          </w:rPr>
          <w:fldChar w:fldCharType="separate"/>
        </w:r>
        <w:r>
          <w:rPr>
            <w:noProof/>
            <w:webHidden/>
          </w:rPr>
          <w:t>14</w:t>
        </w:r>
        <w:r>
          <w:rPr>
            <w:noProof/>
            <w:webHidden/>
          </w:rPr>
          <w:fldChar w:fldCharType="end"/>
        </w:r>
      </w:hyperlink>
    </w:p>
    <w:p w:rsidR="00277BFE" w:rsidRDefault="00277BFE" w14:paraId="63EEC032" w14:textId="0EB3E20C">
      <w:pPr>
        <w:pStyle w:val="Inhopg2"/>
        <w:tabs>
          <w:tab w:val="right" w:pos="7787"/>
        </w:tabs>
        <w:rPr>
          <w:rFonts w:asciiTheme="minorHAnsi" w:hAnsiTheme="minorHAnsi" w:eastAsiaTheme="minorEastAsia" w:cstheme="minorBidi"/>
          <w:noProof/>
          <w:kern w:val="2"/>
          <w:sz w:val="24"/>
          <w:szCs w:val="24"/>
          <w14:ligatures w14:val="standardContextual"/>
        </w:rPr>
      </w:pPr>
      <w:hyperlink w:history="1" w:anchor="_Toc214547154">
        <w:r w:rsidRPr="00567FE6">
          <w:rPr>
            <w:rStyle w:val="Hyperlink"/>
            <w:noProof/>
          </w:rPr>
          <w:t>3.3</w:t>
        </w:r>
        <w:r>
          <w:rPr>
            <w:rFonts w:asciiTheme="minorHAnsi" w:hAnsiTheme="minorHAnsi" w:eastAsiaTheme="minorEastAsia" w:cstheme="minorBidi"/>
            <w:noProof/>
            <w:kern w:val="2"/>
            <w:sz w:val="24"/>
            <w:szCs w:val="24"/>
            <w14:ligatures w14:val="standardContextual"/>
          </w:rPr>
          <w:tab/>
        </w:r>
        <w:r w:rsidRPr="00567FE6">
          <w:rPr>
            <w:rStyle w:val="Hyperlink"/>
            <w:noProof/>
          </w:rPr>
          <w:t>Maatregel 1: Landelijke financiële regeling</w:t>
        </w:r>
        <w:r>
          <w:rPr>
            <w:noProof/>
            <w:webHidden/>
          </w:rPr>
          <w:t xml:space="preserve"> </w:t>
        </w:r>
        <w:r>
          <w:rPr>
            <w:noProof/>
            <w:webHidden/>
          </w:rPr>
          <w:fldChar w:fldCharType="begin"/>
        </w:r>
        <w:r>
          <w:rPr>
            <w:noProof/>
            <w:webHidden/>
          </w:rPr>
          <w:instrText xml:space="preserve"> PAGEREF _Toc214547154 \h </w:instrText>
        </w:r>
        <w:r>
          <w:rPr>
            <w:noProof/>
            <w:webHidden/>
          </w:rPr>
        </w:r>
        <w:r>
          <w:rPr>
            <w:noProof/>
            <w:webHidden/>
          </w:rPr>
          <w:fldChar w:fldCharType="separate"/>
        </w:r>
        <w:r>
          <w:rPr>
            <w:noProof/>
            <w:webHidden/>
          </w:rPr>
          <w:t>15</w:t>
        </w:r>
        <w:r>
          <w:rPr>
            <w:noProof/>
            <w:webHidden/>
          </w:rPr>
          <w:fldChar w:fldCharType="end"/>
        </w:r>
      </w:hyperlink>
    </w:p>
    <w:p w:rsidR="00277BFE" w:rsidRDefault="00277BFE" w14:paraId="59501E5F" w14:textId="28AD35AD">
      <w:pPr>
        <w:pStyle w:val="Inhopg2"/>
        <w:tabs>
          <w:tab w:val="right" w:pos="7787"/>
        </w:tabs>
        <w:rPr>
          <w:rFonts w:asciiTheme="minorHAnsi" w:hAnsiTheme="minorHAnsi" w:eastAsiaTheme="minorEastAsia" w:cstheme="minorBidi"/>
          <w:noProof/>
          <w:kern w:val="2"/>
          <w:sz w:val="24"/>
          <w:szCs w:val="24"/>
          <w14:ligatures w14:val="standardContextual"/>
        </w:rPr>
      </w:pPr>
      <w:hyperlink w:history="1" w:anchor="_Toc214547155">
        <w:r w:rsidRPr="00567FE6">
          <w:rPr>
            <w:rStyle w:val="Hyperlink"/>
            <w:noProof/>
          </w:rPr>
          <w:t>3.4</w:t>
        </w:r>
        <w:r>
          <w:rPr>
            <w:rFonts w:asciiTheme="minorHAnsi" w:hAnsiTheme="minorHAnsi" w:eastAsiaTheme="minorEastAsia" w:cstheme="minorBidi"/>
            <w:noProof/>
            <w:kern w:val="2"/>
            <w:sz w:val="24"/>
            <w:szCs w:val="24"/>
            <w14:ligatures w14:val="standardContextual"/>
          </w:rPr>
          <w:tab/>
        </w:r>
        <w:r w:rsidRPr="00567FE6">
          <w:rPr>
            <w:rStyle w:val="Hyperlink"/>
            <w:noProof/>
          </w:rPr>
          <w:t>Maatregel 2: Landelijke uniforme aanvullende zorgverzekering</w:t>
        </w:r>
        <w:r>
          <w:rPr>
            <w:noProof/>
            <w:webHidden/>
          </w:rPr>
          <w:t xml:space="preserve"> </w:t>
        </w:r>
        <w:r>
          <w:rPr>
            <w:noProof/>
            <w:webHidden/>
          </w:rPr>
          <w:fldChar w:fldCharType="begin"/>
        </w:r>
        <w:r>
          <w:rPr>
            <w:noProof/>
            <w:webHidden/>
          </w:rPr>
          <w:instrText xml:space="preserve"> PAGEREF _Toc214547155 \h </w:instrText>
        </w:r>
        <w:r>
          <w:rPr>
            <w:noProof/>
            <w:webHidden/>
          </w:rPr>
        </w:r>
        <w:r>
          <w:rPr>
            <w:noProof/>
            <w:webHidden/>
          </w:rPr>
          <w:fldChar w:fldCharType="separate"/>
        </w:r>
        <w:r>
          <w:rPr>
            <w:noProof/>
            <w:webHidden/>
          </w:rPr>
          <w:t>17</w:t>
        </w:r>
        <w:r>
          <w:rPr>
            <w:noProof/>
            <w:webHidden/>
          </w:rPr>
          <w:fldChar w:fldCharType="end"/>
        </w:r>
      </w:hyperlink>
    </w:p>
    <w:p w:rsidR="00277BFE" w:rsidRDefault="00277BFE" w14:paraId="71AA050A" w14:textId="27F999E9">
      <w:pPr>
        <w:pStyle w:val="Inhopg2"/>
        <w:tabs>
          <w:tab w:val="right" w:pos="7787"/>
        </w:tabs>
        <w:rPr>
          <w:rFonts w:asciiTheme="minorHAnsi" w:hAnsiTheme="minorHAnsi" w:eastAsiaTheme="minorEastAsia" w:cstheme="minorBidi"/>
          <w:noProof/>
          <w:kern w:val="2"/>
          <w:sz w:val="24"/>
          <w:szCs w:val="24"/>
          <w14:ligatures w14:val="standardContextual"/>
        </w:rPr>
      </w:pPr>
      <w:hyperlink w:history="1" w:anchor="_Toc214547156">
        <w:r w:rsidRPr="00567FE6">
          <w:rPr>
            <w:rStyle w:val="Hyperlink"/>
            <w:noProof/>
          </w:rPr>
          <w:t>3.5</w:t>
        </w:r>
        <w:r>
          <w:rPr>
            <w:rFonts w:asciiTheme="minorHAnsi" w:hAnsiTheme="minorHAnsi" w:eastAsiaTheme="minorEastAsia" w:cstheme="minorBidi"/>
            <w:noProof/>
            <w:kern w:val="2"/>
            <w:sz w:val="24"/>
            <w:szCs w:val="24"/>
            <w14:ligatures w14:val="standardContextual"/>
          </w:rPr>
          <w:tab/>
        </w:r>
        <w:r w:rsidRPr="00567FE6">
          <w:rPr>
            <w:rStyle w:val="Hyperlink"/>
            <w:noProof/>
          </w:rPr>
          <w:t>Maatregel 3: Nieuwe gemeentepolis met basisverzekering en mondzorg</w:t>
        </w:r>
        <w:r>
          <w:rPr>
            <w:noProof/>
            <w:webHidden/>
          </w:rPr>
          <w:t xml:space="preserve"> </w:t>
        </w:r>
        <w:r>
          <w:rPr>
            <w:noProof/>
            <w:webHidden/>
          </w:rPr>
          <w:fldChar w:fldCharType="begin"/>
        </w:r>
        <w:r>
          <w:rPr>
            <w:noProof/>
            <w:webHidden/>
          </w:rPr>
          <w:instrText xml:space="preserve"> PAGEREF _Toc214547156 \h </w:instrText>
        </w:r>
        <w:r>
          <w:rPr>
            <w:noProof/>
            <w:webHidden/>
          </w:rPr>
        </w:r>
        <w:r>
          <w:rPr>
            <w:noProof/>
            <w:webHidden/>
          </w:rPr>
          <w:fldChar w:fldCharType="separate"/>
        </w:r>
        <w:r>
          <w:rPr>
            <w:noProof/>
            <w:webHidden/>
          </w:rPr>
          <w:t>20</w:t>
        </w:r>
        <w:r>
          <w:rPr>
            <w:noProof/>
            <w:webHidden/>
          </w:rPr>
          <w:fldChar w:fldCharType="end"/>
        </w:r>
      </w:hyperlink>
    </w:p>
    <w:p w:rsidR="00277BFE" w:rsidRDefault="00277BFE" w14:paraId="22904B5E" w14:textId="3DB7F97C">
      <w:pPr>
        <w:pStyle w:val="Inhopg2"/>
        <w:tabs>
          <w:tab w:val="right" w:pos="7787"/>
        </w:tabs>
        <w:rPr>
          <w:rFonts w:asciiTheme="minorHAnsi" w:hAnsiTheme="minorHAnsi" w:eastAsiaTheme="minorEastAsia" w:cstheme="minorBidi"/>
          <w:noProof/>
          <w:kern w:val="2"/>
          <w:sz w:val="24"/>
          <w:szCs w:val="24"/>
          <w14:ligatures w14:val="standardContextual"/>
        </w:rPr>
      </w:pPr>
      <w:hyperlink w:history="1" w:anchor="_Toc214547157">
        <w:r w:rsidRPr="00567FE6">
          <w:rPr>
            <w:rStyle w:val="Hyperlink"/>
            <w:noProof/>
          </w:rPr>
          <w:t>3.6</w:t>
        </w:r>
        <w:r>
          <w:rPr>
            <w:rFonts w:asciiTheme="minorHAnsi" w:hAnsiTheme="minorHAnsi" w:eastAsiaTheme="minorEastAsia" w:cstheme="minorBidi"/>
            <w:noProof/>
            <w:kern w:val="2"/>
            <w:sz w:val="24"/>
            <w:szCs w:val="24"/>
            <w14:ligatures w14:val="standardContextual"/>
          </w:rPr>
          <w:tab/>
        </w:r>
        <w:r w:rsidRPr="00567FE6">
          <w:rPr>
            <w:rStyle w:val="Hyperlink"/>
            <w:noProof/>
          </w:rPr>
          <w:t>Maatregel 4: Noodfonds</w:t>
        </w:r>
        <w:r>
          <w:rPr>
            <w:noProof/>
            <w:webHidden/>
          </w:rPr>
          <w:t xml:space="preserve"> </w:t>
        </w:r>
        <w:r>
          <w:rPr>
            <w:noProof/>
            <w:webHidden/>
          </w:rPr>
          <w:fldChar w:fldCharType="begin"/>
        </w:r>
        <w:r>
          <w:rPr>
            <w:noProof/>
            <w:webHidden/>
          </w:rPr>
          <w:instrText xml:space="preserve"> PAGEREF _Toc214547157 \h </w:instrText>
        </w:r>
        <w:r>
          <w:rPr>
            <w:noProof/>
            <w:webHidden/>
          </w:rPr>
        </w:r>
        <w:r>
          <w:rPr>
            <w:noProof/>
            <w:webHidden/>
          </w:rPr>
          <w:fldChar w:fldCharType="separate"/>
        </w:r>
        <w:r>
          <w:rPr>
            <w:noProof/>
            <w:webHidden/>
          </w:rPr>
          <w:t>22</w:t>
        </w:r>
        <w:r>
          <w:rPr>
            <w:noProof/>
            <w:webHidden/>
          </w:rPr>
          <w:fldChar w:fldCharType="end"/>
        </w:r>
      </w:hyperlink>
    </w:p>
    <w:p w:rsidR="00277BFE" w:rsidRDefault="00277BFE" w14:paraId="14A81D02" w14:textId="5C3C0B4E">
      <w:pPr>
        <w:pStyle w:val="Inhopg1"/>
        <w:rPr>
          <w:rFonts w:asciiTheme="minorHAnsi" w:hAnsiTheme="minorHAnsi" w:eastAsiaTheme="minorEastAsia" w:cstheme="minorBidi"/>
          <w:b w:val="0"/>
          <w:noProof/>
          <w:kern w:val="2"/>
          <w:sz w:val="24"/>
          <w:szCs w:val="24"/>
          <w14:ligatures w14:val="standardContextual"/>
        </w:rPr>
      </w:pPr>
      <w:hyperlink w:history="1" w:anchor="_Toc214547158">
        <w:r w:rsidRPr="00567FE6">
          <w:rPr>
            <w:rStyle w:val="Hyperlink"/>
            <w:noProof/>
          </w:rPr>
          <w:t>4</w:t>
        </w:r>
        <w:r>
          <w:rPr>
            <w:rFonts w:asciiTheme="minorHAnsi" w:hAnsiTheme="minorHAnsi" w:eastAsiaTheme="minorEastAsia" w:cstheme="minorBidi"/>
            <w:b w:val="0"/>
            <w:noProof/>
            <w:kern w:val="2"/>
            <w:sz w:val="24"/>
            <w:szCs w:val="24"/>
            <w14:ligatures w14:val="standardContextual"/>
          </w:rPr>
          <w:tab/>
        </w:r>
        <w:r w:rsidRPr="00567FE6">
          <w:rPr>
            <w:rStyle w:val="Hyperlink"/>
            <w:noProof/>
          </w:rPr>
          <w:t>Doorrekening budgettaire gevolgen per scenario</w:t>
        </w:r>
        <w:r>
          <w:rPr>
            <w:noProof/>
            <w:webHidden/>
          </w:rPr>
          <w:t xml:space="preserve"> </w:t>
        </w:r>
        <w:r>
          <w:rPr>
            <w:noProof/>
            <w:webHidden/>
          </w:rPr>
          <w:fldChar w:fldCharType="begin"/>
        </w:r>
        <w:r>
          <w:rPr>
            <w:noProof/>
            <w:webHidden/>
          </w:rPr>
          <w:instrText xml:space="preserve"> PAGEREF _Toc214547158 \h </w:instrText>
        </w:r>
        <w:r>
          <w:rPr>
            <w:noProof/>
            <w:webHidden/>
          </w:rPr>
        </w:r>
        <w:r>
          <w:rPr>
            <w:noProof/>
            <w:webHidden/>
          </w:rPr>
          <w:fldChar w:fldCharType="separate"/>
        </w:r>
        <w:r>
          <w:rPr>
            <w:noProof/>
            <w:webHidden/>
          </w:rPr>
          <w:t>25</w:t>
        </w:r>
        <w:r>
          <w:rPr>
            <w:noProof/>
            <w:webHidden/>
          </w:rPr>
          <w:fldChar w:fldCharType="end"/>
        </w:r>
      </w:hyperlink>
    </w:p>
    <w:p w:rsidRPr="00632DCB" w:rsidR="001B22FA" w:rsidP="00B673B1" w:rsidRDefault="00D95AFB" w14:paraId="3B5589FB" w14:textId="106D90A0">
      <w:r>
        <w:rPr>
          <w:color w:val="auto"/>
        </w:rPr>
        <w:fldChar w:fldCharType="end"/>
      </w:r>
    </w:p>
    <w:p w:rsidRPr="00632DCB" w:rsidR="001B22FA" w:rsidP="00B673B1" w:rsidRDefault="001B22FA" w14:paraId="6B917869" w14:textId="77777777"/>
    <w:p w:rsidRPr="00632DCB" w:rsidR="001B22FA" w:rsidP="00B673B1" w:rsidRDefault="001B22FA" w14:paraId="1BA647A1" w14:textId="77777777"/>
    <w:p w:rsidRPr="00632DCB" w:rsidR="001B22FA" w:rsidP="00B673B1" w:rsidRDefault="001B22FA" w14:paraId="63443437" w14:textId="77777777"/>
    <w:p w:rsidRPr="00632DCB" w:rsidR="001B22FA" w:rsidP="00B673B1" w:rsidRDefault="001B22FA" w14:paraId="2CB73BDD" w14:textId="77777777"/>
    <w:p w:rsidRPr="00632DCB" w:rsidR="001B22FA" w:rsidP="00B673B1" w:rsidRDefault="001B22FA" w14:paraId="33F5B453" w14:textId="77777777"/>
    <w:p w:rsidRPr="00632DCB" w:rsidR="001B22FA" w:rsidP="00B673B1" w:rsidRDefault="001B22FA" w14:paraId="31E71C5E" w14:textId="77777777"/>
    <w:p w:rsidR="001B22FA" w:rsidP="00B673B1" w:rsidRDefault="001B22FA" w14:paraId="26937F34" w14:textId="77777777"/>
    <w:p w:rsidR="006C7C0E" w:rsidP="00B673B1" w:rsidRDefault="006C7C0E" w14:paraId="084DAD8C" w14:textId="77777777"/>
    <w:p w:rsidR="006C7C0E" w:rsidP="00B673B1" w:rsidRDefault="006C7C0E" w14:paraId="39D0F1AA" w14:textId="77777777"/>
    <w:p w:rsidR="006C7C0E" w:rsidP="00B673B1" w:rsidRDefault="006C7C0E" w14:paraId="676B4FB9" w14:textId="77777777"/>
    <w:p w:rsidR="006C7C0E" w:rsidP="00B673B1" w:rsidRDefault="006C7C0E" w14:paraId="6E5FDBFA" w14:textId="77777777"/>
    <w:p w:rsidR="006C7C0E" w:rsidP="00B673B1" w:rsidRDefault="006C7C0E" w14:paraId="6445237F" w14:textId="77777777"/>
    <w:p w:rsidR="006C7C0E" w:rsidP="00B673B1" w:rsidRDefault="006C7C0E" w14:paraId="63E0CAA9" w14:textId="77777777"/>
    <w:p w:rsidR="006C7C0E" w:rsidP="00B673B1" w:rsidRDefault="006C7C0E" w14:paraId="047B6352" w14:textId="77777777"/>
    <w:p w:rsidR="006C7C0E" w:rsidP="00B673B1" w:rsidRDefault="006C7C0E" w14:paraId="0A7B9D47" w14:textId="77777777"/>
    <w:p w:rsidR="006C7C0E" w:rsidP="00B673B1" w:rsidRDefault="006C7C0E" w14:paraId="57857789" w14:textId="77777777"/>
    <w:p w:rsidR="006C7C0E" w:rsidP="00B673B1" w:rsidRDefault="006C7C0E" w14:paraId="1E6E390A" w14:textId="77777777"/>
    <w:p w:rsidR="006C7C0E" w:rsidP="00B673B1" w:rsidRDefault="006C7C0E" w14:paraId="642BBE23" w14:textId="77777777"/>
    <w:p w:rsidR="006C7C0E" w:rsidP="00B673B1" w:rsidRDefault="006C7C0E" w14:paraId="12C67823" w14:textId="77777777"/>
    <w:p w:rsidR="006C7C0E" w:rsidP="00B673B1" w:rsidRDefault="006C7C0E" w14:paraId="20145A55" w14:textId="77777777"/>
    <w:p w:rsidR="006C7C0E" w:rsidP="00B673B1" w:rsidRDefault="006C7C0E" w14:paraId="79584C74" w14:textId="77777777"/>
    <w:p w:rsidR="006C7C0E" w:rsidP="00B673B1" w:rsidRDefault="006C7C0E" w14:paraId="6E5E96DB" w14:textId="77777777"/>
    <w:p w:rsidRPr="00632DCB" w:rsidR="006C7C0E" w:rsidP="00B673B1" w:rsidRDefault="006C7C0E" w14:paraId="1678DA9F" w14:textId="77777777"/>
    <w:p w:rsidRPr="00632DCB" w:rsidR="001B22FA" w:rsidP="00B673B1" w:rsidRDefault="001B22FA" w14:paraId="6EE60162" w14:textId="77777777"/>
    <w:p w:rsidRPr="00632DCB" w:rsidR="001B22FA" w:rsidP="00B673B1" w:rsidRDefault="001B22FA" w14:paraId="2DF8AA12" w14:textId="77777777"/>
    <w:p w:rsidRPr="00632DCB" w:rsidR="001B22FA" w:rsidP="00B673B1" w:rsidRDefault="001B22FA" w14:paraId="40576749" w14:textId="77777777"/>
    <w:p w:rsidRPr="00632DCB" w:rsidR="00DF7045" w:rsidP="00B673B1" w:rsidRDefault="00DF7045" w14:paraId="56D02AE7" w14:textId="77777777"/>
    <w:p w:rsidRPr="00632DCB" w:rsidR="00632DCB" w:rsidP="00632DCB" w:rsidRDefault="00B673B1" w14:paraId="45416197" w14:textId="7849BD29">
      <w:pPr>
        <w:pStyle w:val="Kop1"/>
        <w:numPr>
          <w:ilvl w:val="0"/>
          <w:numId w:val="0"/>
        </w:numPr>
      </w:pPr>
      <w:bookmarkStart w:name="_Toc202280982" w:id="1"/>
      <w:bookmarkStart w:name="_Toc202788161" w:id="2"/>
      <w:bookmarkStart w:name="_Toc214547141" w:id="3"/>
      <w:r w:rsidRPr="00632DCB">
        <w:lastRenderedPageBreak/>
        <w:t>Samenvatting</w:t>
      </w:r>
      <w:bookmarkEnd w:id="1"/>
      <w:bookmarkEnd w:id="2"/>
      <w:bookmarkEnd w:id="3"/>
    </w:p>
    <w:p w:rsidRPr="00632DCB" w:rsidR="002F74A1" w:rsidP="00632DCB" w:rsidRDefault="00100DD0" w14:paraId="5F12A08C" w14:textId="62A8289D">
      <w:pPr>
        <w:pStyle w:val="Lijstalinea"/>
        <w:numPr>
          <w:ilvl w:val="0"/>
          <w:numId w:val="28"/>
        </w:numPr>
        <w:spacing w:line="276" w:lineRule="auto"/>
        <w:ind w:left="426"/>
        <w:rPr>
          <w:rFonts w:ascii="Verdana" w:hAnsi="Verdana"/>
          <w:sz w:val="18"/>
          <w:szCs w:val="18"/>
        </w:rPr>
      </w:pPr>
      <w:r w:rsidRPr="00632DCB">
        <w:rPr>
          <w:rFonts w:ascii="Verdana" w:hAnsi="Verdana"/>
          <w:sz w:val="18"/>
          <w:szCs w:val="18"/>
        </w:rPr>
        <w:t xml:space="preserve">In Nederland gaan </w:t>
      </w:r>
      <w:r w:rsidRPr="00632DCB" w:rsidR="00604CDF">
        <w:rPr>
          <w:rFonts w:ascii="Verdana" w:hAnsi="Verdana"/>
          <w:sz w:val="18"/>
          <w:szCs w:val="18"/>
        </w:rPr>
        <w:t>1,4 miljoen volwassenen niet minstens eens in de twee jaar naar de tandarts</w:t>
      </w:r>
      <w:r w:rsidRPr="00632DCB" w:rsidR="002F74A1">
        <w:rPr>
          <w:rFonts w:ascii="Verdana" w:hAnsi="Verdana"/>
          <w:sz w:val="18"/>
          <w:szCs w:val="18"/>
        </w:rPr>
        <w:t>.</w:t>
      </w:r>
      <w:r w:rsidRPr="00632DCB" w:rsidR="00604CDF">
        <w:rPr>
          <w:rFonts w:ascii="Verdana" w:hAnsi="Verdana"/>
          <w:sz w:val="18"/>
          <w:szCs w:val="18"/>
        </w:rPr>
        <w:t xml:space="preserve"> Hiervan gaat circa 640.000 niet om financiële redenen.</w:t>
      </w:r>
      <w:r w:rsidR="00147B06">
        <w:rPr>
          <w:rStyle w:val="Voetnootmarkering"/>
          <w:rFonts w:ascii="Verdana" w:hAnsi="Verdana"/>
          <w:sz w:val="18"/>
          <w:szCs w:val="18"/>
        </w:rPr>
        <w:footnoteReference w:id="2"/>
      </w:r>
      <w:r w:rsidRPr="00632DCB" w:rsidR="002F74A1">
        <w:rPr>
          <w:rFonts w:ascii="Verdana" w:hAnsi="Verdana"/>
          <w:sz w:val="18"/>
          <w:szCs w:val="18"/>
        </w:rPr>
        <w:t xml:space="preserve"> </w:t>
      </w:r>
      <w:r w:rsidR="00005C8A">
        <w:rPr>
          <w:rFonts w:ascii="Verdana" w:hAnsi="Verdana"/>
          <w:sz w:val="18"/>
          <w:szCs w:val="18"/>
        </w:rPr>
        <w:t xml:space="preserve"> </w:t>
      </w:r>
    </w:p>
    <w:p w:rsidR="0037364E" w:rsidP="0037364E" w:rsidRDefault="002F74A1" w14:paraId="683B47F1" w14:textId="3C083926">
      <w:pPr>
        <w:pStyle w:val="Lijstalinea"/>
        <w:numPr>
          <w:ilvl w:val="0"/>
          <w:numId w:val="28"/>
        </w:numPr>
        <w:spacing w:line="276" w:lineRule="auto"/>
        <w:ind w:left="426"/>
        <w:rPr>
          <w:rFonts w:ascii="Verdana" w:hAnsi="Verdana"/>
          <w:sz w:val="18"/>
          <w:szCs w:val="18"/>
        </w:rPr>
      </w:pPr>
      <w:r w:rsidRPr="00632DCB">
        <w:rPr>
          <w:rFonts w:ascii="Verdana" w:hAnsi="Verdana"/>
          <w:sz w:val="18"/>
          <w:szCs w:val="18"/>
        </w:rPr>
        <w:t xml:space="preserve">In dit rapport zijn gerichte financiële maatregelen uitgewerkt </w:t>
      </w:r>
      <w:r w:rsidRPr="00632DCB" w:rsidR="00100DD0">
        <w:rPr>
          <w:rFonts w:ascii="Verdana" w:hAnsi="Verdana"/>
          <w:sz w:val="18"/>
          <w:szCs w:val="18"/>
        </w:rPr>
        <w:t>om</w:t>
      </w:r>
      <w:r w:rsidRPr="0037364E">
        <w:rPr>
          <w:rFonts w:ascii="Verdana" w:hAnsi="Verdana"/>
          <w:sz w:val="18"/>
          <w:szCs w:val="18"/>
        </w:rPr>
        <w:t xml:space="preserve"> </w:t>
      </w:r>
      <w:r w:rsidRPr="00463C7B">
        <w:rPr>
          <w:rFonts w:ascii="Verdana" w:hAnsi="Verdana"/>
          <w:sz w:val="18"/>
          <w:szCs w:val="18"/>
        </w:rPr>
        <w:t xml:space="preserve">mondzorgmijding om financiële redenen te </w:t>
      </w:r>
      <w:r w:rsidRPr="00463C7B" w:rsidR="008873D1">
        <w:rPr>
          <w:rFonts w:ascii="Verdana" w:hAnsi="Verdana"/>
          <w:sz w:val="18"/>
          <w:szCs w:val="18"/>
        </w:rPr>
        <w:t>verminderen</w:t>
      </w:r>
      <w:r w:rsidRPr="00463C7B">
        <w:rPr>
          <w:rFonts w:ascii="Verdana" w:hAnsi="Verdana"/>
          <w:sz w:val="18"/>
          <w:szCs w:val="18"/>
        </w:rPr>
        <w:t xml:space="preserve">. </w:t>
      </w:r>
      <w:r w:rsidRPr="00463C7B" w:rsidR="00E24477">
        <w:rPr>
          <w:rFonts w:ascii="Verdana" w:hAnsi="Verdana"/>
          <w:sz w:val="18"/>
          <w:szCs w:val="18"/>
        </w:rPr>
        <w:t xml:space="preserve">VWS </w:t>
      </w:r>
      <w:r w:rsidRPr="00463C7B" w:rsidR="00D15C5F">
        <w:rPr>
          <w:rFonts w:ascii="Verdana" w:hAnsi="Verdana"/>
          <w:sz w:val="18"/>
          <w:szCs w:val="18"/>
        </w:rPr>
        <w:t xml:space="preserve">was </w:t>
      </w:r>
      <w:r w:rsidRPr="00463C7B" w:rsidR="00E24477">
        <w:rPr>
          <w:rFonts w:ascii="Verdana" w:hAnsi="Verdana"/>
          <w:sz w:val="18"/>
          <w:szCs w:val="18"/>
        </w:rPr>
        <w:t>penvoerder en</w:t>
      </w:r>
      <w:r w:rsidRPr="00463C7B" w:rsidR="00D15C5F">
        <w:rPr>
          <w:rFonts w:ascii="Verdana" w:hAnsi="Verdana"/>
          <w:sz w:val="18"/>
          <w:szCs w:val="18"/>
        </w:rPr>
        <w:t xml:space="preserve"> medewerkers van</w:t>
      </w:r>
      <w:r w:rsidRPr="00463C7B" w:rsidR="00E24477">
        <w:rPr>
          <w:rFonts w:ascii="Verdana" w:hAnsi="Verdana"/>
          <w:sz w:val="18"/>
          <w:szCs w:val="18"/>
        </w:rPr>
        <w:t xml:space="preserve"> </w:t>
      </w:r>
      <w:r w:rsidRPr="00463C7B" w:rsidR="00604CDF">
        <w:rPr>
          <w:rFonts w:ascii="Verdana" w:hAnsi="Verdana"/>
          <w:sz w:val="18"/>
          <w:szCs w:val="18"/>
        </w:rPr>
        <w:t xml:space="preserve">ZN, </w:t>
      </w:r>
      <w:proofErr w:type="spellStart"/>
      <w:r w:rsidRPr="00463C7B" w:rsidR="00604CDF">
        <w:rPr>
          <w:rFonts w:ascii="Verdana" w:hAnsi="Verdana"/>
          <w:sz w:val="18"/>
          <w:szCs w:val="18"/>
        </w:rPr>
        <w:t>Divosa</w:t>
      </w:r>
      <w:proofErr w:type="spellEnd"/>
      <w:r w:rsidRPr="00463C7B" w:rsidR="00604CDF">
        <w:rPr>
          <w:rFonts w:ascii="Verdana" w:hAnsi="Verdana"/>
          <w:sz w:val="18"/>
          <w:szCs w:val="18"/>
        </w:rPr>
        <w:t xml:space="preserve">, de Mondzorgalliantie en </w:t>
      </w:r>
      <w:proofErr w:type="spellStart"/>
      <w:r w:rsidRPr="00463C7B" w:rsidR="00604CDF">
        <w:rPr>
          <w:rFonts w:ascii="Verdana" w:hAnsi="Verdana"/>
          <w:sz w:val="18"/>
          <w:szCs w:val="18"/>
        </w:rPr>
        <w:t>Patiëntenfederatie</w:t>
      </w:r>
      <w:proofErr w:type="spellEnd"/>
      <w:r w:rsidRPr="00463C7B" w:rsidR="00604CDF">
        <w:rPr>
          <w:rFonts w:ascii="Verdana" w:hAnsi="Verdana"/>
          <w:sz w:val="18"/>
          <w:szCs w:val="18"/>
        </w:rPr>
        <w:t xml:space="preserve"> Nederland</w:t>
      </w:r>
      <w:r w:rsidRPr="00463C7B">
        <w:rPr>
          <w:rFonts w:ascii="Verdana" w:hAnsi="Verdana"/>
          <w:sz w:val="18"/>
          <w:szCs w:val="18"/>
        </w:rPr>
        <w:t xml:space="preserve"> hebben v</w:t>
      </w:r>
      <w:r w:rsidRPr="00463C7B" w:rsidR="00604CDF">
        <w:rPr>
          <w:rFonts w:ascii="Verdana" w:hAnsi="Verdana"/>
          <w:sz w:val="18"/>
          <w:szCs w:val="18"/>
        </w:rPr>
        <w:t xml:space="preserve">anuit hun expertise meegedacht over de technische </w:t>
      </w:r>
      <w:r w:rsidRPr="00463C7B" w:rsidR="00163004">
        <w:rPr>
          <w:rFonts w:ascii="Verdana" w:hAnsi="Verdana"/>
          <w:sz w:val="18"/>
          <w:szCs w:val="18"/>
        </w:rPr>
        <w:t>uitwerking van</w:t>
      </w:r>
      <w:r w:rsidRPr="00463C7B" w:rsidR="00604CDF">
        <w:rPr>
          <w:rFonts w:ascii="Verdana" w:hAnsi="Verdana"/>
          <w:sz w:val="18"/>
          <w:szCs w:val="18"/>
        </w:rPr>
        <w:t xml:space="preserve"> de maatregelen</w:t>
      </w:r>
      <w:r w:rsidRPr="00463C7B" w:rsidR="00100DD0">
        <w:rPr>
          <w:rFonts w:ascii="Verdana" w:hAnsi="Verdana"/>
          <w:sz w:val="18"/>
          <w:szCs w:val="18"/>
        </w:rPr>
        <w:t>. D</w:t>
      </w:r>
      <w:r w:rsidRPr="00463C7B" w:rsidR="00604CDF">
        <w:rPr>
          <w:rFonts w:ascii="Verdana" w:hAnsi="Verdana"/>
          <w:sz w:val="18"/>
          <w:szCs w:val="18"/>
        </w:rPr>
        <w:t>at een maatregel in dit rapport is opgenomen betekent dus</w:t>
      </w:r>
      <w:r w:rsidRPr="00632DCB" w:rsidR="00604CDF">
        <w:rPr>
          <w:rFonts w:ascii="Verdana" w:hAnsi="Verdana"/>
          <w:sz w:val="18"/>
          <w:szCs w:val="18"/>
        </w:rPr>
        <w:t xml:space="preserve"> niet dat deze partijen daar voorstander van zijn.  </w:t>
      </w:r>
    </w:p>
    <w:p w:rsidRPr="00005C8A" w:rsidR="002F74A1" w:rsidP="0037364E" w:rsidRDefault="00604CDF" w14:paraId="083F69C0" w14:textId="0E8440A9">
      <w:pPr>
        <w:pStyle w:val="Lijstalinea"/>
        <w:numPr>
          <w:ilvl w:val="0"/>
          <w:numId w:val="28"/>
        </w:numPr>
        <w:spacing w:line="276" w:lineRule="auto"/>
        <w:ind w:left="426"/>
        <w:rPr>
          <w:rFonts w:ascii="Verdana" w:hAnsi="Verdana"/>
          <w:sz w:val="18"/>
          <w:szCs w:val="18"/>
        </w:rPr>
      </w:pPr>
      <w:r w:rsidRPr="0037364E">
        <w:rPr>
          <w:rFonts w:ascii="Verdana" w:hAnsi="Verdana"/>
          <w:sz w:val="18"/>
          <w:szCs w:val="18"/>
        </w:rPr>
        <w:t xml:space="preserve">Het rapport </w:t>
      </w:r>
      <w:r w:rsidRPr="00005C8A" w:rsidR="005E54CE">
        <w:rPr>
          <w:rFonts w:ascii="Verdana" w:hAnsi="Verdana"/>
          <w:sz w:val="18"/>
          <w:szCs w:val="18"/>
        </w:rPr>
        <w:t xml:space="preserve">omschrijft </w:t>
      </w:r>
      <w:r w:rsidRPr="00005C8A">
        <w:rPr>
          <w:rFonts w:ascii="Verdana" w:hAnsi="Verdana"/>
          <w:sz w:val="18"/>
          <w:szCs w:val="18"/>
        </w:rPr>
        <w:t>de maatregelen zonder daarbij een voorkeur uit te spreken. Het betreft dus een ‘keuzemenu’ op basis waarvan</w:t>
      </w:r>
      <w:r w:rsidRPr="00005C8A" w:rsidR="007971F8">
        <w:rPr>
          <w:rFonts w:ascii="Verdana" w:hAnsi="Verdana"/>
          <w:sz w:val="18"/>
          <w:szCs w:val="18"/>
        </w:rPr>
        <w:t xml:space="preserve">, </w:t>
      </w:r>
      <w:r w:rsidRPr="00005C8A">
        <w:rPr>
          <w:rFonts w:ascii="Verdana" w:hAnsi="Verdana"/>
          <w:sz w:val="18"/>
          <w:szCs w:val="18"/>
        </w:rPr>
        <w:t>gegeven politieke voorkeuren en beschikbaar budget</w:t>
      </w:r>
      <w:r w:rsidRPr="00005C8A" w:rsidR="007971F8">
        <w:rPr>
          <w:rFonts w:ascii="Verdana" w:hAnsi="Verdana"/>
          <w:sz w:val="18"/>
          <w:szCs w:val="18"/>
        </w:rPr>
        <w:t xml:space="preserve">, </w:t>
      </w:r>
      <w:r w:rsidRPr="00005C8A">
        <w:rPr>
          <w:rFonts w:ascii="Verdana" w:hAnsi="Verdana"/>
          <w:sz w:val="18"/>
          <w:szCs w:val="18"/>
        </w:rPr>
        <w:t xml:space="preserve">een keuze gemaakt kan worden. </w:t>
      </w:r>
    </w:p>
    <w:p w:rsidRPr="00005C8A" w:rsidR="002F74A1" w:rsidP="00632DCB" w:rsidRDefault="002F74A1" w14:paraId="133D5D6C" w14:textId="77777777">
      <w:pPr>
        <w:pStyle w:val="Lijstalinea"/>
        <w:numPr>
          <w:ilvl w:val="0"/>
          <w:numId w:val="28"/>
        </w:numPr>
        <w:spacing w:line="276" w:lineRule="auto"/>
        <w:ind w:left="426"/>
        <w:rPr>
          <w:rFonts w:ascii="Verdana" w:hAnsi="Verdana"/>
          <w:sz w:val="18"/>
          <w:szCs w:val="18"/>
        </w:rPr>
      </w:pPr>
      <w:r w:rsidRPr="00005C8A">
        <w:rPr>
          <w:rFonts w:ascii="Verdana" w:hAnsi="Verdana"/>
          <w:sz w:val="18"/>
          <w:szCs w:val="18"/>
        </w:rPr>
        <w:t>D</w:t>
      </w:r>
      <w:r w:rsidRPr="00005C8A" w:rsidR="00604CDF">
        <w:rPr>
          <w:rFonts w:ascii="Verdana" w:hAnsi="Verdana"/>
          <w:sz w:val="18"/>
          <w:szCs w:val="18"/>
        </w:rPr>
        <w:t xml:space="preserve">e volgende maatregelen </w:t>
      </w:r>
      <w:r w:rsidRPr="00005C8A">
        <w:rPr>
          <w:rFonts w:ascii="Verdana" w:hAnsi="Verdana"/>
          <w:sz w:val="18"/>
          <w:szCs w:val="18"/>
        </w:rPr>
        <w:t xml:space="preserve">zijn </w:t>
      </w:r>
      <w:r w:rsidRPr="00005C8A" w:rsidR="00604CDF">
        <w:rPr>
          <w:rFonts w:ascii="Verdana" w:hAnsi="Verdana"/>
          <w:sz w:val="18"/>
          <w:szCs w:val="18"/>
        </w:rPr>
        <w:t>uitgewerkt:</w:t>
      </w:r>
    </w:p>
    <w:p w:rsidRPr="00005C8A" w:rsidR="002F74A1" w:rsidP="00632DCB" w:rsidRDefault="00604CDF" w14:paraId="59D4ADEA" w14:textId="77777777">
      <w:pPr>
        <w:pStyle w:val="Lijstalinea"/>
        <w:numPr>
          <w:ilvl w:val="1"/>
          <w:numId w:val="28"/>
        </w:numPr>
        <w:spacing w:line="276" w:lineRule="auto"/>
        <w:ind w:left="993"/>
        <w:rPr>
          <w:rFonts w:ascii="Verdana" w:hAnsi="Verdana"/>
          <w:sz w:val="18"/>
          <w:szCs w:val="18"/>
        </w:rPr>
      </w:pPr>
      <w:r w:rsidRPr="00005C8A">
        <w:rPr>
          <w:rFonts w:ascii="Verdana" w:hAnsi="Verdana"/>
          <w:sz w:val="18"/>
          <w:szCs w:val="18"/>
        </w:rPr>
        <w:t xml:space="preserve">Landelijke </w:t>
      </w:r>
      <w:r w:rsidRPr="00005C8A" w:rsidR="002F74A1">
        <w:rPr>
          <w:rFonts w:ascii="Verdana" w:hAnsi="Verdana"/>
          <w:sz w:val="18"/>
          <w:szCs w:val="18"/>
        </w:rPr>
        <w:t xml:space="preserve">financiële </w:t>
      </w:r>
      <w:r w:rsidRPr="00005C8A">
        <w:rPr>
          <w:rFonts w:ascii="Verdana" w:hAnsi="Verdana"/>
          <w:sz w:val="18"/>
          <w:szCs w:val="18"/>
        </w:rPr>
        <w:t>regeling</w:t>
      </w:r>
    </w:p>
    <w:p w:rsidRPr="00005C8A" w:rsidR="002F74A1" w:rsidP="00632DCB" w:rsidRDefault="00604CDF" w14:paraId="21A4D4A9" w14:textId="77777777">
      <w:pPr>
        <w:pStyle w:val="Lijstalinea"/>
        <w:numPr>
          <w:ilvl w:val="1"/>
          <w:numId w:val="28"/>
        </w:numPr>
        <w:spacing w:line="276" w:lineRule="auto"/>
        <w:ind w:left="993"/>
        <w:rPr>
          <w:rFonts w:ascii="Verdana" w:hAnsi="Verdana"/>
          <w:sz w:val="18"/>
          <w:szCs w:val="18"/>
        </w:rPr>
      </w:pPr>
      <w:r w:rsidRPr="00005C8A">
        <w:rPr>
          <w:rFonts w:ascii="Verdana" w:hAnsi="Verdana"/>
          <w:sz w:val="18"/>
          <w:szCs w:val="18"/>
        </w:rPr>
        <w:t xml:space="preserve">Landelijke uniforme aanvullende zorgverzekering </w:t>
      </w:r>
    </w:p>
    <w:p w:rsidRPr="00005C8A" w:rsidR="002F74A1" w:rsidP="00632DCB" w:rsidRDefault="00E11A1F" w14:paraId="078B6AE5" w14:textId="2CEFA121">
      <w:pPr>
        <w:pStyle w:val="Lijstalinea"/>
        <w:numPr>
          <w:ilvl w:val="1"/>
          <w:numId w:val="28"/>
        </w:numPr>
        <w:spacing w:line="276" w:lineRule="auto"/>
        <w:ind w:left="993"/>
        <w:rPr>
          <w:rFonts w:ascii="Verdana" w:hAnsi="Verdana"/>
          <w:sz w:val="18"/>
          <w:szCs w:val="18"/>
        </w:rPr>
      </w:pPr>
      <w:r w:rsidRPr="00005C8A">
        <w:rPr>
          <w:rFonts w:ascii="Verdana" w:hAnsi="Verdana"/>
          <w:sz w:val="18"/>
          <w:szCs w:val="18"/>
        </w:rPr>
        <w:t>Nieuwe gemeentepolis met basisverzekering en mondzorg</w:t>
      </w:r>
    </w:p>
    <w:p w:rsidRPr="00005C8A" w:rsidR="00604CDF" w:rsidP="00632DCB" w:rsidRDefault="00604CDF" w14:paraId="660B1C8A" w14:textId="701C44E1">
      <w:pPr>
        <w:pStyle w:val="Lijstalinea"/>
        <w:numPr>
          <w:ilvl w:val="1"/>
          <w:numId w:val="28"/>
        </w:numPr>
        <w:spacing w:line="276" w:lineRule="auto"/>
        <w:ind w:left="993"/>
        <w:rPr>
          <w:rFonts w:ascii="Verdana" w:hAnsi="Verdana"/>
          <w:sz w:val="18"/>
          <w:szCs w:val="18"/>
        </w:rPr>
      </w:pPr>
      <w:r w:rsidRPr="00005C8A">
        <w:rPr>
          <w:rFonts w:ascii="Verdana" w:hAnsi="Verdana"/>
          <w:sz w:val="18"/>
          <w:szCs w:val="18"/>
        </w:rPr>
        <w:t xml:space="preserve">Noodfonds </w:t>
      </w:r>
    </w:p>
    <w:p w:rsidRPr="00005C8A" w:rsidR="002F74A1" w:rsidP="00632DCB" w:rsidRDefault="002F74A1" w14:paraId="36A20885" w14:textId="57FF5554">
      <w:pPr>
        <w:pStyle w:val="Lijstalinea"/>
        <w:numPr>
          <w:ilvl w:val="0"/>
          <w:numId w:val="28"/>
        </w:numPr>
        <w:spacing w:line="276" w:lineRule="auto"/>
        <w:ind w:left="426"/>
        <w:rPr>
          <w:rFonts w:ascii="Verdana" w:hAnsi="Verdana"/>
          <w:sz w:val="18"/>
          <w:szCs w:val="18"/>
        </w:rPr>
      </w:pPr>
      <w:r w:rsidRPr="00005C8A">
        <w:rPr>
          <w:rFonts w:ascii="Verdana" w:hAnsi="Verdana"/>
          <w:sz w:val="18"/>
          <w:szCs w:val="18"/>
        </w:rPr>
        <w:t>De eerste drie maatregelen kunnen</w:t>
      </w:r>
      <w:r w:rsidRPr="00005C8A" w:rsidR="003C0B72">
        <w:rPr>
          <w:rFonts w:ascii="Verdana" w:hAnsi="Verdana"/>
          <w:sz w:val="18"/>
          <w:szCs w:val="18"/>
        </w:rPr>
        <w:t>, afhankelijk van het daadwerkelijke gebruik daarvan door de</w:t>
      </w:r>
      <w:r w:rsidRPr="00005C8A" w:rsidR="00AB1CEF">
        <w:rPr>
          <w:rFonts w:ascii="Verdana" w:hAnsi="Verdana"/>
          <w:sz w:val="18"/>
          <w:szCs w:val="18"/>
        </w:rPr>
        <w:t xml:space="preserve"> beoogde</w:t>
      </w:r>
      <w:r w:rsidRPr="00005C8A" w:rsidR="003C0B72">
        <w:rPr>
          <w:rFonts w:ascii="Verdana" w:hAnsi="Verdana"/>
          <w:sz w:val="18"/>
          <w:szCs w:val="18"/>
        </w:rPr>
        <w:t xml:space="preserve"> doelgroep,</w:t>
      </w:r>
      <w:r w:rsidRPr="00005C8A">
        <w:rPr>
          <w:rFonts w:ascii="Verdana" w:hAnsi="Verdana"/>
          <w:sz w:val="18"/>
          <w:szCs w:val="18"/>
        </w:rPr>
        <w:t xml:space="preserve"> een </w:t>
      </w:r>
      <w:r w:rsidRPr="00005C8A" w:rsidR="005E54CE">
        <w:rPr>
          <w:rFonts w:ascii="Verdana" w:hAnsi="Verdana"/>
          <w:sz w:val="18"/>
          <w:szCs w:val="18"/>
        </w:rPr>
        <w:t xml:space="preserve">substantiële </w:t>
      </w:r>
      <w:r w:rsidRPr="00005C8A">
        <w:rPr>
          <w:rFonts w:ascii="Verdana" w:hAnsi="Verdana"/>
          <w:sz w:val="18"/>
          <w:szCs w:val="18"/>
        </w:rPr>
        <w:t xml:space="preserve">bijdrage leveren aan het voorkomen van mondzorgmijding om financiële redenen. </w:t>
      </w:r>
      <w:r w:rsidRPr="00005C8A" w:rsidR="00D477ED">
        <w:rPr>
          <w:rFonts w:ascii="Verdana" w:hAnsi="Verdana"/>
          <w:sz w:val="18"/>
          <w:szCs w:val="18"/>
        </w:rPr>
        <w:t xml:space="preserve">Daarnaast is een noodfonds uitgewerkt waarmee </w:t>
      </w:r>
      <w:r w:rsidRPr="00005C8A" w:rsidR="00C37D3C">
        <w:rPr>
          <w:rFonts w:ascii="Verdana" w:hAnsi="Verdana"/>
          <w:sz w:val="18"/>
          <w:szCs w:val="18"/>
        </w:rPr>
        <w:t>- indien de politiek beslist om minder financiële middelen ter beschikking te stellen -</w:t>
      </w:r>
      <w:r w:rsidRPr="00005C8A" w:rsidR="00D477ED">
        <w:rPr>
          <w:rFonts w:ascii="Verdana" w:hAnsi="Verdana"/>
          <w:sz w:val="18"/>
          <w:szCs w:val="18"/>
        </w:rPr>
        <w:t xml:space="preserve"> een kleinere doelgroep ondersteund kan worden.</w:t>
      </w:r>
    </w:p>
    <w:p w:rsidRPr="00005C8A" w:rsidR="008D16A0" w:rsidP="008D16A0" w:rsidRDefault="002F74A1" w14:paraId="58379121" w14:textId="562B03C0">
      <w:pPr>
        <w:pStyle w:val="Lijstalinea"/>
        <w:numPr>
          <w:ilvl w:val="0"/>
          <w:numId w:val="28"/>
        </w:numPr>
        <w:spacing w:line="276" w:lineRule="auto"/>
        <w:ind w:left="426"/>
        <w:rPr>
          <w:rFonts w:ascii="Verdana" w:hAnsi="Verdana"/>
          <w:sz w:val="18"/>
          <w:szCs w:val="18"/>
        </w:rPr>
      </w:pPr>
      <w:r w:rsidRPr="00005C8A">
        <w:rPr>
          <w:rFonts w:ascii="Verdana" w:hAnsi="Verdana"/>
          <w:sz w:val="18"/>
          <w:szCs w:val="18"/>
        </w:rPr>
        <w:t xml:space="preserve">Voor elke maatregel geldt dat gekozen moet worden voor een </w:t>
      </w:r>
      <w:r w:rsidRPr="00005C8A" w:rsidR="00D95AFB">
        <w:rPr>
          <w:rFonts w:ascii="Verdana" w:hAnsi="Verdana"/>
          <w:sz w:val="18"/>
          <w:szCs w:val="18"/>
        </w:rPr>
        <w:t xml:space="preserve">duidelijke afbakening van </w:t>
      </w:r>
      <w:r w:rsidRPr="00005C8A" w:rsidR="005E54CE">
        <w:rPr>
          <w:rFonts w:ascii="Verdana" w:hAnsi="Verdana"/>
          <w:sz w:val="18"/>
          <w:szCs w:val="18"/>
        </w:rPr>
        <w:t>wie ervoor in aanmerking komt (</w:t>
      </w:r>
      <w:r w:rsidRPr="00005C8A" w:rsidR="00D95AFB">
        <w:rPr>
          <w:rFonts w:ascii="Verdana" w:hAnsi="Verdana"/>
          <w:sz w:val="18"/>
          <w:szCs w:val="18"/>
        </w:rPr>
        <w:t>de</w:t>
      </w:r>
      <w:r w:rsidRPr="00005C8A">
        <w:rPr>
          <w:rFonts w:ascii="Verdana" w:hAnsi="Verdana"/>
          <w:sz w:val="18"/>
          <w:szCs w:val="18"/>
        </w:rPr>
        <w:t xml:space="preserve"> doelgroep</w:t>
      </w:r>
      <w:r w:rsidRPr="00005C8A" w:rsidR="005E54CE">
        <w:rPr>
          <w:rFonts w:ascii="Verdana" w:hAnsi="Verdana"/>
          <w:sz w:val="18"/>
          <w:szCs w:val="18"/>
        </w:rPr>
        <w:t xml:space="preserve">) en welke </w:t>
      </w:r>
      <w:r w:rsidR="00505190">
        <w:rPr>
          <w:rFonts w:ascii="Verdana" w:hAnsi="Verdana"/>
          <w:sz w:val="18"/>
          <w:szCs w:val="18"/>
        </w:rPr>
        <w:t>mond</w:t>
      </w:r>
      <w:r w:rsidRPr="00005C8A" w:rsidR="005E54CE">
        <w:rPr>
          <w:rFonts w:ascii="Verdana" w:hAnsi="Verdana"/>
          <w:sz w:val="18"/>
          <w:szCs w:val="18"/>
        </w:rPr>
        <w:t xml:space="preserve">zorg vergoed wordt (de </w:t>
      </w:r>
      <w:r w:rsidRPr="00005C8A" w:rsidR="00D95AFB">
        <w:rPr>
          <w:rFonts w:ascii="Verdana" w:hAnsi="Verdana"/>
          <w:sz w:val="18"/>
          <w:szCs w:val="18"/>
        </w:rPr>
        <w:t>dekking</w:t>
      </w:r>
      <w:r w:rsidRPr="00005C8A" w:rsidR="005E54CE">
        <w:rPr>
          <w:rFonts w:ascii="Verdana" w:hAnsi="Verdana"/>
          <w:sz w:val="18"/>
          <w:szCs w:val="18"/>
        </w:rPr>
        <w:t>)</w:t>
      </w:r>
      <w:r w:rsidRPr="00005C8A" w:rsidR="00D95AFB">
        <w:rPr>
          <w:rFonts w:ascii="Verdana" w:hAnsi="Verdana"/>
          <w:sz w:val="18"/>
          <w:szCs w:val="18"/>
        </w:rPr>
        <w:t>.</w:t>
      </w:r>
      <w:r w:rsidRPr="00005C8A">
        <w:rPr>
          <w:rFonts w:ascii="Verdana" w:hAnsi="Verdana"/>
          <w:sz w:val="18"/>
          <w:szCs w:val="18"/>
        </w:rPr>
        <w:t xml:space="preserve"> Deze keuzes hebben gevolgen voor de verwachte macrokosten</w:t>
      </w:r>
      <w:r w:rsidRPr="00005C8A" w:rsidR="007971F8">
        <w:rPr>
          <w:rFonts w:ascii="Verdana" w:hAnsi="Verdana"/>
          <w:sz w:val="18"/>
          <w:szCs w:val="18"/>
        </w:rPr>
        <w:t>.</w:t>
      </w:r>
    </w:p>
    <w:p w:rsidRPr="00005C8A" w:rsidR="008D16A0" w:rsidP="008D16A0" w:rsidRDefault="00A51509" w14:paraId="17EF825B" w14:textId="6F2CE949">
      <w:pPr>
        <w:pStyle w:val="Lijstalinea"/>
        <w:numPr>
          <w:ilvl w:val="0"/>
          <w:numId w:val="28"/>
        </w:numPr>
        <w:spacing w:line="276" w:lineRule="auto"/>
        <w:ind w:left="426"/>
        <w:rPr>
          <w:rFonts w:ascii="Verdana" w:hAnsi="Verdana"/>
          <w:sz w:val="18"/>
          <w:szCs w:val="18"/>
        </w:rPr>
      </w:pPr>
      <w:r w:rsidRPr="00005C8A">
        <w:rPr>
          <w:rFonts w:ascii="Verdana" w:hAnsi="Verdana"/>
          <w:sz w:val="18"/>
          <w:szCs w:val="18"/>
        </w:rPr>
        <w:t>In dit rapport is</w:t>
      </w:r>
      <w:r w:rsidRPr="00005C8A" w:rsidR="008D16A0">
        <w:rPr>
          <w:rFonts w:ascii="Verdana" w:hAnsi="Verdana"/>
          <w:sz w:val="18"/>
          <w:szCs w:val="18"/>
        </w:rPr>
        <w:t xml:space="preserve"> qua doelgroep uitgegaan van personen met een inkomen tot 120% respectievelijk 150% van het sociaal minimum. Qua dekking zijn er drie scenario’s in beeld gebracht. Scenario A gaat </w:t>
      </w:r>
      <w:r w:rsidRPr="00005C8A">
        <w:rPr>
          <w:rFonts w:ascii="Verdana" w:hAnsi="Verdana"/>
          <w:sz w:val="18"/>
          <w:szCs w:val="18"/>
        </w:rPr>
        <w:t>uit</w:t>
      </w:r>
      <w:r w:rsidRPr="00005C8A" w:rsidR="008D16A0">
        <w:rPr>
          <w:rFonts w:ascii="Verdana" w:hAnsi="Verdana"/>
          <w:sz w:val="18"/>
          <w:szCs w:val="18"/>
        </w:rPr>
        <w:t xml:space="preserve"> van het vergoeden van acute en noodzakelijke mondzorg (tot €</w:t>
      </w:r>
      <w:r w:rsidRPr="00005C8A">
        <w:rPr>
          <w:rFonts w:ascii="Verdana" w:hAnsi="Verdana"/>
          <w:sz w:val="18"/>
          <w:szCs w:val="18"/>
        </w:rPr>
        <w:t xml:space="preserve"> </w:t>
      </w:r>
      <w:r w:rsidRPr="00005C8A" w:rsidR="008D16A0">
        <w:rPr>
          <w:rFonts w:ascii="Verdana" w:hAnsi="Verdana"/>
          <w:sz w:val="18"/>
          <w:szCs w:val="18"/>
        </w:rPr>
        <w:t xml:space="preserve">350); in scenario B wordt </w:t>
      </w:r>
      <w:r w:rsidRPr="00005C8A" w:rsidR="002D6B51">
        <w:rPr>
          <w:rFonts w:ascii="Verdana" w:hAnsi="Verdana"/>
          <w:sz w:val="18"/>
          <w:szCs w:val="18"/>
        </w:rPr>
        <w:t>deze dekking</w:t>
      </w:r>
      <w:r w:rsidRPr="00005C8A" w:rsidR="008D16A0">
        <w:rPr>
          <w:rFonts w:ascii="Verdana" w:hAnsi="Verdana"/>
          <w:sz w:val="18"/>
          <w:szCs w:val="18"/>
        </w:rPr>
        <w:t xml:space="preserve"> aangevuld met een eenmalige saneringsvergoeding</w:t>
      </w:r>
      <w:r w:rsidRPr="00005C8A">
        <w:rPr>
          <w:rFonts w:ascii="Verdana" w:hAnsi="Verdana"/>
          <w:sz w:val="18"/>
          <w:szCs w:val="18"/>
        </w:rPr>
        <w:t xml:space="preserve"> en</w:t>
      </w:r>
      <w:r w:rsidRPr="00005C8A" w:rsidR="008D16A0">
        <w:rPr>
          <w:rFonts w:ascii="Verdana" w:hAnsi="Verdana"/>
          <w:sz w:val="18"/>
          <w:szCs w:val="18"/>
        </w:rPr>
        <w:t xml:space="preserve"> in scenario C gaat het om een vrijwel volledige vergoeding voor mondzorgkosten. </w:t>
      </w:r>
    </w:p>
    <w:p w:rsidRPr="00005C8A" w:rsidR="00470EA8" w:rsidP="00470EA8" w:rsidRDefault="00502E1C" w14:paraId="75BB11C1" w14:textId="568869C6">
      <w:pPr>
        <w:pStyle w:val="Lijstalinea"/>
        <w:numPr>
          <w:ilvl w:val="0"/>
          <w:numId w:val="28"/>
        </w:numPr>
        <w:spacing w:line="276" w:lineRule="auto"/>
        <w:ind w:left="426"/>
        <w:rPr>
          <w:rFonts w:ascii="Verdana" w:hAnsi="Verdana"/>
          <w:sz w:val="18"/>
          <w:szCs w:val="18"/>
        </w:rPr>
      </w:pPr>
      <w:bookmarkStart w:name="_Hlk210909381" w:id="4"/>
      <w:proofErr w:type="spellStart"/>
      <w:r w:rsidRPr="00005C8A">
        <w:rPr>
          <w:rFonts w:ascii="Verdana" w:hAnsi="Verdana"/>
          <w:sz w:val="18"/>
          <w:szCs w:val="18"/>
        </w:rPr>
        <w:t>Gupta</w:t>
      </w:r>
      <w:proofErr w:type="spellEnd"/>
      <w:r w:rsidRPr="00005C8A">
        <w:rPr>
          <w:rFonts w:ascii="Verdana" w:hAnsi="Verdana"/>
          <w:sz w:val="18"/>
          <w:szCs w:val="18"/>
        </w:rPr>
        <w:t xml:space="preserve"> </w:t>
      </w:r>
      <w:proofErr w:type="spellStart"/>
      <w:r w:rsidRPr="00005C8A" w:rsidR="000C2C35">
        <w:rPr>
          <w:rFonts w:ascii="Verdana" w:hAnsi="Verdana"/>
          <w:sz w:val="18"/>
          <w:szCs w:val="18"/>
        </w:rPr>
        <w:t>Stragegists</w:t>
      </w:r>
      <w:proofErr w:type="spellEnd"/>
      <w:r w:rsidRPr="00005C8A" w:rsidR="000C2C35">
        <w:rPr>
          <w:rFonts w:ascii="Verdana" w:hAnsi="Verdana"/>
          <w:sz w:val="18"/>
          <w:szCs w:val="18"/>
        </w:rPr>
        <w:t xml:space="preserve"> </w:t>
      </w:r>
      <w:r w:rsidRPr="00005C8A">
        <w:rPr>
          <w:rFonts w:ascii="Verdana" w:hAnsi="Verdana"/>
          <w:sz w:val="18"/>
          <w:szCs w:val="18"/>
        </w:rPr>
        <w:t xml:space="preserve">heeft </w:t>
      </w:r>
      <w:r w:rsidRPr="00005C8A" w:rsidR="000C2C35">
        <w:rPr>
          <w:rFonts w:ascii="Verdana" w:hAnsi="Verdana"/>
          <w:sz w:val="18"/>
          <w:szCs w:val="18"/>
        </w:rPr>
        <w:t xml:space="preserve">in opdracht van VWS </w:t>
      </w:r>
      <w:r w:rsidR="00005C8A">
        <w:rPr>
          <w:rFonts w:ascii="Verdana" w:hAnsi="Verdana"/>
          <w:sz w:val="18"/>
          <w:szCs w:val="18"/>
        </w:rPr>
        <w:t>een</w:t>
      </w:r>
      <w:r w:rsidRPr="00005C8A" w:rsidR="000C2C35">
        <w:rPr>
          <w:rFonts w:ascii="Verdana" w:hAnsi="Verdana"/>
          <w:sz w:val="18"/>
          <w:szCs w:val="18"/>
        </w:rPr>
        <w:t xml:space="preserve"> financiële </w:t>
      </w:r>
      <w:r w:rsidRPr="00005C8A">
        <w:rPr>
          <w:rFonts w:ascii="Verdana" w:hAnsi="Verdana"/>
          <w:sz w:val="18"/>
          <w:szCs w:val="18"/>
        </w:rPr>
        <w:t>doorrekening verzorgd</w:t>
      </w:r>
      <w:r w:rsidRPr="00005C8A" w:rsidR="006238FB">
        <w:rPr>
          <w:rFonts w:ascii="Verdana" w:hAnsi="Verdana"/>
          <w:sz w:val="18"/>
          <w:szCs w:val="18"/>
        </w:rPr>
        <w:t xml:space="preserve"> </w:t>
      </w:r>
      <w:r w:rsidRPr="00005C8A" w:rsidR="008D16A0">
        <w:rPr>
          <w:rFonts w:ascii="Verdana" w:hAnsi="Verdana"/>
          <w:sz w:val="18"/>
          <w:szCs w:val="18"/>
        </w:rPr>
        <w:t xml:space="preserve">van de scenario’s in dit rapport. Hieruit komt naar voren dat de </w:t>
      </w:r>
      <w:r w:rsidRPr="00005C8A" w:rsidR="000C2C35">
        <w:rPr>
          <w:rFonts w:ascii="Verdana" w:hAnsi="Verdana"/>
          <w:sz w:val="18"/>
          <w:szCs w:val="18"/>
        </w:rPr>
        <w:t>maatregelen</w:t>
      </w:r>
      <w:r w:rsidRPr="00005C8A" w:rsidR="008D16A0">
        <w:rPr>
          <w:rFonts w:ascii="Verdana" w:hAnsi="Verdana"/>
          <w:sz w:val="18"/>
          <w:szCs w:val="18"/>
        </w:rPr>
        <w:t xml:space="preserve"> naar verwachting beperkt bijdragen aan het bereiken van </w:t>
      </w:r>
      <w:r w:rsidRPr="00005C8A" w:rsidR="000C2C35">
        <w:rPr>
          <w:rFonts w:ascii="Verdana" w:hAnsi="Verdana"/>
          <w:sz w:val="18"/>
          <w:szCs w:val="18"/>
        </w:rPr>
        <w:t>mensen die nu om financiële redenen afzien van mondzorg</w:t>
      </w:r>
      <w:r w:rsidRPr="00005C8A" w:rsidR="008D16A0">
        <w:rPr>
          <w:rFonts w:ascii="Verdana" w:hAnsi="Verdana"/>
          <w:sz w:val="18"/>
          <w:szCs w:val="18"/>
        </w:rPr>
        <w:t xml:space="preserve">. Dat heeft </w:t>
      </w:r>
      <w:r w:rsidRPr="00005C8A" w:rsidR="00470EA8">
        <w:rPr>
          <w:rFonts w:ascii="Verdana" w:hAnsi="Verdana"/>
          <w:sz w:val="18"/>
          <w:szCs w:val="18"/>
        </w:rPr>
        <w:t xml:space="preserve">allereerst </w:t>
      </w:r>
      <w:r w:rsidRPr="00005C8A" w:rsidR="008D16A0">
        <w:rPr>
          <w:rFonts w:ascii="Verdana" w:hAnsi="Verdana"/>
          <w:sz w:val="18"/>
          <w:szCs w:val="18"/>
        </w:rPr>
        <w:t>te maken met de afbakening van de doelgroep</w:t>
      </w:r>
      <w:r w:rsidRPr="00005C8A" w:rsidR="00C27D52">
        <w:rPr>
          <w:rFonts w:ascii="Verdana" w:hAnsi="Verdana"/>
          <w:sz w:val="18"/>
          <w:szCs w:val="18"/>
        </w:rPr>
        <w:t xml:space="preserve">: een aanzienlijk deel van de mensen die om financiële redenen afziet van mondzorg </w:t>
      </w:r>
      <w:r w:rsidRPr="00005C8A" w:rsidR="00D441D2">
        <w:rPr>
          <w:rFonts w:ascii="Verdana" w:hAnsi="Verdana"/>
          <w:sz w:val="18"/>
          <w:szCs w:val="18"/>
        </w:rPr>
        <w:t xml:space="preserve">heeft </w:t>
      </w:r>
      <w:r w:rsidRPr="00005C8A" w:rsidR="00D96F6A">
        <w:rPr>
          <w:rFonts w:ascii="Verdana" w:hAnsi="Verdana"/>
          <w:sz w:val="18"/>
          <w:szCs w:val="18"/>
        </w:rPr>
        <w:t xml:space="preserve">naar verwachting </w:t>
      </w:r>
      <w:r w:rsidRPr="00005C8A" w:rsidR="00C27D52">
        <w:rPr>
          <w:rFonts w:ascii="Verdana" w:hAnsi="Verdana"/>
          <w:sz w:val="18"/>
          <w:szCs w:val="18"/>
        </w:rPr>
        <w:t xml:space="preserve">een inkomen boven 120% respectievelijk 150% van het sociaal minimum. Ten tweede </w:t>
      </w:r>
      <w:r w:rsidRPr="00005C8A" w:rsidR="00B25B45">
        <w:rPr>
          <w:rFonts w:ascii="Verdana" w:hAnsi="Verdana"/>
          <w:sz w:val="18"/>
          <w:szCs w:val="18"/>
        </w:rPr>
        <w:t xml:space="preserve">is de inschatting dat </w:t>
      </w:r>
      <w:r w:rsidRPr="00005C8A" w:rsidR="00D96F6A">
        <w:rPr>
          <w:rFonts w:ascii="Verdana" w:hAnsi="Verdana"/>
          <w:sz w:val="18"/>
          <w:szCs w:val="18"/>
        </w:rPr>
        <w:t xml:space="preserve">het deel </w:t>
      </w:r>
      <w:r w:rsidR="00005C8A">
        <w:rPr>
          <w:rFonts w:ascii="Verdana" w:hAnsi="Verdana"/>
          <w:sz w:val="18"/>
          <w:szCs w:val="18"/>
        </w:rPr>
        <w:t>binnen deze inkomensgroep</w:t>
      </w:r>
      <w:r w:rsidRPr="00005C8A" w:rsidR="00D96F6A">
        <w:rPr>
          <w:rFonts w:ascii="Verdana" w:hAnsi="Verdana"/>
          <w:sz w:val="18"/>
          <w:szCs w:val="18"/>
        </w:rPr>
        <w:t xml:space="preserve"> dat nu nog niet naar de mondzorgverlener gaat én als gevolg van de maatregel wel gaat, beperkt is. </w:t>
      </w:r>
      <w:r w:rsidRPr="00005C8A" w:rsidR="00B25B45">
        <w:rPr>
          <w:rFonts w:ascii="Verdana" w:hAnsi="Verdana"/>
          <w:sz w:val="18"/>
          <w:szCs w:val="18"/>
        </w:rPr>
        <w:t xml:space="preserve">VWS ziet </w:t>
      </w:r>
      <w:r w:rsidRPr="00005C8A" w:rsidR="00D96F6A">
        <w:rPr>
          <w:rFonts w:ascii="Verdana" w:hAnsi="Verdana"/>
          <w:sz w:val="18"/>
          <w:szCs w:val="18"/>
        </w:rPr>
        <w:t>voor wat betreft dit laatste</w:t>
      </w:r>
      <w:r w:rsidRPr="00005C8A" w:rsidR="00B25B45">
        <w:rPr>
          <w:rFonts w:ascii="Verdana" w:hAnsi="Verdana"/>
          <w:sz w:val="18"/>
          <w:szCs w:val="18"/>
        </w:rPr>
        <w:t xml:space="preserve"> aanknopingspunten voor</w:t>
      </w:r>
      <w:r w:rsidRPr="00005C8A" w:rsidR="00B767A2">
        <w:rPr>
          <w:rFonts w:ascii="Verdana" w:hAnsi="Verdana"/>
          <w:sz w:val="18"/>
          <w:szCs w:val="18"/>
        </w:rPr>
        <w:t xml:space="preserve"> aanvullend</w:t>
      </w:r>
      <w:r w:rsidRPr="00005C8A" w:rsidR="00B25B45">
        <w:rPr>
          <w:rFonts w:ascii="Verdana" w:hAnsi="Verdana"/>
          <w:sz w:val="18"/>
          <w:szCs w:val="18"/>
        </w:rPr>
        <w:t xml:space="preserve"> </w:t>
      </w:r>
      <w:r w:rsidRPr="00005C8A" w:rsidR="00D96F6A">
        <w:rPr>
          <w:rFonts w:ascii="Verdana" w:hAnsi="Verdana"/>
          <w:sz w:val="18"/>
          <w:szCs w:val="18"/>
        </w:rPr>
        <w:t xml:space="preserve">beleid, zoals informatievoorziening, </w:t>
      </w:r>
      <w:r w:rsidRPr="00005C8A" w:rsidR="00B25B45">
        <w:rPr>
          <w:rFonts w:ascii="Verdana" w:hAnsi="Verdana"/>
          <w:sz w:val="18"/>
          <w:szCs w:val="18"/>
        </w:rPr>
        <w:t xml:space="preserve">om het bereik te vergroten.    </w:t>
      </w:r>
    </w:p>
    <w:p w:rsidRPr="00005C8A" w:rsidR="002F74A1" w:rsidP="00D96F6A" w:rsidRDefault="002F098B" w14:paraId="0FB3F1BB" w14:textId="011400C6">
      <w:pPr>
        <w:pStyle w:val="Lijstalinea"/>
        <w:numPr>
          <w:ilvl w:val="0"/>
          <w:numId w:val="28"/>
        </w:numPr>
        <w:spacing w:line="276" w:lineRule="auto"/>
        <w:ind w:left="426"/>
        <w:rPr>
          <w:rFonts w:ascii="Verdana" w:hAnsi="Verdana"/>
          <w:sz w:val="18"/>
          <w:szCs w:val="18"/>
        </w:rPr>
      </w:pPr>
      <w:r w:rsidRPr="00005C8A">
        <w:rPr>
          <w:rFonts w:ascii="Verdana" w:hAnsi="Verdana"/>
          <w:sz w:val="18"/>
          <w:szCs w:val="18"/>
        </w:rPr>
        <w:lastRenderedPageBreak/>
        <w:t>In de onderstaande tabellen staan</w:t>
      </w:r>
      <w:r w:rsidRPr="00005C8A" w:rsidR="003E550B">
        <w:rPr>
          <w:rFonts w:ascii="Verdana" w:hAnsi="Verdana"/>
          <w:sz w:val="18"/>
          <w:szCs w:val="18"/>
        </w:rPr>
        <w:t xml:space="preserve"> </w:t>
      </w:r>
      <w:r w:rsidRPr="00005C8A">
        <w:rPr>
          <w:rFonts w:ascii="Verdana" w:hAnsi="Verdana"/>
          <w:sz w:val="18"/>
          <w:szCs w:val="18"/>
        </w:rPr>
        <w:t xml:space="preserve">de geschatte kosten </w:t>
      </w:r>
      <w:r w:rsidRPr="00005C8A" w:rsidR="00B25B45">
        <w:rPr>
          <w:rFonts w:ascii="Verdana" w:hAnsi="Verdana"/>
          <w:sz w:val="18"/>
          <w:szCs w:val="18"/>
        </w:rPr>
        <w:t>voor de doelgroep tot 120% sociaal minimum.</w:t>
      </w:r>
      <w:r w:rsidRPr="00005C8A" w:rsidR="003E550B">
        <w:rPr>
          <w:rFonts w:ascii="Verdana" w:hAnsi="Verdana"/>
          <w:sz w:val="18"/>
          <w:szCs w:val="18"/>
        </w:rPr>
        <w:t xml:space="preserve"> De </w:t>
      </w:r>
      <w:r w:rsidR="00005C8A">
        <w:rPr>
          <w:rFonts w:ascii="Verdana" w:hAnsi="Verdana"/>
          <w:sz w:val="18"/>
          <w:szCs w:val="18"/>
        </w:rPr>
        <w:t>kostenin</w:t>
      </w:r>
      <w:r w:rsidRPr="00005C8A" w:rsidR="003E550B">
        <w:rPr>
          <w:rFonts w:ascii="Verdana" w:hAnsi="Verdana"/>
          <w:sz w:val="18"/>
          <w:szCs w:val="18"/>
        </w:rPr>
        <w:t>schattingen hangen af van de gedane aannames.</w:t>
      </w:r>
      <w:r w:rsidRPr="00005C8A" w:rsidR="00B25B45">
        <w:rPr>
          <w:rFonts w:ascii="Verdana" w:hAnsi="Verdana"/>
          <w:sz w:val="18"/>
          <w:szCs w:val="18"/>
        </w:rPr>
        <w:t xml:space="preserve"> </w:t>
      </w:r>
      <w:r w:rsidRPr="00005C8A" w:rsidR="003E550B">
        <w:rPr>
          <w:rFonts w:ascii="Verdana" w:hAnsi="Verdana"/>
          <w:sz w:val="18"/>
          <w:szCs w:val="18"/>
        </w:rPr>
        <w:t>Een uitgebreide toelichting staat in paragraaf 3.1 en hoofdstuk 4.</w:t>
      </w:r>
    </w:p>
    <w:p w:rsidRPr="00005C8A" w:rsidR="00002EC8" w:rsidP="00D15C5F" w:rsidRDefault="00002EC8" w14:paraId="3060F01D" w14:textId="6CF5DB54">
      <w:pPr>
        <w:spacing w:line="276" w:lineRule="auto"/>
        <w:rPr>
          <w:i/>
          <w:iCs/>
        </w:rPr>
      </w:pPr>
      <w:r w:rsidRPr="00005C8A">
        <w:rPr>
          <w:i/>
          <w:iCs/>
        </w:rPr>
        <w:t>Tabel 1 Verwachte koste</w:t>
      </w:r>
      <w:r w:rsidRPr="00005C8A" w:rsidR="009B21D4">
        <w:rPr>
          <w:i/>
          <w:iCs/>
        </w:rPr>
        <w:t xml:space="preserve">n </w:t>
      </w:r>
      <w:r w:rsidRPr="00005C8A">
        <w:rPr>
          <w:i/>
          <w:iCs/>
        </w:rPr>
        <w:t xml:space="preserve">bij doelgroep 120% </w:t>
      </w:r>
      <w:r w:rsidRPr="00005C8A" w:rsidR="009B21D4">
        <w:rPr>
          <w:i/>
          <w:iCs/>
        </w:rPr>
        <w:t xml:space="preserve">sociaal minimum (bron: </w:t>
      </w:r>
      <w:proofErr w:type="spellStart"/>
      <w:r w:rsidRPr="00005C8A" w:rsidR="009B21D4">
        <w:rPr>
          <w:i/>
          <w:iCs/>
        </w:rPr>
        <w:t>Gupta</w:t>
      </w:r>
      <w:proofErr w:type="spellEnd"/>
      <w:r w:rsidRPr="00005C8A" w:rsidR="009B21D4">
        <w:rPr>
          <w:i/>
          <w:iCs/>
        </w:rPr>
        <w:t xml:space="preserve"> </w:t>
      </w:r>
      <w:proofErr w:type="spellStart"/>
      <w:r w:rsidRPr="00005C8A" w:rsidR="009B21D4">
        <w:rPr>
          <w:i/>
          <w:iCs/>
        </w:rPr>
        <w:t>Strategists</w:t>
      </w:r>
      <w:proofErr w:type="spellEnd"/>
      <w:r w:rsidRPr="00005C8A" w:rsidR="009B21D4">
        <w:rPr>
          <w:i/>
          <w:iCs/>
        </w:rPr>
        <w:t>)</w:t>
      </w:r>
    </w:p>
    <w:tbl>
      <w:tblPr>
        <w:tblStyle w:val="Tabelraster"/>
        <w:tblW w:w="0" w:type="auto"/>
        <w:tblInd w:w="0" w:type="dxa"/>
        <w:tblLook w:val="04A0" w:firstRow="1" w:lastRow="0" w:firstColumn="1" w:lastColumn="0" w:noHBand="0" w:noVBand="1"/>
      </w:tblPr>
      <w:tblGrid>
        <w:gridCol w:w="1947"/>
        <w:gridCol w:w="1774"/>
        <w:gridCol w:w="2122"/>
        <w:gridCol w:w="1944"/>
      </w:tblGrid>
      <w:tr w:rsidRPr="00005C8A" w:rsidR="0087748D" w:rsidTr="00DA3FBC" w14:paraId="5734A089" w14:textId="77777777">
        <w:tc>
          <w:tcPr>
            <w:tcW w:w="2265" w:type="dxa"/>
          </w:tcPr>
          <w:p w:rsidRPr="00005C8A" w:rsidR="00002EC8" w:rsidP="00DA3FBC" w:rsidRDefault="00002EC8" w14:paraId="11E86141" w14:textId="77777777"/>
        </w:tc>
        <w:tc>
          <w:tcPr>
            <w:tcW w:w="2265" w:type="dxa"/>
          </w:tcPr>
          <w:p w:rsidRPr="0087748D" w:rsidR="00002EC8" w:rsidP="00081E26" w:rsidRDefault="00002EC8" w14:paraId="1AE7B07D" w14:textId="4ED91D4C">
            <w:r w:rsidRPr="0087748D">
              <w:t>Dekking A</w:t>
            </w:r>
            <w:r w:rsidRPr="0087748D" w:rsidR="0087748D">
              <w:br/>
              <w:t>(acute en no</w:t>
            </w:r>
            <w:r w:rsidRPr="00440A5E" w:rsidR="0087748D">
              <w:t>odzakelijk</w:t>
            </w:r>
            <w:r w:rsidR="0087748D">
              <w:t>e mondzorg tot € 350)</w:t>
            </w:r>
          </w:p>
        </w:tc>
        <w:tc>
          <w:tcPr>
            <w:tcW w:w="2266" w:type="dxa"/>
          </w:tcPr>
          <w:p w:rsidR="00002EC8" w:rsidP="00081E26" w:rsidRDefault="00002EC8" w14:paraId="13DB80FA" w14:textId="77777777">
            <w:r w:rsidRPr="00005C8A">
              <w:t>Dekking B</w:t>
            </w:r>
          </w:p>
          <w:p w:rsidRPr="00005C8A" w:rsidR="0087748D" w:rsidP="00081E26" w:rsidRDefault="0087748D" w14:paraId="456A75E4" w14:textId="2E8D6447">
            <w:r>
              <w:t xml:space="preserve">(optie A </w:t>
            </w:r>
            <w:r w:rsidR="00A97C31">
              <w:t>+</w:t>
            </w:r>
            <w:r>
              <w:t xml:space="preserve"> een eenmalige saneringsvergoeding)</w:t>
            </w:r>
          </w:p>
        </w:tc>
        <w:tc>
          <w:tcPr>
            <w:tcW w:w="2266" w:type="dxa"/>
          </w:tcPr>
          <w:p w:rsidR="00002EC8" w:rsidP="00081E26" w:rsidRDefault="00002EC8" w14:paraId="7216C5F0" w14:textId="77777777">
            <w:r w:rsidRPr="00005C8A">
              <w:t>Dekking C</w:t>
            </w:r>
          </w:p>
          <w:p w:rsidRPr="00005C8A" w:rsidR="0087748D" w:rsidP="00081E26" w:rsidRDefault="0087748D" w14:paraId="20397470" w14:textId="468EB95E">
            <w:r>
              <w:t>(vrijwel volledige vergoeding van mondzorgkosten)</w:t>
            </w:r>
          </w:p>
        </w:tc>
      </w:tr>
      <w:tr w:rsidRPr="00005C8A" w:rsidR="0087748D" w:rsidTr="00DA3FBC" w14:paraId="2F3E626C" w14:textId="77777777">
        <w:tc>
          <w:tcPr>
            <w:tcW w:w="2265" w:type="dxa"/>
          </w:tcPr>
          <w:p w:rsidRPr="00005C8A" w:rsidR="00002EC8" w:rsidP="00DA3FBC" w:rsidRDefault="00002EC8" w14:paraId="18FF9C49" w14:textId="492446C0">
            <w:pPr>
              <w:ind w:left="142"/>
            </w:pPr>
            <w:r w:rsidRPr="00005C8A">
              <w:t>Maatregel 1</w:t>
            </w:r>
            <w:r w:rsidRPr="00005C8A" w:rsidR="008D16A0">
              <w:t>: landelijke regeling</w:t>
            </w:r>
          </w:p>
        </w:tc>
        <w:tc>
          <w:tcPr>
            <w:tcW w:w="2265" w:type="dxa"/>
          </w:tcPr>
          <w:p w:rsidRPr="00005C8A" w:rsidR="00002EC8" w:rsidP="002D6B51" w:rsidRDefault="009B21D4" w14:paraId="211B614E" w14:textId="09CB2023">
            <w:r w:rsidRPr="00005C8A">
              <w:t xml:space="preserve">135 </w:t>
            </w:r>
            <w:proofErr w:type="spellStart"/>
            <w:r w:rsidRPr="00005C8A">
              <w:t>mln</w:t>
            </w:r>
            <w:proofErr w:type="spellEnd"/>
          </w:p>
        </w:tc>
        <w:tc>
          <w:tcPr>
            <w:tcW w:w="2266" w:type="dxa"/>
          </w:tcPr>
          <w:p w:rsidRPr="00005C8A" w:rsidR="00002EC8" w:rsidP="002D6B51" w:rsidRDefault="009B21D4" w14:paraId="3270BD6F" w14:textId="0CAFE478">
            <w:r w:rsidRPr="00005C8A">
              <w:t>1</w:t>
            </w:r>
            <w:r w:rsidRPr="00005C8A" w:rsidR="00412100">
              <w:t>61</w:t>
            </w:r>
            <w:r w:rsidRPr="00005C8A">
              <w:t xml:space="preserve"> </w:t>
            </w:r>
            <w:proofErr w:type="spellStart"/>
            <w:r w:rsidRPr="00005C8A">
              <w:t>mln</w:t>
            </w:r>
            <w:proofErr w:type="spellEnd"/>
          </w:p>
        </w:tc>
        <w:tc>
          <w:tcPr>
            <w:tcW w:w="2266" w:type="dxa"/>
          </w:tcPr>
          <w:p w:rsidRPr="00005C8A" w:rsidR="00002EC8" w:rsidP="002D6B51" w:rsidRDefault="009B21D4" w14:paraId="2A202BD5" w14:textId="735A7BA7">
            <w:r w:rsidRPr="00005C8A">
              <w:t xml:space="preserve">274 </w:t>
            </w:r>
            <w:proofErr w:type="spellStart"/>
            <w:r w:rsidRPr="00005C8A">
              <w:t>mln</w:t>
            </w:r>
            <w:proofErr w:type="spellEnd"/>
          </w:p>
        </w:tc>
      </w:tr>
      <w:tr w:rsidRPr="00005C8A" w:rsidR="0087748D" w:rsidTr="00DA3FBC" w14:paraId="7831972A" w14:textId="77777777">
        <w:tc>
          <w:tcPr>
            <w:tcW w:w="2265" w:type="dxa"/>
          </w:tcPr>
          <w:p w:rsidRPr="00005C8A" w:rsidR="00002EC8" w:rsidP="00DA3FBC" w:rsidRDefault="00002EC8" w14:paraId="4186164C" w14:textId="77777777">
            <w:pPr>
              <w:ind w:left="142"/>
            </w:pPr>
            <w:r w:rsidRPr="00005C8A">
              <w:t>Maatregel 2</w:t>
            </w:r>
            <w:r w:rsidRPr="00005C8A" w:rsidR="008D16A0">
              <w:t>:</w:t>
            </w:r>
          </w:p>
          <w:p w:rsidRPr="00005C8A" w:rsidR="008D16A0" w:rsidP="00DA3FBC" w:rsidRDefault="008D16A0" w14:paraId="07528D20" w14:textId="732EB068">
            <w:pPr>
              <w:ind w:left="142"/>
            </w:pPr>
            <w:r w:rsidRPr="00005C8A">
              <w:t>Landelijke aanvullende zorgverzekering</w:t>
            </w:r>
          </w:p>
        </w:tc>
        <w:tc>
          <w:tcPr>
            <w:tcW w:w="2265" w:type="dxa"/>
          </w:tcPr>
          <w:p w:rsidRPr="00005C8A" w:rsidR="00002EC8" w:rsidP="002D6B51" w:rsidRDefault="009B21D4" w14:paraId="04FCA778" w14:textId="6C9BD7E3">
            <w:r w:rsidRPr="00005C8A">
              <w:t xml:space="preserve">131 </w:t>
            </w:r>
            <w:proofErr w:type="spellStart"/>
            <w:r w:rsidRPr="00005C8A">
              <w:t>mln</w:t>
            </w:r>
            <w:proofErr w:type="spellEnd"/>
          </w:p>
        </w:tc>
        <w:tc>
          <w:tcPr>
            <w:tcW w:w="2266" w:type="dxa"/>
          </w:tcPr>
          <w:p w:rsidRPr="00005C8A" w:rsidR="00002EC8" w:rsidP="00DA3FBC" w:rsidRDefault="009B21D4" w14:paraId="6BB16BD3" w14:textId="2C6E4067">
            <w:r w:rsidRPr="00005C8A">
              <w:t>1</w:t>
            </w:r>
            <w:r w:rsidRPr="00005C8A" w:rsidR="00412100">
              <w:t>5</w:t>
            </w:r>
            <w:r w:rsidRPr="00005C8A">
              <w:t xml:space="preserve">2 </w:t>
            </w:r>
            <w:proofErr w:type="spellStart"/>
            <w:r w:rsidRPr="00005C8A">
              <w:t>mln</w:t>
            </w:r>
            <w:proofErr w:type="spellEnd"/>
          </w:p>
        </w:tc>
        <w:tc>
          <w:tcPr>
            <w:tcW w:w="2266" w:type="dxa"/>
          </w:tcPr>
          <w:p w:rsidRPr="00005C8A" w:rsidR="00002EC8" w:rsidP="00DA3FBC" w:rsidRDefault="009B21D4" w14:paraId="10827790" w14:textId="5182F8E1">
            <w:r w:rsidRPr="00005C8A">
              <w:t xml:space="preserve">267 </w:t>
            </w:r>
            <w:proofErr w:type="spellStart"/>
            <w:r w:rsidRPr="00005C8A">
              <w:t>mln</w:t>
            </w:r>
            <w:proofErr w:type="spellEnd"/>
          </w:p>
        </w:tc>
      </w:tr>
      <w:tr w:rsidRPr="00005C8A" w:rsidR="0087748D" w:rsidTr="00DA3FBC" w14:paraId="21CFD8B7" w14:textId="77777777">
        <w:tc>
          <w:tcPr>
            <w:tcW w:w="2265" w:type="dxa"/>
          </w:tcPr>
          <w:p w:rsidRPr="00005C8A" w:rsidR="00002EC8" w:rsidP="00DA3FBC" w:rsidRDefault="00002EC8" w14:paraId="2D49D332" w14:textId="77777777">
            <w:pPr>
              <w:ind w:left="142"/>
            </w:pPr>
            <w:r w:rsidRPr="00005C8A">
              <w:t>Maatregel 3</w:t>
            </w:r>
            <w:r w:rsidRPr="00005C8A" w:rsidR="008D16A0">
              <w:t>:</w:t>
            </w:r>
          </w:p>
          <w:p w:rsidRPr="00005C8A" w:rsidR="008D16A0" w:rsidP="00DA3FBC" w:rsidRDefault="008D16A0" w14:paraId="21812DE1" w14:textId="4077A593">
            <w:pPr>
              <w:ind w:left="142"/>
            </w:pPr>
            <w:r w:rsidRPr="00005C8A">
              <w:t>Nieuwe gemeentepolis</w:t>
            </w:r>
          </w:p>
        </w:tc>
        <w:tc>
          <w:tcPr>
            <w:tcW w:w="2265" w:type="dxa"/>
          </w:tcPr>
          <w:p w:rsidRPr="00005C8A" w:rsidR="00002EC8" w:rsidP="002D6B51" w:rsidRDefault="009B21D4" w14:paraId="73C9E1E2" w14:textId="0A735705">
            <w:r w:rsidRPr="00005C8A">
              <w:t>13</w:t>
            </w:r>
            <w:r w:rsidRPr="00005C8A" w:rsidR="00412100">
              <w:t>6</w:t>
            </w:r>
            <w:r w:rsidRPr="00005C8A">
              <w:t xml:space="preserve"> </w:t>
            </w:r>
            <w:proofErr w:type="spellStart"/>
            <w:r w:rsidRPr="00005C8A">
              <w:t>mln</w:t>
            </w:r>
            <w:proofErr w:type="spellEnd"/>
          </w:p>
        </w:tc>
        <w:tc>
          <w:tcPr>
            <w:tcW w:w="2266" w:type="dxa"/>
          </w:tcPr>
          <w:p w:rsidRPr="00005C8A" w:rsidR="00002EC8" w:rsidP="00412100" w:rsidRDefault="002D6B51" w14:paraId="22EB9071" w14:textId="3F744C81">
            <w:r w:rsidRPr="00005C8A">
              <w:t>1</w:t>
            </w:r>
            <w:r w:rsidRPr="00005C8A" w:rsidR="009B21D4">
              <w:t>6</w:t>
            </w:r>
            <w:r w:rsidRPr="00005C8A" w:rsidR="00412100">
              <w:t>3</w:t>
            </w:r>
            <w:r w:rsidRPr="00005C8A" w:rsidR="009B21D4">
              <w:t xml:space="preserve"> </w:t>
            </w:r>
            <w:proofErr w:type="spellStart"/>
            <w:r w:rsidRPr="00005C8A" w:rsidR="009B21D4">
              <w:t>mln</w:t>
            </w:r>
            <w:proofErr w:type="spellEnd"/>
          </w:p>
        </w:tc>
        <w:tc>
          <w:tcPr>
            <w:tcW w:w="2266" w:type="dxa"/>
          </w:tcPr>
          <w:p w:rsidRPr="00005C8A" w:rsidR="00002EC8" w:rsidP="002D6B51" w:rsidRDefault="009B21D4" w14:paraId="421103E9" w14:textId="40156AA1">
            <w:r w:rsidRPr="00005C8A">
              <w:t>2</w:t>
            </w:r>
            <w:r w:rsidRPr="00005C8A" w:rsidR="00412100">
              <w:t>76</w:t>
            </w:r>
            <w:r w:rsidRPr="00005C8A">
              <w:t xml:space="preserve"> </w:t>
            </w:r>
            <w:proofErr w:type="spellStart"/>
            <w:r w:rsidRPr="00005C8A">
              <w:t>mln</w:t>
            </w:r>
            <w:proofErr w:type="spellEnd"/>
            <w:r w:rsidRPr="00005C8A">
              <w:t xml:space="preserve"> </w:t>
            </w:r>
          </w:p>
        </w:tc>
      </w:tr>
    </w:tbl>
    <w:p w:rsidR="00131A13" w:rsidP="00D15C5F" w:rsidRDefault="00131A13" w14:paraId="498F3B7E" w14:textId="77777777">
      <w:pPr>
        <w:spacing w:line="276" w:lineRule="auto"/>
        <w:rPr>
          <w:i/>
          <w:iCs/>
        </w:rPr>
      </w:pPr>
    </w:p>
    <w:p w:rsidRPr="00005C8A" w:rsidR="00002EC8" w:rsidP="00D15C5F" w:rsidRDefault="00002EC8" w14:paraId="34964248" w14:textId="2EEC21AC">
      <w:pPr>
        <w:spacing w:line="276" w:lineRule="auto"/>
        <w:rPr>
          <w:i/>
          <w:iCs/>
        </w:rPr>
      </w:pPr>
      <w:r w:rsidRPr="00005C8A">
        <w:rPr>
          <w:i/>
          <w:iCs/>
        </w:rPr>
        <w:t xml:space="preserve">Tabel </w:t>
      </w:r>
      <w:r w:rsidRPr="00005C8A" w:rsidR="000C2C35">
        <w:rPr>
          <w:i/>
          <w:iCs/>
        </w:rPr>
        <w:t xml:space="preserve">2 </w:t>
      </w:r>
      <w:r w:rsidRPr="00005C8A">
        <w:rPr>
          <w:i/>
          <w:iCs/>
        </w:rPr>
        <w:t>Verwachte kosten noodfonds</w:t>
      </w:r>
      <w:r w:rsidRPr="00005C8A" w:rsidR="00513F5A">
        <w:rPr>
          <w:i/>
          <w:iCs/>
        </w:rPr>
        <w:t xml:space="preserve"> bij doelgroep 120% sociaal minimum</w:t>
      </w:r>
      <w:r w:rsidRPr="00005C8A" w:rsidR="009B21D4">
        <w:rPr>
          <w:i/>
          <w:iCs/>
        </w:rPr>
        <w:t xml:space="preserve"> (bron: </w:t>
      </w:r>
      <w:proofErr w:type="spellStart"/>
      <w:r w:rsidRPr="00005C8A" w:rsidR="009B21D4">
        <w:rPr>
          <w:i/>
          <w:iCs/>
        </w:rPr>
        <w:t>Gupta</w:t>
      </w:r>
      <w:proofErr w:type="spellEnd"/>
      <w:r w:rsidRPr="00005C8A" w:rsidR="009B21D4">
        <w:rPr>
          <w:i/>
          <w:iCs/>
        </w:rPr>
        <w:t xml:space="preserve"> </w:t>
      </w:r>
      <w:proofErr w:type="spellStart"/>
      <w:r w:rsidRPr="00005C8A" w:rsidR="009B21D4">
        <w:rPr>
          <w:i/>
          <w:iCs/>
        </w:rPr>
        <w:t>Strategists</w:t>
      </w:r>
      <w:proofErr w:type="spellEnd"/>
      <w:r w:rsidRPr="00005C8A" w:rsidR="009B21D4">
        <w:rPr>
          <w:i/>
          <w:iCs/>
        </w:rPr>
        <w:t>)</w:t>
      </w:r>
    </w:p>
    <w:tbl>
      <w:tblPr>
        <w:tblStyle w:val="Tabelraster"/>
        <w:tblW w:w="0" w:type="auto"/>
        <w:tblInd w:w="0" w:type="dxa"/>
        <w:tblLook w:val="04A0" w:firstRow="1" w:lastRow="0" w:firstColumn="1" w:lastColumn="0" w:noHBand="0" w:noVBand="1"/>
      </w:tblPr>
      <w:tblGrid>
        <w:gridCol w:w="3256"/>
        <w:gridCol w:w="2551"/>
      </w:tblGrid>
      <w:tr w:rsidRPr="00005C8A" w:rsidR="00002EC8" w:rsidTr="00DA3FBC" w14:paraId="0574746D" w14:textId="77777777">
        <w:tc>
          <w:tcPr>
            <w:tcW w:w="3256" w:type="dxa"/>
          </w:tcPr>
          <w:p w:rsidRPr="00005C8A" w:rsidR="00002EC8" w:rsidP="00DA3FBC" w:rsidRDefault="00002EC8" w14:paraId="03798B44" w14:textId="77777777">
            <w:pPr>
              <w:ind w:left="142"/>
            </w:pPr>
            <w:r w:rsidRPr="00005C8A">
              <w:t>Landelijk noodfonds</w:t>
            </w:r>
          </w:p>
        </w:tc>
        <w:tc>
          <w:tcPr>
            <w:tcW w:w="2551" w:type="dxa"/>
          </w:tcPr>
          <w:p w:rsidRPr="00005C8A" w:rsidR="00002EC8" w:rsidP="00DA3FBC" w:rsidRDefault="009B21D4" w14:paraId="68E071A3" w14:textId="069A386B">
            <w:pPr>
              <w:ind w:left="142"/>
            </w:pPr>
            <w:r w:rsidRPr="00005C8A">
              <w:t xml:space="preserve">6 </w:t>
            </w:r>
            <w:proofErr w:type="spellStart"/>
            <w:r w:rsidRPr="00005C8A">
              <w:t>mln</w:t>
            </w:r>
            <w:proofErr w:type="spellEnd"/>
          </w:p>
        </w:tc>
      </w:tr>
      <w:tr w:rsidRPr="00005C8A" w:rsidR="00002EC8" w:rsidTr="00DA3FBC" w14:paraId="536F2778" w14:textId="77777777">
        <w:tc>
          <w:tcPr>
            <w:tcW w:w="3256" w:type="dxa"/>
          </w:tcPr>
          <w:p w:rsidRPr="00005C8A" w:rsidR="00002EC8" w:rsidP="00DA3FBC" w:rsidRDefault="00002EC8" w14:paraId="5FA336E3" w14:textId="77777777">
            <w:pPr>
              <w:ind w:left="142"/>
            </w:pPr>
            <w:r w:rsidRPr="00005C8A">
              <w:t>Aansluiten bij bestaande noodfondsen en/of informele mondzorgnetwerken</w:t>
            </w:r>
          </w:p>
        </w:tc>
        <w:tc>
          <w:tcPr>
            <w:tcW w:w="2551" w:type="dxa"/>
          </w:tcPr>
          <w:p w:rsidRPr="00005C8A" w:rsidR="00002EC8" w:rsidP="00DA3FBC" w:rsidRDefault="009B21D4" w14:paraId="137D92A3" w14:textId="3E2FD126">
            <w:pPr>
              <w:ind w:left="142"/>
            </w:pPr>
            <w:r w:rsidRPr="00005C8A">
              <w:t xml:space="preserve">3 </w:t>
            </w:r>
            <w:proofErr w:type="spellStart"/>
            <w:r w:rsidRPr="00005C8A">
              <w:t>mln</w:t>
            </w:r>
            <w:proofErr w:type="spellEnd"/>
          </w:p>
        </w:tc>
      </w:tr>
    </w:tbl>
    <w:p w:rsidRPr="00005C8A" w:rsidR="00002EC8" w:rsidP="00D15C5F" w:rsidRDefault="00002EC8" w14:paraId="6A49FF88" w14:textId="77777777">
      <w:pPr>
        <w:spacing w:line="276" w:lineRule="auto"/>
      </w:pPr>
    </w:p>
    <w:p w:rsidRPr="00002EC8" w:rsidR="00002EC8" w:rsidP="00D15C5F" w:rsidRDefault="00002EC8" w14:paraId="33DCF58D" w14:textId="77777777">
      <w:pPr>
        <w:spacing w:line="276" w:lineRule="auto"/>
        <w:rPr>
          <w:highlight w:val="yellow"/>
        </w:rPr>
      </w:pPr>
      <w:r w:rsidRPr="00005C8A">
        <w:t>Deze bedragen zijn exclusief de uitvoeringskosten</w:t>
      </w:r>
      <w:r w:rsidRPr="00502E1C">
        <w:t xml:space="preserve">. </w:t>
      </w:r>
    </w:p>
    <w:bookmarkEnd w:id="4"/>
    <w:p w:rsidRPr="00D15C5F" w:rsidR="00002EC8" w:rsidP="00D15C5F" w:rsidRDefault="00002EC8" w14:paraId="230A0E36" w14:textId="77777777">
      <w:pPr>
        <w:spacing w:line="276" w:lineRule="auto"/>
        <w:rPr>
          <w:highlight w:val="yellow"/>
        </w:rPr>
      </w:pPr>
    </w:p>
    <w:p w:rsidR="00395500" w:rsidP="00395500" w:rsidRDefault="00395500" w14:paraId="2386EF5B" w14:textId="779594B6">
      <w:pPr>
        <w:pStyle w:val="Lijstalinea"/>
        <w:numPr>
          <w:ilvl w:val="0"/>
          <w:numId w:val="28"/>
        </w:numPr>
        <w:spacing w:line="276" w:lineRule="auto"/>
        <w:ind w:left="426"/>
        <w:rPr>
          <w:rFonts w:ascii="Verdana" w:hAnsi="Verdana"/>
          <w:sz w:val="18"/>
          <w:szCs w:val="18"/>
        </w:rPr>
      </w:pPr>
      <w:r>
        <w:rPr>
          <w:rFonts w:ascii="Verdana" w:hAnsi="Verdana"/>
          <w:sz w:val="18"/>
          <w:szCs w:val="18"/>
        </w:rPr>
        <w:t xml:space="preserve">Voor elke maatregel geldt dat deze nog verder uitgewerkt moet worden voordat deze ingevoerd kan worden. Daarbij dient in ieder geval rekening gehouden te worden met </w:t>
      </w:r>
      <w:r w:rsidRPr="00632DCB">
        <w:rPr>
          <w:rFonts w:ascii="Verdana" w:hAnsi="Verdana"/>
          <w:sz w:val="18"/>
          <w:szCs w:val="18"/>
        </w:rPr>
        <w:t xml:space="preserve">het </w:t>
      </w:r>
      <w:proofErr w:type="spellStart"/>
      <w:r w:rsidRPr="00632DCB">
        <w:rPr>
          <w:rFonts w:ascii="Verdana" w:hAnsi="Verdana"/>
          <w:sz w:val="18"/>
          <w:szCs w:val="18"/>
        </w:rPr>
        <w:t>doenvermogen</w:t>
      </w:r>
      <w:proofErr w:type="spellEnd"/>
      <w:r w:rsidRPr="00632DCB">
        <w:rPr>
          <w:rFonts w:ascii="Verdana" w:hAnsi="Verdana"/>
          <w:sz w:val="18"/>
          <w:szCs w:val="18"/>
        </w:rPr>
        <w:t xml:space="preserve"> </w:t>
      </w:r>
      <w:r>
        <w:rPr>
          <w:rFonts w:ascii="Verdana" w:hAnsi="Verdana"/>
          <w:sz w:val="18"/>
          <w:szCs w:val="18"/>
        </w:rPr>
        <w:t>en de gezondheidsvaardigheden</w:t>
      </w:r>
      <w:r w:rsidRPr="00632DCB">
        <w:rPr>
          <w:rFonts w:ascii="Verdana" w:hAnsi="Verdana"/>
          <w:sz w:val="18"/>
          <w:szCs w:val="18"/>
        </w:rPr>
        <w:t xml:space="preserve"> van de doelgroep, </w:t>
      </w:r>
      <w:r>
        <w:rPr>
          <w:rFonts w:ascii="Verdana" w:hAnsi="Verdana"/>
          <w:sz w:val="18"/>
          <w:szCs w:val="18"/>
        </w:rPr>
        <w:t xml:space="preserve">de voorlichting die nodig is om de doelgroep te bereiken, </w:t>
      </w:r>
      <w:r w:rsidRPr="00632DCB">
        <w:rPr>
          <w:rFonts w:ascii="Verdana" w:hAnsi="Verdana"/>
          <w:sz w:val="18"/>
          <w:szCs w:val="18"/>
        </w:rPr>
        <w:t>de uitvoerbaarheid en de</w:t>
      </w:r>
      <w:r>
        <w:rPr>
          <w:rFonts w:ascii="Verdana" w:hAnsi="Verdana"/>
          <w:sz w:val="18"/>
          <w:szCs w:val="18"/>
        </w:rPr>
        <w:t xml:space="preserve"> benodigde</w:t>
      </w:r>
      <w:r w:rsidRPr="00632DCB">
        <w:rPr>
          <w:rFonts w:ascii="Verdana" w:hAnsi="Verdana"/>
          <w:sz w:val="18"/>
          <w:szCs w:val="18"/>
        </w:rPr>
        <w:t xml:space="preserve"> implementatietijd. </w:t>
      </w:r>
    </w:p>
    <w:p w:rsidRPr="00632DCB" w:rsidR="00EB7FE2" w:rsidP="00025F93" w:rsidRDefault="00EB7FE2" w14:paraId="4F727D8A" w14:textId="77777777"/>
    <w:p w:rsidRPr="00632DCB" w:rsidR="00EB7FE2" w:rsidP="00025F93" w:rsidRDefault="00EB7FE2" w14:paraId="1A9FF1BE" w14:textId="77777777"/>
    <w:p w:rsidRPr="00632DCB" w:rsidR="00EB7FE2" w:rsidP="00025F93" w:rsidRDefault="00EB7FE2" w14:paraId="54BD0072" w14:textId="77777777"/>
    <w:p w:rsidRPr="00632DCB" w:rsidR="00FB0820" w:rsidP="00025F93" w:rsidRDefault="00FB0820" w14:paraId="4ECD8AE3" w14:textId="77777777"/>
    <w:p w:rsidRPr="00632DCB" w:rsidR="00EB7FE2" w:rsidP="00025F93" w:rsidRDefault="00EB7FE2" w14:paraId="586B7CA8" w14:textId="77777777"/>
    <w:p w:rsidRPr="00632DCB" w:rsidR="00EB7FE2" w:rsidP="00025F93" w:rsidRDefault="00EB7FE2" w14:paraId="68B01CB9" w14:textId="77777777"/>
    <w:p w:rsidRPr="00632DCB" w:rsidR="00100DD0" w:rsidP="00025F93" w:rsidRDefault="00100DD0" w14:paraId="10F71AE6" w14:textId="77777777"/>
    <w:p w:rsidRPr="00632DCB" w:rsidR="00EB7FE2" w:rsidP="00025F93" w:rsidRDefault="00EB7FE2" w14:paraId="1DAEF192" w14:textId="77777777"/>
    <w:p w:rsidR="00EB7FE2" w:rsidP="00025F93" w:rsidRDefault="00EB7FE2" w14:paraId="612F5140" w14:textId="77777777"/>
    <w:p w:rsidR="00002EC8" w:rsidP="00025F93" w:rsidRDefault="00002EC8" w14:paraId="522BA5B1" w14:textId="77777777"/>
    <w:p w:rsidR="00002EC8" w:rsidP="00025F93" w:rsidRDefault="00002EC8" w14:paraId="073E86D0" w14:textId="77777777"/>
    <w:p w:rsidR="00002EC8" w:rsidP="00025F93" w:rsidRDefault="00002EC8" w14:paraId="758660A7" w14:textId="77777777"/>
    <w:p w:rsidR="00002EC8" w:rsidP="00025F93" w:rsidRDefault="00002EC8" w14:paraId="58F731BD" w14:textId="77777777"/>
    <w:p w:rsidR="00002EC8" w:rsidP="00025F93" w:rsidRDefault="00002EC8" w14:paraId="3F7BC9B6" w14:textId="77777777"/>
    <w:p w:rsidR="00002EC8" w:rsidP="00025F93" w:rsidRDefault="00002EC8" w14:paraId="57FF8A60" w14:textId="77777777"/>
    <w:p w:rsidR="00002EC8" w:rsidP="00025F93" w:rsidRDefault="00002EC8" w14:paraId="70B40E31" w14:textId="77777777"/>
    <w:p w:rsidR="00002EC8" w:rsidP="00025F93" w:rsidRDefault="00002EC8" w14:paraId="6F85B77E" w14:textId="77777777"/>
    <w:p w:rsidRPr="00632DCB" w:rsidR="00EB7FE2" w:rsidP="00025F93" w:rsidRDefault="00EB7FE2" w14:paraId="633D9A1A" w14:textId="77777777"/>
    <w:p w:rsidRPr="00632DCB" w:rsidR="001B22FA" w:rsidP="000F6211" w:rsidRDefault="001B22FA" w14:paraId="45A74700" w14:textId="5867C9CA">
      <w:pPr>
        <w:pStyle w:val="Kop1"/>
      </w:pPr>
      <w:bookmarkStart w:name="_Toc209100745" w:id="5"/>
      <w:bookmarkStart w:name="_Toc209100746" w:id="6"/>
      <w:bookmarkStart w:name="_Toc209100747" w:id="7"/>
      <w:bookmarkStart w:name="_Toc209100748" w:id="8"/>
      <w:bookmarkStart w:name="_Toc209100749" w:id="9"/>
      <w:bookmarkStart w:name="_Toc209100750" w:id="10"/>
      <w:bookmarkStart w:name="_Toc207106218" w:id="11"/>
      <w:bookmarkStart w:name="_Toc207106219" w:id="12"/>
      <w:bookmarkStart w:name="_Toc207106220" w:id="13"/>
      <w:bookmarkStart w:name="_Toc207106221" w:id="14"/>
      <w:bookmarkStart w:name="_Toc207106222" w:id="15"/>
      <w:bookmarkStart w:name="_Toc207106223" w:id="16"/>
      <w:bookmarkStart w:name="_Toc207106224" w:id="17"/>
      <w:bookmarkStart w:name="_Toc207106225" w:id="18"/>
      <w:bookmarkStart w:name="_Toc207106226" w:id="19"/>
      <w:bookmarkStart w:name="_Toc207106227" w:id="20"/>
      <w:bookmarkStart w:name="_Toc207106228" w:id="21"/>
      <w:bookmarkStart w:name="_Toc207106229" w:id="22"/>
      <w:bookmarkStart w:name="_Toc207106230" w:id="23"/>
      <w:bookmarkStart w:name="_Toc207106231" w:id="24"/>
      <w:bookmarkStart w:name="_Toc207106232" w:id="25"/>
      <w:bookmarkStart w:name="_Toc207106233" w:id="26"/>
      <w:bookmarkStart w:name="_Toc207106234" w:id="27"/>
      <w:bookmarkStart w:name="_Toc207106235" w:id="28"/>
      <w:bookmarkStart w:name="_Toc207106236" w:id="29"/>
      <w:bookmarkStart w:name="_Toc202280983" w:id="30"/>
      <w:bookmarkStart w:name="_Toc202788162" w:id="31"/>
      <w:bookmarkStart w:name="_Toc214547142" w:id="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632DCB">
        <w:lastRenderedPageBreak/>
        <w:t>Inleiding</w:t>
      </w:r>
      <w:bookmarkStart w:name="_Toc194396226" w:id="33"/>
      <w:bookmarkEnd w:id="30"/>
      <w:bookmarkEnd w:id="31"/>
      <w:bookmarkEnd w:id="32"/>
    </w:p>
    <w:p w:rsidRPr="00632DCB" w:rsidR="00390ACF" w:rsidP="00605996" w:rsidRDefault="00390ACF" w14:paraId="0632A146" w14:textId="6AC2AFBA">
      <w:pPr>
        <w:pStyle w:val="Kop2"/>
        <w:rPr>
          <w:rFonts w:eastAsia="MS Mincho" w:cs="Times New Roman"/>
        </w:rPr>
      </w:pPr>
      <w:bookmarkStart w:name="_Toc214547143" w:id="34"/>
      <w:bookmarkStart w:name="_Toc202788163" w:id="35"/>
      <w:r w:rsidRPr="00632DCB">
        <w:t>Probleemanalyse</w:t>
      </w:r>
      <w:bookmarkEnd w:id="34"/>
    </w:p>
    <w:p w:rsidRPr="00632DCB" w:rsidR="00390ACF" w:rsidP="00390ACF" w:rsidRDefault="00390ACF" w14:paraId="24295570" w14:textId="2E9468AC">
      <w:pPr>
        <w:spacing w:line="276" w:lineRule="auto"/>
        <w:rPr>
          <w:rFonts w:eastAsia="MS Mincho" w:cs="Cambria"/>
        </w:rPr>
      </w:pPr>
      <w:r w:rsidRPr="00632DCB">
        <w:rPr>
          <w:rFonts w:eastAsia="MS Mincho" w:cs="Times New Roman"/>
        </w:rPr>
        <w:t>Het merendeel van de Nederlanders (8</w:t>
      </w:r>
      <w:r w:rsidR="006C7C0E">
        <w:rPr>
          <w:rFonts w:eastAsia="MS Mincho" w:cs="Times New Roman"/>
        </w:rPr>
        <w:t>2</w:t>
      </w:r>
      <w:r w:rsidRPr="00632DCB">
        <w:rPr>
          <w:rFonts w:eastAsia="MS Mincho" w:cs="Times New Roman"/>
        </w:rPr>
        <w:t>%</w:t>
      </w:r>
      <w:r w:rsidRPr="00D15C5F">
        <w:rPr>
          <w:vertAlign w:val="superscript"/>
        </w:rPr>
        <w:footnoteReference w:id="3"/>
      </w:r>
      <w:r w:rsidRPr="00632DCB">
        <w:rPr>
          <w:rFonts w:eastAsia="MS Mincho" w:cs="Times New Roman"/>
        </w:rPr>
        <w:t>) bezoekt jaarlijks een tandarts en de mondgezondheid is over het algemeen goed</w:t>
      </w:r>
      <w:r w:rsidR="00BF7DC1">
        <w:rPr>
          <w:rFonts w:eastAsia="MS Mincho" w:cs="Times New Roman"/>
        </w:rPr>
        <w:t>.</w:t>
      </w:r>
      <w:r w:rsidRPr="00D15C5F">
        <w:rPr>
          <w:vertAlign w:val="superscript"/>
        </w:rPr>
        <w:footnoteReference w:id="4"/>
      </w:r>
      <w:r w:rsidRPr="00632DCB">
        <w:rPr>
          <w:rFonts w:eastAsia="MS Mincho" w:cs="Times New Roman"/>
        </w:rPr>
        <w:t xml:space="preserve"> Maar er is ook een groep van</w:t>
      </w:r>
      <w:r w:rsidRPr="00632DCB">
        <w:t xml:space="preserve"> 1,4 miljoen volwassenen die niet minstens eens in de twee jaar naar de tandarts gaat.</w:t>
      </w:r>
      <w:r w:rsidRPr="00632DCB">
        <w:rPr>
          <w:rStyle w:val="Voetnootmarkering"/>
        </w:rPr>
        <w:footnoteReference w:id="5"/>
      </w:r>
      <w:r w:rsidRPr="00632DCB">
        <w:t xml:space="preserve"> Hiervan gaat circa 640.000 niet om financiële redenen. Naast financiële redenen zijn er ook andere redenen voor het niet naar de </w:t>
      </w:r>
      <w:r w:rsidR="00141B20">
        <w:t xml:space="preserve">mondzorgverlener </w:t>
      </w:r>
      <w:r w:rsidRPr="00632DCB">
        <w:t xml:space="preserve">gaan, zoals angst voor tandheelkundige behandelingen, gebrek aan besef van urgentie, ontevredenheid over </w:t>
      </w:r>
      <w:r w:rsidRPr="00632DCB" w:rsidR="00605996">
        <w:t xml:space="preserve">de </w:t>
      </w:r>
      <w:r w:rsidRPr="00632DCB">
        <w:t>zorg, schaamte, moeite met navigeren in de zorg en een andere kijk op het belang van preventieve zorg.</w:t>
      </w:r>
    </w:p>
    <w:p w:rsidRPr="00632DCB" w:rsidR="00390ACF" w:rsidP="00390ACF" w:rsidRDefault="00390ACF" w14:paraId="60BF6C72" w14:textId="77777777"/>
    <w:p w:rsidRPr="00440A5E" w:rsidR="00390ACF" w:rsidP="00390ACF" w:rsidRDefault="00390ACF" w14:paraId="0D76E344" w14:textId="3DC56A6F">
      <w:r w:rsidRPr="00632DCB">
        <w:t>Het langdurig uitstellen van mondzorg kan leiden tot klachten zoals pijn en ontstekingen. Dit heeft niet alleen negatieve gevolgen voor de mondgezondheid, maar ook voor de algemene gezondheid en ziekterisico’s, de participatie op de arbeidsmarkt, productiviteitsverlies (vanwege ziekteverzuim)</w:t>
      </w:r>
      <w:r w:rsidRPr="00632DCB" w:rsidR="00DA583D">
        <w:rPr>
          <w:rStyle w:val="Voetnootmarkering"/>
        </w:rPr>
        <w:footnoteReference w:id="6"/>
      </w:r>
      <w:r w:rsidRPr="00632DCB" w:rsidR="00DA583D">
        <w:t xml:space="preserve">, </w:t>
      </w:r>
      <w:r w:rsidRPr="00632DCB">
        <w:t xml:space="preserve">het welzijn en welbevinden en de kwaliteit van leven. </w:t>
      </w:r>
    </w:p>
    <w:p w:rsidRPr="00632DCB" w:rsidR="00390ACF" w:rsidP="00390ACF" w:rsidRDefault="00390ACF" w14:paraId="24F95DCE" w14:textId="77777777">
      <w:pPr>
        <w:pStyle w:val="Kop2"/>
      </w:pPr>
      <w:bookmarkStart w:name="_Toc214547144" w:id="36"/>
      <w:r w:rsidRPr="00632DCB">
        <w:t>Om wie gaat het?</w:t>
      </w:r>
      <w:bookmarkEnd w:id="36"/>
    </w:p>
    <w:p w:rsidRPr="00632DCB" w:rsidR="00DA583D" w:rsidP="00390ACF" w:rsidRDefault="00390ACF" w14:paraId="7DC9E091" w14:textId="5990F086">
      <w:r w:rsidRPr="00632DCB">
        <w:t>Het probleem van het mijden van mondzorg uit financiële redenen speelt vooral bij mensen uit lagere sociaaleconomische groepen.</w:t>
      </w:r>
      <w:r w:rsidRPr="00632DCB" w:rsidR="001C7FBE">
        <w:rPr>
          <w:rStyle w:val="Voetnootmarkering"/>
        </w:rPr>
        <w:footnoteReference w:id="7"/>
      </w:r>
      <w:r w:rsidRPr="00632DCB">
        <w:t xml:space="preserve"> </w:t>
      </w:r>
      <w:r w:rsidRPr="00632DCB" w:rsidR="001C7FBE">
        <w:t>Mensen die mondzorg mijden zijn over het algemeen mensen met een kwetsbare sociaal maatschappelijke positie. Zij hebben een laag opleidingsniveau of een lage startkwalificatie (maximaal mbo1), een laag of geen inkomen, geen vast werk of zijn werkeloos, een chronische ziekte, hoge zorgkosten (relatief t.o.v. inkomen), of problematische schulden.</w:t>
      </w:r>
      <w:r w:rsidRPr="00632DCB" w:rsidR="00965D2E">
        <w:t xml:space="preserve"> Relatief veel zorgmijding komt </w:t>
      </w:r>
      <w:r w:rsidR="00D15C5F">
        <w:t xml:space="preserve">voor </w:t>
      </w:r>
      <w:r w:rsidRPr="00632DCB" w:rsidR="00965D2E">
        <w:t>onder dakloze</w:t>
      </w:r>
      <w:r w:rsidR="00C95850">
        <w:t xml:space="preserve"> mensen</w:t>
      </w:r>
      <w:r w:rsidRPr="00632DCB" w:rsidR="00965D2E">
        <w:t xml:space="preserve"> en mensen met een niet-westerse migratieachtergrond. Daarnaast is de aanwezigheid van chronische aandoeningen of problemen met mentale gezondheid een risicofactor. Voor mensen die laaggeletterd zijn en mensen met beperkte verstandelijke vermogens, maar ook voor mensen met beperkte zelfredzaamheid of beperkte gezondheidsvaardigheden om andere redenen, is het </w:t>
      </w:r>
      <w:proofErr w:type="spellStart"/>
      <w:r w:rsidRPr="00632DCB" w:rsidR="00965D2E">
        <w:t>doenvermogen</w:t>
      </w:r>
      <w:proofErr w:type="spellEnd"/>
      <w:r w:rsidRPr="00632DCB" w:rsidR="00965D2E">
        <w:t xml:space="preserve"> (plan maken, in actie komen, vol houden en met tegenslag kunnen omgaan) beperkt.</w:t>
      </w:r>
      <w:r w:rsidRPr="00632DCB" w:rsidR="001C7FBE">
        <w:rPr>
          <w:vertAlign w:val="superscript"/>
        </w:rPr>
        <w:footnoteReference w:id="8"/>
      </w:r>
    </w:p>
    <w:p w:rsidRPr="00632DCB" w:rsidR="00DA583D" w:rsidP="00DA583D" w:rsidRDefault="001A3EEF" w14:paraId="6EB15BE8" w14:textId="5D853CFC">
      <w:pPr>
        <w:pStyle w:val="Kop2"/>
      </w:pPr>
      <w:bookmarkStart w:name="_Toc214547145" w:id="37"/>
      <w:bookmarkStart w:name="_Hlk210750527" w:id="38"/>
      <w:r w:rsidRPr="00632DCB">
        <w:t xml:space="preserve">Achtergrond </w:t>
      </w:r>
      <w:r w:rsidRPr="00632DCB" w:rsidR="00DA583D">
        <w:t>van het rapport</w:t>
      </w:r>
      <w:bookmarkEnd w:id="37"/>
    </w:p>
    <w:bookmarkEnd w:id="35"/>
    <w:p w:rsidRPr="00632DCB" w:rsidR="001B22FA" w:rsidP="00605996" w:rsidRDefault="001B22FA" w14:paraId="597BC541" w14:textId="1CBF5B7E">
      <w:pPr>
        <w:spacing w:line="276" w:lineRule="auto"/>
      </w:pPr>
      <w:r w:rsidRPr="00632DCB">
        <w:t xml:space="preserve">VWS </w:t>
      </w:r>
      <w:r w:rsidRPr="00632DCB" w:rsidR="00DA583D">
        <w:t xml:space="preserve">heeft </w:t>
      </w:r>
      <w:r w:rsidRPr="00632DCB">
        <w:t xml:space="preserve">samen met </w:t>
      </w:r>
      <w:r w:rsidR="00DF6F8B">
        <w:t xml:space="preserve">onder andere </w:t>
      </w:r>
      <w:r w:rsidRPr="00632DCB">
        <w:t>SZW, ZN,</w:t>
      </w:r>
      <w:r w:rsidR="00131A13">
        <w:t xml:space="preserve"> </w:t>
      </w:r>
      <w:proofErr w:type="spellStart"/>
      <w:r w:rsidRPr="00632DCB">
        <w:t>Divosa</w:t>
      </w:r>
      <w:proofErr w:type="spellEnd"/>
      <w:r w:rsidRPr="00632DCB">
        <w:t xml:space="preserve">, </w:t>
      </w:r>
      <w:proofErr w:type="spellStart"/>
      <w:r w:rsidRPr="00632DCB">
        <w:t>Patiëntenfederatie</w:t>
      </w:r>
      <w:proofErr w:type="spellEnd"/>
      <w:r w:rsidRPr="00632DCB">
        <w:t xml:space="preserve"> Nederland en de Mondzorgalliantie</w:t>
      </w:r>
      <w:r w:rsidRPr="00632DCB">
        <w:rPr>
          <w:rStyle w:val="Voetnootmarkering"/>
        </w:rPr>
        <w:footnoteReference w:id="9"/>
      </w:r>
      <w:r w:rsidRPr="00632DCB">
        <w:t xml:space="preserve"> gewerkt aan mogelijke opties om de financiële toegankelijkheid van de mondzorg voor minima te verbeteren. </w:t>
      </w:r>
      <w:r w:rsidRPr="00632DCB" w:rsidR="00903CB3">
        <w:t>Hiervan is in mei 202</w:t>
      </w:r>
      <w:r w:rsidRPr="00632DCB" w:rsidR="001A3EEF">
        <w:t>4</w:t>
      </w:r>
      <w:r w:rsidRPr="00632DCB" w:rsidR="00903CB3">
        <w:t xml:space="preserve"> verslag uitgebracht in het Eindverslag Project ‘Verminderen van ongewenste mijding </w:t>
      </w:r>
      <w:r w:rsidRPr="00632DCB" w:rsidR="00903CB3">
        <w:lastRenderedPageBreak/>
        <w:t>van mondzorg vanwege financiële redenen’</w:t>
      </w:r>
      <w:r w:rsidRPr="00632DCB" w:rsidR="00903CB3">
        <w:rPr>
          <w:vertAlign w:val="superscript"/>
        </w:rPr>
        <w:footnoteReference w:id="10"/>
      </w:r>
      <w:r w:rsidR="00131A13">
        <w:t>.</w:t>
      </w:r>
      <w:r w:rsidRPr="00632DCB" w:rsidR="00903CB3">
        <w:t xml:space="preserve"> In dit </w:t>
      </w:r>
      <w:r w:rsidRPr="00632DCB" w:rsidR="00FD69F5">
        <w:t>E</w:t>
      </w:r>
      <w:r w:rsidRPr="00632DCB" w:rsidR="00903CB3">
        <w:t xml:space="preserve">indverslag zijn de volgende </w:t>
      </w:r>
      <w:r w:rsidRPr="00632DCB" w:rsidR="00E24477">
        <w:t>aanbeveling</w:t>
      </w:r>
      <w:r w:rsidR="009E7F7F">
        <w:t>en</w:t>
      </w:r>
      <w:r w:rsidRPr="00632DCB" w:rsidR="00E24477">
        <w:t xml:space="preserve"> </w:t>
      </w:r>
      <w:r w:rsidRPr="00632DCB" w:rsidR="00903CB3">
        <w:t>ter overweging meegegeven:</w:t>
      </w:r>
    </w:p>
    <w:p w:rsidRPr="00632DCB" w:rsidR="001B22FA" w:rsidP="00ED6D04" w:rsidRDefault="001B22FA" w14:paraId="7C4B34BD" w14:textId="77209123">
      <w:pPr>
        <w:pStyle w:val="Lijstalinea"/>
        <w:numPr>
          <w:ilvl w:val="0"/>
          <w:numId w:val="8"/>
        </w:numPr>
        <w:spacing w:after="0" w:line="276" w:lineRule="auto"/>
        <w:rPr>
          <w:rFonts w:ascii="Verdana" w:hAnsi="Verdana" w:eastAsia="Times New Roman" w:cs="Calibri"/>
          <w:sz w:val="18"/>
          <w:szCs w:val="18"/>
        </w:rPr>
      </w:pPr>
      <w:r w:rsidRPr="00632DCB">
        <w:rPr>
          <w:rFonts w:ascii="Verdana" w:hAnsi="Verdana" w:eastAsia="Times New Roman" w:cs="Calibri"/>
          <w:sz w:val="18"/>
          <w:szCs w:val="18"/>
        </w:rPr>
        <w:t>Verbeter de financiële toegankelijkheid van de mondzorg</w:t>
      </w:r>
    </w:p>
    <w:p w:rsidRPr="00632DCB" w:rsidR="001B22FA" w:rsidP="00ED6D04" w:rsidRDefault="001B22FA" w14:paraId="6C33269A" w14:textId="77777777">
      <w:pPr>
        <w:pStyle w:val="Lijstalinea"/>
        <w:numPr>
          <w:ilvl w:val="0"/>
          <w:numId w:val="8"/>
        </w:numPr>
        <w:spacing w:after="0" w:line="276" w:lineRule="auto"/>
        <w:rPr>
          <w:rFonts w:ascii="Verdana" w:hAnsi="Verdana" w:eastAsia="Times New Roman" w:cs="Calibri"/>
          <w:sz w:val="18"/>
          <w:szCs w:val="18"/>
        </w:rPr>
      </w:pPr>
      <w:r w:rsidRPr="00632DCB">
        <w:rPr>
          <w:rFonts w:ascii="Verdana" w:hAnsi="Verdana" w:eastAsia="Times New Roman" w:cs="Calibri"/>
          <w:sz w:val="18"/>
          <w:szCs w:val="18"/>
        </w:rPr>
        <w:t>Versterk het sociaal vangnet</w:t>
      </w:r>
    </w:p>
    <w:p w:rsidRPr="00632DCB" w:rsidR="001B22FA" w:rsidP="00ED6D04" w:rsidRDefault="001B22FA" w14:paraId="015CCA2D" w14:textId="376CEA92">
      <w:pPr>
        <w:pStyle w:val="Lijstalinea"/>
        <w:numPr>
          <w:ilvl w:val="0"/>
          <w:numId w:val="8"/>
        </w:numPr>
        <w:spacing w:after="0" w:line="276" w:lineRule="auto"/>
        <w:rPr>
          <w:rFonts w:ascii="Verdana" w:hAnsi="Verdana" w:eastAsia="Times New Roman" w:cs="Calibri"/>
          <w:sz w:val="18"/>
          <w:szCs w:val="18"/>
        </w:rPr>
      </w:pPr>
      <w:r w:rsidRPr="00632DCB">
        <w:rPr>
          <w:rFonts w:ascii="Verdana" w:hAnsi="Verdana" w:eastAsia="Times New Roman" w:cs="Calibri"/>
          <w:sz w:val="18"/>
          <w:szCs w:val="18"/>
        </w:rPr>
        <w:t xml:space="preserve">Geef mondzorg hernieuwde aandacht in de publieke gezondheid </w:t>
      </w:r>
    </w:p>
    <w:p w:rsidRPr="00632DCB" w:rsidR="00825761" w:rsidP="00224359" w:rsidRDefault="00825761" w14:paraId="052AB3EC" w14:textId="77777777">
      <w:pPr>
        <w:spacing w:line="276" w:lineRule="auto"/>
        <w:rPr>
          <w:rFonts w:eastAsia="Times New Roman" w:cs="Calibri"/>
        </w:rPr>
      </w:pPr>
    </w:p>
    <w:p w:rsidR="0046167E" w:rsidP="00224359" w:rsidRDefault="00825761" w14:paraId="033423C6" w14:textId="0FEE6C04">
      <w:pPr>
        <w:spacing w:line="276" w:lineRule="auto"/>
        <w:rPr>
          <w:rFonts w:eastAsia="Times New Roman" w:cs="Calibri"/>
        </w:rPr>
      </w:pPr>
      <w:r w:rsidRPr="00632DCB">
        <w:rPr>
          <w:rFonts w:eastAsia="Times New Roman" w:cs="Calibri"/>
        </w:rPr>
        <w:t xml:space="preserve">Aan de eerste </w:t>
      </w:r>
      <w:r w:rsidRPr="00632DCB" w:rsidR="00E24477">
        <w:rPr>
          <w:rFonts w:eastAsia="Times New Roman" w:cs="Calibri"/>
        </w:rPr>
        <w:t>aanbeveling</w:t>
      </w:r>
      <w:r w:rsidRPr="00632DCB">
        <w:rPr>
          <w:rFonts w:eastAsia="Times New Roman" w:cs="Calibri"/>
        </w:rPr>
        <w:t xml:space="preserve"> wordt op twee manieren invulling gegeven. VWS heeft in 2024 aan het Zorginstituut</w:t>
      </w:r>
      <w:r w:rsidR="002C2E5B">
        <w:rPr>
          <w:rFonts w:eastAsia="Times New Roman" w:cs="Calibri"/>
        </w:rPr>
        <w:t xml:space="preserve"> Nederland</w:t>
      </w:r>
      <w:r w:rsidRPr="00632DCB">
        <w:rPr>
          <w:rFonts w:eastAsia="Times New Roman" w:cs="Calibri"/>
        </w:rPr>
        <w:t xml:space="preserve"> (ZIN) gevraagd om te adviseren over een passende aanspraak voor mondzorg in het basispakket. Dit adviestraject is opgebouwd uit </w:t>
      </w:r>
      <w:r w:rsidR="00F83770">
        <w:rPr>
          <w:rFonts w:eastAsia="Times New Roman" w:cs="Calibri"/>
        </w:rPr>
        <w:t xml:space="preserve">verschillende fases. De kostenanalyse is reeds opgeleverd </w:t>
      </w:r>
      <w:r w:rsidR="00834A94">
        <w:rPr>
          <w:rFonts w:eastAsia="Times New Roman" w:cs="Calibri"/>
        </w:rPr>
        <w:t xml:space="preserve">en </w:t>
      </w:r>
      <w:r w:rsidRPr="00834A94" w:rsidR="00834A94">
        <w:rPr>
          <w:rFonts w:eastAsia="Times New Roman" w:cs="Calibri"/>
        </w:rPr>
        <w:t>het uiteindelijke pakketadvies wordt uiterlijk in 2028 verwacht.</w:t>
      </w:r>
      <w:r w:rsidR="00834A94">
        <w:rPr>
          <w:rFonts w:eastAsia="Times New Roman" w:cs="Calibri"/>
        </w:rPr>
        <w:t xml:space="preserve"> </w:t>
      </w:r>
      <w:r w:rsidR="002C2E5B">
        <w:rPr>
          <w:rFonts w:eastAsia="Times New Roman" w:cs="Calibri"/>
        </w:rPr>
        <w:t>Opname van mondzorg in het basispakket</w:t>
      </w:r>
      <w:r w:rsidR="00F83770">
        <w:rPr>
          <w:rFonts w:eastAsia="Times New Roman" w:cs="Calibri"/>
        </w:rPr>
        <w:t xml:space="preserve"> is een generieke maatregel, die voor alle verzeker</w:t>
      </w:r>
      <w:r w:rsidR="00505190">
        <w:rPr>
          <w:rFonts w:eastAsia="Times New Roman" w:cs="Calibri"/>
        </w:rPr>
        <w:t>d</w:t>
      </w:r>
      <w:r w:rsidR="00F83770">
        <w:rPr>
          <w:rFonts w:eastAsia="Times New Roman" w:cs="Calibri"/>
        </w:rPr>
        <w:t>en geldt. Dit</w:t>
      </w:r>
      <w:r w:rsidR="002C2E5B">
        <w:rPr>
          <w:rFonts w:eastAsia="Times New Roman" w:cs="Calibri"/>
        </w:rPr>
        <w:t xml:space="preserve"> zal een grote impact hebben</w:t>
      </w:r>
      <w:r w:rsidR="00D3015E">
        <w:rPr>
          <w:rFonts w:eastAsia="Times New Roman" w:cs="Calibri"/>
        </w:rPr>
        <w:t xml:space="preserve"> op de mondzorgkosten en daarmee de zorgpremie </w:t>
      </w:r>
      <w:r w:rsidRPr="00632DCB" w:rsidR="002C2E5B">
        <w:rPr>
          <w:rFonts w:eastAsia="Times New Roman" w:cs="Calibri"/>
        </w:rPr>
        <w:t xml:space="preserve">(ruim €3 miljard per jaar bij </w:t>
      </w:r>
      <w:r w:rsidR="002C2E5B">
        <w:rPr>
          <w:rFonts w:eastAsia="Times New Roman" w:cs="Calibri"/>
        </w:rPr>
        <w:t xml:space="preserve">de </w:t>
      </w:r>
      <w:r w:rsidRPr="00632DCB" w:rsidR="002C2E5B">
        <w:rPr>
          <w:rFonts w:eastAsia="Times New Roman" w:cs="Calibri"/>
        </w:rPr>
        <w:t xml:space="preserve">meest uitgebreide </w:t>
      </w:r>
      <w:r w:rsidR="002C2E5B">
        <w:rPr>
          <w:rFonts w:eastAsia="Times New Roman" w:cs="Calibri"/>
        </w:rPr>
        <w:t>dekking</w:t>
      </w:r>
      <w:r w:rsidRPr="00632DCB" w:rsidR="002C2E5B">
        <w:rPr>
          <w:rFonts w:eastAsia="Times New Roman" w:cs="Calibri"/>
        </w:rPr>
        <w:t>)</w:t>
      </w:r>
      <w:r w:rsidR="00D3015E">
        <w:rPr>
          <w:rFonts w:eastAsia="Times New Roman" w:cs="Calibri"/>
        </w:rPr>
        <w:t xml:space="preserve">. De uitbreiding van het basispakket zal </w:t>
      </w:r>
      <w:r w:rsidR="00F83770">
        <w:rPr>
          <w:rFonts w:eastAsia="Times New Roman" w:cs="Calibri"/>
        </w:rPr>
        <w:t>deels</w:t>
      </w:r>
      <w:r w:rsidR="00D3015E">
        <w:rPr>
          <w:rFonts w:eastAsia="Times New Roman" w:cs="Calibri"/>
        </w:rPr>
        <w:t xml:space="preserve"> een gewenst effect hebben (vermindering van ongewenste mijding van de mondzorg), maar kan ook leiden tot meer behandeling bij de mensen </w:t>
      </w:r>
      <w:r w:rsidR="002C2E5B">
        <w:rPr>
          <w:rFonts w:eastAsia="Times New Roman" w:cs="Calibri"/>
        </w:rPr>
        <w:t xml:space="preserve">die nu al naar </w:t>
      </w:r>
      <w:r w:rsidR="00505190">
        <w:rPr>
          <w:rFonts w:eastAsia="Times New Roman" w:cs="Calibri"/>
        </w:rPr>
        <w:t xml:space="preserve">een </w:t>
      </w:r>
      <w:r w:rsidR="00D3015E">
        <w:rPr>
          <w:rFonts w:eastAsia="Times New Roman" w:cs="Calibri"/>
        </w:rPr>
        <w:t>mondzorg</w:t>
      </w:r>
      <w:r w:rsidR="00505190">
        <w:rPr>
          <w:rFonts w:eastAsia="Times New Roman" w:cs="Calibri"/>
        </w:rPr>
        <w:t>verlener</w:t>
      </w:r>
      <w:r w:rsidR="002C2E5B">
        <w:rPr>
          <w:rFonts w:eastAsia="Times New Roman" w:cs="Calibri"/>
        </w:rPr>
        <w:t xml:space="preserve"> gaan</w:t>
      </w:r>
      <w:r w:rsidR="00D3015E">
        <w:rPr>
          <w:rFonts w:eastAsia="Times New Roman" w:cs="Calibri"/>
        </w:rPr>
        <w:t xml:space="preserve">. </w:t>
      </w:r>
      <w:r w:rsidR="00505190">
        <w:rPr>
          <w:rFonts w:eastAsia="Times New Roman" w:cs="Calibri"/>
        </w:rPr>
        <w:t xml:space="preserve">De zorgvraag zal dus toenemen vanuit de beoogde doelgroep, maar ook vanuit extra zorgvraag vanuit patiënten die al een mondzorgverlener bezoeken. </w:t>
      </w:r>
      <w:r w:rsidR="00D3015E">
        <w:rPr>
          <w:rFonts w:eastAsia="Times New Roman" w:cs="Calibri"/>
        </w:rPr>
        <w:t>Hierdoor</w:t>
      </w:r>
      <w:r w:rsidR="009F3009">
        <w:rPr>
          <w:rFonts w:eastAsia="Times New Roman" w:cs="Calibri"/>
        </w:rPr>
        <w:t xml:space="preserve"> </w:t>
      </w:r>
      <w:r w:rsidR="00D3015E">
        <w:rPr>
          <w:rFonts w:eastAsia="Times New Roman" w:cs="Calibri"/>
        </w:rPr>
        <w:t>zal</w:t>
      </w:r>
      <w:r w:rsidR="002C2E5B">
        <w:rPr>
          <w:rFonts w:eastAsia="Times New Roman" w:cs="Calibri"/>
        </w:rPr>
        <w:t xml:space="preserve"> de beschikbare capaciteit nog verder onder druk kom</w:t>
      </w:r>
      <w:r w:rsidR="00D3015E">
        <w:rPr>
          <w:rFonts w:eastAsia="Times New Roman" w:cs="Calibri"/>
        </w:rPr>
        <w:t>en</w:t>
      </w:r>
      <w:r w:rsidR="002C2E5B">
        <w:rPr>
          <w:rFonts w:eastAsia="Times New Roman" w:cs="Calibri"/>
        </w:rPr>
        <w:t xml:space="preserve"> te staan. </w:t>
      </w:r>
    </w:p>
    <w:p w:rsidR="00F60366" w:rsidP="00224359" w:rsidRDefault="00F60366" w14:paraId="04E57C82" w14:textId="77777777">
      <w:pPr>
        <w:spacing w:line="276" w:lineRule="auto"/>
        <w:rPr>
          <w:rFonts w:eastAsia="Times New Roman" w:cs="Calibri"/>
        </w:rPr>
      </w:pPr>
    </w:p>
    <w:p w:rsidR="00FD69F5" w:rsidP="00224359" w:rsidRDefault="00825761" w14:paraId="742D87E7" w14:textId="18A00317">
      <w:pPr>
        <w:spacing w:line="276" w:lineRule="auto"/>
        <w:rPr>
          <w:rFonts w:eastAsia="Times New Roman" w:cs="Calibri"/>
        </w:rPr>
      </w:pPr>
      <w:r w:rsidRPr="00632DCB">
        <w:rPr>
          <w:rFonts w:eastAsia="Times New Roman" w:cs="Calibri"/>
        </w:rPr>
        <w:t xml:space="preserve">Om deze redenen wordt ook onderzocht wat gedaan kan worden aan gerichte financiële maatregelen </w:t>
      </w:r>
      <w:r w:rsidR="00D95AFB">
        <w:rPr>
          <w:rFonts w:eastAsia="Times New Roman" w:cs="Calibri"/>
        </w:rPr>
        <w:t xml:space="preserve">met als doel de mondzorg toegankelijk te maken voor </w:t>
      </w:r>
      <w:r w:rsidRPr="00632DCB">
        <w:rPr>
          <w:rFonts w:eastAsia="Times New Roman" w:cs="Calibri"/>
        </w:rPr>
        <w:t>minima. Daarover gaat dit rapport.</w:t>
      </w:r>
      <w:r w:rsidR="002C6D9E">
        <w:rPr>
          <w:rFonts w:eastAsia="Times New Roman" w:cs="Calibri"/>
        </w:rPr>
        <w:t xml:space="preserve"> We zijn ons ervan bewust dat </w:t>
      </w:r>
      <w:r w:rsidRPr="002C6D9E" w:rsidR="002C6D9E">
        <w:rPr>
          <w:rFonts w:eastAsia="Times New Roman" w:cs="Calibri"/>
        </w:rPr>
        <w:t xml:space="preserve">met financiële regelingen het probleem </w:t>
      </w:r>
      <w:r w:rsidR="002C6D9E">
        <w:rPr>
          <w:rFonts w:eastAsia="Times New Roman" w:cs="Calibri"/>
        </w:rPr>
        <w:t xml:space="preserve">van mondzorgmijding </w:t>
      </w:r>
      <w:r w:rsidRPr="002C6D9E" w:rsidR="002C6D9E">
        <w:rPr>
          <w:rFonts w:eastAsia="Times New Roman" w:cs="Calibri"/>
        </w:rPr>
        <w:t xml:space="preserve">niet volledig opgelost kan worden en dat gerichte </w:t>
      </w:r>
      <w:r w:rsidR="002C6D9E">
        <w:rPr>
          <w:rFonts w:eastAsia="Times New Roman" w:cs="Calibri"/>
        </w:rPr>
        <w:t xml:space="preserve">financiële </w:t>
      </w:r>
      <w:r w:rsidRPr="002C6D9E" w:rsidR="002C6D9E">
        <w:rPr>
          <w:rFonts w:eastAsia="Times New Roman" w:cs="Calibri"/>
        </w:rPr>
        <w:t xml:space="preserve">maatregelen uiteindelijk in samenhang met </w:t>
      </w:r>
      <w:r w:rsidR="002C6D9E">
        <w:rPr>
          <w:rFonts w:eastAsia="Times New Roman" w:cs="Calibri"/>
        </w:rPr>
        <w:t xml:space="preserve">de </w:t>
      </w:r>
      <w:r w:rsidRPr="002C6D9E" w:rsidR="002C6D9E">
        <w:rPr>
          <w:rFonts w:eastAsia="Times New Roman" w:cs="Calibri"/>
        </w:rPr>
        <w:t xml:space="preserve">andere aanbevelingen </w:t>
      </w:r>
      <w:r w:rsidR="002C6D9E">
        <w:rPr>
          <w:rFonts w:eastAsia="Times New Roman" w:cs="Calibri"/>
        </w:rPr>
        <w:t>uit het eindverslag bezien moeten worden.</w:t>
      </w:r>
      <w:bookmarkEnd w:id="38"/>
    </w:p>
    <w:p w:rsidRPr="00632DCB" w:rsidR="00F60366" w:rsidP="00224359" w:rsidRDefault="00F60366" w14:paraId="09F72DD7" w14:textId="77777777">
      <w:pPr>
        <w:spacing w:line="276" w:lineRule="auto"/>
        <w:rPr>
          <w:rFonts w:eastAsia="Times New Roman" w:cs="Calibri"/>
        </w:rPr>
      </w:pPr>
    </w:p>
    <w:p w:rsidRPr="00F60366" w:rsidR="00FD69F5" w:rsidP="00F60366" w:rsidRDefault="00FD69F5" w14:paraId="19905643" w14:textId="152606A9">
      <w:pPr>
        <w:spacing w:line="276" w:lineRule="auto"/>
        <w:rPr>
          <w:rFonts w:eastAsia="Times New Roman" w:cs="Calibri"/>
        </w:rPr>
      </w:pPr>
      <w:bookmarkStart w:name="_Hlk209034627" w:id="39"/>
      <w:r w:rsidRPr="00632DCB">
        <w:t>Ook voor dit rapport heeft VWS</w:t>
      </w:r>
      <w:r w:rsidRPr="00632DCB" w:rsidR="00C514F2">
        <w:t xml:space="preserve">, als penvoerder van het rapport, </w:t>
      </w:r>
      <w:r w:rsidRPr="00632DCB">
        <w:t xml:space="preserve">samengewerkt met ZN, </w:t>
      </w:r>
      <w:proofErr w:type="spellStart"/>
      <w:r w:rsidRPr="00632DCB">
        <w:t>Divosa</w:t>
      </w:r>
      <w:proofErr w:type="spellEnd"/>
      <w:r w:rsidRPr="00632DCB">
        <w:t xml:space="preserve">, </w:t>
      </w:r>
      <w:r w:rsidRPr="00632DCB" w:rsidR="0015575A">
        <w:t xml:space="preserve">de Mondzorgalliantie en </w:t>
      </w:r>
      <w:proofErr w:type="spellStart"/>
      <w:r w:rsidRPr="00463C7B">
        <w:t>Patiëntenfederatie</w:t>
      </w:r>
      <w:proofErr w:type="spellEnd"/>
      <w:r w:rsidRPr="00463C7B">
        <w:t xml:space="preserve"> Nederland. </w:t>
      </w:r>
      <w:r w:rsidRPr="00463C7B" w:rsidR="002C6D9E">
        <w:t>Medewerkers van d</w:t>
      </w:r>
      <w:r w:rsidRPr="00463C7B">
        <w:t xml:space="preserve">eze partijen hebben vanuit hun </w:t>
      </w:r>
      <w:r w:rsidRPr="00463C7B" w:rsidR="00D477ED">
        <w:t xml:space="preserve">persoonlijke </w:t>
      </w:r>
      <w:r w:rsidRPr="00463C7B">
        <w:t>expertise meegedacht</w:t>
      </w:r>
      <w:r w:rsidRPr="00632DCB" w:rsidR="0015575A">
        <w:t xml:space="preserve"> over de technische </w:t>
      </w:r>
      <w:r w:rsidRPr="00632DCB" w:rsidR="00C514F2">
        <w:t>uitwerking</w:t>
      </w:r>
      <w:r w:rsidRPr="00632DCB" w:rsidR="0015575A">
        <w:t xml:space="preserve"> van de maatregelen</w:t>
      </w:r>
      <w:r w:rsidRPr="00632DCB" w:rsidR="00CB3CCE">
        <w:t>.</w:t>
      </w:r>
      <w:r w:rsidRPr="00632DCB" w:rsidR="0015575A">
        <w:t xml:space="preserve"> </w:t>
      </w:r>
      <w:r w:rsidRPr="00632DCB" w:rsidR="00CB3CCE">
        <w:t>D</w:t>
      </w:r>
      <w:r w:rsidRPr="00632DCB">
        <w:t xml:space="preserve">at een maatregel in </w:t>
      </w:r>
      <w:r w:rsidRPr="00632DCB" w:rsidR="0015575A">
        <w:t>dit</w:t>
      </w:r>
      <w:r w:rsidRPr="00632DCB">
        <w:t xml:space="preserve"> rapport is opgenomen betekent dus niet dat </w:t>
      </w:r>
      <w:r w:rsidRPr="00632DCB" w:rsidR="0015575A">
        <w:t>deze</w:t>
      </w:r>
      <w:r w:rsidRPr="00632DCB">
        <w:t xml:space="preserve"> partijen daar voorstander van zijn. </w:t>
      </w:r>
      <w:r w:rsidR="00D05744">
        <w:t xml:space="preserve">Ook met enkele andere partijen en het Ministerie van SZW is contact geweest over dit rapport. </w:t>
      </w:r>
      <w:bookmarkEnd w:id="39"/>
    </w:p>
    <w:p w:rsidR="00F60366" w:rsidP="0046167E" w:rsidRDefault="00F60366" w14:paraId="3033EA32" w14:textId="77777777"/>
    <w:p w:rsidR="00834A94" w:rsidP="0046167E" w:rsidRDefault="00FD69F5" w14:paraId="5ECE406F" w14:textId="4C49399C">
      <w:r w:rsidRPr="00632DCB">
        <w:t xml:space="preserve">Het rapport geeft de </w:t>
      </w:r>
      <w:r w:rsidRPr="00632DCB" w:rsidR="0015575A">
        <w:t>maatregelen</w:t>
      </w:r>
      <w:r w:rsidRPr="00632DCB">
        <w:t xml:space="preserve"> weer zonder een </w:t>
      </w:r>
      <w:r w:rsidR="00D95AFB">
        <w:t>advies</w:t>
      </w:r>
      <w:r w:rsidRPr="00632DCB">
        <w:t xml:space="preserve"> uit te spreken. </w:t>
      </w:r>
      <w:r w:rsidR="006C34FB">
        <w:t xml:space="preserve">Voor elke maatregel geldt dat een keuze moet worden gemaakt aangaande de doelgroep die </w:t>
      </w:r>
      <w:r w:rsidRPr="00005C8A" w:rsidR="006C34FB">
        <w:t>gebruik kan maken van de maatregel en de dekking. Daarom zijn de overwegingen en de keuzes die daarin gemaakt kunnen worden nader beschreven in aparte paragrafen. O</w:t>
      </w:r>
      <w:r w:rsidRPr="00005C8A" w:rsidR="00CB3CCE">
        <w:t xml:space="preserve">nderzoeksbureau </w:t>
      </w:r>
      <w:proofErr w:type="spellStart"/>
      <w:r w:rsidRPr="00005C8A" w:rsidR="00CB3CCE">
        <w:t>Gupta</w:t>
      </w:r>
      <w:proofErr w:type="spellEnd"/>
      <w:r w:rsidRPr="00005C8A" w:rsidR="002C6D9E">
        <w:t xml:space="preserve"> </w:t>
      </w:r>
      <w:proofErr w:type="spellStart"/>
      <w:r w:rsidRPr="00005C8A" w:rsidR="002C6D9E">
        <w:t>Strategists</w:t>
      </w:r>
      <w:proofErr w:type="spellEnd"/>
      <w:r w:rsidRPr="00005C8A" w:rsidR="00CB3CCE">
        <w:t xml:space="preserve"> </w:t>
      </w:r>
      <w:r w:rsidRPr="00005C8A" w:rsidR="006C34FB">
        <w:t xml:space="preserve">heeft </w:t>
      </w:r>
      <w:r w:rsidRPr="00005C8A" w:rsidR="00360D92">
        <w:t xml:space="preserve">in opdracht van VWS </w:t>
      </w:r>
      <w:r w:rsidRPr="00005C8A" w:rsidR="006C34FB">
        <w:t>voor verschillende scenario’s een</w:t>
      </w:r>
      <w:r w:rsidRPr="00005C8A" w:rsidR="00CB3CCE">
        <w:t xml:space="preserve"> </w:t>
      </w:r>
      <w:r w:rsidRPr="00005C8A">
        <w:t xml:space="preserve">inschatting </w:t>
      </w:r>
      <w:r w:rsidRPr="00005C8A" w:rsidR="006C34FB">
        <w:t xml:space="preserve">gemaakt </w:t>
      </w:r>
      <w:r w:rsidRPr="00005C8A">
        <w:t xml:space="preserve">van de </w:t>
      </w:r>
      <w:r w:rsidRPr="00005C8A" w:rsidR="006C34FB">
        <w:t xml:space="preserve">verwachte </w:t>
      </w:r>
      <w:r w:rsidRPr="00005C8A">
        <w:t>macrokosten.</w:t>
      </w:r>
      <w:r w:rsidRPr="00005C8A" w:rsidR="00834A94">
        <w:t xml:space="preserve"> Enkele belangrijke bevindingen staan in dit rapport vermeldt, voor de volledige analyse wordt naar het rapport</w:t>
      </w:r>
      <w:r w:rsidRPr="00005C8A" w:rsidR="00834A94">
        <w:rPr>
          <w:rStyle w:val="Voetnootmarkering"/>
        </w:rPr>
        <w:footnoteReference w:id="11"/>
      </w:r>
      <w:r w:rsidRPr="00005C8A" w:rsidR="00834A94">
        <w:t xml:space="preserve"> van </w:t>
      </w:r>
      <w:proofErr w:type="spellStart"/>
      <w:r w:rsidRPr="00005C8A" w:rsidR="00834A94">
        <w:t>Gupta</w:t>
      </w:r>
      <w:proofErr w:type="spellEnd"/>
      <w:r w:rsidRPr="00005C8A" w:rsidR="00834A94">
        <w:t xml:space="preserve"> verwezen.</w:t>
      </w:r>
      <w:r w:rsidRPr="00632DCB">
        <w:t xml:space="preserve"> </w:t>
      </w:r>
    </w:p>
    <w:p w:rsidR="00834A94" w:rsidP="0046167E" w:rsidRDefault="00834A94" w14:paraId="4E103E83" w14:textId="77777777"/>
    <w:p w:rsidRPr="0046167E" w:rsidR="00FD69F5" w:rsidP="0046167E" w:rsidRDefault="006C34FB" w14:paraId="64C80E07" w14:textId="298AD4BE">
      <w:r>
        <w:t xml:space="preserve">Dit rapport </w:t>
      </w:r>
      <w:r w:rsidRPr="00632DCB" w:rsidR="00FD69F5">
        <w:t xml:space="preserve">betreft </w:t>
      </w:r>
      <w:r>
        <w:t xml:space="preserve">dus </w:t>
      </w:r>
      <w:r w:rsidRPr="00632DCB" w:rsidR="00FD69F5">
        <w:t>een ‘keuzemenu’ op basis waarvan</w:t>
      </w:r>
      <w:r w:rsidR="0088122B">
        <w:t>,</w:t>
      </w:r>
      <w:r w:rsidRPr="00632DCB" w:rsidR="00FD69F5">
        <w:t xml:space="preserve"> gegeven voorkeuren en beschikbaar budget</w:t>
      </w:r>
      <w:r w:rsidR="0088122B">
        <w:t xml:space="preserve">, </w:t>
      </w:r>
      <w:r w:rsidRPr="00632DCB" w:rsidR="00FD69F5">
        <w:t xml:space="preserve">een </w:t>
      </w:r>
      <w:r w:rsidR="00D15C5F">
        <w:t xml:space="preserve">politieke </w:t>
      </w:r>
      <w:r w:rsidRPr="00632DCB" w:rsidR="00FD69F5">
        <w:t xml:space="preserve">keuze gemaakt kan worden. </w:t>
      </w:r>
      <w:r w:rsidR="00D95AFB">
        <w:t>Wel vragen de maatregelen vervolgens nog verdere uitwerking en voorbereiding voordat ze kunnen worden ingevoerd.</w:t>
      </w:r>
    </w:p>
    <w:p w:rsidRPr="00632DCB" w:rsidR="001A3EEF" w:rsidP="001A3EEF" w:rsidRDefault="001A3EEF" w14:paraId="0EB8E41B" w14:textId="43A64A82">
      <w:pPr>
        <w:pStyle w:val="Kop2"/>
      </w:pPr>
      <w:bookmarkStart w:name="_Toc207106241" w:id="40"/>
      <w:bookmarkStart w:name="_Toc207106242" w:id="41"/>
      <w:bookmarkStart w:name="_Toc207106243" w:id="42"/>
      <w:bookmarkStart w:name="_Toc207106244" w:id="43"/>
      <w:bookmarkStart w:name="_Toc207106245" w:id="44"/>
      <w:bookmarkStart w:name="_Toc207106246" w:id="45"/>
      <w:bookmarkStart w:name="_Toc207106247" w:id="46"/>
      <w:bookmarkStart w:name="_Toc214547146" w:id="47"/>
      <w:bookmarkEnd w:id="40"/>
      <w:bookmarkEnd w:id="41"/>
      <w:bookmarkEnd w:id="42"/>
      <w:bookmarkEnd w:id="43"/>
      <w:bookmarkEnd w:id="44"/>
      <w:bookmarkEnd w:id="45"/>
      <w:bookmarkEnd w:id="46"/>
      <w:r w:rsidRPr="00632DCB">
        <w:lastRenderedPageBreak/>
        <w:t>Opzet van het rapport</w:t>
      </w:r>
      <w:bookmarkEnd w:id="47"/>
    </w:p>
    <w:p w:rsidRPr="00632DCB" w:rsidR="0015575A" w:rsidP="00FD69F5" w:rsidRDefault="00FD69F5" w14:paraId="2A126091" w14:textId="573B70BC">
      <w:pPr>
        <w:spacing w:line="276" w:lineRule="auto"/>
        <w:rPr>
          <w:rFonts w:eastAsia="Times New Roman" w:cs="Calibri"/>
        </w:rPr>
      </w:pPr>
      <w:r w:rsidRPr="00632DCB">
        <w:rPr>
          <w:rFonts w:eastAsia="Times New Roman" w:cs="Calibri"/>
        </w:rPr>
        <w:t xml:space="preserve">In de ‘Handreiking acute en noodzakelijke mondzorg voor financieel kwetsbare mensen’ (2023) van de Mondzorgalliantie en het </w:t>
      </w:r>
      <w:r w:rsidRPr="00632DCB" w:rsidR="0015575A">
        <w:rPr>
          <w:rFonts w:eastAsia="Times New Roman" w:cs="Calibri"/>
        </w:rPr>
        <w:t xml:space="preserve">eerdergenoemde </w:t>
      </w:r>
      <w:r w:rsidRPr="00632DCB">
        <w:rPr>
          <w:rFonts w:eastAsia="Times New Roman" w:cs="Calibri"/>
        </w:rPr>
        <w:t>Eindverslag worden een universele aanvullend</w:t>
      </w:r>
      <w:r w:rsidRPr="00632DCB" w:rsidR="009B35CD">
        <w:rPr>
          <w:rFonts w:eastAsia="Times New Roman" w:cs="Calibri"/>
        </w:rPr>
        <w:t>e</w:t>
      </w:r>
      <w:r w:rsidRPr="00632DCB">
        <w:rPr>
          <w:rFonts w:eastAsia="Times New Roman" w:cs="Calibri"/>
        </w:rPr>
        <w:t xml:space="preserve"> verzekering voor financieel kwetsbaren, een landelijke financiële regeling </w:t>
      </w:r>
      <w:r w:rsidR="00005E6A">
        <w:rPr>
          <w:rFonts w:eastAsia="Times New Roman" w:cs="Calibri"/>
        </w:rPr>
        <w:t>geïnspireerd op</w:t>
      </w:r>
      <w:r w:rsidRPr="00632DCB" w:rsidR="00005E6A">
        <w:rPr>
          <w:rFonts w:eastAsia="Times New Roman" w:cs="Calibri"/>
        </w:rPr>
        <w:t xml:space="preserve"> </w:t>
      </w:r>
      <w:r w:rsidRPr="00632DCB">
        <w:rPr>
          <w:rFonts w:eastAsia="Times New Roman" w:cs="Calibri"/>
        </w:rPr>
        <w:t xml:space="preserve">de Regeling Medische Zorg Asielzoekers en de gemeentepolis genoemd als mogelijke maatregelen om de financiële toegankelijkheid van de mondzorg voor minima te verbeteren. Deze </w:t>
      </w:r>
      <w:r w:rsidR="002C6D9E">
        <w:rPr>
          <w:rFonts w:eastAsia="Times New Roman" w:cs="Calibri"/>
        </w:rPr>
        <w:t xml:space="preserve">maatregelen </w:t>
      </w:r>
      <w:r w:rsidRPr="00632DCB">
        <w:rPr>
          <w:rFonts w:eastAsia="Times New Roman" w:cs="Calibri"/>
        </w:rPr>
        <w:t>worden in dit rapport nader uitgewerkt.</w:t>
      </w:r>
      <w:r w:rsidR="00891246">
        <w:rPr>
          <w:rFonts w:eastAsia="Times New Roman" w:cs="Calibri"/>
        </w:rPr>
        <w:t xml:space="preserve"> Daarnaast is een noodfonds uitgewerkt waarmee</w:t>
      </w:r>
      <w:r w:rsidR="00B42954">
        <w:rPr>
          <w:rFonts w:eastAsia="Times New Roman" w:cs="Calibri"/>
        </w:rPr>
        <w:t xml:space="preserve"> </w:t>
      </w:r>
      <w:r w:rsidR="00891246">
        <w:rPr>
          <w:rFonts w:eastAsia="Times New Roman" w:cs="Calibri"/>
        </w:rPr>
        <w:t>met minder financiële</w:t>
      </w:r>
      <w:r w:rsidR="00D477ED">
        <w:rPr>
          <w:rFonts w:eastAsia="Times New Roman" w:cs="Calibri"/>
        </w:rPr>
        <w:t xml:space="preserve"> middelen</w:t>
      </w:r>
      <w:r w:rsidR="00891246">
        <w:rPr>
          <w:rFonts w:eastAsia="Times New Roman" w:cs="Calibri"/>
        </w:rPr>
        <w:t xml:space="preserve"> een kleinere doelgroep ondersteund kan worden.</w:t>
      </w:r>
      <w:r w:rsidR="00B42954">
        <w:rPr>
          <w:rFonts w:eastAsia="Times New Roman" w:cs="Calibri"/>
        </w:rPr>
        <w:t xml:space="preserve"> </w:t>
      </w:r>
      <w:r w:rsidR="00A4201E">
        <w:rPr>
          <w:rFonts w:eastAsia="Times New Roman" w:cs="Calibri"/>
        </w:rPr>
        <w:t>Dit kan een scenario zijn i</w:t>
      </w:r>
      <w:r w:rsidR="00B42954">
        <w:rPr>
          <w:rFonts w:eastAsia="Times New Roman" w:cs="Calibri"/>
        </w:rPr>
        <w:t>ndien politiek</w:t>
      </w:r>
      <w:r w:rsidR="006C34FB">
        <w:rPr>
          <w:rFonts w:eastAsia="Times New Roman" w:cs="Calibri"/>
        </w:rPr>
        <w:t xml:space="preserve"> besloten wordt</w:t>
      </w:r>
      <w:r w:rsidR="00B42954">
        <w:rPr>
          <w:rFonts w:eastAsia="Times New Roman" w:cs="Calibri"/>
        </w:rPr>
        <w:t xml:space="preserve"> beperktere financiële middelen </w:t>
      </w:r>
      <w:r w:rsidR="006C34FB">
        <w:rPr>
          <w:rFonts w:eastAsia="Times New Roman" w:cs="Calibri"/>
        </w:rPr>
        <w:t>ter beschikking te stellen</w:t>
      </w:r>
      <w:r w:rsidR="00B42954">
        <w:rPr>
          <w:rFonts w:eastAsia="Times New Roman" w:cs="Calibri"/>
        </w:rPr>
        <w:t xml:space="preserve">. </w:t>
      </w:r>
    </w:p>
    <w:p w:rsidRPr="00632DCB" w:rsidR="001B22FA" w:rsidP="001B22FA" w:rsidRDefault="001B22FA" w14:paraId="1DEB3646" w14:textId="77777777">
      <w:pPr>
        <w:pStyle w:val="Default"/>
        <w:spacing w:line="276" w:lineRule="auto"/>
        <w:rPr>
          <w:sz w:val="18"/>
          <w:szCs w:val="18"/>
        </w:rPr>
      </w:pPr>
    </w:p>
    <w:p w:rsidRPr="00632DCB" w:rsidR="0060433D" w:rsidP="0060433D" w:rsidRDefault="001B22FA" w14:paraId="1C4D848D" w14:textId="35A9F73A">
      <w:pPr>
        <w:pStyle w:val="Default"/>
        <w:spacing w:line="276" w:lineRule="auto"/>
        <w:rPr>
          <w:sz w:val="18"/>
          <w:szCs w:val="18"/>
        </w:rPr>
      </w:pPr>
      <w:r w:rsidRPr="00632DCB">
        <w:rPr>
          <w:sz w:val="18"/>
          <w:szCs w:val="18"/>
        </w:rPr>
        <w:t xml:space="preserve">De </w:t>
      </w:r>
      <w:r w:rsidRPr="00632DCB" w:rsidR="00307B16">
        <w:rPr>
          <w:sz w:val="18"/>
          <w:szCs w:val="18"/>
        </w:rPr>
        <w:t>maatregelen zijn</w:t>
      </w:r>
      <w:r w:rsidRPr="00632DCB">
        <w:rPr>
          <w:sz w:val="18"/>
          <w:szCs w:val="18"/>
        </w:rPr>
        <w:t xml:space="preserve"> uitgewerkt op de volgende </w:t>
      </w:r>
      <w:r w:rsidRPr="00632DCB" w:rsidR="00F571B0">
        <w:rPr>
          <w:sz w:val="18"/>
          <w:szCs w:val="18"/>
        </w:rPr>
        <w:t>kenmerken</w:t>
      </w:r>
      <w:r w:rsidRPr="00632DCB">
        <w:rPr>
          <w:sz w:val="18"/>
          <w:szCs w:val="18"/>
        </w:rPr>
        <w:t xml:space="preserve">: </w:t>
      </w:r>
      <w:bookmarkStart w:name="_Hlk192236151" w:id="48"/>
    </w:p>
    <w:p w:rsidRPr="00632DCB" w:rsidR="00BC1DD1" w:rsidP="00ED6D04" w:rsidRDefault="00BC1DD1" w14:paraId="75CFD017" w14:textId="6210EC09">
      <w:pPr>
        <w:pStyle w:val="Default"/>
        <w:numPr>
          <w:ilvl w:val="0"/>
          <w:numId w:val="5"/>
        </w:numPr>
        <w:spacing w:line="276" w:lineRule="auto"/>
        <w:rPr>
          <w:rFonts w:cstheme="minorHAnsi"/>
          <w:sz w:val="18"/>
          <w:szCs w:val="18"/>
        </w:rPr>
      </w:pPr>
      <w:r w:rsidRPr="00632DCB">
        <w:rPr>
          <w:rFonts w:cstheme="minorHAnsi"/>
          <w:sz w:val="18"/>
          <w:szCs w:val="18"/>
        </w:rPr>
        <w:t xml:space="preserve">Doelgroep en bereik: </w:t>
      </w:r>
      <w:r w:rsidRPr="00632DCB" w:rsidR="00307B16">
        <w:rPr>
          <w:rFonts w:cstheme="minorHAnsi"/>
          <w:sz w:val="18"/>
          <w:szCs w:val="18"/>
        </w:rPr>
        <w:t>W</w:t>
      </w:r>
      <w:r w:rsidRPr="00632DCB">
        <w:rPr>
          <w:rFonts w:cstheme="minorHAnsi"/>
          <w:sz w:val="18"/>
          <w:szCs w:val="18"/>
        </w:rPr>
        <w:t>elke groep mensen wordt bedien</w:t>
      </w:r>
      <w:r w:rsidR="0076123C">
        <w:rPr>
          <w:rFonts w:cstheme="minorHAnsi"/>
          <w:sz w:val="18"/>
          <w:szCs w:val="18"/>
        </w:rPr>
        <w:t>d</w:t>
      </w:r>
      <w:r w:rsidRPr="00632DCB">
        <w:rPr>
          <w:rFonts w:cstheme="minorHAnsi"/>
          <w:sz w:val="18"/>
          <w:szCs w:val="18"/>
        </w:rPr>
        <w:t xml:space="preserve"> met de maatregel en hoe kan die doelgroep worden geïdentificeerd? </w:t>
      </w:r>
    </w:p>
    <w:p w:rsidRPr="00632DCB" w:rsidR="00BC1DD1" w:rsidP="00ED6D04" w:rsidRDefault="00BC1DD1" w14:paraId="406F0122" w14:textId="0AC259F2">
      <w:pPr>
        <w:pStyle w:val="Lijstalinea"/>
        <w:numPr>
          <w:ilvl w:val="0"/>
          <w:numId w:val="5"/>
        </w:numPr>
        <w:spacing w:after="0" w:line="276" w:lineRule="auto"/>
        <w:contextualSpacing w:val="0"/>
        <w:rPr>
          <w:rFonts w:ascii="Verdana" w:hAnsi="Verdana" w:cstheme="minorHAnsi"/>
          <w:sz w:val="18"/>
          <w:szCs w:val="18"/>
        </w:rPr>
      </w:pPr>
      <w:r w:rsidRPr="00632DCB">
        <w:rPr>
          <w:rFonts w:ascii="Verdana" w:hAnsi="Verdana" w:cstheme="minorHAnsi"/>
          <w:sz w:val="18"/>
          <w:szCs w:val="18"/>
        </w:rPr>
        <w:t xml:space="preserve">Toegang: </w:t>
      </w:r>
      <w:r w:rsidRPr="00632DCB" w:rsidR="00307B16">
        <w:rPr>
          <w:rFonts w:ascii="Verdana" w:hAnsi="Verdana" w:cstheme="minorHAnsi"/>
          <w:sz w:val="18"/>
          <w:szCs w:val="18"/>
        </w:rPr>
        <w:t>W</w:t>
      </w:r>
      <w:r w:rsidRPr="00632DCB">
        <w:rPr>
          <w:rFonts w:ascii="Verdana" w:hAnsi="Verdana" w:cstheme="minorHAnsi"/>
          <w:sz w:val="18"/>
          <w:szCs w:val="18"/>
        </w:rPr>
        <w:t>aar wordt de toegang georganiseerd en hoe komen mensen in aanmerking voor de maatregel?</w:t>
      </w:r>
    </w:p>
    <w:bookmarkEnd w:id="48"/>
    <w:p w:rsidRPr="00632DCB" w:rsidR="00BC1DD1" w:rsidP="00ED6D04" w:rsidRDefault="00BC1DD1" w14:paraId="7D8B5C13" w14:textId="794657EE">
      <w:pPr>
        <w:pStyle w:val="Lijstalinea"/>
        <w:numPr>
          <w:ilvl w:val="0"/>
          <w:numId w:val="5"/>
        </w:numPr>
        <w:spacing w:after="0" w:line="276" w:lineRule="auto"/>
        <w:contextualSpacing w:val="0"/>
        <w:rPr>
          <w:rFonts w:ascii="Verdana" w:hAnsi="Verdana" w:cstheme="minorHAnsi"/>
          <w:sz w:val="18"/>
          <w:szCs w:val="18"/>
        </w:rPr>
      </w:pPr>
      <w:r w:rsidRPr="00632DCB">
        <w:rPr>
          <w:rFonts w:ascii="Verdana" w:hAnsi="Verdana" w:cstheme="minorHAnsi"/>
          <w:sz w:val="18"/>
          <w:szCs w:val="18"/>
        </w:rPr>
        <w:t xml:space="preserve">Juridisch: </w:t>
      </w:r>
      <w:r w:rsidRPr="00632DCB" w:rsidR="009B35CD">
        <w:rPr>
          <w:rFonts w:ascii="Verdana" w:hAnsi="Verdana" w:cstheme="minorHAnsi"/>
          <w:sz w:val="18"/>
          <w:szCs w:val="18"/>
        </w:rPr>
        <w:t xml:space="preserve">Met welke </w:t>
      </w:r>
      <w:r w:rsidRPr="00632DCB">
        <w:rPr>
          <w:rFonts w:ascii="Verdana" w:hAnsi="Verdana" w:cstheme="minorHAnsi"/>
          <w:sz w:val="18"/>
          <w:szCs w:val="18"/>
        </w:rPr>
        <w:t xml:space="preserve">wet- en regelgeving </w:t>
      </w:r>
      <w:r w:rsidRPr="00632DCB" w:rsidR="009B35CD">
        <w:rPr>
          <w:rFonts w:ascii="Verdana" w:hAnsi="Verdana" w:cstheme="minorHAnsi"/>
          <w:sz w:val="18"/>
          <w:szCs w:val="18"/>
        </w:rPr>
        <w:t xml:space="preserve">moet rekening gehouden worden </w:t>
      </w:r>
      <w:r w:rsidRPr="00632DCB">
        <w:rPr>
          <w:rFonts w:ascii="Verdana" w:hAnsi="Verdana" w:cstheme="minorHAnsi"/>
          <w:sz w:val="18"/>
          <w:szCs w:val="18"/>
        </w:rPr>
        <w:t>om de maatregel te realiseren?</w:t>
      </w:r>
    </w:p>
    <w:p w:rsidRPr="00632DCB" w:rsidR="00BC1DD1" w:rsidP="00ED6D04" w:rsidRDefault="00BC1DD1" w14:paraId="6658463A" w14:textId="59BB289C">
      <w:pPr>
        <w:pStyle w:val="Lijstalinea"/>
        <w:numPr>
          <w:ilvl w:val="0"/>
          <w:numId w:val="5"/>
        </w:numPr>
        <w:spacing w:after="0" w:line="276" w:lineRule="auto"/>
        <w:contextualSpacing w:val="0"/>
        <w:rPr>
          <w:rFonts w:ascii="Verdana" w:hAnsi="Verdana" w:cstheme="minorHAnsi"/>
          <w:sz w:val="18"/>
          <w:szCs w:val="18"/>
        </w:rPr>
      </w:pPr>
      <w:bookmarkStart w:name="_Hlk192236156" w:id="49"/>
      <w:r w:rsidRPr="00632DCB">
        <w:rPr>
          <w:rFonts w:ascii="Verdana" w:hAnsi="Verdana" w:cstheme="minorHAnsi"/>
          <w:sz w:val="18"/>
          <w:szCs w:val="18"/>
        </w:rPr>
        <w:t xml:space="preserve">Dekking: </w:t>
      </w:r>
      <w:r w:rsidRPr="00632DCB" w:rsidR="00307B16">
        <w:rPr>
          <w:rFonts w:ascii="Verdana" w:hAnsi="Verdana" w:cstheme="minorHAnsi"/>
          <w:sz w:val="18"/>
          <w:szCs w:val="18"/>
        </w:rPr>
        <w:t>W</w:t>
      </w:r>
      <w:r w:rsidRPr="00632DCB">
        <w:rPr>
          <w:rFonts w:ascii="Verdana" w:hAnsi="Verdana" w:cstheme="minorHAnsi"/>
          <w:sz w:val="18"/>
          <w:szCs w:val="18"/>
        </w:rPr>
        <w:t xml:space="preserve">elke zorg </w:t>
      </w:r>
      <w:r w:rsidRPr="00632DCB" w:rsidR="006F6207">
        <w:rPr>
          <w:rFonts w:ascii="Verdana" w:hAnsi="Verdana" w:cstheme="minorHAnsi"/>
          <w:sz w:val="18"/>
          <w:szCs w:val="18"/>
        </w:rPr>
        <w:t>wordt vergoed?</w:t>
      </w:r>
      <w:r w:rsidRPr="00632DCB">
        <w:rPr>
          <w:rFonts w:ascii="Verdana" w:hAnsi="Verdana" w:cstheme="minorHAnsi"/>
          <w:sz w:val="18"/>
          <w:szCs w:val="18"/>
        </w:rPr>
        <w:t xml:space="preserve"> </w:t>
      </w:r>
    </w:p>
    <w:bookmarkEnd w:id="49"/>
    <w:p w:rsidRPr="00632DCB" w:rsidR="00BC1DD1" w:rsidP="00ED6D04" w:rsidRDefault="00BC1DD1" w14:paraId="638B0CB0" w14:textId="69537A82">
      <w:pPr>
        <w:pStyle w:val="Lijstalinea"/>
        <w:numPr>
          <w:ilvl w:val="0"/>
          <w:numId w:val="5"/>
        </w:numPr>
        <w:spacing w:after="0" w:line="276" w:lineRule="auto"/>
        <w:contextualSpacing w:val="0"/>
        <w:rPr>
          <w:rFonts w:ascii="Verdana" w:hAnsi="Verdana" w:cstheme="minorHAnsi"/>
          <w:sz w:val="18"/>
          <w:szCs w:val="18"/>
        </w:rPr>
      </w:pPr>
      <w:r w:rsidRPr="00632DCB">
        <w:rPr>
          <w:rFonts w:ascii="Verdana" w:hAnsi="Verdana" w:cstheme="minorHAnsi"/>
          <w:sz w:val="18"/>
          <w:szCs w:val="18"/>
        </w:rPr>
        <w:t xml:space="preserve">Macrokosten: </w:t>
      </w:r>
      <w:r w:rsidRPr="00632DCB" w:rsidR="006F6207">
        <w:rPr>
          <w:rFonts w:ascii="Verdana" w:hAnsi="Verdana" w:cstheme="minorHAnsi"/>
          <w:sz w:val="18"/>
          <w:szCs w:val="18"/>
        </w:rPr>
        <w:t>W</w:t>
      </w:r>
      <w:r w:rsidRPr="00632DCB" w:rsidR="00625090">
        <w:rPr>
          <w:rFonts w:ascii="Verdana" w:hAnsi="Verdana" w:cstheme="minorHAnsi"/>
          <w:sz w:val="18"/>
          <w:szCs w:val="18"/>
        </w:rPr>
        <w:t xml:space="preserve">at zijn de totale </w:t>
      </w:r>
      <w:r w:rsidRPr="00632DCB">
        <w:rPr>
          <w:rFonts w:ascii="Verdana" w:hAnsi="Verdana" w:cstheme="minorHAnsi"/>
          <w:sz w:val="18"/>
          <w:szCs w:val="18"/>
        </w:rPr>
        <w:t xml:space="preserve">kosten </w:t>
      </w:r>
      <w:r w:rsidRPr="00632DCB" w:rsidR="00625090">
        <w:rPr>
          <w:rFonts w:ascii="Verdana" w:hAnsi="Verdana" w:cstheme="minorHAnsi"/>
          <w:sz w:val="18"/>
          <w:szCs w:val="18"/>
        </w:rPr>
        <w:t xml:space="preserve">die </w:t>
      </w:r>
      <w:r w:rsidRPr="00632DCB">
        <w:rPr>
          <w:rFonts w:ascii="Verdana" w:hAnsi="Verdana" w:cstheme="minorHAnsi"/>
          <w:sz w:val="18"/>
          <w:szCs w:val="18"/>
        </w:rPr>
        <w:t xml:space="preserve">verbonden </w:t>
      </w:r>
      <w:r w:rsidRPr="00632DCB" w:rsidR="00625090">
        <w:rPr>
          <w:rFonts w:ascii="Verdana" w:hAnsi="Verdana" w:cstheme="minorHAnsi"/>
          <w:sz w:val="18"/>
          <w:szCs w:val="18"/>
        </w:rPr>
        <w:t xml:space="preserve">zijn </w:t>
      </w:r>
      <w:r w:rsidRPr="00632DCB">
        <w:rPr>
          <w:rFonts w:ascii="Verdana" w:hAnsi="Verdana" w:cstheme="minorHAnsi"/>
          <w:sz w:val="18"/>
          <w:szCs w:val="18"/>
        </w:rPr>
        <w:t xml:space="preserve">aan een maatregel? En aan welke knoppen kan er gedraaid worden om de kosten van een maatregel te wijzigen?  </w:t>
      </w:r>
    </w:p>
    <w:p w:rsidRPr="00632DCB" w:rsidR="00BC1DD1" w:rsidP="00ED6D04" w:rsidRDefault="00BC1DD1" w14:paraId="6872B22C" w14:textId="1AA82E97">
      <w:pPr>
        <w:pStyle w:val="Lijstalinea"/>
        <w:numPr>
          <w:ilvl w:val="0"/>
          <w:numId w:val="5"/>
        </w:numPr>
        <w:spacing w:after="0" w:line="276" w:lineRule="auto"/>
        <w:contextualSpacing w:val="0"/>
        <w:rPr>
          <w:rFonts w:ascii="Verdana" w:hAnsi="Verdana" w:cstheme="minorHAnsi"/>
          <w:sz w:val="18"/>
          <w:szCs w:val="18"/>
        </w:rPr>
      </w:pPr>
      <w:r w:rsidRPr="00632DCB">
        <w:rPr>
          <w:rFonts w:ascii="Verdana" w:hAnsi="Verdana" w:cstheme="minorHAnsi"/>
          <w:sz w:val="18"/>
          <w:szCs w:val="18"/>
        </w:rPr>
        <w:t xml:space="preserve">Uitvoering: </w:t>
      </w:r>
      <w:r w:rsidRPr="00632DCB" w:rsidR="00307B16">
        <w:rPr>
          <w:rFonts w:ascii="Verdana" w:hAnsi="Verdana" w:cstheme="minorHAnsi"/>
          <w:sz w:val="18"/>
          <w:szCs w:val="18"/>
        </w:rPr>
        <w:t>W</w:t>
      </w:r>
      <w:r w:rsidRPr="00632DCB">
        <w:rPr>
          <w:rFonts w:ascii="Verdana" w:hAnsi="Verdana" w:cstheme="minorHAnsi"/>
          <w:sz w:val="18"/>
          <w:szCs w:val="18"/>
        </w:rPr>
        <w:t>ie kan de maatregel uitvoeren</w:t>
      </w:r>
      <w:r w:rsidRPr="00632DCB" w:rsidR="00335CFF">
        <w:rPr>
          <w:rFonts w:ascii="Verdana" w:hAnsi="Verdana" w:cstheme="minorHAnsi"/>
          <w:sz w:val="18"/>
          <w:szCs w:val="18"/>
        </w:rPr>
        <w:t xml:space="preserve"> en</w:t>
      </w:r>
      <w:r w:rsidRPr="00632DCB" w:rsidR="004623B4">
        <w:rPr>
          <w:rFonts w:ascii="Verdana" w:hAnsi="Verdana" w:cstheme="minorHAnsi"/>
          <w:sz w:val="18"/>
          <w:szCs w:val="18"/>
        </w:rPr>
        <w:t xml:space="preserve"> wat is er voor nodig om de maatregel uit te voeren</w:t>
      </w:r>
      <w:r w:rsidRPr="00632DCB">
        <w:rPr>
          <w:rFonts w:ascii="Verdana" w:hAnsi="Verdana" w:cstheme="minorHAnsi"/>
          <w:sz w:val="18"/>
          <w:szCs w:val="18"/>
        </w:rPr>
        <w:t>?</w:t>
      </w:r>
    </w:p>
    <w:p w:rsidRPr="00632DCB" w:rsidR="00BC1DD1" w:rsidP="00ED6D04" w:rsidRDefault="00BC1DD1" w14:paraId="132A33F4" w14:textId="2010FA6C">
      <w:pPr>
        <w:pStyle w:val="Lijstalinea"/>
        <w:numPr>
          <w:ilvl w:val="0"/>
          <w:numId w:val="5"/>
        </w:numPr>
        <w:spacing w:after="0" w:line="276" w:lineRule="auto"/>
        <w:contextualSpacing w:val="0"/>
        <w:rPr>
          <w:rFonts w:ascii="Verdana" w:hAnsi="Verdana" w:cstheme="minorHAnsi"/>
          <w:b/>
          <w:bCs/>
          <w:sz w:val="18"/>
          <w:szCs w:val="18"/>
        </w:rPr>
      </w:pPr>
      <w:r w:rsidRPr="00632DCB">
        <w:rPr>
          <w:rFonts w:ascii="Verdana" w:hAnsi="Verdana" w:cstheme="minorHAnsi"/>
          <w:sz w:val="18"/>
          <w:szCs w:val="18"/>
        </w:rPr>
        <w:t xml:space="preserve">Neveneffecten: </w:t>
      </w:r>
      <w:r w:rsidRPr="00632DCB" w:rsidR="006F6207">
        <w:rPr>
          <w:rFonts w:ascii="Verdana" w:hAnsi="Verdana" w:cstheme="minorHAnsi"/>
          <w:sz w:val="18"/>
          <w:szCs w:val="18"/>
        </w:rPr>
        <w:t>W</w:t>
      </w:r>
      <w:r w:rsidRPr="00632DCB" w:rsidR="00307B16">
        <w:rPr>
          <w:rFonts w:ascii="Verdana" w:hAnsi="Verdana" w:cstheme="minorHAnsi"/>
          <w:sz w:val="18"/>
          <w:szCs w:val="18"/>
        </w:rPr>
        <w:t xml:space="preserve">elke onbedoelde gevolgen of effecten </w:t>
      </w:r>
      <w:r w:rsidRPr="00632DCB">
        <w:rPr>
          <w:rFonts w:ascii="Verdana" w:hAnsi="Verdana" w:cstheme="minorHAnsi"/>
          <w:sz w:val="18"/>
          <w:szCs w:val="18"/>
        </w:rPr>
        <w:t xml:space="preserve">heeft een maatregel? </w:t>
      </w:r>
    </w:p>
    <w:p w:rsidRPr="00632DCB" w:rsidR="004F6EC3" w:rsidP="0060433D" w:rsidRDefault="004F6EC3" w14:paraId="2F02FAFC" w14:textId="77777777">
      <w:pPr>
        <w:pStyle w:val="Default"/>
        <w:spacing w:line="276" w:lineRule="auto"/>
        <w:rPr>
          <w:sz w:val="18"/>
          <w:szCs w:val="18"/>
        </w:rPr>
      </w:pPr>
    </w:p>
    <w:p w:rsidRPr="00632DCB" w:rsidR="004F6EC3" w:rsidP="00D15C5F" w:rsidRDefault="004F6EC3" w14:paraId="64A0ED9D" w14:textId="712C90E6">
      <w:r>
        <w:t xml:space="preserve">Dit rapport maakt inzichtelijk welke opties er zijn voor gerichte financiële maatregelen voor het verminderen van mondzorgmijding </w:t>
      </w:r>
      <w:r w:rsidR="009E7F7F">
        <w:t xml:space="preserve">om financiële redenen </w:t>
      </w:r>
      <w:r>
        <w:t xml:space="preserve">door minima, welke overwegingen daarbij van belang zijn en wat de verwachte macrokosten zijn. Als voor </w:t>
      </w:r>
      <w:r w:rsidR="00A55C27">
        <w:t>een maatregel</w:t>
      </w:r>
      <w:r>
        <w:t xml:space="preserve"> gekozen wordt, moet deze</w:t>
      </w:r>
      <w:r w:rsidR="00464E06">
        <w:t xml:space="preserve"> beleidsmatig</w:t>
      </w:r>
      <w:r>
        <w:t xml:space="preserve"> nog verder uitgewerkt worden dan in dit rapport is gedaan. </w:t>
      </w:r>
      <w:r w:rsidR="00464E06">
        <w:t xml:space="preserve">Ook wordt aanbevolen de uitgewerkte maatregel op uitvoerbaarheid te toetsen. </w:t>
      </w:r>
      <w:r>
        <w:t>Naast de uitvoerbaarheid moet er b</w:t>
      </w:r>
      <w:r w:rsidRPr="00632DCB">
        <w:t xml:space="preserve">ij elke maatregel rekening mee worden gehouden dat deze alleen het gewenste effect </w:t>
      </w:r>
      <w:r>
        <w:t>kan hebben</w:t>
      </w:r>
      <w:r w:rsidR="00C95639">
        <w:t xml:space="preserve"> als</w:t>
      </w:r>
      <w:r w:rsidRPr="00632DCB">
        <w:t xml:space="preserve"> </w:t>
      </w:r>
      <w:r w:rsidR="005A5CE5">
        <w:t>de maatregel</w:t>
      </w:r>
      <w:r>
        <w:t xml:space="preserve"> aansluit bij </w:t>
      </w:r>
      <w:r w:rsidRPr="00632DCB">
        <w:t xml:space="preserve">het </w:t>
      </w:r>
      <w:proofErr w:type="spellStart"/>
      <w:r w:rsidRPr="00632DCB">
        <w:t>doenvermogen</w:t>
      </w:r>
      <w:proofErr w:type="spellEnd"/>
      <w:r w:rsidRPr="00632DCB">
        <w:t xml:space="preserve"> </w:t>
      </w:r>
      <w:r>
        <w:t>en de gezondheidsvaardigheden</w:t>
      </w:r>
      <w:r w:rsidRPr="00632DCB">
        <w:t xml:space="preserve"> van de doelgroep</w:t>
      </w:r>
      <w:r>
        <w:t xml:space="preserve">. </w:t>
      </w:r>
      <w:r w:rsidR="00464E06">
        <w:t>Dat betekent dat ook geïnvesteerd moet worden in bijvoorbeeld voorlichting</w:t>
      </w:r>
      <w:r w:rsidR="00B27440">
        <w:t xml:space="preserve"> en het op weg helpen van de doelgroep. </w:t>
      </w:r>
      <w:r w:rsidR="00464E06">
        <w:t xml:space="preserve"> </w:t>
      </w:r>
      <w:r w:rsidR="00B27440">
        <w:t xml:space="preserve"> </w:t>
      </w:r>
    </w:p>
    <w:p w:rsidR="00053B54" w:rsidP="00BB12E5" w:rsidRDefault="00053B54" w14:paraId="2D437EA0" w14:textId="77777777"/>
    <w:p w:rsidR="00440A5E" w:rsidRDefault="00440A5E" w14:paraId="0FBA8412" w14:textId="28683A78">
      <w:pPr>
        <w:spacing w:line="240" w:lineRule="auto"/>
      </w:pPr>
      <w:r>
        <w:br w:type="page"/>
      </w:r>
    </w:p>
    <w:p w:rsidRPr="00632DCB" w:rsidR="00494A29" w:rsidP="0058708B" w:rsidRDefault="00BC1DD1" w14:paraId="62292BF5" w14:textId="2B2DE000">
      <w:pPr>
        <w:pStyle w:val="Kop1"/>
      </w:pPr>
      <w:bookmarkStart w:name="_Toc209100756" w:id="50"/>
      <w:bookmarkStart w:name="_Toc209100757" w:id="51"/>
      <w:bookmarkStart w:name="_Toc209100758" w:id="52"/>
      <w:bookmarkStart w:name="_Toc209100759" w:id="53"/>
      <w:bookmarkStart w:name="_Toc209100760" w:id="54"/>
      <w:bookmarkStart w:name="_Toc209100761" w:id="55"/>
      <w:bookmarkStart w:name="_Toc209100762" w:id="56"/>
      <w:bookmarkStart w:name="_Toc209100763" w:id="57"/>
      <w:bookmarkStart w:name="_Toc209100764" w:id="58"/>
      <w:bookmarkStart w:name="_Toc209100765" w:id="59"/>
      <w:bookmarkStart w:name="_Toc209100766" w:id="60"/>
      <w:bookmarkStart w:name="_Toc209100767" w:id="61"/>
      <w:bookmarkStart w:name="_Toc209100768" w:id="62"/>
      <w:bookmarkStart w:name="_Toc209100769" w:id="63"/>
      <w:bookmarkStart w:name="_Toc209100770" w:id="64"/>
      <w:bookmarkStart w:name="_Toc209100771" w:id="65"/>
      <w:bookmarkStart w:name="_Toc209100772" w:id="66"/>
      <w:bookmarkStart w:name="_Toc207106249" w:id="67"/>
      <w:bookmarkStart w:name="_Toc207106250" w:id="68"/>
      <w:bookmarkStart w:name="_Toc207106251" w:id="69"/>
      <w:bookmarkStart w:name="_Toc207106252" w:id="70"/>
      <w:bookmarkStart w:name="_Toc207106253" w:id="71"/>
      <w:bookmarkStart w:name="_Toc207106254" w:id="72"/>
      <w:bookmarkStart w:name="_Toc207106255" w:id="73"/>
      <w:bookmarkStart w:name="_Toc204693259" w:id="74"/>
      <w:bookmarkStart w:name="_Toc204693366" w:id="75"/>
      <w:bookmarkStart w:name="_Toc204693260" w:id="76"/>
      <w:bookmarkStart w:name="_Toc204693367" w:id="77"/>
      <w:bookmarkStart w:name="_Toc204693261" w:id="78"/>
      <w:bookmarkStart w:name="_Toc204693368" w:id="79"/>
      <w:bookmarkStart w:name="_Toc204693262" w:id="80"/>
      <w:bookmarkStart w:name="_Toc204693369" w:id="81"/>
      <w:bookmarkStart w:name="_Toc204693263" w:id="82"/>
      <w:bookmarkStart w:name="_Toc204693370" w:id="83"/>
      <w:bookmarkStart w:name="_Toc204693264" w:id="84"/>
      <w:bookmarkStart w:name="_Toc204693371" w:id="85"/>
      <w:bookmarkStart w:name="_Toc204693265" w:id="86"/>
      <w:bookmarkStart w:name="_Toc204693372" w:id="87"/>
      <w:bookmarkStart w:name="_Toc204693266" w:id="88"/>
      <w:bookmarkStart w:name="_Toc204693373" w:id="89"/>
      <w:bookmarkStart w:name="_Toc204693267" w:id="90"/>
      <w:bookmarkStart w:name="_Toc204693374" w:id="91"/>
      <w:bookmarkStart w:name="_Toc204693268" w:id="92"/>
      <w:bookmarkStart w:name="_Toc204693375" w:id="93"/>
      <w:bookmarkStart w:name="_Toc204693269" w:id="94"/>
      <w:bookmarkStart w:name="_Toc204693376" w:id="95"/>
      <w:bookmarkStart w:name="_Toc204693270" w:id="96"/>
      <w:bookmarkStart w:name="_Toc204693377" w:id="97"/>
      <w:bookmarkStart w:name="_Toc204693271" w:id="98"/>
      <w:bookmarkStart w:name="_Toc204693378" w:id="99"/>
      <w:bookmarkStart w:name="_Toc204693272" w:id="100"/>
      <w:bookmarkStart w:name="_Toc204693379" w:id="101"/>
      <w:bookmarkStart w:name="_Toc204693273" w:id="102"/>
      <w:bookmarkStart w:name="_Toc204693380" w:id="103"/>
      <w:bookmarkStart w:name="_Toc204693274" w:id="104"/>
      <w:bookmarkStart w:name="_Toc204693381" w:id="105"/>
      <w:bookmarkStart w:name="_Toc204693275" w:id="106"/>
      <w:bookmarkStart w:name="_Toc204693382" w:id="107"/>
      <w:bookmarkStart w:name="_Toc204693276" w:id="108"/>
      <w:bookmarkStart w:name="_Toc204693383" w:id="109"/>
      <w:bookmarkStart w:name="_Toc204693277" w:id="110"/>
      <w:bookmarkStart w:name="_Toc204693384" w:id="111"/>
      <w:bookmarkStart w:name="_Toc204693278" w:id="112"/>
      <w:bookmarkStart w:name="_Toc204693385" w:id="113"/>
      <w:bookmarkStart w:name="_Toc204693279" w:id="114"/>
      <w:bookmarkStart w:name="_Toc204693386" w:id="115"/>
      <w:bookmarkStart w:name="_Toc204693280" w:id="116"/>
      <w:bookmarkStart w:name="_Toc204693387" w:id="117"/>
      <w:bookmarkStart w:name="_Toc204693281" w:id="118"/>
      <w:bookmarkStart w:name="_Toc204693388" w:id="119"/>
      <w:bookmarkStart w:name="_Toc204693282" w:id="120"/>
      <w:bookmarkStart w:name="_Toc204693389" w:id="121"/>
      <w:bookmarkStart w:name="_Toc204693283" w:id="122"/>
      <w:bookmarkStart w:name="_Toc204693390" w:id="123"/>
      <w:bookmarkStart w:name="_Toc204693284" w:id="124"/>
      <w:bookmarkStart w:name="_Toc204693391" w:id="125"/>
      <w:bookmarkStart w:name="_Toc204693285" w:id="126"/>
      <w:bookmarkStart w:name="_Toc204693392" w:id="127"/>
      <w:bookmarkStart w:name="_Toc204693286" w:id="128"/>
      <w:bookmarkStart w:name="_Toc204693393" w:id="129"/>
      <w:bookmarkStart w:name="_Toc204693287" w:id="130"/>
      <w:bookmarkStart w:name="_Toc204693394" w:id="131"/>
      <w:bookmarkStart w:name="_Toc204693288" w:id="132"/>
      <w:bookmarkStart w:name="_Toc204693395" w:id="133"/>
      <w:bookmarkStart w:name="_Toc204693289" w:id="134"/>
      <w:bookmarkStart w:name="_Toc204693396" w:id="135"/>
      <w:bookmarkStart w:name="_Toc204693290" w:id="136"/>
      <w:bookmarkStart w:name="_Toc204693397" w:id="137"/>
      <w:bookmarkStart w:name="_Toc204693291" w:id="138"/>
      <w:bookmarkStart w:name="_Toc204693398" w:id="139"/>
      <w:bookmarkStart w:name="_Toc204693292" w:id="140"/>
      <w:bookmarkStart w:name="_Toc204693399" w:id="141"/>
      <w:bookmarkStart w:name="_Toc204693293" w:id="142"/>
      <w:bookmarkStart w:name="_Toc204693400" w:id="143"/>
      <w:bookmarkStart w:name="_Toc204693294" w:id="144"/>
      <w:bookmarkStart w:name="_Toc204693401" w:id="145"/>
      <w:bookmarkStart w:name="_Toc204693295" w:id="146"/>
      <w:bookmarkStart w:name="_Toc204693402" w:id="147"/>
      <w:bookmarkStart w:name="_Toc204693296" w:id="148"/>
      <w:bookmarkStart w:name="_Toc204693403" w:id="149"/>
      <w:bookmarkStart w:name="_Toc204693308" w:id="150"/>
      <w:bookmarkStart w:name="_Toc204693415" w:id="151"/>
      <w:bookmarkStart w:name="_Toc204693309" w:id="152"/>
      <w:bookmarkStart w:name="_Toc204693416" w:id="153"/>
      <w:bookmarkStart w:name="_Toc204693310" w:id="154"/>
      <w:bookmarkStart w:name="_Toc204693417" w:id="155"/>
      <w:bookmarkStart w:name="_Toc204693311" w:id="156"/>
      <w:bookmarkStart w:name="_Toc204693418" w:id="157"/>
      <w:bookmarkStart w:name="_Toc204693312" w:id="158"/>
      <w:bookmarkStart w:name="_Toc204693419" w:id="159"/>
      <w:bookmarkStart w:name="_Toc204693313" w:id="160"/>
      <w:bookmarkStart w:name="_Toc204693420" w:id="161"/>
      <w:bookmarkStart w:name="_Toc204693314" w:id="162"/>
      <w:bookmarkStart w:name="_Toc204693421" w:id="163"/>
      <w:bookmarkStart w:name="_Toc204693315" w:id="164"/>
      <w:bookmarkStart w:name="_Toc204693422" w:id="165"/>
      <w:bookmarkStart w:name="_Toc204693316" w:id="166"/>
      <w:bookmarkStart w:name="_Toc204693423" w:id="167"/>
      <w:bookmarkStart w:name="_Toc204693317" w:id="168"/>
      <w:bookmarkStart w:name="_Toc204693424" w:id="169"/>
      <w:bookmarkStart w:name="_Toc204693318" w:id="170"/>
      <w:bookmarkStart w:name="_Toc204693425" w:id="171"/>
      <w:bookmarkStart w:name="_Toc204693319" w:id="172"/>
      <w:bookmarkStart w:name="_Toc204693426" w:id="173"/>
      <w:bookmarkStart w:name="_Toc204693320" w:id="174"/>
      <w:bookmarkStart w:name="_Toc204693427" w:id="175"/>
      <w:bookmarkStart w:name="_Toc204693321" w:id="176"/>
      <w:bookmarkStart w:name="_Toc204693428" w:id="177"/>
      <w:bookmarkStart w:name="_Toc204693322" w:id="178"/>
      <w:bookmarkStart w:name="_Toc204693429" w:id="179"/>
      <w:bookmarkStart w:name="_Toc204693323" w:id="180"/>
      <w:bookmarkStart w:name="_Toc204693430" w:id="181"/>
      <w:bookmarkStart w:name="_Toc204693324" w:id="182"/>
      <w:bookmarkStart w:name="_Toc204693431" w:id="183"/>
      <w:bookmarkStart w:name="_Toc204693325" w:id="184"/>
      <w:bookmarkStart w:name="_Toc204693432" w:id="185"/>
      <w:bookmarkStart w:name="_Toc204693326" w:id="186"/>
      <w:bookmarkStart w:name="_Toc204693433" w:id="187"/>
      <w:bookmarkStart w:name="_Toc204693327" w:id="188"/>
      <w:bookmarkStart w:name="_Toc204693434" w:id="189"/>
      <w:bookmarkStart w:name="_Toc204693328" w:id="190"/>
      <w:bookmarkStart w:name="_Toc204693435" w:id="191"/>
      <w:bookmarkStart w:name="_Toc204693329" w:id="192"/>
      <w:bookmarkStart w:name="_Toc204693436" w:id="193"/>
      <w:bookmarkStart w:name="_Toc204693330" w:id="194"/>
      <w:bookmarkStart w:name="_Toc204693437" w:id="195"/>
      <w:bookmarkStart w:name="_Toc204693331" w:id="196"/>
      <w:bookmarkStart w:name="_Toc204693438" w:id="197"/>
      <w:bookmarkStart w:name="_Toc204693332" w:id="198"/>
      <w:bookmarkStart w:name="_Toc204693439" w:id="199"/>
      <w:bookmarkStart w:name="_Toc204693333" w:id="200"/>
      <w:bookmarkStart w:name="_Toc204693440" w:id="201"/>
      <w:bookmarkStart w:name="_Toc204693334" w:id="202"/>
      <w:bookmarkStart w:name="_Toc204693441" w:id="203"/>
      <w:bookmarkStart w:name="_Toc204693335" w:id="204"/>
      <w:bookmarkStart w:name="_Toc204693442" w:id="205"/>
      <w:bookmarkStart w:name="_Toc204693336" w:id="206"/>
      <w:bookmarkStart w:name="_Toc204693443" w:id="207"/>
      <w:bookmarkStart w:name="_Toc204693337" w:id="208"/>
      <w:bookmarkStart w:name="_Toc204693444" w:id="209"/>
      <w:bookmarkStart w:name="_Toc204693338" w:id="210"/>
      <w:bookmarkStart w:name="_Toc204693445" w:id="211"/>
      <w:bookmarkStart w:name="_Toc204693339" w:id="212"/>
      <w:bookmarkStart w:name="_Toc204693446" w:id="213"/>
      <w:bookmarkStart w:name="_Toc204693340" w:id="214"/>
      <w:bookmarkStart w:name="_Toc204693447" w:id="215"/>
      <w:bookmarkStart w:name="_Toc204693341" w:id="216"/>
      <w:bookmarkStart w:name="_Toc204693448" w:id="217"/>
      <w:bookmarkStart w:name="_Toc204693342" w:id="218"/>
      <w:bookmarkStart w:name="_Toc204693449" w:id="219"/>
      <w:bookmarkStart w:name="_Toc204693343" w:id="220"/>
      <w:bookmarkStart w:name="_Toc204693450" w:id="221"/>
      <w:bookmarkStart w:name="_Toc204693344" w:id="222"/>
      <w:bookmarkStart w:name="_Toc204693451" w:id="223"/>
      <w:bookmarkStart w:name="_Toc204693345" w:id="224"/>
      <w:bookmarkStart w:name="_Toc204693452" w:id="225"/>
      <w:bookmarkStart w:name="_Toc204693346" w:id="226"/>
      <w:bookmarkStart w:name="_Toc204693453" w:id="227"/>
      <w:bookmarkStart w:name="_Toc204693347" w:id="228"/>
      <w:bookmarkStart w:name="_Toc204693454" w:id="229"/>
      <w:bookmarkStart w:name="_Toc202280985" w:id="230"/>
      <w:bookmarkStart w:name="_Toc202788169" w:id="231"/>
      <w:bookmarkStart w:name="_Toc214547147" w:id="232"/>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632DCB">
        <w:lastRenderedPageBreak/>
        <w:t>Huidig</w:t>
      </w:r>
      <w:r w:rsidRPr="00632DCB" w:rsidR="00494A29">
        <w:t xml:space="preserve"> instrumentarium</w:t>
      </w:r>
      <w:bookmarkEnd w:id="230"/>
      <w:bookmarkEnd w:id="231"/>
      <w:bookmarkEnd w:id="232"/>
    </w:p>
    <w:p w:rsidRPr="00632DCB" w:rsidR="00625090" w:rsidP="000B03DB" w:rsidRDefault="00625090" w14:paraId="1B269A25" w14:textId="68E1E1DB">
      <w:bookmarkStart w:name="_Toc202788170" w:id="233"/>
      <w:r w:rsidRPr="00632DCB">
        <w:t xml:space="preserve">Dit hoofdstuk gaat in op welk instrumentarium er al is op het gebied van mondzorg en in welke mate dat kan bijdragen aan het voorkomen van mondzorgmijding door minima om financiële redenen. </w:t>
      </w:r>
    </w:p>
    <w:p w:rsidRPr="00632DCB" w:rsidR="00A671C4" w:rsidP="000B03DB" w:rsidRDefault="00A671C4" w14:paraId="7EC60BA8" w14:textId="77777777">
      <w:pPr>
        <w:rPr>
          <w:bCs/>
        </w:rPr>
      </w:pPr>
    </w:p>
    <w:p w:rsidRPr="00632DCB" w:rsidR="004F7998" w:rsidP="000B03DB" w:rsidRDefault="004A60BE" w14:paraId="205869B5" w14:textId="3C99E8AB">
      <w:pPr>
        <w:pStyle w:val="Kop2"/>
      </w:pPr>
      <w:bookmarkStart w:name="_Toc214547148" w:id="234"/>
      <w:r w:rsidRPr="00632DCB">
        <w:rPr>
          <w:bCs/>
        </w:rPr>
        <w:t>Landelijke instrumentarium</w:t>
      </w:r>
      <w:bookmarkStart w:name="_Toc202982409" w:id="235"/>
      <w:bookmarkStart w:name="_Toc202982464" w:id="236"/>
      <w:bookmarkStart w:name="_Toc202982518" w:id="237"/>
      <w:bookmarkStart w:name="_Toc202982572" w:id="238"/>
      <w:bookmarkStart w:name="_Toc202982625" w:id="239"/>
      <w:bookmarkStart w:name="_Toc202982727" w:id="240"/>
      <w:bookmarkStart w:name="_Toc202982781" w:id="241"/>
      <w:bookmarkStart w:name="_Toc202982895" w:id="242"/>
      <w:bookmarkStart w:name="_Toc202982949" w:id="243"/>
      <w:bookmarkStart w:name="_Toc202982410" w:id="244"/>
      <w:bookmarkStart w:name="_Toc202982465" w:id="245"/>
      <w:bookmarkStart w:name="_Toc202982519" w:id="246"/>
      <w:bookmarkStart w:name="_Toc202982573" w:id="247"/>
      <w:bookmarkStart w:name="_Toc202982626" w:id="248"/>
      <w:bookmarkStart w:name="_Toc202982728" w:id="249"/>
      <w:bookmarkStart w:name="_Toc202982782" w:id="250"/>
      <w:bookmarkStart w:name="_Toc202982896" w:id="251"/>
      <w:bookmarkStart w:name="_Toc202982950" w:id="252"/>
      <w:bookmarkStart w:name="_Toc202982411" w:id="253"/>
      <w:bookmarkStart w:name="_Toc202982466" w:id="254"/>
      <w:bookmarkStart w:name="_Toc202982520" w:id="255"/>
      <w:bookmarkStart w:name="_Toc202982574" w:id="256"/>
      <w:bookmarkStart w:name="_Toc202982627" w:id="257"/>
      <w:bookmarkStart w:name="_Toc202982729" w:id="258"/>
      <w:bookmarkStart w:name="_Toc202982783" w:id="259"/>
      <w:bookmarkStart w:name="_Toc202982897" w:id="260"/>
      <w:bookmarkStart w:name="_Toc202982951" w:id="261"/>
      <w:bookmarkStart w:name="_Toc202982412" w:id="262"/>
      <w:bookmarkStart w:name="_Toc202982467" w:id="263"/>
      <w:bookmarkStart w:name="_Toc202982521" w:id="264"/>
      <w:bookmarkStart w:name="_Toc202982575" w:id="265"/>
      <w:bookmarkStart w:name="_Toc202982628" w:id="266"/>
      <w:bookmarkStart w:name="_Toc202982730" w:id="267"/>
      <w:bookmarkStart w:name="_Toc202982784" w:id="268"/>
      <w:bookmarkStart w:name="_Toc202982898" w:id="269"/>
      <w:bookmarkStart w:name="_Toc202982952" w:id="270"/>
      <w:bookmarkStart w:name="_Toc202982576" w:id="271"/>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Pr="00632DCB" w:rsidR="003C194A" w:rsidP="005D5E64" w:rsidRDefault="003C194A" w14:paraId="5B91601B" w14:textId="0F6BF2F5">
      <w:r w:rsidRPr="00632DCB">
        <w:t xml:space="preserve">De Rijksoverheid bevordert </w:t>
      </w:r>
      <w:r w:rsidR="00464E06">
        <w:t xml:space="preserve">gezondheid, waaronder </w:t>
      </w:r>
      <w:r w:rsidRPr="00632DCB">
        <w:t>mondgezondheid</w:t>
      </w:r>
      <w:r w:rsidR="0046167E">
        <w:t>,</w:t>
      </w:r>
      <w:r w:rsidRPr="00632DCB">
        <w:t xml:space="preserve"> via wetgeving, financiering, kwaliteitsbewaking (Inspectie Gezondheidszorg en Jeugd, Nederlandse Zorgautoriteit), preventiecampagnes</w:t>
      </w:r>
      <w:r w:rsidR="002D5589">
        <w:t>, onderwijs in mondzorg</w:t>
      </w:r>
      <w:r w:rsidRPr="00632DCB">
        <w:t xml:space="preserve"> en onderzoek. </w:t>
      </w:r>
    </w:p>
    <w:p w:rsidRPr="00632DCB" w:rsidR="003C194A" w:rsidP="005D5E64" w:rsidRDefault="003C194A" w14:paraId="67B1620F" w14:textId="1AC287E8">
      <w:r w:rsidRPr="00632DCB">
        <w:t>De Rijksoverheid heeft</w:t>
      </w:r>
      <w:r w:rsidR="0018693F">
        <w:t xml:space="preserve"> </w:t>
      </w:r>
      <w:r w:rsidRPr="00632DCB">
        <w:t xml:space="preserve">invloed op de financiële toegang tot de mondzorg via het basispakket en via voorzieningen voor bijzondere groepen. </w:t>
      </w:r>
    </w:p>
    <w:p w:rsidRPr="00632DCB" w:rsidR="003C194A" w:rsidP="005D5E64" w:rsidRDefault="003C194A" w14:paraId="4F89D217" w14:textId="77777777"/>
    <w:p w:rsidRPr="00632DCB" w:rsidR="00F44C92" w:rsidP="005D5E64" w:rsidRDefault="00DB7BD7" w14:paraId="5F81CC6E" w14:textId="64EFF5C2">
      <w:pPr>
        <w:rPr>
          <w:i/>
          <w:iCs/>
        </w:rPr>
      </w:pPr>
      <w:bookmarkStart w:name="_Hlk210747364" w:id="272"/>
      <w:r w:rsidRPr="00632DCB">
        <w:rPr>
          <w:i/>
          <w:iCs/>
        </w:rPr>
        <w:t>Basispakket</w:t>
      </w:r>
      <w:r w:rsidRPr="00632DCB" w:rsidR="00B24CE2">
        <w:rPr>
          <w:i/>
          <w:iCs/>
        </w:rPr>
        <w:t xml:space="preserve"> Zorgverzekeringswet</w:t>
      </w:r>
    </w:p>
    <w:p w:rsidRPr="0046167E" w:rsidR="004D0E0A" w:rsidP="005D5E64" w:rsidRDefault="00154395" w14:paraId="2A501987" w14:textId="55BFB2A0">
      <w:pPr>
        <w:rPr>
          <w:bCs/>
        </w:rPr>
      </w:pPr>
      <w:r w:rsidRPr="00632DCB">
        <w:t xml:space="preserve">In 1995 werd mondzorg voor volwassenen grotendeels uit het ziekenfondspakket gehaald vanwege de verbeterde mondgezondheid en </w:t>
      </w:r>
      <w:r w:rsidR="00D34025">
        <w:t xml:space="preserve">de veronderstelling </w:t>
      </w:r>
      <w:r w:rsidRPr="00632DCB">
        <w:t xml:space="preserve">dat verdere kosten zelf konden worden </w:t>
      </w:r>
      <w:r w:rsidR="00D12AA4">
        <w:t>ge</w:t>
      </w:r>
      <w:r w:rsidRPr="00632DCB">
        <w:t xml:space="preserve">dragen. In 2002 </w:t>
      </w:r>
      <w:r w:rsidR="00FD445F">
        <w:t xml:space="preserve">werd </w:t>
      </w:r>
      <w:r w:rsidRPr="00632DCB">
        <w:t>ook preventief onderhoud</w:t>
      </w:r>
      <w:r w:rsidR="00FD445F">
        <w:t xml:space="preserve"> uit het ziekenfondspakket gehaald</w:t>
      </w:r>
      <w:r w:rsidR="00D95AFB">
        <w:t>.</w:t>
      </w:r>
      <w:r w:rsidRPr="00632DCB">
        <w:t xml:space="preserve"> </w:t>
      </w:r>
      <w:r w:rsidR="00FD445F">
        <w:t xml:space="preserve">Op dit moment </w:t>
      </w:r>
      <w:r w:rsidRPr="006626B2" w:rsidR="00D12AA4">
        <w:rPr>
          <w:bCs/>
        </w:rPr>
        <w:t>vergoed</w:t>
      </w:r>
      <w:r w:rsidR="00D12AA4">
        <w:rPr>
          <w:bCs/>
        </w:rPr>
        <w:t>t</w:t>
      </w:r>
      <w:r w:rsidRPr="006626B2" w:rsidR="00D12AA4">
        <w:rPr>
          <w:bCs/>
        </w:rPr>
        <w:t xml:space="preserve"> de </w:t>
      </w:r>
      <w:r w:rsidR="00D12AA4">
        <w:rPr>
          <w:bCs/>
        </w:rPr>
        <w:t xml:space="preserve">zorgverzekering als bedoeld in de </w:t>
      </w:r>
      <w:r w:rsidRPr="006626B2" w:rsidR="00D12AA4">
        <w:rPr>
          <w:bCs/>
        </w:rPr>
        <w:t>Zorgverzekeringswet (</w:t>
      </w:r>
      <w:proofErr w:type="spellStart"/>
      <w:r w:rsidRPr="006626B2" w:rsidR="00D12AA4">
        <w:t>Zvw</w:t>
      </w:r>
      <w:proofErr w:type="spellEnd"/>
      <w:r w:rsidRPr="006626B2" w:rsidR="00D12AA4">
        <w:t>)</w:t>
      </w:r>
      <w:r w:rsidR="00D12AA4">
        <w:t xml:space="preserve"> mondzorg voor minderjarigen. V</w:t>
      </w:r>
      <w:r w:rsidRPr="006626B2" w:rsidR="00D12AA4">
        <w:rPr>
          <w:bCs/>
        </w:rPr>
        <w:t>oor volwassenen</w:t>
      </w:r>
      <w:r w:rsidR="00D12AA4">
        <w:rPr>
          <w:bCs/>
        </w:rPr>
        <w:t xml:space="preserve"> worden </w:t>
      </w:r>
      <w:r w:rsidRPr="006626B2" w:rsidR="00D12AA4">
        <w:rPr>
          <w:bCs/>
        </w:rPr>
        <w:t>de volgende</w:t>
      </w:r>
      <w:r w:rsidRPr="00632DCB" w:rsidR="00690AAA">
        <w:rPr>
          <w:bCs/>
        </w:rPr>
        <w:t xml:space="preserve"> behandelingen</w:t>
      </w:r>
      <w:r w:rsidR="002D5589">
        <w:rPr>
          <w:bCs/>
        </w:rPr>
        <w:t xml:space="preserve"> vergoed</w:t>
      </w:r>
      <w:r w:rsidRPr="00632DCB" w:rsidR="00D12AA4">
        <w:rPr>
          <w:bCs/>
        </w:rPr>
        <w:t xml:space="preserve">: </w:t>
      </w:r>
    </w:p>
    <w:p w:rsidRPr="00D15C5F" w:rsidR="00690AAA" w:rsidP="00632DCB" w:rsidRDefault="00690AAA" w14:paraId="1A8DAA6D" w14:textId="422191DF">
      <w:pPr>
        <w:pStyle w:val="Lijstalinea"/>
        <w:numPr>
          <w:ilvl w:val="0"/>
          <w:numId w:val="12"/>
        </w:numPr>
        <w:spacing w:line="240" w:lineRule="exact"/>
        <w:rPr>
          <w:rFonts w:ascii="Verdana" w:hAnsi="Verdana"/>
          <w:sz w:val="18"/>
          <w:szCs w:val="18"/>
        </w:rPr>
      </w:pPr>
      <w:r w:rsidRPr="00632DCB">
        <w:rPr>
          <w:rFonts w:ascii="Verdana" w:hAnsi="Verdana"/>
          <w:sz w:val="18"/>
          <w:szCs w:val="18"/>
        </w:rPr>
        <w:t>Sommige bijzondere tandheelkundige hulp</w:t>
      </w:r>
    </w:p>
    <w:p w:rsidRPr="00C727FC" w:rsidR="00690AAA" w:rsidP="00632DCB" w:rsidRDefault="00690AAA" w14:paraId="087E23D5" w14:textId="1334B7BA">
      <w:pPr>
        <w:pStyle w:val="Lijstalinea"/>
        <w:numPr>
          <w:ilvl w:val="0"/>
          <w:numId w:val="12"/>
        </w:numPr>
        <w:spacing w:line="240" w:lineRule="exact"/>
        <w:rPr>
          <w:rFonts w:ascii="Verdana" w:hAnsi="Verdana"/>
          <w:sz w:val="18"/>
          <w:szCs w:val="18"/>
        </w:rPr>
      </w:pPr>
      <w:r w:rsidRPr="00C727FC">
        <w:rPr>
          <w:rFonts w:ascii="Verdana" w:hAnsi="Verdana"/>
          <w:sz w:val="18"/>
          <w:szCs w:val="18"/>
        </w:rPr>
        <w:t>Röntgenonderzoek voor chirurgische tandheelkundige hulp, door of op verzoek van een kaakchirurg</w:t>
      </w:r>
    </w:p>
    <w:p w:rsidRPr="00C727FC" w:rsidR="00690AAA" w:rsidP="00632DCB" w:rsidRDefault="00690AAA" w14:paraId="6A3144C5" w14:textId="7D6D7D97">
      <w:pPr>
        <w:pStyle w:val="Lijstalinea"/>
        <w:numPr>
          <w:ilvl w:val="0"/>
          <w:numId w:val="12"/>
        </w:numPr>
        <w:spacing w:line="240" w:lineRule="exact"/>
        <w:rPr>
          <w:rFonts w:ascii="Verdana" w:hAnsi="Verdana"/>
          <w:sz w:val="18"/>
          <w:szCs w:val="18"/>
        </w:rPr>
      </w:pPr>
      <w:r w:rsidRPr="00C727FC">
        <w:rPr>
          <w:rFonts w:ascii="Verdana" w:hAnsi="Verdana"/>
          <w:sz w:val="18"/>
          <w:szCs w:val="18"/>
        </w:rPr>
        <w:t xml:space="preserve">Kunstgebitten </w:t>
      </w:r>
      <w:r w:rsidR="00F06FDA">
        <w:rPr>
          <w:rFonts w:ascii="Verdana" w:hAnsi="Verdana"/>
          <w:sz w:val="18"/>
          <w:szCs w:val="18"/>
        </w:rPr>
        <w:t xml:space="preserve">(volledige prothese) </w:t>
      </w:r>
      <w:r w:rsidRPr="00C727FC">
        <w:rPr>
          <w:rFonts w:ascii="Verdana" w:hAnsi="Verdana"/>
          <w:sz w:val="18"/>
          <w:szCs w:val="18"/>
        </w:rPr>
        <w:t>voor de bovenkaak en onderkaak</w:t>
      </w:r>
    </w:p>
    <w:p w:rsidRPr="00D15C5F" w:rsidR="00C727FC" w:rsidP="00C727FC" w:rsidRDefault="00690AAA" w14:paraId="333292EE" w14:textId="6461C038">
      <w:pPr>
        <w:pStyle w:val="Lijstalinea"/>
        <w:numPr>
          <w:ilvl w:val="0"/>
          <w:numId w:val="12"/>
        </w:numPr>
        <w:spacing w:line="240" w:lineRule="exact"/>
        <w:rPr>
          <w:rFonts w:ascii="Verdana" w:hAnsi="Verdana"/>
          <w:sz w:val="18"/>
          <w:szCs w:val="18"/>
        </w:rPr>
      </w:pPr>
      <w:r w:rsidRPr="00C727FC">
        <w:rPr>
          <w:rFonts w:ascii="Verdana" w:hAnsi="Verdana"/>
          <w:sz w:val="18"/>
          <w:szCs w:val="18"/>
        </w:rPr>
        <w:t>Chirurgische tandheelkundige hulp die alleen kan worden uitgevoerd door een kaakchirurg</w:t>
      </w:r>
    </w:p>
    <w:p w:rsidRPr="00632DCB" w:rsidR="00B940A6" w:rsidP="00324720" w:rsidRDefault="00690AAA" w14:paraId="14114F0C" w14:textId="33928D58">
      <w:pPr>
        <w:pStyle w:val="Lijstalinea"/>
        <w:numPr>
          <w:ilvl w:val="0"/>
          <w:numId w:val="12"/>
        </w:numPr>
        <w:spacing w:line="240" w:lineRule="exact"/>
      </w:pPr>
      <w:r w:rsidRPr="00D15C5F">
        <w:rPr>
          <w:rFonts w:ascii="Verdana" w:hAnsi="Verdana"/>
          <w:sz w:val="18"/>
          <w:szCs w:val="18"/>
        </w:rPr>
        <w:t>Orthodontie bij ernstige ontwikkelings- of groeistoornissen van tand, kaak of mond</w:t>
      </w:r>
      <w:bookmarkEnd w:id="272"/>
    </w:p>
    <w:p w:rsidRPr="00632DCB" w:rsidR="00B940A6" w:rsidP="005D5E64" w:rsidRDefault="00B940A6" w14:paraId="6F9D253E" w14:textId="1B0A7776">
      <w:pPr>
        <w:rPr>
          <w:i/>
          <w:iCs/>
        </w:rPr>
      </w:pPr>
      <w:r w:rsidRPr="00632DCB">
        <w:rPr>
          <w:i/>
          <w:iCs/>
        </w:rPr>
        <w:t>Voorziening</w:t>
      </w:r>
      <w:r w:rsidRPr="00632DCB" w:rsidR="004623B4">
        <w:rPr>
          <w:i/>
          <w:iCs/>
        </w:rPr>
        <w:t>en</w:t>
      </w:r>
      <w:r w:rsidRPr="00632DCB">
        <w:rPr>
          <w:i/>
          <w:iCs/>
        </w:rPr>
        <w:t xml:space="preserve"> voor bijzondere groepen</w:t>
      </w:r>
    </w:p>
    <w:p w:rsidRPr="00632DCB" w:rsidR="003C194A" w:rsidP="005D5E64" w:rsidRDefault="003C194A" w14:paraId="019965A9" w14:textId="3D55B199">
      <w:r w:rsidRPr="00632DCB">
        <w:t>De Rijksoverheid heeft voor vier doelgroepen voorzieningen georganiseerd</w:t>
      </w:r>
      <w:r w:rsidRPr="00632DCB" w:rsidR="004623B4">
        <w:t>:</w:t>
      </w:r>
      <w:r w:rsidRPr="00632DCB">
        <w:t xml:space="preserve"> </w:t>
      </w:r>
    </w:p>
    <w:p w:rsidRPr="00632DCB" w:rsidR="00B940A6" w:rsidP="00ED6D04" w:rsidRDefault="00B940A6" w14:paraId="7AAAAF82" w14:textId="037B8AC2">
      <w:pPr>
        <w:pStyle w:val="Lijstalinea"/>
        <w:numPr>
          <w:ilvl w:val="0"/>
          <w:numId w:val="12"/>
        </w:numPr>
        <w:spacing w:line="240" w:lineRule="exact"/>
        <w:rPr>
          <w:rFonts w:ascii="Verdana" w:hAnsi="Verdana"/>
          <w:sz w:val="18"/>
          <w:szCs w:val="18"/>
        </w:rPr>
      </w:pPr>
      <w:r w:rsidRPr="00632DCB">
        <w:rPr>
          <w:rFonts w:ascii="Verdana" w:hAnsi="Verdana"/>
          <w:sz w:val="18"/>
          <w:szCs w:val="18"/>
        </w:rPr>
        <w:t>Ontheemden Oekraïne: Regeling medische zorg ontheemden uit Oekraïne (RMO)</w:t>
      </w:r>
    </w:p>
    <w:p w:rsidRPr="00632DCB" w:rsidR="00B940A6" w:rsidP="00ED6D04" w:rsidRDefault="00B940A6" w14:paraId="011C1554" w14:textId="77777777">
      <w:pPr>
        <w:pStyle w:val="Lijstalinea"/>
        <w:numPr>
          <w:ilvl w:val="0"/>
          <w:numId w:val="12"/>
        </w:numPr>
        <w:spacing w:line="240" w:lineRule="exact"/>
        <w:rPr>
          <w:rFonts w:ascii="Verdana" w:hAnsi="Verdana"/>
          <w:sz w:val="18"/>
          <w:szCs w:val="18"/>
        </w:rPr>
      </w:pPr>
      <w:r w:rsidRPr="00632DCB">
        <w:rPr>
          <w:rFonts w:ascii="Verdana" w:hAnsi="Verdana"/>
          <w:sz w:val="18"/>
          <w:szCs w:val="18"/>
        </w:rPr>
        <w:t>Asielzoekers: Regeling medische zorg asielzoekers (RMA)</w:t>
      </w:r>
    </w:p>
    <w:p w:rsidRPr="00632DCB" w:rsidR="00B940A6" w:rsidP="00ED6D04" w:rsidRDefault="00B940A6" w14:paraId="2D6AD7D0" w14:textId="77777777">
      <w:pPr>
        <w:pStyle w:val="Lijstalinea"/>
        <w:numPr>
          <w:ilvl w:val="0"/>
          <w:numId w:val="12"/>
        </w:numPr>
        <w:spacing w:line="240" w:lineRule="exact"/>
        <w:rPr>
          <w:rFonts w:ascii="Verdana" w:hAnsi="Verdana"/>
          <w:sz w:val="18"/>
          <w:szCs w:val="18"/>
        </w:rPr>
      </w:pPr>
      <w:r w:rsidRPr="00632DCB">
        <w:rPr>
          <w:rFonts w:ascii="Verdana" w:hAnsi="Verdana"/>
          <w:sz w:val="18"/>
          <w:szCs w:val="18"/>
        </w:rPr>
        <w:t>Onverzekerden: Subsidieregeling medisch noodzakelijke zorg aan onverzekerden (SOV)</w:t>
      </w:r>
    </w:p>
    <w:p w:rsidRPr="00632DCB" w:rsidR="00B940A6" w:rsidP="00ED6D04" w:rsidRDefault="00B940A6" w14:paraId="12C02020" w14:textId="3CB01C1C">
      <w:pPr>
        <w:pStyle w:val="Lijstalinea"/>
        <w:numPr>
          <w:ilvl w:val="0"/>
          <w:numId w:val="12"/>
        </w:numPr>
        <w:spacing w:line="240" w:lineRule="exact"/>
        <w:rPr>
          <w:rFonts w:ascii="Verdana" w:hAnsi="Verdana"/>
          <w:sz w:val="18"/>
          <w:szCs w:val="18"/>
        </w:rPr>
      </w:pPr>
      <w:r w:rsidRPr="00632DCB">
        <w:rPr>
          <w:rFonts w:ascii="Verdana" w:hAnsi="Verdana"/>
          <w:sz w:val="18"/>
          <w:szCs w:val="18"/>
        </w:rPr>
        <w:t>Onverzekerbare vreemdelingen: Regeling onverzekerbare vreemdelingen (OVV)</w:t>
      </w:r>
    </w:p>
    <w:p w:rsidR="00D34025" w:rsidP="005D5E64" w:rsidRDefault="006C5F1D" w14:paraId="444466A1" w14:textId="05422607">
      <w:r w:rsidRPr="00632DCB">
        <w:t>Deze voorzieningen dekken meerdere vormen van zorg</w:t>
      </w:r>
      <w:r w:rsidR="00FD445F">
        <w:t>. We</w:t>
      </w:r>
      <w:r w:rsidR="00C727FC">
        <w:t xml:space="preserve"> </w:t>
      </w:r>
      <w:r w:rsidRPr="00632DCB">
        <w:t xml:space="preserve">gaan nu in op de mondzorgdekking </w:t>
      </w:r>
      <w:r w:rsidR="00FD445F">
        <w:t xml:space="preserve">binnen </w:t>
      </w:r>
      <w:r w:rsidRPr="00632DCB">
        <w:t>deze voorzieningen.</w:t>
      </w:r>
    </w:p>
    <w:p w:rsidR="00D34025" w:rsidP="005D5E64" w:rsidRDefault="003C194A" w14:paraId="3C6546FF" w14:textId="4A92C71A">
      <w:r w:rsidRPr="00632DCB">
        <w:t xml:space="preserve">De RMA en RMO vallen onder de verantwoordelijkheid van de minister van </w:t>
      </w:r>
      <w:proofErr w:type="spellStart"/>
      <w:r w:rsidRPr="00632DCB">
        <w:t>JenV</w:t>
      </w:r>
      <w:proofErr w:type="spellEnd"/>
      <w:r w:rsidRPr="00632DCB">
        <w:t xml:space="preserve">. </w:t>
      </w:r>
      <w:r w:rsidRPr="00632DCB" w:rsidR="005B0308">
        <w:t xml:space="preserve">Op basis van deze regelingen hebben asielzoekers en ontheemden uit Oekraïne </w:t>
      </w:r>
      <w:r w:rsidRPr="00632DCB">
        <w:t>recht op noodhulp bij ernstige pijn- en/of kauwklachten, tot een maximum van €</w:t>
      </w:r>
      <w:r w:rsidRPr="00632DCB" w:rsidR="005559E3">
        <w:t> </w:t>
      </w:r>
      <w:r w:rsidRPr="00632DCB" w:rsidR="005B0308">
        <w:t>3</w:t>
      </w:r>
      <w:r w:rsidRPr="00632DCB">
        <w:t>50 per jaar.</w:t>
      </w:r>
      <w:r w:rsidR="001E3C6E">
        <w:t xml:space="preserve"> </w:t>
      </w:r>
      <w:r w:rsidRPr="00632DCB">
        <w:t>Kinderen tot 18 jaar krijgen tandzorg, inclusief een jaarlijkse preventieve controle, vergoed</w:t>
      </w:r>
      <w:r w:rsidR="00EF34C3">
        <w:t xml:space="preserve"> op dezelfde wijze als dat is geregeld in</w:t>
      </w:r>
      <w:r w:rsidRPr="00632DCB">
        <w:t xml:space="preserve"> de basisverzekering. </w:t>
      </w:r>
      <w:r w:rsidRPr="00632DCB" w:rsidR="00B63420">
        <w:t xml:space="preserve">De dekking en de vergoeding zijn voortgekomen vanuit ervaringen met de behoefte van de doelgroep en consensus bij de uitvoerders van de regelingen. </w:t>
      </w:r>
    </w:p>
    <w:p w:rsidRPr="00632DCB" w:rsidR="005B0308" w:rsidP="005D5E64" w:rsidRDefault="005B0308" w14:paraId="3F19505F" w14:textId="7DED165E">
      <w:r w:rsidRPr="00632DCB">
        <w:t>De SOV en OVV vallen onder de verantwoordelijkheid van de minister van VWS</w:t>
      </w:r>
      <w:r w:rsidRPr="00632DCB" w:rsidR="00B63420">
        <w:t xml:space="preserve"> en worden uitgevoerd door het CAK</w:t>
      </w:r>
      <w:r w:rsidRPr="00632DCB">
        <w:t xml:space="preserve">. De dekking voor mondzorg in de SOV en OVV is gelijk aan </w:t>
      </w:r>
      <w:r w:rsidR="000B1919">
        <w:t xml:space="preserve">die van </w:t>
      </w:r>
      <w:r w:rsidRPr="00632DCB">
        <w:t xml:space="preserve">de basisverzekering. Noodhulp wordt </w:t>
      </w:r>
      <w:r w:rsidR="00FD445F">
        <w:t xml:space="preserve">onder deze regelingen </w:t>
      </w:r>
      <w:r w:rsidRPr="00632DCB">
        <w:t xml:space="preserve">niet vergoed. </w:t>
      </w:r>
    </w:p>
    <w:p w:rsidRPr="00632DCB" w:rsidR="00212690" w:rsidP="005D5E64" w:rsidRDefault="00212690" w14:paraId="61A7B4DC" w14:textId="77777777"/>
    <w:p w:rsidRPr="00632DCB" w:rsidR="00212690" w:rsidP="005D5E64" w:rsidRDefault="00212690" w14:paraId="10796A9C" w14:textId="334FE741">
      <w:r w:rsidRPr="00632DCB">
        <w:rPr>
          <w:bCs/>
        </w:rPr>
        <w:lastRenderedPageBreak/>
        <w:t xml:space="preserve">De regelingen voor bijzondere groepen, en met name de RMA en RMO, zijn goede voorbeelden </w:t>
      </w:r>
      <w:r w:rsidRPr="00632DCB" w:rsidR="004623B4">
        <w:rPr>
          <w:bCs/>
        </w:rPr>
        <w:t xml:space="preserve">van </w:t>
      </w:r>
      <w:r w:rsidRPr="00632DCB">
        <w:rPr>
          <w:bCs/>
        </w:rPr>
        <w:t xml:space="preserve">een gerichte maatregel. </w:t>
      </w:r>
      <w:r w:rsidR="00F47EE9">
        <w:rPr>
          <w:bCs/>
        </w:rPr>
        <w:t>Dit kan omdat deze</w:t>
      </w:r>
      <w:r w:rsidRPr="00632DCB">
        <w:rPr>
          <w:bCs/>
        </w:rPr>
        <w:t xml:space="preserve"> genoemde bijzondere groepen goed </w:t>
      </w:r>
      <w:r w:rsidRPr="00632DCB" w:rsidR="00F90B90">
        <w:rPr>
          <w:bCs/>
        </w:rPr>
        <w:t xml:space="preserve">zijn </w:t>
      </w:r>
      <w:r w:rsidRPr="00632DCB">
        <w:rPr>
          <w:bCs/>
        </w:rPr>
        <w:t xml:space="preserve">afgebakend en geregistreerd. </w:t>
      </w:r>
      <w:r w:rsidR="00F90B90">
        <w:rPr>
          <w:bCs/>
        </w:rPr>
        <w:t>Dit is niet het geval voor wie om financiële redenen mondzorg mijdt. Dat betreft namelijk een diverse groep</w:t>
      </w:r>
      <w:r w:rsidR="0018693F">
        <w:rPr>
          <w:bCs/>
        </w:rPr>
        <w:t xml:space="preserve"> die niet als zodanig geregistreerd staat.</w:t>
      </w:r>
    </w:p>
    <w:p w:rsidRPr="00632DCB" w:rsidR="00B940A6" w:rsidP="005D5E64" w:rsidRDefault="00B940A6" w14:paraId="173680A9" w14:textId="77777777">
      <w:pPr>
        <w:rPr>
          <w:b/>
          <w:bCs/>
        </w:rPr>
      </w:pPr>
    </w:p>
    <w:p w:rsidRPr="00632DCB" w:rsidR="00B24CE2" w:rsidP="000B03DB" w:rsidRDefault="00B24CE2" w14:paraId="63B5639E" w14:textId="37642043">
      <w:pPr>
        <w:pStyle w:val="Kop2"/>
      </w:pPr>
      <w:bookmarkStart w:name="_Toc214547149" w:id="273"/>
      <w:r w:rsidRPr="00632DCB">
        <w:t>De aanvullende mondzorgverzekering</w:t>
      </w:r>
      <w:bookmarkEnd w:id="273"/>
    </w:p>
    <w:p w:rsidRPr="00632DCB" w:rsidR="00276BBE" w:rsidP="005D5E64" w:rsidRDefault="008B6CB5" w14:paraId="4AC69838" w14:textId="14A27573">
      <w:r w:rsidRPr="00632DCB">
        <w:t>De aanvullende zorgverzekering voor mondzorg is</w:t>
      </w:r>
      <w:r w:rsidRPr="00632DCB" w:rsidR="00B940A6">
        <w:t xml:space="preserve"> een financieel product </w:t>
      </w:r>
      <w:r w:rsidR="00EF4704">
        <w:t>dat aangeboden wordt door</w:t>
      </w:r>
      <w:r w:rsidRPr="00632DCB" w:rsidR="00EF4704">
        <w:t xml:space="preserve"> </w:t>
      </w:r>
      <w:r w:rsidRPr="00632DCB" w:rsidR="005D5E64">
        <w:t xml:space="preserve">zorgverzekeraars </w:t>
      </w:r>
      <w:r w:rsidR="00E5009E">
        <w:t xml:space="preserve">waar de verzekerde zelf voor </w:t>
      </w:r>
      <w:r w:rsidR="00454235">
        <w:t>kan kiezen</w:t>
      </w:r>
      <w:r w:rsidRPr="00632DCB">
        <w:t xml:space="preserve">. </w:t>
      </w:r>
      <w:r w:rsidR="00EF4704">
        <w:t>H</w:t>
      </w:r>
      <w:r w:rsidR="00454235">
        <w:t xml:space="preserve">et aanbod voor een aanvullende </w:t>
      </w:r>
      <w:r w:rsidR="00FD445F">
        <w:t>zorgverzekeringen met mondzorgdekking</w:t>
      </w:r>
      <w:r w:rsidR="00EF4704">
        <w:t xml:space="preserve"> </w:t>
      </w:r>
      <w:r w:rsidR="001E2BD4">
        <w:t>verschilt</w:t>
      </w:r>
      <w:r w:rsidR="00454235">
        <w:t xml:space="preserve"> per zorgverzekeraar. Doorgaans worden de volgende pakketten aangeboden:</w:t>
      </w:r>
      <w:r w:rsidRPr="00632DCB" w:rsidR="00276BBE">
        <w:t xml:space="preserve"> </w:t>
      </w:r>
      <w:r w:rsidR="00454235">
        <w:t xml:space="preserve">een </w:t>
      </w:r>
      <w:r w:rsidRPr="00632DCB" w:rsidR="00276BBE">
        <w:t>bas</w:t>
      </w:r>
      <w:r w:rsidRPr="00632DCB" w:rsidR="004D4379">
        <w:t xml:space="preserve">ale </w:t>
      </w:r>
      <w:r w:rsidRPr="00632DCB" w:rsidR="00276BBE">
        <w:t xml:space="preserve">verzekeringen </w:t>
      </w:r>
      <w:r w:rsidR="00454235">
        <w:t xml:space="preserve">die </w:t>
      </w:r>
      <w:r w:rsidR="00EF4704">
        <w:t>€</w:t>
      </w:r>
      <w:r w:rsidRPr="00632DCB" w:rsidR="00276BBE">
        <w:t xml:space="preserve">100-250 </w:t>
      </w:r>
      <w:r w:rsidR="00454235">
        <w:t xml:space="preserve">dekken </w:t>
      </w:r>
      <w:r w:rsidRPr="00632DCB" w:rsidR="00276BBE">
        <w:t xml:space="preserve">per jaar, </w:t>
      </w:r>
      <w:proofErr w:type="spellStart"/>
      <w:r w:rsidRPr="00632DCB" w:rsidR="00276BBE">
        <w:t>middenpakketten</w:t>
      </w:r>
      <w:proofErr w:type="spellEnd"/>
      <w:r w:rsidRPr="00632DCB" w:rsidR="00276BBE">
        <w:t xml:space="preserve"> </w:t>
      </w:r>
      <w:r w:rsidR="00454235">
        <w:t xml:space="preserve">die </w:t>
      </w:r>
      <w:r w:rsidR="00EF4704">
        <w:t>€</w:t>
      </w:r>
      <w:r w:rsidRPr="00632DCB" w:rsidR="00276BBE">
        <w:t xml:space="preserve">300-500 </w:t>
      </w:r>
      <w:r w:rsidR="00454235">
        <w:t>dekken per jaar</w:t>
      </w:r>
      <w:r w:rsidRPr="00632DCB" w:rsidR="00276BBE">
        <w:t xml:space="preserve"> en uitgebreide pakketten </w:t>
      </w:r>
      <w:r w:rsidR="00454235">
        <w:t xml:space="preserve">die </w:t>
      </w:r>
      <w:r w:rsidRPr="00632DCB" w:rsidR="00276BBE">
        <w:t xml:space="preserve">tot </w:t>
      </w:r>
      <w:r w:rsidR="007C6462">
        <w:t>€</w:t>
      </w:r>
      <w:r w:rsidRPr="00632DCB" w:rsidR="00276BBE">
        <w:t>1000 of meer</w:t>
      </w:r>
      <w:r w:rsidR="00454235">
        <w:t xml:space="preserve"> dekken per jaar</w:t>
      </w:r>
      <w:r w:rsidRPr="00632DCB" w:rsidR="00276BBE">
        <w:t>. Een groot deel van de reguliere verzekeringen vergoedt 75%</w:t>
      </w:r>
      <w:r w:rsidRPr="00632DCB" w:rsidR="004623B4">
        <w:t xml:space="preserve"> van de kosten</w:t>
      </w:r>
      <w:r w:rsidR="00F90B90">
        <w:t xml:space="preserve"> per behandeling</w:t>
      </w:r>
      <w:r w:rsidRPr="00632DCB" w:rsidR="00276BBE">
        <w:t>, waardoor verzekerden 25% zelf moeten betalen.</w:t>
      </w:r>
    </w:p>
    <w:p w:rsidRPr="00632DCB" w:rsidR="00276BBE" w:rsidP="005D5E64" w:rsidRDefault="00276BBE" w14:paraId="54784281" w14:textId="77777777"/>
    <w:p w:rsidRPr="00632DCB" w:rsidR="008B6CB5" w:rsidP="005D5E64" w:rsidRDefault="008B6CB5" w14:paraId="6AB60738" w14:textId="54CD1BCB">
      <w:r w:rsidRPr="00632DCB">
        <w:t>In 2024 had 63% van de volwassen verzekerden een</w:t>
      </w:r>
      <w:r w:rsidR="00FD445F">
        <w:t xml:space="preserve"> aanvullende zorgverzekering met mondzorgdekking</w:t>
      </w:r>
      <w:r w:rsidRPr="00632DCB">
        <w:t>. In 2020 was dit 66%</w:t>
      </w:r>
      <w:r w:rsidR="00CA1021">
        <w:rPr>
          <w:rStyle w:val="Voetnootmarkering"/>
        </w:rPr>
        <w:footnoteReference w:id="12"/>
      </w:r>
      <w:r w:rsidRPr="00632DCB">
        <w:t xml:space="preserve">. Het effect van verzekering is duidelijk meetbaar. Bij mensen met lagere inkomens gaat 52% zonder tandartsverzekering minimaal één keer per jaar naar de tandarts, tegenover 82% van degenen die wel verzekerd zijn. Bij </w:t>
      </w:r>
      <w:r w:rsidR="000B1919">
        <w:t xml:space="preserve">mensen met </w:t>
      </w:r>
      <w:r w:rsidRPr="00632DCB">
        <w:t>hogere inkomens is dit verschil kleiner</w:t>
      </w:r>
      <w:r w:rsidR="00D34025">
        <w:t>,</w:t>
      </w:r>
      <w:r w:rsidRPr="00632DCB">
        <w:t xml:space="preserve"> omdat zij tandartskosten </w:t>
      </w:r>
      <w:r w:rsidR="008528F2">
        <w:t>vaker</w:t>
      </w:r>
      <w:r w:rsidRPr="00632DCB" w:rsidR="008528F2">
        <w:t xml:space="preserve"> </w:t>
      </w:r>
      <w:r w:rsidRPr="00632DCB">
        <w:t>zelf kunnen dragen.</w:t>
      </w:r>
      <w:r w:rsidRPr="00632DCB" w:rsidR="00126A93">
        <w:rPr>
          <w:rStyle w:val="Voetnootmarkering"/>
        </w:rPr>
        <w:footnoteReference w:id="13"/>
      </w:r>
    </w:p>
    <w:p w:rsidRPr="00632DCB" w:rsidR="00276BBE" w:rsidP="005D5E64" w:rsidRDefault="00276BBE" w14:paraId="5737E12C" w14:textId="77777777"/>
    <w:p w:rsidRPr="00632DCB" w:rsidR="00FA1FDF" w:rsidP="005D5E64" w:rsidRDefault="00212690" w14:paraId="5F42D508" w14:textId="10F29562">
      <w:r w:rsidRPr="00632DCB">
        <w:t xml:space="preserve">De aanvullende mondzorgverzekering draagt bij aan de toegankelijkheid van de mondzorg, maar </w:t>
      </w:r>
      <w:r w:rsidRPr="00632DCB" w:rsidR="006C5F1D">
        <w:t xml:space="preserve">biedt niet voor iedereen een </w:t>
      </w:r>
      <w:r w:rsidRPr="00632DCB" w:rsidR="00FB2A60">
        <w:t>oplossing.</w:t>
      </w:r>
      <w:r w:rsidRPr="00632DCB" w:rsidR="00276BBE">
        <w:t xml:space="preserve"> Minima geven aan dat de aanvullende zorgverzekering soms onvoldoende dekking geeft </w:t>
      </w:r>
      <w:r w:rsidRPr="00632DCB" w:rsidR="00FA1FDF">
        <w:t xml:space="preserve">of dat de eigen </w:t>
      </w:r>
      <w:r w:rsidRPr="00632DCB" w:rsidR="00625090">
        <w:t xml:space="preserve">bijdrage </w:t>
      </w:r>
      <w:r w:rsidRPr="00632DCB" w:rsidR="00FA1FDF">
        <w:t xml:space="preserve">een probleem vormt. Er zijn ook minima voor wie de premie te hoog is of </w:t>
      </w:r>
      <w:r w:rsidR="008528F2">
        <w:t>die</w:t>
      </w:r>
      <w:r w:rsidRPr="00632DCB" w:rsidR="008528F2">
        <w:t xml:space="preserve"> </w:t>
      </w:r>
      <w:r w:rsidRPr="00632DCB" w:rsidR="00FA1FDF">
        <w:t>zijn geroyeerd van</w:t>
      </w:r>
      <w:r w:rsidRPr="00632DCB" w:rsidR="000162C7">
        <w:t>wege</w:t>
      </w:r>
      <w:r w:rsidRPr="00632DCB" w:rsidR="00FA1FDF">
        <w:t xml:space="preserve"> een betalingsachterstand. </w:t>
      </w:r>
      <w:r w:rsidRPr="00632DCB" w:rsidR="006C5F1D">
        <w:t xml:space="preserve">   </w:t>
      </w:r>
    </w:p>
    <w:p w:rsidRPr="00632DCB" w:rsidR="00FA1FDF" w:rsidP="005D5E64" w:rsidRDefault="00FA1FDF" w14:paraId="16FED96F" w14:textId="77777777">
      <w:pPr>
        <w:rPr>
          <w:i/>
          <w:iCs/>
        </w:rPr>
      </w:pPr>
    </w:p>
    <w:p w:rsidRPr="00632DCB" w:rsidR="00151251" w:rsidP="005D5E64" w:rsidRDefault="00151251" w14:paraId="7D858E17" w14:textId="3048A78F">
      <w:pPr>
        <w:pStyle w:val="Kop2"/>
      </w:pPr>
      <w:bookmarkStart w:name="_Toc202788171" w:id="274"/>
      <w:bookmarkStart w:name="_Toc214547150" w:id="275"/>
      <w:r w:rsidRPr="00632DCB">
        <w:t>Gemeentelijke</w:t>
      </w:r>
      <w:r w:rsidR="00D50F0C">
        <w:t xml:space="preserve"> en lokaal</w:t>
      </w:r>
      <w:r w:rsidRPr="00632DCB">
        <w:t xml:space="preserve"> instrumentarium</w:t>
      </w:r>
      <w:bookmarkEnd w:id="274"/>
      <w:bookmarkEnd w:id="275"/>
    </w:p>
    <w:p w:rsidRPr="00632DCB" w:rsidR="005B0308" w:rsidP="005D5E64" w:rsidRDefault="005B0308" w14:paraId="60C711A9" w14:textId="4B2FC517">
      <w:r w:rsidRPr="00632DCB">
        <w:t xml:space="preserve">Gemeenten en </w:t>
      </w:r>
      <w:proofErr w:type="spellStart"/>
      <w:r w:rsidRPr="00632DCB">
        <w:t>GGD’en</w:t>
      </w:r>
      <w:proofErr w:type="spellEnd"/>
      <w:r w:rsidRPr="00632DCB">
        <w:t xml:space="preserve"> spelen een rol in het bevorderen van mondgezondheid</w:t>
      </w:r>
      <w:r w:rsidRPr="00632DCB" w:rsidR="002215CF">
        <w:t xml:space="preserve"> als onderdeel van lokaal gezondheidsbeleid</w:t>
      </w:r>
      <w:r w:rsidR="00FD445F">
        <w:t xml:space="preserve"> </w:t>
      </w:r>
      <w:r w:rsidRPr="00632DCB">
        <w:t xml:space="preserve">via </w:t>
      </w:r>
      <w:r w:rsidRPr="00632DCB" w:rsidR="00335894">
        <w:t xml:space="preserve">onder andere </w:t>
      </w:r>
      <w:r w:rsidRPr="00632DCB">
        <w:t>preventie en signalering. Zij geven collectieve voorlichting, onder andere via consultatiebureaus en jeugdgezondheidszorg, en signaleren mondproblemen bij kinderen en kwetsbare groepen</w:t>
      </w:r>
      <w:r w:rsidR="008528F2">
        <w:t xml:space="preserve"> en verwijzen waar nodig door </w:t>
      </w:r>
      <w:r w:rsidR="005C7D42">
        <w:t>naar de tandarts</w:t>
      </w:r>
      <w:r w:rsidRPr="00632DCB">
        <w:t xml:space="preserve">. </w:t>
      </w:r>
    </w:p>
    <w:p w:rsidRPr="00632DCB" w:rsidR="00F2130F" w:rsidP="005D5E64" w:rsidRDefault="00F2130F" w14:paraId="31A60EFB" w14:textId="67F105EC">
      <w:r w:rsidRPr="00632DCB">
        <w:t xml:space="preserve">De </w:t>
      </w:r>
      <w:r w:rsidRPr="00632DCB" w:rsidR="002215CF">
        <w:t xml:space="preserve">gemeenten </w:t>
      </w:r>
      <w:r w:rsidRPr="00632DCB">
        <w:t>he</w:t>
      </w:r>
      <w:r w:rsidRPr="00632DCB" w:rsidR="002215CF">
        <w:t>bben</w:t>
      </w:r>
      <w:r w:rsidRPr="00632DCB">
        <w:t xml:space="preserve"> invloed op de financiële toegang tot de mondzorg via het voeren van armoedebeleid en het bieden van minimaregelingen.</w:t>
      </w:r>
      <w:r w:rsidRPr="00632DCB" w:rsidR="00CE6A2B">
        <w:t xml:space="preserve"> In het rapport ‘Ongewenste mijding van mondzorg om financiële redenen’ (2023) beschrijft BS&amp;F de categorale bijzondere bijstand (gemeentepolis), individuele bijstand,</w:t>
      </w:r>
      <w:r w:rsidRPr="00632DCB" w:rsidR="00BD1597">
        <w:t xml:space="preserve"> noodfondsen,</w:t>
      </w:r>
      <w:r w:rsidRPr="00632DCB" w:rsidR="00CE6A2B">
        <w:t xml:space="preserve"> </w:t>
      </w:r>
      <w:r w:rsidRPr="00632DCB" w:rsidR="00BD1597">
        <w:t>financiële tegemoetkoming medische kosten, diverse lokale initiatieven en de ‘sociale tandarts’. Hieronder worden</w:t>
      </w:r>
      <w:r w:rsidR="001E2BD4">
        <w:t>,</w:t>
      </w:r>
      <w:r w:rsidR="009B055C">
        <w:t xml:space="preserve"> in verband met de leesbaarheid</w:t>
      </w:r>
      <w:r w:rsidR="001E2BD4">
        <w:t>,</w:t>
      </w:r>
      <w:r w:rsidRPr="00632DCB" w:rsidR="00BD1597">
        <w:t xml:space="preserve"> de eerste drie maatregelen beschreven</w:t>
      </w:r>
      <w:r w:rsidRPr="00632DCB" w:rsidR="009067CD">
        <w:t>.</w:t>
      </w:r>
    </w:p>
    <w:p w:rsidRPr="00632DCB" w:rsidR="00134C4A" w:rsidP="005D5E64" w:rsidRDefault="00134C4A" w14:paraId="6C3797B9" w14:textId="77777777"/>
    <w:p w:rsidRPr="00632DCB" w:rsidR="00CE1689" w:rsidP="005D5E64" w:rsidRDefault="00CE1689" w14:paraId="129CA16A" w14:textId="18931AA7">
      <w:pPr>
        <w:rPr>
          <w:i/>
          <w:iCs/>
        </w:rPr>
      </w:pPr>
      <w:r w:rsidRPr="00632DCB">
        <w:rPr>
          <w:i/>
          <w:iCs/>
        </w:rPr>
        <w:t>Categorale bijstand: gemeentepolis</w:t>
      </w:r>
    </w:p>
    <w:p w:rsidR="00DA0924" w:rsidP="00DA0924" w:rsidRDefault="006C0BFA" w14:paraId="6F2340CA" w14:textId="13F7C9F7">
      <w:r w:rsidRPr="00632DCB">
        <w:t>Het belangrijkste instrument voor gemeenten</w:t>
      </w:r>
      <w:r w:rsidRPr="00632DCB" w:rsidR="00912757">
        <w:t xml:space="preserve"> </w:t>
      </w:r>
      <w:r w:rsidRPr="00632DCB">
        <w:t xml:space="preserve">om de beschikbaarheid van mondzorg voor minima te bevorderen is </w:t>
      </w:r>
      <w:r w:rsidR="00F06FDA">
        <w:t xml:space="preserve">op dit moment </w:t>
      </w:r>
      <w:r w:rsidRPr="00632DCB">
        <w:t xml:space="preserve">de gemeentepolis. </w:t>
      </w:r>
      <w:r w:rsidRPr="00632DCB" w:rsidR="00DC201A">
        <w:t xml:space="preserve">Afhankelijk van de politieke keuzes en beschikbare budgettaire middelen zijn er verschillen in wat voor </w:t>
      </w:r>
      <w:r w:rsidRPr="00632DCB" w:rsidR="00DC201A">
        <w:lastRenderedPageBreak/>
        <w:t xml:space="preserve">gemeentepolis (qua doelgroep, dekking en gemeentelijke bijdrage) gemeenten aanbieden. </w:t>
      </w:r>
      <w:r w:rsidRPr="00632DCB">
        <w:t xml:space="preserve">Circa </w:t>
      </w:r>
      <w:r w:rsidRPr="00632DCB" w:rsidR="00B40CF8">
        <w:t xml:space="preserve">95% van de gemeenten biedt een gemeentepolis aan en </w:t>
      </w:r>
      <w:r w:rsidRPr="00632DCB">
        <w:t>635.000 mensen maken gebruik van de gemeentepolis</w:t>
      </w:r>
      <w:r w:rsidRPr="00632DCB" w:rsidR="000162C7">
        <w:t>.</w:t>
      </w:r>
      <w:r w:rsidRPr="00632DCB">
        <w:rPr>
          <w:rStyle w:val="Voetnootmarkering"/>
        </w:rPr>
        <w:footnoteReference w:id="14"/>
      </w:r>
      <w:r w:rsidRPr="00632DCB">
        <w:t xml:space="preserve"> D</w:t>
      </w:r>
      <w:r w:rsidRPr="00632DCB" w:rsidR="000162C7">
        <w:t>e gemeentepolis</w:t>
      </w:r>
      <w:r w:rsidRPr="00632DCB">
        <w:t xml:space="preserve"> is een collectieve zorgverzekering voor minima die bestaat uit een basisverzekering en een aanvullende verzekering waar altijd ook mondzorg inzit</w:t>
      </w:r>
      <w:r w:rsidR="0014075A">
        <w:t>,</w:t>
      </w:r>
      <w:r w:rsidRPr="00632DCB">
        <w:t xml:space="preserve"> met doorgaans 100% vergoeding </w:t>
      </w:r>
      <w:r w:rsidRPr="00632DCB" w:rsidR="00882252">
        <w:t xml:space="preserve">(in plaats van zoals bij veel reguliere tandartsverzekeringen 75%) </w:t>
      </w:r>
      <w:r w:rsidRPr="00632DCB">
        <w:t>tot een maximumbedrag.</w:t>
      </w:r>
      <w:r w:rsidR="0051756D">
        <w:t xml:space="preserve"> </w:t>
      </w:r>
      <w:r w:rsidRPr="00632DCB" w:rsidR="00DF6F8B">
        <w:t xml:space="preserve">In de gemeentepolis verschilt de maximale dekking voor mondzorg per zorgverzekeraar, veel pakketten voldoen al grotendeels aan de ‘Handreiking voor acute en noodzakelijke </w:t>
      </w:r>
      <w:r w:rsidR="00DF6F8B">
        <w:t>mondzorg’</w:t>
      </w:r>
      <w:r w:rsidRPr="00632DCB" w:rsidR="00DF6F8B">
        <w:t xml:space="preserve"> die door de Mondzorgalliantie is opgesteld. </w:t>
      </w:r>
      <w:r w:rsidR="0051756D">
        <w:t xml:space="preserve">Ook zijn andere vormen van zorg, bijvoorbeeld brillen of fysiotherapie aanvullend meeverzekerd. Gemeentepolissen bieden daarmee een relatief uitgebreide dekking. </w:t>
      </w:r>
      <w:r w:rsidRPr="00632DCB">
        <w:t>De gemeentepolis wordt tegen een lagere premie aangeboden</w:t>
      </w:r>
      <w:r w:rsidR="008528F2">
        <w:t xml:space="preserve"> dan een reguliere aanvullende verzekering</w:t>
      </w:r>
      <w:r w:rsidRPr="00632DCB">
        <w:t xml:space="preserve"> dankzij een bijdrage van de gemeente die </w:t>
      </w:r>
      <w:r w:rsidRPr="00632DCB" w:rsidR="006C5F1D">
        <w:t xml:space="preserve">momenteel </w:t>
      </w:r>
      <w:r w:rsidRPr="00632DCB">
        <w:t xml:space="preserve">varieert van € 10 tot </w:t>
      </w:r>
      <w:r w:rsidR="000B1919">
        <w:t>rond de</w:t>
      </w:r>
      <w:r w:rsidRPr="00632DCB">
        <w:t xml:space="preserve"> € </w:t>
      </w:r>
      <w:r w:rsidRPr="00632DCB" w:rsidR="00870787">
        <w:t>67 per maand</w:t>
      </w:r>
      <w:r w:rsidRPr="00632DCB" w:rsidR="00870787">
        <w:rPr>
          <w:rStyle w:val="Voetnootmarkering"/>
        </w:rPr>
        <w:footnoteReference w:id="15"/>
      </w:r>
      <w:r w:rsidRPr="00632DCB">
        <w:t xml:space="preserve">, en een premiekorting door de zorgverzekeraar. </w:t>
      </w:r>
      <w:r w:rsidRPr="00632DCB" w:rsidR="00564E12">
        <w:t xml:space="preserve">Adviesbureau BS&amp;F geeft in zijn leidraad voor gemeenten aan dat de hoogte van de premie voor veel mensen wordt gezien als een belangrijk aspect voor de keuze van de zorgverzekering en dat dit het sterkst geldt voor mensen zonder aanvullende verzekering. Door de </w:t>
      </w:r>
      <w:r w:rsidR="008528F2">
        <w:t xml:space="preserve">lagere </w:t>
      </w:r>
      <w:r w:rsidRPr="00632DCB" w:rsidR="00564E12">
        <w:t xml:space="preserve">premie is de gemeentepolis aantrekkelijker dan een reguliere </w:t>
      </w:r>
      <w:r w:rsidR="008528F2">
        <w:t xml:space="preserve">aanvullende </w:t>
      </w:r>
      <w:r w:rsidRPr="00632DCB" w:rsidR="00564E12">
        <w:t>zorgverzekering</w:t>
      </w:r>
      <w:r w:rsidR="0051756D">
        <w:t xml:space="preserve"> met een vergelijkbare dekking</w:t>
      </w:r>
      <w:r w:rsidRPr="00632DCB" w:rsidR="00564E12">
        <w:t>.</w:t>
      </w:r>
    </w:p>
    <w:p w:rsidRPr="00632DCB" w:rsidR="00DB7BD7" w:rsidP="005D5E64" w:rsidRDefault="00DA0924" w14:paraId="11600494" w14:textId="191E9329">
      <w:r w:rsidRPr="00632DCB">
        <w:t>Adviesbureau BS&amp;F ziet de gemeentepolis als een effectief instrument aangezien vanwege de mondzorgverzekering deelnemers van de gemeentepolis vaker gebruik maken van mondzorg</w:t>
      </w:r>
      <w:r w:rsidRPr="00632DCB">
        <w:rPr>
          <w:rStyle w:val="Voetnootmarkering"/>
        </w:rPr>
        <w:footnoteReference w:id="16"/>
      </w:r>
      <w:r w:rsidRPr="00632DCB">
        <w:t xml:space="preserve">. </w:t>
      </w:r>
      <w:r>
        <w:t>Tegelijkertijd is het zo dat</w:t>
      </w:r>
      <w:r w:rsidRPr="00632DCB">
        <w:t xml:space="preserve"> de gemeentepolis voor een deel van de doelgroep een te uitgebreide dekking</w:t>
      </w:r>
      <w:r>
        <w:t xml:space="preserve"> heeft</w:t>
      </w:r>
      <w:r w:rsidRPr="00632DCB">
        <w:t xml:space="preserve"> vanwege de dekking voor bijvoorbeeld brillen, fysiotherapie en een herverzekering van het eigen risico</w:t>
      </w:r>
      <w:r>
        <w:t xml:space="preserve">. Voor minima </w:t>
      </w:r>
      <w:r w:rsidRPr="00632DCB">
        <w:t>met een lage zorgvraag</w:t>
      </w:r>
      <w:r>
        <w:t xml:space="preserve"> is de gemeentepolis daarom minder passend</w:t>
      </w:r>
      <w:r w:rsidRPr="00632DCB">
        <w:t xml:space="preserve">. </w:t>
      </w:r>
      <w:r w:rsidR="00D50F0C">
        <w:t xml:space="preserve"> </w:t>
      </w:r>
      <w:r w:rsidRPr="00632DCB">
        <w:t xml:space="preserve"> </w:t>
      </w:r>
    </w:p>
    <w:p w:rsidRPr="00632DCB" w:rsidR="005B0308" w:rsidP="005D5E64" w:rsidRDefault="005B0308" w14:paraId="6FA4926F" w14:textId="77777777">
      <w:bookmarkStart w:name="_Hlk212036109" w:id="276"/>
    </w:p>
    <w:p w:rsidRPr="00632DCB" w:rsidR="00CE1689" w:rsidP="005D5E64" w:rsidRDefault="00CE6A2B" w14:paraId="1DE913BC" w14:textId="2D04E12A">
      <w:pPr>
        <w:rPr>
          <w:i/>
          <w:iCs/>
        </w:rPr>
      </w:pPr>
      <w:r w:rsidRPr="00632DCB">
        <w:rPr>
          <w:i/>
          <w:iCs/>
        </w:rPr>
        <w:t>Individuele b</w:t>
      </w:r>
      <w:r w:rsidRPr="00632DCB" w:rsidR="00CE1689">
        <w:rPr>
          <w:i/>
          <w:iCs/>
        </w:rPr>
        <w:t>ijzondere bijstand</w:t>
      </w:r>
    </w:p>
    <w:p w:rsidRPr="00440A5E" w:rsidR="00ED645B" w:rsidP="00ED645B" w:rsidRDefault="00ED645B" w14:paraId="4087D620" w14:textId="77777777">
      <w:r w:rsidRPr="00440A5E">
        <w:t xml:space="preserve">Bijzondere bijstand is een vorm van bijstand die wordt verstrekt indien er door bijzondere omstandigheden noodzakelijke kosten gemaakt moeten worden die niet uit het normale inkomen kunnen worden voldaan. Er bestaat geen recht op bijzondere bijstand voor kosten waarvoor een beroep kan worden gedaan op een voorliggende voorziening die, gezien haar aard en doel, voor de belanghebbende wordt geacht toereikend en passend te zijn. </w:t>
      </w:r>
    </w:p>
    <w:p w:rsidRPr="00440A5E" w:rsidR="00ED645B" w:rsidP="00ED645B" w:rsidRDefault="00ED645B" w14:paraId="362E6FFA" w14:textId="77777777"/>
    <w:p w:rsidR="00830B29" w:rsidP="005D5E64" w:rsidRDefault="00ED645B" w14:paraId="43F55B66" w14:textId="3D5FF43E">
      <w:r w:rsidRPr="00440A5E">
        <w:t>Voor sommige zorg gerelateerde kosten, zoals mondzorgkosten, is de zorgverzekering (met aanvullende verzekeringen, waaronder de gemeentepolis) aan te merken als voorliggende voorziening waarvoor bijzondere bijstand in principe niet mogelijk is. Kosten die door de wetgever niet zijn opgenomen in de verzekering worden volgens jurisprudentie namelijk niet aangemerkt als noodzakelijke kosten van het bestaan en komen daardoor ook niet voor vergoeding vanuit de bijzonder</w:t>
      </w:r>
      <w:r w:rsidR="0083626E">
        <w:t>e</w:t>
      </w:r>
      <w:r w:rsidRPr="00440A5E">
        <w:t xml:space="preserve"> bijstand in aanmerking. Uitzonderingen zijn wel mogelijk als de gemeente in een individuele situatie de afweging maakt dat er sprake is van bijzondere omstandigheden waardoor het de aanvrager niet verweten kan worden dat er geen gebruik is gemaakt van een voorliggende voorziening. Het komt daarnaast ook voor dat gemeenten buitenwettelijk begunstigend beleid voeren om toch bijzondere bijstand voor tandheelkundige zorg te verstrekken. </w:t>
      </w:r>
      <w:bookmarkEnd w:id="276"/>
    </w:p>
    <w:p w:rsidR="00440A5E" w:rsidP="005D5E64" w:rsidRDefault="00440A5E" w14:paraId="12A76FD2" w14:textId="77777777"/>
    <w:p w:rsidRPr="00632DCB" w:rsidR="001E3C6E" w:rsidP="005D5E64" w:rsidRDefault="001E3C6E" w14:paraId="7273A116" w14:textId="77777777"/>
    <w:p w:rsidRPr="00632DCB" w:rsidR="00CE1689" w:rsidP="005D5E64" w:rsidRDefault="00CE1689" w14:paraId="11A6DDEE" w14:textId="5459E02E">
      <w:pPr>
        <w:rPr>
          <w:i/>
          <w:iCs/>
        </w:rPr>
      </w:pPr>
      <w:r w:rsidRPr="00632DCB">
        <w:rPr>
          <w:i/>
          <w:iCs/>
        </w:rPr>
        <w:lastRenderedPageBreak/>
        <w:t>Noodfondsen</w:t>
      </w:r>
    </w:p>
    <w:p w:rsidRPr="00632DCB" w:rsidR="00DD66DF" w:rsidP="005D5E64" w:rsidRDefault="00DD66DF" w14:paraId="196DFB7D" w14:textId="2F3ED908">
      <w:r w:rsidRPr="00632DCB">
        <w:t>Noodfondsen zijn lokale of regionale samenwerkingsverbanden (vaak publiek en privaat gefinancierd) die giften en leningen verstrekken aan mensen met urgente financiële noden. In Nederland zijn momenteel ruim 100 noodhulpbureaus actief die zijn aangesloten bij de Stichting Urgente Noden Nederland</w:t>
      </w:r>
      <w:r w:rsidRPr="00632DCB" w:rsidR="00975680">
        <w:t xml:space="preserve"> (SUN)</w:t>
      </w:r>
      <w:r w:rsidRPr="00632DCB">
        <w:t>.</w:t>
      </w:r>
    </w:p>
    <w:p w:rsidRPr="00632DCB" w:rsidR="00DD66DF" w:rsidP="005D5E64" w:rsidRDefault="00DD66DF" w14:paraId="49B9EA4C" w14:textId="5EB5DFE2">
      <w:r w:rsidRPr="00632DCB">
        <w:t>Van alle aangevraagde bedragen wordt ongeveer de helft toegekend aan mensen die dringend mondzorg nodig hebben</w:t>
      </w:r>
      <w:r w:rsidR="009D38D8">
        <w:t xml:space="preserve"> </w:t>
      </w:r>
      <w:r w:rsidRPr="00632DCB">
        <w:t xml:space="preserve">maar deze niet kunnen betalen. De meest basale tandheelkundige hulp wordt vergoed. Het gaat dan hoofdzakelijk om pijnbestrijding en herstel van de kauwfunctie. Hogere mondzorgkosten (bijvoorbeeld bij parodontitis) wordt soms expliciet uitgesloten. </w:t>
      </w:r>
    </w:p>
    <w:p w:rsidRPr="00632DCB" w:rsidR="00DD66DF" w:rsidP="005D5E64" w:rsidRDefault="00DD66DF" w14:paraId="2B55AB60" w14:textId="7C5E47FD"/>
    <w:p w:rsidRPr="00632DCB" w:rsidR="00DD66DF" w:rsidP="005D5E64" w:rsidRDefault="00DD66DF" w14:paraId="4C067386" w14:textId="1B96F04B">
      <w:r w:rsidRPr="00632DCB">
        <w:t xml:space="preserve">Noodfondsen zijn het meest effectief wanneer ze onderdeel uitmaken van een breder lokaal vangnet. Dit betekent dat ze het beste functioneren in combinatie met andere initiatieven zoals informele mondzorgnetwerken die bereid zijn </w:t>
      </w:r>
      <w:r w:rsidR="00511B25">
        <w:t>kosteloos</w:t>
      </w:r>
      <w:r w:rsidRPr="00632DCB">
        <w:t xml:space="preserve"> of tegen gereduceerde tarieven te behandelen, en gemeentelijke maatwerkbudgetten. </w:t>
      </w:r>
      <w:r w:rsidR="00AE1E23">
        <w:t xml:space="preserve">Noodfondsen zijn niet bedoeld als vervanging voor een tandartsverzekering. Voor de mondgezondheid is het daarom </w:t>
      </w:r>
      <w:r w:rsidRPr="00632DCB">
        <w:t xml:space="preserve">belangrijk dat mensen die via een noodfonds geholpen zijn, vervolgens begeleid </w:t>
      </w:r>
      <w:r w:rsidR="006E15A3">
        <w:t xml:space="preserve">worden </w:t>
      </w:r>
      <w:r w:rsidR="00020100">
        <w:t>naar de reguliere mondzorg</w:t>
      </w:r>
      <w:r w:rsidRPr="00632DCB">
        <w:t xml:space="preserve">. </w:t>
      </w:r>
    </w:p>
    <w:p w:rsidRPr="00632DCB" w:rsidR="000A35D0" w:rsidP="005D5E64" w:rsidRDefault="000A35D0" w14:paraId="5A8ACC93" w14:textId="77777777"/>
    <w:p w:rsidRPr="00632DCB" w:rsidR="001A50D4" w:rsidP="001B22FA" w:rsidRDefault="001A50D4" w14:paraId="11A25694" w14:textId="77777777"/>
    <w:p w:rsidRPr="00632DCB" w:rsidR="001A50D4" w:rsidP="001B22FA" w:rsidRDefault="001A50D4" w14:paraId="72E123DB" w14:textId="77777777"/>
    <w:p w:rsidRPr="00632DCB" w:rsidR="001A50D4" w:rsidP="001B22FA" w:rsidRDefault="001A50D4" w14:paraId="4F6D6735" w14:textId="77777777"/>
    <w:p w:rsidRPr="00632DCB" w:rsidR="001A50D4" w:rsidP="001B22FA" w:rsidRDefault="001A50D4" w14:paraId="01103B26" w14:textId="77777777"/>
    <w:p w:rsidRPr="00632DCB" w:rsidR="001A50D4" w:rsidP="001B22FA" w:rsidRDefault="001A50D4" w14:paraId="7F909CAA" w14:textId="77777777"/>
    <w:p w:rsidRPr="00632DCB" w:rsidR="001A50D4" w:rsidP="001B22FA" w:rsidRDefault="001A50D4" w14:paraId="7F3C9013" w14:textId="77777777"/>
    <w:p w:rsidRPr="00632DCB" w:rsidR="001A50D4" w:rsidP="001B22FA" w:rsidRDefault="001A50D4" w14:paraId="56086C96" w14:textId="77777777"/>
    <w:p w:rsidRPr="00632DCB" w:rsidR="001A50D4" w:rsidP="001B22FA" w:rsidRDefault="001A50D4" w14:paraId="1154D54D" w14:textId="77777777"/>
    <w:p w:rsidRPr="00632DCB" w:rsidR="001A50D4" w:rsidP="001B22FA" w:rsidRDefault="001A50D4" w14:paraId="323B65F2" w14:textId="77777777"/>
    <w:p w:rsidRPr="00632DCB" w:rsidR="001A50D4" w:rsidP="001B22FA" w:rsidRDefault="001A50D4" w14:paraId="67C83EB8" w14:textId="77777777"/>
    <w:p w:rsidRPr="00632DCB" w:rsidR="001A50D4" w:rsidP="001B22FA" w:rsidRDefault="001A50D4" w14:paraId="109D0A0E" w14:textId="77777777"/>
    <w:p w:rsidRPr="00632DCB" w:rsidR="001A50D4" w:rsidP="001B22FA" w:rsidRDefault="001A50D4" w14:paraId="141A54BF" w14:textId="77777777"/>
    <w:p w:rsidRPr="00632DCB" w:rsidR="001A50D4" w:rsidP="001B22FA" w:rsidRDefault="001A50D4" w14:paraId="7FEA2F81" w14:textId="77777777"/>
    <w:p w:rsidRPr="00632DCB" w:rsidR="001A50D4" w:rsidP="001B22FA" w:rsidRDefault="001A50D4" w14:paraId="2896538F" w14:textId="77777777"/>
    <w:p w:rsidRPr="00632DCB" w:rsidR="001A50D4" w:rsidP="001B22FA" w:rsidRDefault="001A50D4" w14:paraId="52FB729D" w14:textId="77777777"/>
    <w:p w:rsidRPr="00632DCB" w:rsidR="001A50D4" w:rsidP="001B22FA" w:rsidRDefault="001A50D4" w14:paraId="39B9BCD4" w14:textId="77777777"/>
    <w:p w:rsidRPr="00632DCB" w:rsidR="001A50D4" w:rsidP="001B22FA" w:rsidRDefault="001A50D4" w14:paraId="4E0DA109" w14:textId="77777777"/>
    <w:p w:rsidRPr="00632DCB" w:rsidR="001A50D4" w:rsidP="001B22FA" w:rsidRDefault="001A50D4" w14:paraId="02D78E49" w14:textId="77777777"/>
    <w:p w:rsidRPr="00632DCB" w:rsidR="001A50D4" w:rsidP="001B22FA" w:rsidRDefault="001A50D4" w14:paraId="4831E4BD" w14:textId="77777777"/>
    <w:p w:rsidRPr="00632DCB" w:rsidR="001A50D4" w:rsidP="001B22FA" w:rsidRDefault="001A50D4" w14:paraId="37229467" w14:textId="77777777"/>
    <w:p w:rsidRPr="00632DCB" w:rsidR="001A50D4" w:rsidP="001B22FA" w:rsidRDefault="001A50D4" w14:paraId="65D6C08D" w14:textId="77777777"/>
    <w:p w:rsidRPr="00632DCB" w:rsidR="001A50D4" w:rsidP="001B22FA" w:rsidRDefault="001A50D4" w14:paraId="44A133FE" w14:textId="77777777"/>
    <w:p w:rsidRPr="00632DCB" w:rsidR="001A50D4" w:rsidP="001B22FA" w:rsidRDefault="001A50D4" w14:paraId="7B620FC7" w14:textId="77777777"/>
    <w:p w:rsidRPr="00632DCB" w:rsidR="001A50D4" w:rsidP="00F26A3B" w:rsidRDefault="00412558" w14:paraId="35800344" w14:textId="763C5B84">
      <w:pPr>
        <w:spacing w:line="240" w:lineRule="auto"/>
      </w:pPr>
      <w:r>
        <w:br w:type="page"/>
      </w:r>
    </w:p>
    <w:p w:rsidRPr="00632DCB" w:rsidR="001B22FA" w:rsidP="0058708B" w:rsidRDefault="00BB2843" w14:paraId="1CF1418C" w14:textId="7D6AFB23">
      <w:pPr>
        <w:pStyle w:val="Kop1"/>
      </w:pPr>
      <w:bookmarkStart w:name="_Toc209100777" w:id="277"/>
      <w:bookmarkStart w:name="_Toc209100778" w:id="278"/>
      <w:bookmarkStart w:name="_Toc207106260" w:id="279"/>
      <w:bookmarkStart w:name="_Toc206581869" w:id="280"/>
      <w:bookmarkStart w:name="_Toc207106261" w:id="281"/>
      <w:bookmarkStart w:name="_Toc206581870" w:id="282"/>
      <w:bookmarkStart w:name="_Toc207106262" w:id="283"/>
      <w:bookmarkStart w:name="_Toc206581871" w:id="284"/>
      <w:bookmarkStart w:name="_Toc207106263" w:id="285"/>
      <w:bookmarkStart w:name="_Toc202280986" w:id="286"/>
      <w:bookmarkStart w:name="_Toc202788172" w:id="287"/>
      <w:bookmarkStart w:name="_Toc214547151" w:id="288"/>
      <w:bookmarkEnd w:id="277"/>
      <w:bookmarkEnd w:id="278"/>
      <w:bookmarkEnd w:id="279"/>
      <w:bookmarkEnd w:id="280"/>
      <w:bookmarkEnd w:id="281"/>
      <w:bookmarkEnd w:id="282"/>
      <w:bookmarkEnd w:id="283"/>
      <w:bookmarkEnd w:id="284"/>
      <w:bookmarkEnd w:id="285"/>
      <w:r w:rsidRPr="00632DCB">
        <w:lastRenderedPageBreak/>
        <w:t>G</w:t>
      </w:r>
      <w:r w:rsidRPr="00632DCB" w:rsidR="001B22FA">
        <w:t>erichte financiële maatregelen</w:t>
      </w:r>
      <w:bookmarkEnd w:id="33"/>
      <w:bookmarkEnd w:id="286"/>
      <w:bookmarkEnd w:id="287"/>
      <w:bookmarkEnd w:id="288"/>
      <w:r w:rsidRPr="00632DCB" w:rsidR="001B22FA">
        <w:t xml:space="preserve"> </w:t>
      </w:r>
    </w:p>
    <w:p w:rsidRPr="00632DCB" w:rsidR="00BB12E5" w:rsidP="0058708B" w:rsidRDefault="00BB12E5" w14:paraId="3F1E1403" w14:textId="77777777">
      <w:pPr>
        <w:pStyle w:val="Kop2"/>
      </w:pPr>
      <w:bookmarkStart w:name="_Toc202788173" w:id="289"/>
      <w:bookmarkStart w:name="_Toc214547152" w:id="290"/>
      <w:r w:rsidRPr="00632DCB">
        <w:t>Doelgroep en bereik</w:t>
      </w:r>
      <w:bookmarkEnd w:id="289"/>
      <w:bookmarkEnd w:id="290"/>
    </w:p>
    <w:p w:rsidR="00AC2775" w:rsidP="0074526E" w:rsidRDefault="000A35D0" w14:paraId="4AC0B551" w14:textId="54241835">
      <w:r w:rsidRPr="00632DCB">
        <w:t xml:space="preserve">Het exact identificeren van de 640.000 volwassenen die mondzorg mijden vanwege financiële redenen is niet haalbaar. Het betreft namelijk een diverse groep die te maken heeft met verschillende soorten problematiek. Deze groep valt </w:t>
      </w:r>
      <w:r w:rsidR="00B2539E">
        <w:t xml:space="preserve">nu </w:t>
      </w:r>
      <w:r w:rsidRPr="00632DCB">
        <w:t>niet onder één bestaande regeling</w:t>
      </w:r>
      <w:r w:rsidRPr="00632DCB" w:rsidR="00C2607B">
        <w:t xml:space="preserve"> en er wordt niet bijgehouden wie om financiële redenen mondzorg mijdt</w:t>
      </w:r>
      <w:r w:rsidRPr="00632DCB">
        <w:t>.</w:t>
      </w:r>
      <w:r w:rsidRPr="00632DCB" w:rsidR="00C2607B">
        <w:t xml:space="preserve"> </w:t>
      </w:r>
      <w:r w:rsidR="004960B0">
        <w:t>Daarom moet een meer praktische benadering gezocht worden. Er is</w:t>
      </w:r>
      <w:r w:rsidRPr="00632DCB" w:rsidR="00C2607B">
        <w:t xml:space="preserve"> onderzoek gedaan naar welke kenmerken deze groep heeft.</w:t>
      </w:r>
      <w:r w:rsidRPr="00632DCB" w:rsidR="00B05421">
        <w:rPr>
          <w:rStyle w:val="Voetnootmarkering"/>
        </w:rPr>
        <w:footnoteReference w:id="17"/>
      </w:r>
      <w:r w:rsidR="00B05421">
        <w:t xml:space="preserve"> Het</w:t>
      </w:r>
      <w:r w:rsidR="008A332D">
        <w:t xml:space="preserve"> overkoepelend</w:t>
      </w:r>
      <w:r w:rsidR="00B05421">
        <w:t>e</w:t>
      </w:r>
      <w:r w:rsidR="008A332D">
        <w:t xml:space="preserve"> kenmerk </w:t>
      </w:r>
      <w:r w:rsidR="00834A94">
        <w:t>lijkt</w:t>
      </w:r>
      <w:r w:rsidR="008A332D">
        <w:t xml:space="preserve"> dat d</w:t>
      </w:r>
      <w:r w:rsidRPr="00632DCB">
        <w:t xml:space="preserve">e meeste volwassenen die om financiële redenen </w:t>
      </w:r>
      <w:r w:rsidRPr="00632DCB" w:rsidR="009D38D8">
        <w:t xml:space="preserve">mondzorg mijden </w:t>
      </w:r>
      <w:r w:rsidRPr="00632DCB">
        <w:t>een laag</w:t>
      </w:r>
      <w:r w:rsidR="00834A94">
        <w:t xml:space="preserve"> (besteedbaar)</w:t>
      </w:r>
      <w:r w:rsidRPr="00632DCB">
        <w:t xml:space="preserve"> inkomen</w:t>
      </w:r>
      <w:r w:rsidRPr="008A332D" w:rsidR="008A332D">
        <w:t xml:space="preserve"> </w:t>
      </w:r>
      <w:r w:rsidRPr="00632DCB" w:rsidR="008A332D">
        <w:t>hebben</w:t>
      </w:r>
      <w:r w:rsidRPr="00632DCB">
        <w:t xml:space="preserve">. </w:t>
      </w:r>
      <w:r w:rsidR="008A332D">
        <w:t xml:space="preserve">Daarom </w:t>
      </w:r>
      <w:r w:rsidRPr="00632DCB">
        <w:t xml:space="preserve">ligt het voor de hand om bij de afbakening van de doelgroep aan te sluiten bij grenzen die gehanteerd worden bij bestaand minimabeleid. </w:t>
      </w:r>
      <w:r w:rsidR="008A332D">
        <w:t xml:space="preserve"> </w:t>
      </w:r>
    </w:p>
    <w:p w:rsidR="00AC2775" w:rsidP="0074526E" w:rsidRDefault="00AC2775" w14:paraId="29ADF3A1" w14:textId="77777777"/>
    <w:p w:rsidRPr="00632DCB" w:rsidR="0074526E" w:rsidP="0074526E" w:rsidRDefault="0074526E" w14:paraId="027EF306" w14:textId="01802FB2">
      <w:r w:rsidRPr="00632DCB">
        <w:t xml:space="preserve">De meeste gemeenten hanteren voor hun </w:t>
      </w:r>
      <w:r w:rsidRPr="00632DCB" w:rsidR="004824FA">
        <w:t xml:space="preserve">minimabeleid </w:t>
      </w:r>
      <w:r w:rsidRPr="00632DCB">
        <w:t>een grens van 120% bijstandsnorm en een vermogensgrens.</w:t>
      </w:r>
      <w:r w:rsidRPr="00632DCB">
        <w:rPr>
          <w:rStyle w:val="Voetnootmarkering"/>
        </w:rPr>
        <w:footnoteReference w:id="18"/>
      </w:r>
      <w:r w:rsidRPr="00632DCB">
        <w:t xml:space="preserve"> </w:t>
      </w:r>
      <w:r w:rsidRPr="00834A94" w:rsidR="00B05421">
        <w:t>L</w:t>
      </w:r>
      <w:r w:rsidRPr="00834A94">
        <w:t>andelijk</w:t>
      </w:r>
      <w:r w:rsidRPr="00834A94" w:rsidR="00B05421">
        <w:t xml:space="preserve"> betreft dit</w:t>
      </w:r>
      <w:r w:rsidRPr="00834A94">
        <w:t xml:space="preserve"> c</w:t>
      </w:r>
      <w:r w:rsidRPr="00834A94" w:rsidR="002D2E95">
        <w:t>irca</w:t>
      </w:r>
      <w:r w:rsidRPr="00834A94">
        <w:t xml:space="preserve"> 922.000 huishoudens</w:t>
      </w:r>
      <w:r w:rsidRPr="00834A94">
        <w:rPr>
          <w:rStyle w:val="Voetnootmarkering"/>
        </w:rPr>
        <w:footnoteReference w:id="19"/>
      </w:r>
      <w:r w:rsidRPr="00834A94">
        <w:t xml:space="preserve"> en daarvan alleen de volwassenen (18 jaar en ouder) aangezien mondzorg voor minderjarigen in de basisverzekering zit</w:t>
      </w:r>
      <w:r w:rsidR="00834A94">
        <w:t xml:space="preserve">. In de doorrekening van </w:t>
      </w:r>
      <w:proofErr w:type="spellStart"/>
      <w:r w:rsidR="00834A94">
        <w:t>Gupta</w:t>
      </w:r>
      <w:proofErr w:type="spellEnd"/>
      <w:r w:rsidR="00834A94">
        <w:t xml:space="preserve"> is aangegeven dat 1.190.000 volwassenen een inkomen tot 120% van het sociaal minimum hebben en 1.980.000 tot 150% van het sociaal minimum. </w:t>
      </w:r>
      <w:r w:rsidRPr="00632DCB">
        <w:t>De</w:t>
      </w:r>
      <w:r w:rsidR="00AC2775">
        <w:t>ze</w:t>
      </w:r>
      <w:r w:rsidRPr="00632DCB">
        <w:t xml:space="preserve"> doelgroep is </w:t>
      </w:r>
      <w:r w:rsidR="00AC2775">
        <w:t xml:space="preserve">dus </w:t>
      </w:r>
      <w:r w:rsidRPr="00632DCB">
        <w:t xml:space="preserve">breder dan de groep mensen die mondzorg mijdt </w:t>
      </w:r>
      <w:r w:rsidR="00A93723">
        <w:t>om</w:t>
      </w:r>
      <w:r w:rsidRPr="00632DCB" w:rsidR="00A93723">
        <w:t xml:space="preserve"> </w:t>
      </w:r>
      <w:r w:rsidRPr="00632DCB">
        <w:t>financiële redenen</w:t>
      </w:r>
      <w:r w:rsidR="00A93723">
        <w:t xml:space="preserve"> en een aanzienlijk deel</w:t>
      </w:r>
      <w:r w:rsidR="00511B25">
        <w:t xml:space="preserve"> van hen</w:t>
      </w:r>
      <w:r w:rsidR="00A93723">
        <w:t xml:space="preserve"> heeft </w:t>
      </w:r>
      <w:r w:rsidR="00834A94">
        <w:t xml:space="preserve">al </w:t>
      </w:r>
      <w:r w:rsidR="00A93723">
        <w:t>een gemeentepoli</w:t>
      </w:r>
      <w:r w:rsidR="00511B25">
        <w:t>s</w:t>
      </w:r>
      <w:r w:rsidR="00834A94">
        <w:t xml:space="preserve"> of aanvullende mondzorgverzekering</w:t>
      </w:r>
      <w:r w:rsidRPr="00632DCB">
        <w:t xml:space="preserve">. </w:t>
      </w:r>
      <w:r w:rsidR="007971C3">
        <w:t xml:space="preserve">Aangezien de groep die om financiële redenen mondzorg mijdt niet exact te identificeren is, zal deze niet </w:t>
      </w:r>
      <w:r w:rsidR="00834A94">
        <w:t xml:space="preserve">helemaal </w:t>
      </w:r>
      <w:r w:rsidR="007971C3">
        <w:t xml:space="preserve">samenvallen met </w:t>
      </w:r>
      <w:r w:rsidR="00AC2775">
        <w:t>een</w:t>
      </w:r>
      <w:r w:rsidR="007971C3">
        <w:t xml:space="preserve"> afbakening</w:t>
      </w:r>
      <w:r w:rsidR="00AC2775">
        <w:t xml:space="preserve"> op basis van inkomensgrenzen</w:t>
      </w:r>
      <w:r w:rsidR="007971C3">
        <w:t xml:space="preserve">. Niet de hele groep van 640.000 </w:t>
      </w:r>
      <w:r w:rsidR="0018693F">
        <w:t xml:space="preserve">personen </w:t>
      </w:r>
      <w:r w:rsidR="007971C3">
        <w:t xml:space="preserve">bestaat namelijk uit minima en niet alle minima mijden om financiële redenen mondzorg. </w:t>
      </w:r>
    </w:p>
    <w:p w:rsidRPr="00632DCB" w:rsidR="007971C3" w:rsidP="000A35D0" w:rsidRDefault="007971C3" w14:paraId="75B99904" w14:textId="534A5A4F">
      <w:r>
        <w:t xml:space="preserve">  </w:t>
      </w:r>
    </w:p>
    <w:p w:rsidR="006838A9" w:rsidP="0074526E" w:rsidRDefault="00BB12E5" w14:paraId="676695D9" w14:textId="0FD6AD2B">
      <w:r w:rsidRPr="00632DCB">
        <w:t>Indien politiek gewenst kan de doelgroep vergroot worden door een hoger percentage van de bijstandsnorm te nemen of verkleind door een lager percentage.</w:t>
      </w:r>
      <w:r w:rsidRPr="00632DCB" w:rsidR="0074526E">
        <w:rPr>
          <w:rStyle w:val="Voetnootmarkering"/>
        </w:rPr>
        <w:footnoteReference w:id="20"/>
      </w:r>
      <w:r w:rsidRPr="00632DCB" w:rsidR="0074526E">
        <w:t xml:space="preserve"> </w:t>
      </w:r>
      <w:r w:rsidRPr="00632DCB">
        <w:t xml:space="preserve">Hierbij moet er wel rekening mee worden gehouden dat </w:t>
      </w:r>
      <w:r w:rsidRPr="00632DCB" w:rsidR="0074526E">
        <w:t>h</w:t>
      </w:r>
      <w:r w:rsidRPr="00632DCB">
        <w:t xml:space="preserve">oe groter de </w:t>
      </w:r>
      <w:r w:rsidRPr="00632DCB" w:rsidR="0074526E">
        <w:t>doel</w:t>
      </w:r>
      <w:r w:rsidRPr="00632DCB">
        <w:t>groep hoe meer mensen er onder komen te vallen die zonder de maatregel al van mondzorg gebruik maakten</w:t>
      </w:r>
      <w:r w:rsidR="007971C3">
        <w:t>,</w:t>
      </w:r>
      <w:r w:rsidRPr="00632DCB" w:rsidR="003612F0">
        <w:t xml:space="preserve"> </w:t>
      </w:r>
      <w:r w:rsidR="007971C3">
        <w:t>b</w:t>
      </w:r>
      <w:r w:rsidRPr="00632DCB" w:rsidR="003612F0">
        <w:t xml:space="preserve">ijvoorbeeld omdat zij al een aanvullende verzekering met </w:t>
      </w:r>
      <w:r w:rsidR="007971C3">
        <w:t>mondzorg</w:t>
      </w:r>
      <w:r w:rsidRPr="00632DCB" w:rsidR="007971C3">
        <w:t xml:space="preserve">dekking </w:t>
      </w:r>
      <w:r w:rsidRPr="00632DCB" w:rsidR="003612F0">
        <w:t xml:space="preserve">hebben. </w:t>
      </w:r>
      <w:r w:rsidR="000D20F9">
        <w:t>Voor de</w:t>
      </w:r>
      <w:r w:rsidR="00003570">
        <w:t xml:space="preserve"> mensen </w:t>
      </w:r>
      <w:r w:rsidR="000D20F9">
        <w:t xml:space="preserve">die </w:t>
      </w:r>
      <w:r w:rsidR="00003570">
        <w:t xml:space="preserve">zonder maatregel al naar de mondzorgverlener gingen dan </w:t>
      </w:r>
      <w:r w:rsidRPr="00632DCB">
        <w:t>leidt</w:t>
      </w:r>
      <w:r w:rsidR="000D20F9">
        <w:t xml:space="preserve"> </w:t>
      </w:r>
      <w:r w:rsidR="000B1919">
        <w:t>de maatregel</w:t>
      </w:r>
      <w:r w:rsidRPr="00632DCB" w:rsidR="000B1919">
        <w:t xml:space="preserve"> </w:t>
      </w:r>
      <w:r w:rsidRPr="00632DCB">
        <w:t xml:space="preserve">dus niet tot </w:t>
      </w:r>
      <w:r w:rsidR="007971C3">
        <w:t>minder mondzorgmijding om financiële redenen</w:t>
      </w:r>
      <w:r w:rsidRPr="00632DCB">
        <w:t xml:space="preserve"> maar </w:t>
      </w:r>
      <w:r w:rsidR="000D20F9">
        <w:t>is er sprake van</w:t>
      </w:r>
      <w:r w:rsidRPr="00632DCB">
        <w:t xml:space="preserve"> een verschuiving van private naar publieke bekostiging</w:t>
      </w:r>
      <w:r w:rsidR="00003570">
        <w:t xml:space="preserve"> van mondzorg</w:t>
      </w:r>
      <w:r w:rsidRPr="00632DCB">
        <w:t xml:space="preserve">. </w:t>
      </w:r>
      <w:r w:rsidR="007971C3">
        <w:t xml:space="preserve">Door de doelgroep te vergroten </w:t>
      </w:r>
      <w:r w:rsidRPr="00632DCB">
        <w:t>wordt de maatregel</w:t>
      </w:r>
      <w:r w:rsidR="007971C3">
        <w:t xml:space="preserve"> </w:t>
      </w:r>
      <w:r w:rsidR="00D2406E">
        <w:t>dus</w:t>
      </w:r>
      <w:r w:rsidRPr="00632DCB" w:rsidR="00D2406E">
        <w:t xml:space="preserve"> </w:t>
      </w:r>
      <w:r w:rsidRPr="00632DCB">
        <w:t>duurder</w:t>
      </w:r>
      <w:r w:rsidR="00003570">
        <w:t xml:space="preserve"> (want voor meer mensen zal de mondzorg publiek </w:t>
      </w:r>
      <w:r w:rsidRPr="00003570" w:rsidR="00003570">
        <w:t xml:space="preserve">bekostigd worden) en </w:t>
      </w:r>
      <w:r w:rsidRPr="00440A5E" w:rsidR="00003570">
        <w:t xml:space="preserve">de besteding van de publieke middelen </w:t>
      </w:r>
      <w:r w:rsidR="007D01BB">
        <w:t>minder doelmatig</w:t>
      </w:r>
      <w:r w:rsidR="00003570">
        <w:t xml:space="preserve"> (een groter gedeelte van de publieke </w:t>
      </w:r>
      <w:r w:rsidR="003A51FE">
        <w:t>kosten</w:t>
      </w:r>
      <w:r w:rsidR="00003570">
        <w:t xml:space="preserve"> wordt </w:t>
      </w:r>
      <w:r w:rsidR="003A51FE">
        <w:t>gemaakt voor</w:t>
      </w:r>
      <w:r w:rsidR="00003570">
        <w:t xml:space="preserve"> mensen die zonder </w:t>
      </w:r>
      <w:r w:rsidR="003A51FE">
        <w:t xml:space="preserve">de </w:t>
      </w:r>
      <w:r w:rsidR="00003570">
        <w:t>maatregel ook naar de mondzorgverlener gingen)</w:t>
      </w:r>
      <w:r w:rsidRPr="00003570">
        <w:t>.</w:t>
      </w:r>
      <w:r w:rsidR="006838A9">
        <w:t xml:space="preserve"> Met de nuance dat áls een gerichte regeling méér mondzorg vergoed</w:t>
      </w:r>
      <w:r w:rsidR="0083626E">
        <w:t>t</w:t>
      </w:r>
      <w:r w:rsidR="006838A9">
        <w:t xml:space="preserve"> dan een reguliere aanvullende verzekering </w:t>
      </w:r>
      <w:r w:rsidR="00A5336D">
        <w:t>nu</w:t>
      </w:r>
      <w:r w:rsidR="006838A9">
        <w:t xml:space="preserve"> </w:t>
      </w:r>
      <w:r w:rsidR="0083626E">
        <w:t>vergoedt</w:t>
      </w:r>
      <w:r w:rsidR="006838A9">
        <w:t>, de financiële toegankelijkheid van mondzorg ook onder de groep die al naar de mondzorgverlener gaat kan toenemen</w:t>
      </w:r>
      <w:r w:rsidR="001C7D80">
        <w:t>.</w:t>
      </w:r>
    </w:p>
    <w:p w:rsidRPr="00632DCB" w:rsidR="005D7015" w:rsidP="0074526E" w:rsidRDefault="00BF4340" w14:paraId="791B2856" w14:textId="0E1C1BE3">
      <w:r w:rsidRPr="00632DCB">
        <w:lastRenderedPageBreak/>
        <w:t xml:space="preserve">Ook moet er bij het afbakenen van de doelgroep rekening mee worden gehouden dat </w:t>
      </w:r>
      <w:r w:rsidRPr="00632DCB" w:rsidR="00781AEC">
        <w:t xml:space="preserve">wie er net buiten valt geen aanspraak kan maken op de maatregel. Hierdoor kan het de prikkel om (meer) te gaan werken verkleinen. </w:t>
      </w:r>
      <w:r w:rsidR="005D7015">
        <w:t xml:space="preserve">Tot slot kan politiek overwogen worden om </w:t>
      </w:r>
      <w:r w:rsidRPr="00632DCB" w:rsidR="005D7015">
        <w:t>ook een vermogensgrens te hanteren zoals in sommige gemeentes ook bij regelingen als de gemeentepolis gedaan wordt.</w:t>
      </w:r>
      <w:r w:rsidR="005D7015">
        <w:t xml:space="preserve"> Dit om te voorkomen dat mensen met een laag inkomen maar hoog vermogen in aanmerking komen voor de maatregelen. Bij een v</w:t>
      </w:r>
      <w:r w:rsidRPr="00A93723" w:rsidR="005D7015">
        <w:t xml:space="preserve">ermogens en inkomenstoets </w:t>
      </w:r>
      <w:r w:rsidR="005D7015">
        <w:t xml:space="preserve">moet zoveel mogelijk voorkomen worden dat de </w:t>
      </w:r>
      <w:r w:rsidRPr="00A93723" w:rsidR="005D7015">
        <w:t>vergoede kosten moet</w:t>
      </w:r>
      <w:r w:rsidR="005D7015">
        <w:t>en</w:t>
      </w:r>
      <w:r w:rsidRPr="00A93723" w:rsidR="005D7015">
        <w:t xml:space="preserve"> </w:t>
      </w:r>
      <w:r w:rsidR="005D7015">
        <w:t xml:space="preserve">worden </w:t>
      </w:r>
      <w:r w:rsidRPr="00A93723" w:rsidR="005D7015">
        <w:t>terugbeta</w:t>
      </w:r>
      <w:r w:rsidR="005D7015">
        <w:t>ald. Want dan</w:t>
      </w:r>
      <w:r w:rsidRPr="00A93723" w:rsidR="005D7015">
        <w:t xml:space="preserve"> </w:t>
      </w:r>
      <w:r w:rsidR="005D7015">
        <w:t>kunnen</w:t>
      </w:r>
      <w:r w:rsidRPr="00A93723" w:rsidR="005D7015">
        <w:t xml:space="preserve"> mensen aarzelen om van de </w:t>
      </w:r>
      <w:r w:rsidR="005D7015">
        <w:t>maatregel</w:t>
      </w:r>
      <w:r w:rsidRPr="00A93723" w:rsidR="005D7015">
        <w:t xml:space="preserve"> gebruik te make</w:t>
      </w:r>
      <w:r w:rsidR="005D7015">
        <w:t>n.</w:t>
      </w:r>
    </w:p>
    <w:p w:rsidRPr="00632DCB" w:rsidR="00BB12E5" w:rsidP="00BB12E5" w:rsidRDefault="00BB12E5" w14:paraId="6EB11956" w14:textId="77777777"/>
    <w:p w:rsidR="000C57C3" w:rsidP="00502E1C" w:rsidRDefault="00BB12E5" w14:paraId="16A4E454" w14:textId="044544B8">
      <w:r w:rsidRPr="00632DCB">
        <w:t>Het bereik betreft welk deel van de doelgroep daadwerkelijk gebruik maakt van de maatregel. Dit wordt positief beïnvloed door onder andere hoe eenvoudig de maatregel is, de hoogte van de premiebijdrage,</w:t>
      </w:r>
      <w:r w:rsidRPr="00632DCB" w:rsidR="006A2481">
        <w:t xml:space="preserve"> de dekking,</w:t>
      </w:r>
      <w:r w:rsidRPr="00632DCB">
        <w:t xml:space="preserve"> de hoogte van een eventuele eigen bijdrage en de mate van communicatie over de beschikbare instrumenten. </w:t>
      </w:r>
      <w:r w:rsidRPr="00632DCB" w:rsidR="006804FB">
        <w:t xml:space="preserve">Bij elke maatregel moet er rekening mee worden gehouden dat deze alleen het gewenste effect </w:t>
      </w:r>
      <w:r w:rsidR="008F3254">
        <w:t>kan hebben</w:t>
      </w:r>
      <w:r w:rsidRPr="00632DCB" w:rsidR="008F3254">
        <w:t xml:space="preserve"> </w:t>
      </w:r>
      <w:r w:rsidRPr="00632DCB" w:rsidR="006804FB">
        <w:t xml:space="preserve">als de doelgroep goed op de hoogte is van de mogelijkheden die de maatregel biedt. </w:t>
      </w:r>
      <w:r w:rsidR="00936D39">
        <w:t xml:space="preserve">Een toereikende informatievoorziening is dus cruciaal. </w:t>
      </w:r>
      <w:r w:rsidR="00C63C25">
        <w:t xml:space="preserve"> </w:t>
      </w:r>
    </w:p>
    <w:p w:rsidRPr="00005C8A" w:rsidR="006804FB" w:rsidP="00502E1C" w:rsidRDefault="00502E1C" w14:paraId="79E9F8F1" w14:textId="1DB28CDE">
      <w:r w:rsidRPr="00E05385">
        <w:t xml:space="preserve">Er heeft een eerste </w:t>
      </w:r>
      <w:proofErr w:type="spellStart"/>
      <w:r w:rsidRPr="00E05385">
        <w:t>quickscan</w:t>
      </w:r>
      <w:proofErr w:type="spellEnd"/>
      <w:r w:rsidRPr="00E05385">
        <w:t xml:space="preserve"> plaatsgevonden naar de </w:t>
      </w:r>
      <w:proofErr w:type="spellStart"/>
      <w:r w:rsidRPr="00E05385">
        <w:t>doenlijkheid</w:t>
      </w:r>
      <w:proofErr w:type="spellEnd"/>
      <w:r w:rsidRPr="00E05385">
        <w:t xml:space="preserve"> van de vier financiële </w:t>
      </w:r>
      <w:r w:rsidRPr="00005C8A">
        <w:t xml:space="preserve">regelingen voor minima in dit rapport. Een uitgebreidere analyse en oordeel kan plaatsvinden als de maatregelen verder zijn uitgewerkt. Een gerichte financiële regeling zal alleen gebruikt worden als mensen de regeling begrijpen en (het aanvragen en gebruiken van) de regeling doenlijk voor hen is. Binnen de groep mensen die mondzorg mijden om financiële redenen gaat het ook om mensen in een kwetsbaardere positie waar het </w:t>
      </w:r>
      <w:proofErr w:type="spellStart"/>
      <w:r w:rsidRPr="00005C8A">
        <w:t>doenvermogen</w:t>
      </w:r>
      <w:proofErr w:type="spellEnd"/>
      <w:r w:rsidRPr="00005C8A">
        <w:t xml:space="preserve"> al onder druk staat. Uit de </w:t>
      </w:r>
      <w:proofErr w:type="spellStart"/>
      <w:r w:rsidRPr="00005C8A">
        <w:t>quickscan</w:t>
      </w:r>
      <w:proofErr w:type="spellEnd"/>
      <w:r w:rsidRPr="00005C8A">
        <w:t xml:space="preserve"> </w:t>
      </w:r>
      <w:r w:rsidRPr="00005C8A" w:rsidR="00AC2775">
        <w:t>blijkt</w:t>
      </w:r>
      <w:r w:rsidRPr="00005C8A">
        <w:t xml:space="preserve"> dat het belangrijk is dat mensen de meerwaarde van een regeling inzien, begrijpen of en welke mondzorg voor hen vergoed wordt als ook de verschillen tussen de regeling en al bestaande verzekeringen (zoals de gemeentepolis of reguliere aanvullende verzekeringen) begrijpen. Ook komt naar voren dat minder handelingen voor de burger, het automatisch verlenen van toegang én het aansluiten bij bestaand beleid het </w:t>
      </w:r>
      <w:proofErr w:type="spellStart"/>
      <w:r w:rsidRPr="00005C8A">
        <w:t>doenvermogen</w:t>
      </w:r>
      <w:proofErr w:type="spellEnd"/>
      <w:r w:rsidRPr="00005C8A">
        <w:t xml:space="preserve"> positief beïnvloeden. Laagdrempelige hulp of persoonlijke begeleiding draagt ook bij aan overzetten tot de gewenste actie.  </w:t>
      </w:r>
    </w:p>
    <w:p w:rsidRPr="00005C8A" w:rsidR="006804FB" w:rsidP="0074526E" w:rsidRDefault="006804FB" w14:paraId="5BFCBF76" w14:textId="77777777"/>
    <w:p w:rsidRPr="00005C8A" w:rsidR="00C63C25" w:rsidP="0074526E" w:rsidRDefault="00463C7B" w14:paraId="24B45ECC" w14:textId="18FDAE82">
      <w:proofErr w:type="spellStart"/>
      <w:r w:rsidRPr="00005C8A">
        <w:t>Gupta</w:t>
      </w:r>
      <w:proofErr w:type="spellEnd"/>
      <w:r w:rsidRPr="00005C8A" w:rsidR="000C57C3">
        <w:t xml:space="preserve"> </w:t>
      </w:r>
      <w:proofErr w:type="spellStart"/>
      <w:r w:rsidRPr="00005C8A" w:rsidR="000C57C3">
        <w:t>Strategists</w:t>
      </w:r>
      <w:proofErr w:type="spellEnd"/>
      <w:r w:rsidRPr="00005C8A">
        <w:t xml:space="preserve"> </w:t>
      </w:r>
      <w:r w:rsidRPr="00005C8A" w:rsidR="00A51509">
        <w:t>heeft</w:t>
      </w:r>
      <w:r w:rsidRPr="00005C8A" w:rsidR="00C63C25">
        <w:t xml:space="preserve"> een inschatting </w:t>
      </w:r>
      <w:r w:rsidRPr="00005C8A" w:rsidR="00360D92">
        <w:t>gemaakt</w:t>
      </w:r>
      <w:r w:rsidRPr="00005C8A" w:rsidR="00C63C25">
        <w:t xml:space="preserve"> van de verwachte kosten per maatregel</w:t>
      </w:r>
      <w:r w:rsidR="00E22073">
        <w:t xml:space="preserve">. </w:t>
      </w:r>
      <w:r w:rsidRPr="00005C8A" w:rsidR="00E5318E">
        <w:t>Daarbij is gekeken</w:t>
      </w:r>
      <w:r w:rsidRPr="00005C8A" w:rsidR="00C63C25">
        <w:t xml:space="preserve"> naar het verwacht aantal gebruikers van de maatregelen</w:t>
      </w:r>
      <w:r w:rsidRPr="00005C8A" w:rsidR="000C57C3">
        <w:t xml:space="preserve"> </w:t>
      </w:r>
      <w:r w:rsidRPr="00005C8A" w:rsidR="00C63C25">
        <w:t xml:space="preserve">en de verwachte kosten per gebruiker. </w:t>
      </w:r>
      <w:r w:rsidRPr="00005C8A">
        <w:t xml:space="preserve">In hoofdstuk 4 wordt ingegaan op </w:t>
      </w:r>
      <w:r w:rsidRPr="00005C8A" w:rsidR="00502E1C">
        <w:t>de budgettaire gevolgen per maatregel</w:t>
      </w:r>
      <w:r w:rsidRPr="00005C8A">
        <w:t>.</w:t>
      </w:r>
      <w:r w:rsidRPr="00005C8A" w:rsidR="00360D92">
        <w:t xml:space="preserve"> In </w:t>
      </w:r>
      <w:r w:rsidR="00E22073">
        <w:t>deze paragraaf</w:t>
      </w:r>
      <w:r w:rsidRPr="00005C8A" w:rsidR="00360D92">
        <w:t xml:space="preserve"> gaan we in op de verwachtingen over het bereik. </w:t>
      </w:r>
      <w:r w:rsidRPr="00005C8A" w:rsidR="000C57C3">
        <w:t xml:space="preserve">Uit de doorrekening </w:t>
      </w:r>
      <w:r w:rsidRPr="00005C8A" w:rsidR="00E5318E">
        <w:t>komt naar voren</w:t>
      </w:r>
      <w:r w:rsidRPr="00005C8A" w:rsidR="000C57C3">
        <w:t xml:space="preserve"> dat de in dit rapport beschreven maatregelen </w:t>
      </w:r>
      <w:r w:rsidR="00E22073">
        <w:t xml:space="preserve">naar schatting </w:t>
      </w:r>
      <w:r w:rsidRPr="00005C8A" w:rsidR="00360D92">
        <w:t>in beperkte mate</w:t>
      </w:r>
      <w:r w:rsidRPr="00005C8A" w:rsidR="000C57C3">
        <w:t xml:space="preserve"> zullen bijdragen aan het verminderen van mondzorgmijding </w:t>
      </w:r>
      <w:r w:rsidRPr="00005C8A" w:rsidR="00360D92">
        <w:t>om financiële redenen</w:t>
      </w:r>
      <w:r w:rsidRPr="00005C8A" w:rsidR="000877AB">
        <w:t xml:space="preserve">. Dat komt </w:t>
      </w:r>
      <w:r w:rsidRPr="00005C8A" w:rsidR="00E5318E">
        <w:t>ten eerste</w:t>
      </w:r>
      <w:r w:rsidRPr="00005C8A" w:rsidR="00360D92">
        <w:t xml:space="preserve"> </w:t>
      </w:r>
      <w:r w:rsidRPr="00005C8A" w:rsidR="00E5318E">
        <w:t>door de afbakening van de doelgroep</w:t>
      </w:r>
      <w:r w:rsidRPr="00005C8A" w:rsidR="00AB1CEF">
        <w:t xml:space="preserve">. </w:t>
      </w:r>
      <w:r w:rsidRPr="00005C8A" w:rsidR="00C209E6">
        <w:t>Want va</w:t>
      </w:r>
      <w:r w:rsidRPr="00005C8A" w:rsidR="00AB1CEF">
        <w:t xml:space="preserve">n de 640.000 mensen die afzien van mondzorg om financiële redenen, hebben naar schatting 310.000 een inkomen tot 120% sociaal minimum en 405.000 een inkomen tot 150% van het sociaal minimum. Een aanzienlijk deel van de mensen die om financiële redenen afziet van mondzorg, heeft dus een hoger inkomen dan de in dit rapport voorgestelde inkomensgrenzen. Tegelijkertijd </w:t>
      </w:r>
      <w:r w:rsidR="0065347E">
        <w:t>gaat</w:t>
      </w:r>
      <w:r w:rsidRPr="00005C8A" w:rsidR="00AB1CEF">
        <w:t>, binnen de in dit rapport gekozen inkomensgroepen, circa</w:t>
      </w:r>
      <w:r w:rsidR="00012A7D">
        <w:t xml:space="preserve"> twee derde tot</w:t>
      </w:r>
      <w:r w:rsidRPr="00005C8A" w:rsidR="00AB1CEF">
        <w:t xml:space="preserve"> driekwart van de mensen al </w:t>
      </w:r>
      <w:r w:rsidR="0065347E">
        <w:t>naar een mondzorgverlener</w:t>
      </w:r>
      <w:r w:rsidRPr="00005C8A" w:rsidR="00AB1CEF">
        <w:t xml:space="preserve">. Het merendeel van de </w:t>
      </w:r>
      <w:r w:rsidR="00787BD6">
        <w:t xml:space="preserve">verwachte </w:t>
      </w:r>
      <w:r w:rsidRPr="00005C8A" w:rsidR="00AB1CEF">
        <w:t xml:space="preserve">kosten van de maatregelen (1, 2 en 3) wordt </w:t>
      </w:r>
      <w:r w:rsidR="00787BD6">
        <w:t>dus</w:t>
      </w:r>
      <w:r w:rsidRPr="00005C8A" w:rsidR="00AB1CEF">
        <w:t xml:space="preserve"> gemaakt voor </w:t>
      </w:r>
      <w:r w:rsidR="0065347E">
        <w:t>huidige gebruikers van mondzorg</w:t>
      </w:r>
      <w:r w:rsidRPr="00005C8A" w:rsidR="00AB1CEF">
        <w:t xml:space="preserve">. </w:t>
      </w:r>
      <w:r w:rsidRPr="00005C8A" w:rsidR="00E5318E">
        <w:t>Ten tweede</w:t>
      </w:r>
      <w:r w:rsidRPr="00005C8A" w:rsidR="000877AB">
        <w:t xml:space="preserve"> is de </w:t>
      </w:r>
      <w:r w:rsidRPr="00005C8A" w:rsidR="00E5318E">
        <w:t>aanname</w:t>
      </w:r>
      <w:r w:rsidRPr="00005C8A" w:rsidR="000877AB">
        <w:t xml:space="preserve"> dat een beperkt deel van de beoogde doelgroep de maatregel daadwerkelijk </w:t>
      </w:r>
      <w:r w:rsidRPr="00005C8A" w:rsidR="00C209E6">
        <w:t>gaat</w:t>
      </w:r>
      <w:r w:rsidRPr="00005C8A" w:rsidR="000877AB">
        <w:t xml:space="preserve"> gebruiken.</w:t>
      </w:r>
      <w:r w:rsidRPr="00005C8A" w:rsidR="00A51509">
        <w:t xml:space="preserve"> Op basis van wetenschappelijke literatuur is de aanname gedaan dat </w:t>
      </w:r>
      <w:r w:rsidRPr="00005C8A" w:rsidR="00A65C4B">
        <w:t>rond de</w:t>
      </w:r>
      <w:r w:rsidRPr="00005C8A" w:rsidR="00A51509">
        <w:t xml:space="preserve"> 40% van de mensen die nu afziet van mondzorg </w:t>
      </w:r>
      <w:r w:rsidRPr="00005C8A" w:rsidR="00A51509">
        <w:lastRenderedPageBreak/>
        <w:t xml:space="preserve">gebruik gaat maken van </w:t>
      </w:r>
      <w:r w:rsidRPr="00005C8A" w:rsidR="00C209E6">
        <w:t>een</w:t>
      </w:r>
      <w:r w:rsidRPr="00005C8A" w:rsidR="00A51509">
        <w:t xml:space="preserve"> maatregel</w:t>
      </w:r>
      <w:r w:rsidRPr="00005C8A" w:rsidR="00A51509">
        <w:rPr>
          <w:rStyle w:val="Voetnootmarkering"/>
        </w:rPr>
        <w:footnoteReference w:id="21"/>
      </w:r>
      <w:r w:rsidRPr="00005C8A" w:rsidR="00A51509">
        <w:t>.</w:t>
      </w:r>
      <w:r w:rsidRPr="00005C8A" w:rsidR="000877AB">
        <w:t xml:space="preserve"> </w:t>
      </w:r>
      <w:r w:rsidRPr="00005C8A" w:rsidR="00A65C4B">
        <w:t>Deze bevindingen onderstrepen</w:t>
      </w:r>
      <w:r w:rsidRPr="00005C8A" w:rsidR="00C209E6">
        <w:t xml:space="preserve"> wat VWS betreft</w:t>
      </w:r>
      <w:r w:rsidRPr="00005C8A" w:rsidR="00A65C4B">
        <w:t xml:space="preserve"> het belang van aanvullend beleid, zoals een toereikende informatievoorziening</w:t>
      </w:r>
      <w:r w:rsidRPr="00005C8A" w:rsidR="00C209E6">
        <w:t xml:space="preserve"> en begeleiding</w:t>
      </w:r>
      <w:r w:rsidRPr="00005C8A" w:rsidR="00A65C4B">
        <w:t xml:space="preserve">, om het gebruik van de maatregel te stimuleren. </w:t>
      </w:r>
    </w:p>
    <w:p w:rsidRPr="00005C8A" w:rsidR="00BB12E5" w:rsidP="0058708B" w:rsidRDefault="00BB12E5" w14:paraId="3887ADD6" w14:textId="77777777">
      <w:pPr>
        <w:pStyle w:val="Kop2"/>
      </w:pPr>
      <w:bookmarkStart w:name="_Toc202982418" w:id="292"/>
      <w:bookmarkStart w:name="_Toc202982473" w:id="293"/>
      <w:bookmarkStart w:name="_Toc202982527" w:id="294"/>
      <w:bookmarkStart w:name="_Toc202982581" w:id="295"/>
      <w:bookmarkStart w:name="_Toc202982634" w:id="296"/>
      <w:bookmarkStart w:name="_Toc202982682" w:id="297"/>
      <w:bookmarkStart w:name="_Toc202982736" w:id="298"/>
      <w:bookmarkStart w:name="_Toc202982790" w:id="299"/>
      <w:bookmarkStart w:name="_Toc202982904" w:id="300"/>
      <w:bookmarkStart w:name="_Toc202982958" w:id="301"/>
      <w:bookmarkStart w:name="_Toc202982419" w:id="302"/>
      <w:bookmarkStart w:name="_Toc202982474" w:id="303"/>
      <w:bookmarkStart w:name="_Toc202982528" w:id="304"/>
      <w:bookmarkStart w:name="_Toc202982582" w:id="305"/>
      <w:bookmarkStart w:name="_Toc202982635" w:id="306"/>
      <w:bookmarkStart w:name="_Toc202982683" w:id="307"/>
      <w:bookmarkStart w:name="_Toc202982737" w:id="308"/>
      <w:bookmarkStart w:name="_Toc202982791" w:id="309"/>
      <w:bookmarkStart w:name="_Toc202982905" w:id="310"/>
      <w:bookmarkStart w:name="_Toc202982959" w:id="311"/>
      <w:bookmarkStart w:name="_Toc202982420" w:id="312"/>
      <w:bookmarkStart w:name="_Toc202982475" w:id="313"/>
      <w:bookmarkStart w:name="_Toc202982529" w:id="314"/>
      <w:bookmarkStart w:name="_Toc202982583" w:id="315"/>
      <w:bookmarkStart w:name="_Toc202982636" w:id="316"/>
      <w:bookmarkStart w:name="_Toc202982684" w:id="317"/>
      <w:bookmarkStart w:name="_Toc202982738" w:id="318"/>
      <w:bookmarkStart w:name="_Toc202982792" w:id="319"/>
      <w:bookmarkStart w:name="_Toc202982906" w:id="320"/>
      <w:bookmarkStart w:name="_Toc202982960" w:id="321"/>
      <w:bookmarkStart w:name="_Toc202982421" w:id="322"/>
      <w:bookmarkStart w:name="_Toc202982476" w:id="323"/>
      <w:bookmarkStart w:name="_Toc202982530" w:id="324"/>
      <w:bookmarkStart w:name="_Toc202982584" w:id="325"/>
      <w:bookmarkStart w:name="_Toc202982637" w:id="326"/>
      <w:bookmarkStart w:name="_Toc202982685" w:id="327"/>
      <w:bookmarkStart w:name="_Toc202982739" w:id="328"/>
      <w:bookmarkStart w:name="_Toc202982793" w:id="329"/>
      <w:bookmarkStart w:name="_Toc202982907" w:id="330"/>
      <w:bookmarkStart w:name="_Toc202982961" w:id="331"/>
      <w:bookmarkStart w:name="_Toc202788174" w:id="332"/>
      <w:bookmarkStart w:name="_Toc214547153" w:id="333"/>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005C8A">
        <w:t>Dekking</w:t>
      </w:r>
      <w:bookmarkEnd w:id="332"/>
      <w:bookmarkEnd w:id="333"/>
    </w:p>
    <w:p w:rsidRPr="00005C8A" w:rsidR="00BB12E5" w:rsidP="00BB12E5" w:rsidRDefault="00BB12E5" w14:paraId="7F8954FC" w14:textId="690C6AD6">
      <w:r w:rsidRPr="00005C8A">
        <w:t>Net als voor de doelgroep geldt voor de dekking dat hierin gevarieerd kan worden en dat dit uiteindelijk een politieke keuze is</w:t>
      </w:r>
      <w:r w:rsidRPr="00005C8A" w:rsidR="009D38D8">
        <w:t>,</w:t>
      </w:r>
      <w:r w:rsidRPr="00005C8A">
        <w:t xml:space="preserve"> waarbij de keuze gevolgen heeft voor </w:t>
      </w:r>
      <w:r w:rsidRPr="00005C8A" w:rsidR="008F3254">
        <w:t>hoeveel een maatregel kost</w:t>
      </w:r>
      <w:r w:rsidRPr="00005C8A">
        <w:t>.</w:t>
      </w:r>
    </w:p>
    <w:p w:rsidRPr="00005C8A" w:rsidR="000D118F" w:rsidP="000D118F" w:rsidRDefault="000D118F" w14:paraId="05DD96F4" w14:textId="77777777">
      <w:pPr>
        <w:rPr>
          <w:rFonts w:cstheme="minorHAnsi"/>
        </w:rPr>
      </w:pPr>
    </w:p>
    <w:p w:rsidRPr="00005C8A" w:rsidR="00BB12E5" w:rsidP="00BB12E5" w:rsidRDefault="00BB12E5" w14:paraId="35B435E6" w14:textId="04D67A14">
      <w:pPr>
        <w:rPr>
          <w:rFonts w:cstheme="minorHAnsi"/>
        </w:rPr>
      </w:pPr>
      <w:r w:rsidRPr="00005C8A">
        <w:rPr>
          <w:rFonts w:cstheme="minorHAnsi"/>
        </w:rPr>
        <w:t xml:space="preserve">Voor de vraag welke </w:t>
      </w:r>
      <w:r w:rsidRPr="00005C8A" w:rsidR="006A2481">
        <w:rPr>
          <w:rFonts w:cstheme="minorHAnsi"/>
        </w:rPr>
        <w:t>mondzorg</w:t>
      </w:r>
      <w:r w:rsidRPr="00005C8A">
        <w:rPr>
          <w:rFonts w:cstheme="minorHAnsi"/>
        </w:rPr>
        <w:t xml:space="preserve"> gedekt moeten worden kan gebruik gemaakt worden van de ‘Handreiking acute en noodzakelijke mondzorg voor financieel kwetsbare mensen’</w:t>
      </w:r>
      <w:r w:rsidRPr="00005C8A">
        <w:rPr>
          <w:rStyle w:val="Voetnootmarkering"/>
          <w:rFonts w:cstheme="minorHAnsi"/>
        </w:rPr>
        <w:footnoteReference w:id="22"/>
      </w:r>
      <w:r w:rsidRPr="00005C8A">
        <w:rPr>
          <w:rFonts w:cstheme="minorHAnsi"/>
        </w:rPr>
        <w:t xml:space="preserve"> van de Mondzorgalliantie. Hierin staat beschreven wat </w:t>
      </w:r>
      <w:r w:rsidRPr="00005C8A" w:rsidR="000B1919">
        <w:rPr>
          <w:rFonts w:cstheme="minorHAnsi"/>
        </w:rPr>
        <w:t xml:space="preserve">wordt </w:t>
      </w:r>
      <w:r w:rsidRPr="00005C8A">
        <w:rPr>
          <w:rFonts w:cstheme="minorHAnsi"/>
        </w:rPr>
        <w:t xml:space="preserve">verstaan onder noodzakelijke en acute mondzorg. </w:t>
      </w:r>
    </w:p>
    <w:p w:rsidRPr="00005C8A" w:rsidR="00BB12E5" w:rsidP="00BB12E5" w:rsidRDefault="00BB12E5" w14:paraId="5D8476E5" w14:textId="77777777">
      <w:r w:rsidRPr="00005C8A">
        <w:t>Deze handreiking is gebaseerd op de volgende uitgangspunten voor basale mondgezondheid:</w:t>
      </w:r>
    </w:p>
    <w:p w:rsidRPr="00005C8A" w:rsidR="00BB12E5" w:rsidP="00ED6D04" w:rsidRDefault="00BB12E5" w14:paraId="3DD20DD4" w14:textId="77777777">
      <w:pPr>
        <w:pStyle w:val="Lijstalinea"/>
        <w:numPr>
          <w:ilvl w:val="0"/>
          <w:numId w:val="7"/>
        </w:numPr>
        <w:spacing w:line="276" w:lineRule="auto"/>
        <w:rPr>
          <w:rFonts w:ascii="Verdana" w:hAnsi="Verdana" w:cstheme="minorHAnsi"/>
          <w:sz w:val="18"/>
          <w:szCs w:val="18"/>
        </w:rPr>
      </w:pPr>
      <w:r w:rsidRPr="00005C8A">
        <w:rPr>
          <w:rFonts w:ascii="Verdana" w:hAnsi="Verdana" w:cstheme="minorHAnsi"/>
          <w:sz w:val="18"/>
          <w:szCs w:val="18"/>
        </w:rPr>
        <w:t xml:space="preserve">Pijnvrij en zonder (acute) ontsteking leven; </w:t>
      </w:r>
    </w:p>
    <w:p w:rsidRPr="00005C8A" w:rsidR="00BB12E5" w:rsidP="00ED6D04" w:rsidRDefault="00BB12E5" w14:paraId="3E69414D" w14:textId="77777777">
      <w:pPr>
        <w:pStyle w:val="Lijstalinea"/>
        <w:numPr>
          <w:ilvl w:val="0"/>
          <w:numId w:val="7"/>
        </w:numPr>
        <w:spacing w:line="276" w:lineRule="auto"/>
        <w:rPr>
          <w:rFonts w:ascii="Verdana" w:hAnsi="Verdana" w:cstheme="minorHAnsi"/>
          <w:sz w:val="18"/>
          <w:szCs w:val="18"/>
        </w:rPr>
      </w:pPr>
      <w:r w:rsidRPr="00005C8A">
        <w:rPr>
          <w:rFonts w:ascii="Verdana" w:hAnsi="Verdana" w:cstheme="minorHAnsi"/>
          <w:sz w:val="18"/>
          <w:szCs w:val="18"/>
        </w:rPr>
        <w:t xml:space="preserve">Zonder last alles eten; </w:t>
      </w:r>
    </w:p>
    <w:p w:rsidRPr="00005C8A" w:rsidR="00BB12E5" w:rsidP="00ED6D04" w:rsidRDefault="00BB12E5" w14:paraId="66FB0528" w14:textId="77777777">
      <w:pPr>
        <w:pStyle w:val="Lijstalinea"/>
        <w:numPr>
          <w:ilvl w:val="0"/>
          <w:numId w:val="7"/>
        </w:numPr>
        <w:spacing w:line="276" w:lineRule="auto"/>
        <w:rPr>
          <w:rFonts w:ascii="Verdana" w:hAnsi="Verdana" w:cstheme="minorHAnsi"/>
          <w:sz w:val="18"/>
          <w:szCs w:val="18"/>
        </w:rPr>
      </w:pPr>
      <w:r w:rsidRPr="00005C8A">
        <w:rPr>
          <w:rFonts w:ascii="Verdana" w:hAnsi="Verdana" w:cstheme="minorHAnsi"/>
          <w:sz w:val="18"/>
          <w:szCs w:val="18"/>
        </w:rPr>
        <w:t xml:space="preserve">Ongehinderd praten; </w:t>
      </w:r>
    </w:p>
    <w:p w:rsidRPr="00005C8A" w:rsidR="00BB12E5" w:rsidP="00ED6D04" w:rsidRDefault="00BB12E5" w14:paraId="4701B5BC" w14:textId="77777777">
      <w:pPr>
        <w:pStyle w:val="Lijstalinea"/>
        <w:numPr>
          <w:ilvl w:val="0"/>
          <w:numId w:val="7"/>
        </w:numPr>
        <w:spacing w:line="276" w:lineRule="auto"/>
        <w:rPr>
          <w:rFonts w:ascii="Verdana" w:hAnsi="Verdana" w:cstheme="minorHAnsi"/>
          <w:sz w:val="18"/>
          <w:szCs w:val="18"/>
        </w:rPr>
      </w:pPr>
      <w:r w:rsidRPr="00005C8A">
        <w:rPr>
          <w:rFonts w:ascii="Verdana" w:hAnsi="Verdana" w:cstheme="minorHAnsi"/>
          <w:sz w:val="18"/>
          <w:szCs w:val="18"/>
        </w:rPr>
        <w:t>Zich zonder schaamte sociaal bewegen en participeren in de maatschappij.</w:t>
      </w:r>
    </w:p>
    <w:p w:rsidRPr="00005C8A" w:rsidR="00BB12E5" w:rsidP="00BB12E5" w:rsidRDefault="00BB12E5" w14:paraId="27A5BDD9" w14:textId="4137D743">
      <w:pPr>
        <w:spacing w:line="276" w:lineRule="auto"/>
        <w:rPr>
          <w:rFonts w:cstheme="minorHAnsi"/>
        </w:rPr>
      </w:pPr>
      <w:r w:rsidRPr="00005C8A">
        <w:rPr>
          <w:rFonts w:cstheme="minorHAnsi"/>
        </w:rPr>
        <w:t>Hiervoor is een lijst van de specifieke prestatiecodes opge</w:t>
      </w:r>
      <w:r w:rsidRPr="00005C8A" w:rsidR="000B5BDC">
        <w:rPr>
          <w:rFonts w:cstheme="minorHAnsi"/>
        </w:rPr>
        <w:t>steld</w:t>
      </w:r>
      <w:r w:rsidRPr="00005C8A">
        <w:rPr>
          <w:rFonts w:cstheme="minorHAnsi"/>
        </w:rPr>
        <w:t xml:space="preserve"> die zonder machtiging tot een maximumbedrag en daarboven met een machtiging voor deze interventies kunnen worden gedeclareerd. Dit betreft </w:t>
      </w:r>
      <w:r w:rsidR="00B2539E">
        <w:rPr>
          <w:rFonts w:cstheme="minorHAnsi"/>
        </w:rPr>
        <w:t>noodz</w:t>
      </w:r>
      <w:r w:rsidR="005231F8">
        <w:rPr>
          <w:rFonts w:cstheme="minorHAnsi"/>
        </w:rPr>
        <w:t>a</w:t>
      </w:r>
      <w:r w:rsidR="00B2539E">
        <w:rPr>
          <w:rFonts w:cstheme="minorHAnsi"/>
        </w:rPr>
        <w:t xml:space="preserve">kelijke </w:t>
      </w:r>
      <w:r w:rsidRPr="00005C8A" w:rsidR="00F942A7">
        <w:rPr>
          <w:rFonts w:cstheme="minorHAnsi"/>
        </w:rPr>
        <w:t>en acute mondzorg</w:t>
      </w:r>
      <w:r w:rsidRPr="00005C8A">
        <w:rPr>
          <w:rFonts w:cstheme="minorHAnsi"/>
        </w:rPr>
        <w:t xml:space="preserve">. </w:t>
      </w:r>
      <w:r w:rsidR="00B2539E">
        <w:rPr>
          <w:rFonts w:cstheme="minorHAnsi"/>
        </w:rPr>
        <w:t xml:space="preserve"> </w:t>
      </w:r>
      <w:r w:rsidRPr="00005C8A">
        <w:rPr>
          <w:rFonts w:cstheme="minorHAnsi"/>
        </w:rPr>
        <w:t xml:space="preserve"> </w:t>
      </w:r>
    </w:p>
    <w:p w:rsidRPr="00005C8A" w:rsidR="00AC5BD3" w:rsidP="00BB12E5" w:rsidRDefault="00AC5BD3" w14:paraId="1752B70A" w14:textId="77777777">
      <w:pPr>
        <w:spacing w:line="276" w:lineRule="auto"/>
        <w:rPr>
          <w:rFonts w:cstheme="minorHAnsi"/>
        </w:rPr>
      </w:pPr>
    </w:p>
    <w:p w:rsidRPr="00005C8A" w:rsidR="00926F6C" w:rsidP="00AC5BD3" w:rsidRDefault="004960B0" w14:paraId="4A5E50F8" w14:textId="542F2028">
      <w:pPr>
        <w:spacing w:line="276" w:lineRule="auto"/>
        <w:rPr>
          <w:rFonts w:cstheme="minorHAnsi"/>
        </w:rPr>
      </w:pPr>
      <w:r w:rsidRPr="00005C8A">
        <w:rPr>
          <w:rFonts w:cstheme="minorHAnsi"/>
        </w:rPr>
        <w:t xml:space="preserve">In dit rapport brengen we </w:t>
      </w:r>
      <w:r w:rsidRPr="00005C8A" w:rsidR="000B5BDC">
        <w:rPr>
          <w:rFonts w:cstheme="minorHAnsi"/>
        </w:rPr>
        <w:t xml:space="preserve">drie dekkingsopties </w:t>
      </w:r>
      <w:r w:rsidRPr="00005C8A">
        <w:rPr>
          <w:rFonts w:cstheme="minorHAnsi"/>
        </w:rPr>
        <w:t xml:space="preserve">in beeld, zodat hier een (politieke) weging in gemaakt kan worden. </w:t>
      </w:r>
      <w:r w:rsidRPr="00005C8A" w:rsidR="00933C0E">
        <w:rPr>
          <w:rFonts w:cstheme="minorHAnsi"/>
        </w:rPr>
        <w:t>De</w:t>
      </w:r>
      <w:r w:rsidRPr="00005C8A">
        <w:rPr>
          <w:rFonts w:cstheme="minorHAnsi"/>
        </w:rPr>
        <w:t xml:space="preserve"> minst uitgebreide </w:t>
      </w:r>
      <w:r w:rsidRPr="00005C8A" w:rsidR="00933C0E">
        <w:rPr>
          <w:rFonts w:cstheme="minorHAnsi"/>
        </w:rPr>
        <w:t>optie</w:t>
      </w:r>
      <w:r w:rsidRPr="00005C8A">
        <w:rPr>
          <w:rFonts w:cstheme="minorHAnsi"/>
        </w:rPr>
        <w:t xml:space="preserve"> gaat uit van het enkel vergoeden van acute en noodzakelijke mondzorg</w:t>
      </w:r>
      <w:r w:rsidRPr="00005C8A" w:rsidR="000B5BDC">
        <w:rPr>
          <w:rFonts w:cstheme="minorHAnsi"/>
        </w:rPr>
        <w:t>,</w:t>
      </w:r>
      <w:r w:rsidRPr="00005C8A">
        <w:rPr>
          <w:rFonts w:cstheme="minorHAnsi"/>
        </w:rPr>
        <w:t xml:space="preserve"> </w:t>
      </w:r>
      <w:r w:rsidRPr="00005C8A" w:rsidR="00933C0E">
        <w:rPr>
          <w:rFonts w:cstheme="minorHAnsi"/>
        </w:rPr>
        <w:t>de</w:t>
      </w:r>
      <w:r w:rsidRPr="00005C8A">
        <w:rPr>
          <w:rFonts w:cstheme="minorHAnsi"/>
        </w:rPr>
        <w:t xml:space="preserve"> meest uitgebreide </w:t>
      </w:r>
      <w:r w:rsidRPr="00005C8A" w:rsidR="00933C0E">
        <w:rPr>
          <w:rFonts w:cstheme="minorHAnsi"/>
        </w:rPr>
        <w:t>optie</w:t>
      </w:r>
      <w:r w:rsidRPr="00005C8A">
        <w:rPr>
          <w:rFonts w:cstheme="minorHAnsi"/>
        </w:rPr>
        <w:t xml:space="preserve"> gaat uit van een vrijwel volledige vergoeding voor mondzorgkosten</w:t>
      </w:r>
      <w:r w:rsidRPr="00005C8A" w:rsidR="000B5BDC">
        <w:rPr>
          <w:rFonts w:cstheme="minorHAnsi"/>
        </w:rPr>
        <w:t xml:space="preserve"> en </w:t>
      </w:r>
      <w:r w:rsidRPr="00005C8A" w:rsidR="008F4930">
        <w:rPr>
          <w:rFonts w:cstheme="minorHAnsi"/>
        </w:rPr>
        <w:t xml:space="preserve">we presenteren ook </w:t>
      </w:r>
      <w:r w:rsidRPr="00005C8A" w:rsidR="000B5BDC">
        <w:rPr>
          <w:rFonts w:cstheme="minorHAnsi"/>
        </w:rPr>
        <w:t>een tussenvariant</w:t>
      </w:r>
      <w:r w:rsidRPr="00005C8A">
        <w:rPr>
          <w:rFonts w:cstheme="minorHAnsi"/>
        </w:rPr>
        <w:t xml:space="preserve">. </w:t>
      </w:r>
    </w:p>
    <w:p w:rsidRPr="00005C8A" w:rsidR="00926F6C" w:rsidP="00AC5BD3" w:rsidRDefault="00926F6C" w14:paraId="355F7FB4" w14:textId="77777777">
      <w:pPr>
        <w:spacing w:line="276" w:lineRule="auto"/>
        <w:rPr>
          <w:rFonts w:cstheme="minorHAnsi"/>
        </w:rPr>
      </w:pPr>
    </w:p>
    <w:p w:rsidR="00926F6C" w:rsidP="00926F6C" w:rsidRDefault="00926F6C" w14:paraId="3469ADAD" w14:textId="77777777">
      <w:r w:rsidRPr="00005C8A">
        <w:t>Hoewel preventie van groot belang is voor de mondgezondheid en het voorkomen van hoge zorgkosten</w:t>
      </w:r>
      <w:r>
        <w:t xml:space="preserve"> is een pakket dat enkel uit </w:t>
      </w:r>
      <w:r w:rsidRPr="00632DCB">
        <w:t xml:space="preserve">preventieve behandelingen </w:t>
      </w:r>
      <w:r>
        <w:t>bestaat (</w:t>
      </w:r>
      <w:r w:rsidRPr="00632DCB">
        <w:t>zoals controles en gebitsreiniging</w:t>
      </w:r>
      <w:r>
        <w:t>)</w:t>
      </w:r>
      <w:r w:rsidRPr="00632DCB">
        <w:t xml:space="preserve"> niet in dit rapport opgenomen</w:t>
      </w:r>
      <w:r>
        <w:t xml:space="preserve">. De reden daarvoor is dat </w:t>
      </w:r>
      <w:r w:rsidRPr="00632DCB">
        <w:t xml:space="preserve">mondzorgmijding om financiële redenen vooral komt door de vrees voor de kosten van grotere behandelingen. Een pakket </w:t>
      </w:r>
      <w:r>
        <w:t xml:space="preserve">met alleen preventieve behandelingen </w:t>
      </w:r>
      <w:r w:rsidRPr="00632DCB">
        <w:t>draagt daardoor weinig bij aan het voorkomen van mondzorgmijding.</w:t>
      </w:r>
      <w:r>
        <w:t xml:space="preserve"> Bovendien blijkt u</w:t>
      </w:r>
      <w:r w:rsidRPr="00632DCB">
        <w:t>it onderzoek dat na controle circa 40% van de mensen aanvullende (curatieve) mondzorg nodig heeft.</w:t>
      </w:r>
      <w:r w:rsidRPr="00632DCB">
        <w:rPr>
          <w:rStyle w:val="Voetnootmarkering"/>
        </w:rPr>
        <w:footnoteReference w:id="23"/>
      </w:r>
      <w:r w:rsidRPr="00632DCB">
        <w:t xml:space="preserve"> </w:t>
      </w:r>
    </w:p>
    <w:p w:rsidR="00926F6C" w:rsidP="00AC5BD3" w:rsidRDefault="00926F6C" w14:paraId="0AEB78D0" w14:textId="77777777">
      <w:pPr>
        <w:spacing w:line="276" w:lineRule="auto"/>
        <w:rPr>
          <w:rFonts w:cstheme="minorHAnsi"/>
        </w:rPr>
      </w:pPr>
    </w:p>
    <w:p w:rsidR="00926F6C" w:rsidP="00AC5BD3" w:rsidRDefault="00926F6C" w14:paraId="30B349DF" w14:textId="108FEBEB">
      <w:pPr>
        <w:spacing w:line="276" w:lineRule="auto"/>
        <w:rPr>
          <w:rFonts w:cstheme="minorHAnsi"/>
        </w:rPr>
      </w:pPr>
      <w:r w:rsidRPr="00711FDB">
        <w:t>Een bred</w:t>
      </w:r>
      <w:r>
        <w:t>e</w:t>
      </w:r>
      <w:r w:rsidRPr="00711FDB">
        <w:t xml:space="preserve"> dekking kan bijdragen aan het realiseren van een optimale mondgezondheid voor alle patiënten. Daarmee wordt voorkomen dat patiënten periodiek (zelfs met enige vertraging) terugkeren met problemen die doorgaans eenvoudig en kostenefficiënt voorkomen hadden kunnen worden</w:t>
      </w:r>
      <w:r>
        <w:t>.</w:t>
      </w:r>
    </w:p>
    <w:p w:rsidR="00926F6C" w:rsidP="00AC5BD3" w:rsidRDefault="00926F6C" w14:paraId="30EE9BD5" w14:textId="77777777">
      <w:pPr>
        <w:spacing w:line="276" w:lineRule="auto"/>
        <w:rPr>
          <w:rFonts w:cstheme="minorHAnsi"/>
        </w:rPr>
      </w:pPr>
    </w:p>
    <w:p w:rsidRPr="00632DCB" w:rsidR="00AC5BD3" w:rsidP="00AC5BD3" w:rsidRDefault="00926F6C" w14:paraId="0D3733BA" w14:textId="3D62B292">
      <w:pPr>
        <w:spacing w:line="276" w:lineRule="auto"/>
        <w:rPr>
          <w:rFonts w:cstheme="minorHAnsi"/>
        </w:rPr>
      </w:pPr>
      <w:r>
        <w:rPr>
          <w:rFonts w:cstheme="minorHAnsi"/>
        </w:rPr>
        <w:t>I</w:t>
      </w:r>
      <w:r w:rsidR="004960B0">
        <w:rPr>
          <w:rFonts w:cstheme="minorHAnsi"/>
        </w:rPr>
        <w:t>n dit rapport worden de volgende opties doorgerekend</w:t>
      </w:r>
      <w:r w:rsidRPr="00632DCB" w:rsidR="00AC5BD3">
        <w:rPr>
          <w:rFonts w:cstheme="minorHAnsi"/>
        </w:rPr>
        <w:t>:</w:t>
      </w:r>
    </w:p>
    <w:p w:rsidRPr="00632DCB" w:rsidR="00AC5BD3" w:rsidP="00BB12E5" w:rsidRDefault="00AC5BD3" w14:paraId="17A48866" w14:textId="77777777">
      <w:pPr>
        <w:spacing w:line="276" w:lineRule="auto"/>
        <w:rPr>
          <w:rFonts w:cstheme="minorHAnsi"/>
        </w:rPr>
      </w:pPr>
    </w:p>
    <w:p w:rsidRPr="00D15C5F" w:rsidR="00AC5BD3" w:rsidP="00AC5BD3" w:rsidRDefault="00AC5BD3" w14:paraId="76933A19" w14:textId="7885EDCF">
      <w:pPr>
        <w:pStyle w:val="Lijstalinea"/>
        <w:numPr>
          <w:ilvl w:val="0"/>
          <w:numId w:val="22"/>
        </w:numPr>
        <w:tabs>
          <w:tab w:val="left" w:pos="2305"/>
        </w:tabs>
        <w:spacing w:after="0" w:line="240" w:lineRule="exact"/>
        <w:rPr>
          <w:rFonts w:ascii="Verdana" w:hAnsi="Verdana"/>
          <w:sz w:val="18"/>
          <w:szCs w:val="18"/>
        </w:rPr>
      </w:pPr>
      <w:r w:rsidRPr="00D15C5F">
        <w:rPr>
          <w:rFonts w:ascii="Verdana" w:hAnsi="Verdana"/>
          <w:color w:val="000000"/>
          <w:sz w:val="18"/>
          <w:szCs w:val="18"/>
        </w:rPr>
        <w:lastRenderedPageBreak/>
        <w:t>Behandelingen die zijn opgenomen in de ‘Handreiking acute en noodzakelijke mondzorg voor financieel kwetsbare mensen’ (2023) van de Mondzorgalliantie met een maximum van €350</w:t>
      </w:r>
      <w:r w:rsidR="00191DA1">
        <w:rPr>
          <w:rFonts w:ascii="Verdana" w:hAnsi="Verdana"/>
          <w:color w:val="000000"/>
          <w:sz w:val="18"/>
          <w:szCs w:val="18"/>
        </w:rPr>
        <w:t xml:space="preserve"> (per jaar)</w:t>
      </w:r>
      <w:r w:rsidRPr="00D15C5F">
        <w:rPr>
          <w:rFonts w:ascii="Verdana" w:hAnsi="Verdana"/>
          <w:sz w:val="18"/>
          <w:szCs w:val="18"/>
        </w:rPr>
        <w:t>.</w:t>
      </w:r>
      <w:r w:rsidRPr="00D15C5F" w:rsidR="00781AEC">
        <w:rPr>
          <w:rStyle w:val="Voetnootmarkering"/>
          <w:rFonts w:ascii="Verdana" w:hAnsi="Verdana"/>
          <w:sz w:val="18"/>
          <w:szCs w:val="18"/>
        </w:rPr>
        <w:footnoteReference w:id="24"/>
      </w:r>
    </w:p>
    <w:p w:rsidRPr="00D15C5F" w:rsidR="00AC5BD3" w:rsidP="00AC5BD3" w:rsidRDefault="00926F6C" w14:paraId="24A319BB" w14:textId="3B3C668D">
      <w:pPr>
        <w:pStyle w:val="Lijstalinea"/>
        <w:numPr>
          <w:ilvl w:val="0"/>
          <w:numId w:val="22"/>
        </w:numPr>
        <w:tabs>
          <w:tab w:val="left" w:pos="2305"/>
        </w:tabs>
        <w:spacing w:after="0" w:line="240" w:lineRule="exact"/>
        <w:rPr>
          <w:rFonts w:ascii="Verdana" w:hAnsi="Verdana"/>
          <w:sz w:val="18"/>
          <w:szCs w:val="18"/>
        </w:rPr>
      </w:pPr>
      <w:r w:rsidRPr="00891FED">
        <w:rPr>
          <w:rFonts w:ascii="Verdana" w:hAnsi="Verdana"/>
          <w:color w:val="000000"/>
          <w:sz w:val="18"/>
          <w:szCs w:val="18"/>
        </w:rPr>
        <w:t xml:space="preserve">Behandelingen die zijn opgenomen in de ‘Handreiking acute en noodzakelijke mondzorg voor financieel kwetsbare mensen’ (2023) van de Mondzorgalliantie </w:t>
      </w:r>
      <w:r w:rsidRPr="007134D1" w:rsidR="00955793">
        <w:rPr>
          <w:rFonts w:ascii="Verdana" w:hAnsi="Verdana"/>
          <w:color w:val="000000"/>
          <w:sz w:val="18"/>
          <w:szCs w:val="18"/>
        </w:rPr>
        <w:t>met een maximum van €350</w:t>
      </w:r>
      <w:r w:rsidR="00955793">
        <w:rPr>
          <w:rFonts w:ascii="Verdana" w:hAnsi="Verdana"/>
          <w:color w:val="000000"/>
          <w:sz w:val="18"/>
          <w:szCs w:val="18"/>
        </w:rPr>
        <w:t xml:space="preserve"> en daarbovenop </w:t>
      </w:r>
      <w:r w:rsidRPr="00D15C5F" w:rsidR="00AC5BD3">
        <w:rPr>
          <w:rFonts w:ascii="Verdana" w:hAnsi="Verdana"/>
          <w:sz w:val="18"/>
          <w:szCs w:val="18"/>
        </w:rPr>
        <w:t xml:space="preserve">een </w:t>
      </w:r>
      <w:r w:rsidRPr="00D15C5F" w:rsidR="00AC5BD3">
        <w:rPr>
          <w:rFonts w:ascii="Verdana" w:hAnsi="Verdana"/>
          <w:color w:val="000000"/>
          <w:sz w:val="18"/>
          <w:szCs w:val="18"/>
        </w:rPr>
        <w:t>eenmalige vergoeding voor sanering.</w:t>
      </w:r>
      <w:r>
        <w:rPr>
          <w:rFonts w:ascii="Verdana" w:hAnsi="Verdana"/>
          <w:sz w:val="18"/>
          <w:szCs w:val="18"/>
        </w:rPr>
        <w:t xml:space="preserve"> Door het eenmalig vergoeden van sanering kunnen ook mensen met gevorderde mondziekten geholpen worden. </w:t>
      </w:r>
    </w:p>
    <w:p w:rsidRPr="00D15C5F" w:rsidR="00AC5BD3" w:rsidP="00632DCB" w:rsidRDefault="00926F6C" w14:paraId="15AC7CD0" w14:textId="75CC3A6B">
      <w:pPr>
        <w:pStyle w:val="Lijstalinea"/>
        <w:numPr>
          <w:ilvl w:val="0"/>
          <w:numId w:val="22"/>
        </w:numPr>
        <w:tabs>
          <w:tab w:val="left" w:pos="2305"/>
        </w:tabs>
        <w:spacing w:after="0" w:line="240" w:lineRule="exact"/>
        <w:rPr>
          <w:rFonts w:ascii="Verdana" w:hAnsi="Verdana"/>
          <w:sz w:val="18"/>
          <w:szCs w:val="18"/>
        </w:rPr>
      </w:pPr>
      <w:r>
        <w:rPr>
          <w:rFonts w:ascii="Verdana" w:hAnsi="Verdana"/>
          <w:sz w:val="18"/>
          <w:szCs w:val="18"/>
        </w:rPr>
        <w:t>A</w:t>
      </w:r>
      <w:r w:rsidRPr="00D15C5F" w:rsidR="00AC5BD3">
        <w:rPr>
          <w:rFonts w:ascii="Verdana" w:hAnsi="Verdana"/>
          <w:sz w:val="18"/>
          <w:szCs w:val="18"/>
        </w:rPr>
        <w:t xml:space="preserve">lle behandelingen </w:t>
      </w:r>
      <w:r w:rsidRPr="00D15C5F" w:rsidR="00AC5BD3">
        <w:rPr>
          <w:rFonts w:ascii="Verdana" w:hAnsi="Verdana"/>
          <w:color w:val="000000"/>
          <w:sz w:val="18"/>
          <w:szCs w:val="18"/>
        </w:rPr>
        <w:t xml:space="preserve">die zijn opgenomen in de basisverzekering voor </w:t>
      </w:r>
      <w:r>
        <w:rPr>
          <w:rFonts w:ascii="Verdana" w:hAnsi="Verdana"/>
          <w:color w:val="000000"/>
          <w:sz w:val="18"/>
          <w:szCs w:val="18"/>
        </w:rPr>
        <w:t>minderjarigen</w:t>
      </w:r>
      <w:r w:rsidRPr="00D15C5F" w:rsidR="00AC5BD3">
        <w:rPr>
          <w:rFonts w:ascii="Verdana" w:hAnsi="Verdana"/>
          <w:color w:val="000000"/>
          <w:sz w:val="18"/>
          <w:szCs w:val="18"/>
        </w:rPr>
        <w:t xml:space="preserve">. </w:t>
      </w:r>
    </w:p>
    <w:p w:rsidRPr="00933C0E" w:rsidR="00AC5BD3" w:rsidP="000D118F" w:rsidRDefault="00AC5BD3" w14:paraId="0BA0AE4D" w14:textId="77777777">
      <w:pPr>
        <w:rPr>
          <w:rFonts w:cstheme="minorHAnsi"/>
        </w:rPr>
      </w:pPr>
    </w:p>
    <w:p w:rsidR="000D118F" w:rsidP="000D118F" w:rsidRDefault="00053B54" w14:paraId="1CD4EC7C" w14:textId="55825A77">
      <w:pPr>
        <w:rPr>
          <w:rFonts w:cstheme="minorHAnsi"/>
        </w:rPr>
      </w:pPr>
      <w:r w:rsidRPr="00933C0E">
        <w:rPr>
          <w:rFonts w:cstheme="minorHAnsi"/>
        </w:rPr>
        <w:t>Voor al deze pakketten g</w:t>
      </w:r>
      <w:r w:rsidRPr="00933C0E" w:rsidR="00E1614B">
        <w:rPr>
          <w:rFonts w:cstheme="minorHAnsi"/>
        </w:rPr>
        <w:t xml:space="preserve">eldt dat er voor de geleverde zorg geen kosten voor rekening van de zorggebruiker komen. </w:t>
      </w:r>
      <w:r w:rsidRPr="00933C0E">
        <w:rPr>
          <w:rFonts w:cstheme="minorHAnsi"/>
        </w:rPr>
        <w:t xml:space="preserve"> </w:t>
      </w:r>
    </w:p>
    <w:p w:rsidRPr="00933C0E" w:rsidR="00B877CC" w:rsidP="000D118F" w:rsidRDefault="00B877CC" w14:paraId="5F146FE3" w14:textId="77777777">
      <w:pPr>
        <w:rPr>
          <w:rFonts w:cstheme="minorHAnsi"/>
        </w:rPr>
      </w:pPr>
    </w:p>
    <w:p w:rsidRPr="00D15C5F" w:rsidR="0053167C" w:rsidP="00D15C5F" w:rsidRDefault="00B877CC" w14:paraId="2E8BC3AA" w14:textId="2C72A33F">
      <w:pPr>
        <w:rPr>
          <w:rFonts w:eastAsiaTheme="minorHAnsi" w:cstheme="minorBidi"/>
          <w:kern w:val="2"/>
          <w:szCs w:val="22"/>
          <w:lang w:eastAsia="en-US"/>
          <w14:ligatures w14:val="standardContextual"/>
        </w:rPr>
      </w:pPr>
      <w:r>
        <w:rPr>
          <w:rFonts w:cstheme="minorHAnsi"/>
        </w:rPr>
        <w:t xml:space="preserve">Bij het noodfonds kan ook gekozen worden voor uitsluitend het vergoeden van het behandelen van gevorderde mondziekten, zie paragraaf 3.6. </w:t>
      </w:r>
    </w:p>
    <w:p w:rsidRPr="00632DCB" w:rsidR="00D40E91" w:rsidP="000D118F" w:rsidRDefault="00D40E91" w14:paraId="6499EDE8" w14:textId="77777777">
      <w:pPr>
        <w:rPr>
          <w:rFonts w:cstheme="minorHAnsi"/>
        </w:rPr>
      </w:pPr>
    </w:p>
    <w:p w:rsidRPr="00632DCB" w:rsidR="005A44C5" w:rsidP="0058708B" w:rsidRDefault="00B673B1" w14:paraId="53415F58" w14:textId="7D7DA6FD">
      <w:pPr>
        <w:pStyle w:val="Kop2"/>
      </w:pPr>
      <w:bookmarkStart w:name="_Toc206505526" w:id="334"/>
      <w:bookmarkStart w:name="_Toc206581875" w:id="335"/>
      <w:bookmarkStart w:name="_Toc207106267" w:id="336"/>
      <w:bookmarkStart w:name="_Toc202280987" w:id="337"/>
      <w:bookmarkStart w:name="_Toc202788175" w:id="338"/>
      <w:bookmarkStart w:name="_Toc214547154" w:id="339"/>
      <w:bookmarkEnd w:id="334"/>
      <w:bookmarkEnd w:id="335"/>
      <w:bookmarkEnd w:id="336"/>
      <w:r w:rsidRPr="00632DCB">
        <w:t xml:space="preserve">Maatregel 1: Landelijke </w:t>
      </w:r>
      <w:r w:rsidRPr="00632DCB" w:rsidR="002F74A1">
        <w:t xml:space="preserve">financiële </w:t>
      </w:r>
      <w:r w:rsidRPr="00632DCB">
        <w:t>regeling</w:t>
      </w:r>
      <w:bookmarkEnd w:id="337"/>
      <w:bookmarkEnd w:id="338"/>
      <w:bookmarkEnd w:id="339"/>
      <w:r w:rsidRPr="00632DCB">
        <w:t xml:space="preserve"> </w:t>
      </w:r>
    </w:p>
    <w:p w:rsidRPr="00632DCB" w:rsidR="00494A29" w:rsidP="003B1B4E" w:rsidRDefault="00494A29" w14:paraId="5F339C13" w14:textId="77777777"/>
    <w:tbl>
      <w:tblPr>
        <w:tblStyle w:val="Tabelraster"/>
        <w:tblW w:w="0" w:type="auto"/>
        <w:tblInd w:w="0" w:type="dxa"/>
        <w:tblLook w:val="04A0" w:firstRow="1" w:lastRow="0" w:firstColumn="1" w:lastColumn="0" w:noHBand="0" w:noVBand="1"/>
      </w:tblPr>
      <w:tblGrid>
        <w:gridCol w:w="1805"/>
        <w:gridCol w:w="5982"/>
      </w:tblGrid>
      <w:tr w:rsidRPr="00632DCB" w:rsidR="0077783D" w:rsidTr="00D15C5F" w14:paraId="1E81499E" w14:textId="77777777">
        <w:tc>
          <w:tcPr>
            <w:tcW w:w="1805" w:type="dxa"/>
            <w:shd w:val="clear" w:color="auto" w:fill="45B0E1"/>
          </w:tcPr>
          <w:p w:rsidRPr="00632DCB" w:rsidR="0077783D" w:rsidP="008271A5" w:rsidRDefault="0077783D" w14:paraId="5D373B23" w14:textId="1699347D">
            <w:pPr>
              <w:spacing w:line="360" w:lineRule="auto"/>
              <w:ind w:left="142"/>
              <w:rPr>
                <w:rFonts w:cstheme="minorHAnsi"/>
              </w:rPr>
            </w:pPr>
            <w:r w:rsidRPr="00632DCB">
              <w:rPr>
                <w:rFonts w:cstheme="minorHAnsi"/>
              </w:rPr>
              <w:t>M</w:t>
            </w:r>
            <w:r w:rsidRPr="00632DCB" w:rsidR="00F25B36">
              <w:rPr>
                <w:rFonts w:cstheme="minorHAnsi"/>
              </w:rPr>
              <w:t>aatr</w:t>
            </w:r>
            <w:r w:rsidRPr="00632DCB">
              <w:rPr>
                <w:rFonts w:cstheme="minorHAnsi"/>
              </w:rPr>
              <w:t>egel</w:t>
            </w:r>
          </w:p>
        </w:tc>
        <w:tc>
          <w:tcPr>
            <w:tcW w:w="5982" w:type="dxa"/>
          </w:tcPr>
          <w:p w:rsidRPr="00632DCB" w:rsidR="007A4B53" w:rsidP="00D15C5F" w:rsidRDefault="0077783D" w14:paraId="3F08BB50" w14:textId="00A099F5">
            <w:pPr>
              <w:spacing w:line="276" w:lineRule="auto"/>
              <w:ind w:left="170" w:right="277"/>
            </w:pPr>
            <w:r w:rsidRPr="00632DCB">
              <w:t xml:space="preserve">Een </w:t>
            </w:r>
            <w:r w:rsidRPr="00632DCB" w:rsidR="007A4B53">
              <w:t xml:space="preserve">landelijke </w:t>
            </w:r>
            <w:r w:rsidRPr="00632DCB">
              <w:t>voorziening</w:t>
            </w:r>
            <w:r w:rsidRPr="00632DCB" w:rsidR="00716482">
              <w:t xml:space="preserve"> (wettelijke regeling), </w:t>
            </w:r>
            <w:r w:rsidR="00B27440">
              <w:t>geïnspireerd op</w:t>
            </w:r>
            <w:r w:rsidRPr="00632DCB" w:rsidR="0053167C">
              <w:t xml:space="preserve"> </w:t>
            </w:r>
            <w:r w:rsidRPr="00632DCB" w:rsidR="00716482">
              <w:t>de regeling voor</w:t>
            </w:r>
            <w:r w:rsidRPr="00632DCB" w:rsidR="00A97A4A">
              <w:t xml:space="preserve"> asielzoekers (</w:t>
            </w:r>
            <w:r w:rsidRPr="00632DCB" w:rsidR="00053B54">
              <w:t>RMA</w:t>
            </w:r>
            <w:r w:rsidRPr="00632DCB" w:rsidR="00A97A4A">
              <w:t>)</w:t>
            </w:r>
            <w:r w:rsidRPr="00632DCB" w:rsidR="00716482">
              <w:t xml:space="preserve"> </w:t>
            </w:r>
            <w:r w:rsidRPr="00632DCB">
              <w:t xml:space="preserve">waarbij alle </w:t>
            </w:r>
            <w:r w:rsidRPr="00632DCB" w:rsidR="00A97A4A">
              <w:t>mondzorg</w:t>
            </w:r>
            <w:r w:rsidRPr="00632DCB">
              <w:t>kosten binnen een bepaalde dekking door de Rijksoverheid vergoed worden. Er is geen premie</w:t>
            </w:r>
            <w:r w:rsidRPr="00632DCB" w:rsidR="008A5737">
              <w:t xml:space="preserve"> of rekening voor de patiënt. </w:t>
            </w:r>
            <w:r w:rsidRPr="00632DCB">
              <w:t xml:space="preserve"> </w:t>
            </w:r>
          </w:p>
          <w:p w:rsidRPr="00632DCB" w:rsidR="0077783D" w:rsidP="00D15C5F" w:rsidRDefault="0077783D" w14:paraId="2AE496FE" w14:textId="42261DC7">
            <w:pPr>
              <w:spacing w:line="276" w:lineRule="auto"/>
              <w:ind w:right="135"/>
              <w:rPr>
                <w:rFonts w:cstheme="minorHAnsi"/>
              </w:rPr>
            </w:pPr>
          </w:p>
        </w:tc>
      </w:tr>
      <w:tr w:rsidRPr="00632DCB" w:rsidR="00494A29" w:rsidTr="00D15C5F" w14:paraId="04D71C31" w14:textId="77777777">
        <w:tc>
          <w:tcPr>
            <w:tcW w:w="1805" w:type="dxa"/>
            <w:shd w:val="clear" w:color="auto" w:fill="45B0E1"/>
          </w:tcPr>
          <w:p w:rsidRPr="00632DCB" w:rsidR="00494A29" w:rsidP="008271A5" w:rsidRDefault="00494A29" w14:paraId="4C65401F" w14:textId="77777777">
            <w:pPr>
              <w:spacing w:line="360" w:lineRule="auto"/>
              <w:ind w:left="142"/>
              <w:rPr>
                <w:rFonts w:cstheme="minorHAnsi"/>
              </w:rPr>
            </w:pPr>
            <w:r w:rsidRPr="00632DCB">
              <w:rPr>
                <w:rFonts w:cstheme="minorHAnsi"/>
              </w:rPr>
              <w:t>Doelgroep en bereik</w:t>
            </w:r>
          </w:p>
        </w:tc>
        <w:tc>
          <w:tcPr>
            <w:tcW w:w="5982" w:type="dxa"/>
          </w:tcPr>
          <w:p w:rsidRPr="00632DCB" w:rsidR="00494A29" w:rsidP="00633A3B" w:rsidRDefault="0007496C" w14:paraId="0EB995B9" w14:textId="753809C5">
            <w:pPr>
              <w:spacing w:line="276" w:lineRule="auto"/>
              <w:ind w:left="170"/>
            </w:pPr>
            <w:r w:rsidRPr="00632DCB">
              <w:t>120% bijstandsnorm</w:t>
            </w:r>
            <w:r w:rsidRPr="00632DCB" w:rsidR="00B91AF3">
              <w:t xml:space="preserve">, zie paragraaf </w:t>
            </w:r>
            <w:r w:rsidRPr="00632DCB" w:rsidR="00633A3B">
              <w:t>3</w:t>
            </w:r>
            <w:r w:rsidRPr="00632DCB" w:rsidR="00B91AF3">
              <w:t>.1.</w:t>
            </w:r>
          </w:p>
          <w:p w:rsidRPr="00632DCB" w:rsidR="00633A3B" w:rsidP="00632DCB" w:rsidRDefault="00633A3B" w14:paraId="6359BDE6" w14:textId="1184CCE8">
            <w:pPr>
              <w:spacing w:line="276" w:lineRule="auto"/>
              <w:ind w:left="170"/>
            </w:pPr>
          </w:p>
        </w:tc>
      </w:tr>
      <w:tr w:rsidRPr="00632DCB" w:rsidR="00494A29" w:rsidTr="00D15C5F" w14:paraId="4EAF5305" w14:textId="77777777">
        <w:tc>
          <w:tcPr>
            <w:tcW w:w="1805" w:type="dxa"/>
            <w:shd w:val="clear" w:color="auto" w:fill="45B0E1"/>
          </w:tcPr>
          <w:p w:rsidRPr="00632DCB" w:rsidR="00494A29" w:rsidP="008271A5" w:rsidRDefault="00494A29" w14:paraId="4B612C09" w14:textId="77777777">
            <w:pPr>
              <w:spacing w:line="360" w:lineRule="auto"/>
              <w:ind w:left="142"/>
              <w:rPr>
                <w:rFonts w:cstheme="minorHAnsi"/>
              </w:rPr>
            </w:pPr>
            <w:r w:rsidRPr="00632DCB">
              <w:rPr>
                <w:rFonts w:cstheme="minorHAnsi"/>
              </w:rPr>
              <w:t>Toegang</w:t>
            </w:r>
          </w:p>
        </w:tc>
        <w:tc>
          <w:tcPr>
            <w:tcW w:w="5982" w:type="dxa"/>
          </w:tcPr>
          <w:p w:rsidR="00A97A4A" w:rsidRDefault="0021474F" w14:paraId="756CFC55" w14:textId="20927D0C">
            <w:pPr>
              <w:pStyle w:val="Lijstalinea"/>
              <w:numPr>
                <w:ilvl w:val="0"/>
                <w:numId w:val="6"/>
              </w:numPr>
              <w:spacing w:after="0" w:line="276" w:lineRule="auto"/>
              <w:ind w:right="272"/>
              <w:rPr>
                <w:rFonts w:ascii="Verdana" w:hAnsi="Verdana"/>
                <w:sz w:val="18"/>
                <w:szCs w:val="18"/>
              </w:rPr>
            </w:pPr>
            <w:r>
              <w:rPr>
                <w:rFonts w:ascii="Verdana" w:hAnsi="Verdana"/>
                <w:sz w:val="18"/>
                <w:szCs w:val="18"/>
              </w:rPr>
              <w:t>Toegang kan a</w:t>
            </w:r>
            <w:r w:rsidRPr="00632DCB" w:rsidR="00BB2843">
              <w:rPr>
                <w:rFonts w:ascii="Verdana" w:hAnsi="Verdana"/>
                <w:sz w:val="18"/>
                <w:szCs w:val="18"/>
              </w:rPr>
              <w:t xml:space="preserve">utomatische </w:t>
            </w:r>
            <w:r>
              <w:rPr>
                <w:rFonts w:ascii="Verdana" w:hAnsi="Verdana"/>
                <w:sz w:val="18"/>
                <w:szCs w:val="18"/>
              </w:rPr>
              <w:t>verleend worden</w:t>
            </w:r>
            <w:r w:rsidRPr="00632DCB" w:rsidR="00A97A4A">
              <w:rPr>
                <w:rFonts w:ascii="Verdana" w:hAnsi="Verdana"/>
                <w:sz w:val="18"/>
                <w:szCs w:val="18"/>
              </w:rPr>
              <w:t xml:space="preserve"> op basis van </w:t>
            </w:r>
            <w:r w:rsidRPr="00632DCB" w:rsidR="00824B77">
              <w:rPr>
                <w:rFonts w:ascii="Verdana" w:hAnsi="Verdana"/>
                <w:sz w:val="18"/>
                <w:szCs w:val="18"/>
              </w:rPr>
              <w:t xml:space="preserve">een inkomensgrens. </w:t>
            </w:r>
          </w:p>
          <w:p w:rsidR="0021474F" w:rsidRDefault="0021474F" w14:paraId="091BC6DC" w14:textId="18105FF2">
            <w:pPr>
              <w:pStyle w:val="Lijstalinea"/>
              <w:numPr>
                <w:ilvl w:val="0"/>
                <w:numId w:val="6"/>
              </w:numPr>
              <w:spacing w:after="0" w:line="276" w:lineRule="auto"/>
              <w:ind w:right="272"/>
              <w:rPr>
                <w:rFonts w:ascii="Verdana" w:hAnsi="Verdana"/>
                <w:sz w:val="18"/>
                <w:szCs w:val="18"/>
              </w:rPr>
            </w:pPr>
            <w:r>
              <w:rPr>
                <w:rFonts w:ascii="Verdana" w:hAnsi="Verdana"/>
                <w:sz w:val="18"/>
                <w:szCs w:val="18"/>
              </w:rPr>
              <w:t xml:space="preserve">Een andere optie, om het budgettair beslag van de maatregel te beperken, is dat de burger een aanvraag doet waarna een inkomenstoets wordt gedaan. De maatregel krijgt dan meer het karakter van een noodfonds (maatregel 4). </w:t>
            </w:r>
          </w:p>
          <w:p w:rsidR="009F3009" w:rsidP="00CD1C1E" w:rsidRDefault="009F3009" w14:paraId="07EB9D5C" w14:textId="77777777">
            <w:pPr>
              <w:spacing w:line="276" w:lineRule="auto"/>
              <w:ind w:right="272"/>
            </w:pPr>
          </w:p>
          <w:p w:rsidR="00A97A4A" w:rsidP="00D15C5F" w:rsidRDefault="009F3009" w14:paraId="132F3B27" w14:textId="405D764B">
            <w:pPr>
              <w:spacing w:line="276" w:lineRule="auto"/>
              <w:ind w:left="360" w:right="272"/>
            </w:pPr>
            <w:r>
              <w:t>In beide gevallen ontvangt d</w:t>
            </w:r>
            <w:r w:rsidRPr="009F3009" w:rsidR="00BB2843">
              <w:t>e uitvoerder (</w:t>
            </w:r>
            <w:r w:rsidRPr="009F3009" w:rsidR="00A97A4A">
              <w:t xml:space="preserve">Rijksuitvoerder of </w:t>
            </w:r>
            <w:r w:rsidRPr="009F3009" w:rsidR="00BB2843">
              <w:t>een zorgverzekeraar)</w:t>
            </w:r>
            <w:r w:rsidRPr="009F3009" w:rsidR="008A03FA">
              <w:t xml:space="preserve"> een signaal </w:t>
            </w:r>
            <w:r w:rsidRPr="009F3009" w:rsidR="00126A93">
              <w:t xml:space="preserve">(bijvoorbeeld van de </w:t>
            </w:r>
            <w:r w:rsidRPr="009F3009" w:rsidR="00AA1718">
              <w:t>Belast</w:t>
            </w:r>
            <w:r w:rsidRPr="009F3009" w:rsidR="00AA0E77">
              <w:t>ing</w:t>
            </w:r>
            <w:r w:rsidRPr="009F3009" w:rsidR="00AA1718">
              <w:t xml:space="preserve">dienst </w:t>
            </w:r>
            <w:r w:rsidR="00B27440">
              <w:t xml:space="preserve">of een andere partij </w:t>
            </w:r>
            <w:r w:rsidRPr="009F3009" w:rsidR="00AA1718">
              <w:t>die een inkomenstoets doet</w:t>
            </w:r>
            <w:r w:rsidRPr="009F3009" w:rsidR="00126A93">
              <w:t xml:space="preserve">) </w:t>
            </w:r>
            <w:r w:rsidRPr="009F3009" w:rsidR="008A03FA">
              <w:t xml:space="preserve">of een persoon in aanmerking komt voor de voorziening. </w:t>
            </w:r>
            <w:r w:rsidRPr="009F3009" w:rsidR="00BB2843">
              <w:t xml:space="preserve"> </w:t>
            </w:r>
          </w:p>
          <w:p w:rsidR="00B27440" w:rsidP="00D15C5F" w:rsidRDefault="00B27440" w14:paraId="5CCB4FCD" w14:textId="77777777">
            <w:pPr>
              <w:spacing w:line="276" w:lineRule="auto"/>
              <w:ind w:left="360" w:right="272"/>
            </w:pPr>
          </w:p>
          <w:p w:rsidRPr="00632DCB" w:rsidR="00494A29" w:rsidP="000B3C9C" w:rsidRDefault="00B27440" w14:paraId="69E343DD" w14:textId="65EF9860">
            <w:pPr>
              <w:spacing w:line="276" w:lineRule="auto"/>
              <w:ind w:left="360" w:right="272"/>
              <w:rPr>
                <w:rFonts w:cstheme="minorHAnsi"/>
              </w:rPr>
            </w:pPr>
            <w:r>
              <w:t>Er moet nog bepaald worden op welke wijze het inkomen wordt vastgesteld</w:t>
            </w:r>
            <w:r w:rsidR="0021474F">
              <w:t xml:space="preserve"> en </w:t>
            </w:r>
            <w:r>
              <w:t xml:space="preserve">wat de bron van de inkomensgegevens is. </w:t>
            </w:r>
          </w:p>
        </w:tc>
      </w:tr>
      <w:tr w:rsidRPr="00632DCB" w:rsidR="00494A29" w:rsidTr="00D15C5F" w14:paraId="384B11C5" w14:textId="77777777">
        <w:tc>
          <w:tcPr>
            <w:tcW w:w="1805" w:type="dxa"/>
            <w:shd w:val="clear" w:color="auto" w:fill="45B0E1"/>
          </w:tcPr>
          <w:p w:rsidRPr="00632DCB" w:rsidR="00494A29" w:rsidP="008271A5" w:rsidRDefault="00494A29" w14:paraId="3710C993" w14:textId="77777777">
            <w:pPr>
              <w:spacing w:line="360" w:lineRule="auto"/>
              <w:ind w:left="142"/>
              <w:rPr>
                <w:rFonts w:cstheme="minorHAnsi"/>
              </w:rPr>
            </w:pPr>
            <w:r w:rsidRPr="00632DCB">
              <w:rPr>
                <w:rFonts w:cstheme="minorHAnsi"/>
              </w:rPr>
              <w:t>Dekking</w:t>
            </w:r>
          </w:p>
        </w:tc>
        <w:tc>
          <w:tcPr>
            <w:tcW w:w="5982" w:type="dxa"/>
          </w:tcPr>
          <w:p w:rsidRPr="00632DCB" w:rsidR="00B91AF3" w:rsidP="00B91AF3" w:rsidRDefault="00B91AF3" w14:paraId="1A11CF51" w14:textId="2030B040">
            <w:pPr>
              <w:pStyle w:val="Lijstalinea"/>
              <w:spacing w:line="276" w:lineRule="auto"/>
              <w:ind w:left="360" w:right="272"/>
              <w:rPr>
                <w:rFonts w:cstheme="minorHAnsi"/>
              </w:rPr>
            </w:pPr>
            <w:r w:rsidRPr="00D15C5F">
              <w:rPr>
                <w:rFonts w:ascii="Verdana" w:hAnsi="Verdana"/>
                <w:color w:val="000000"/>
                <w:sz w:val="18"/>
              </w:rPr>
              <w:t xml:space="preserve">Zie paragraaf </w:t>
            </w:r>
            <w:r w:rsidRPr="00D15C5F" w:rsidR="00633A3B">
              <w:rPr>
                <w:rFonts w:ascii="Verdana" w:hAnsi="Verdana"/>
                <w:color w:val="000000"/>
                <w:sz w:val="18"/>
              </w:rPr>
              <w:t>3</w:t>
            </w:r>
            <w:r w:rsidRPr="00D15C5F">
              <w:rPr>
                <w:rFonts w:ascii="Verdana" w:hAnsi="Verdana"/>
                <w:color w:val="000000"/>
                <w:sz w:val="18"/>
              </w:rPr>
              <w:t>.2.</w:t>
            </w:r>
            <w:r w:rsidRPr="00D15C5F">
              <w:rPr>
                <w:rFonts w:ascii="Aptos"/>
              </w:rPr>
              <w:t xml:space="preserve"> </w:t>
            </w:r>
          </w:p>
        </w:tc>
      </w:tr>
      <w:tr w:rsidRPr="00632DCB" w:rsidR="00494A29" w:rsidTr="00D15C5F" w14:paraId="6712CA66" w14:textId="77777777">
        <w:tc>
          <w:tcPr>
            <w:tcW w:w="1805" w:type="dxa"/>
            <w:shd w:val="clear" w:color="auto" w:fill="45B0E1"/>
          </w:tcPr>
          <w:p w:rsidRPr="00632DCB" w:rsidR="00494A29" w:rsidP="008271A5" w:rsidRDefault="00494A29" w14:paraId="32F58703" w14:textId="77777777">
            <w:pPr>
              <w:spacing w:line="360" w:lineRule="auto"/>
              <w:ind w:left="142"/>
              <w:rPr>
                <w:rFonts w:cstheme="minorHAnsi"/>
              </w:rPr>
            </w:pPr>
            <w:r w:rsidRPr="00632DCB">
              <w:rPr>
                <w:rFonts w:cstheme="minorHAnsi"/>
              </w:rPr>
              <w:t>Kosten</w:t>
            </w:r>
          </w:p>
        </w:tc>
        <w:tc>
          <w:tcPr>
            <w:tcW w:w="5982" w:type="dxa"/>
          </w:tcPr>
          <w:p w:rsidRPr="00632DCB" w:rsidR="0089371F" w:rsidP="00D15C5F" w:rsidRDefault="0089371F" w14:paraId="10335956" w14:textId="7C19E403">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 xml:space="preserve">Voor deze maatregel moet bepaald worden of met een budgetplafond gewerkt moet worden en als voor een </w:t>
            </w:r>
            <w:r w:rsidRPr="00632DCB">
              <w:rPr>
                <w:rFonts w:ascii="Verdana" w:hAnsi="Verdana"/>
                <w:sz w:val="18"/>
                <w:szCs w:val="18"/>
              </w:rPr>
              <w:lastRenderedPageBreak/>
              <w:t xml:space="preserve">budgetplafond gekozen wordt hoe hoog deze moet zijn. </w:t>
            </w:r>
          </w:p>
          <w:p w:rsidRPr="00632DCB" w:rsidR="0089371F" w:rsidP="00D15C5F" w:rsidRDefault="0089371F" w14:paraId="4B8FED08" w14:textId="77777777">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Ten behoeve van een goede uitleg aan burger en verantwoording van de bestede middelen moet in de regelgeving goed afgebakend worden wat het doel is van de maatregel en welke kosten wel en niet voor rekening van de overheid komen.</w:t>
            </w:r>
          </w:p>
          <w:p w:rsidRPr="00632DCB" w:rsidR="0089371F" w:rsidP="00632DCB" w:rsidRDefault="0089371F" w14:paraId="156F9349" w14:textId="77777777">
            <w:pPr>
              <w:spacing w:line="276" w:lineRule="auto"/>
              <w:ind w:right="272"/>
              <w:rPr>
                <w:rFonts w:cstheme="minorHAnsi"/>
              </w:rPr>
            </w:pPr>
          </w:p>
          <w:p w:rsidRPr="00632DCB" w:rsidR="0061388C" w:rsidP="000B3C9C" w:rsidRDefault="00A65C4B" w14:paraId="10494CC5" w14:textId="33B57CE2">
            <w:pPr>
              <w:spacing w:line="276" w:lineRule="auto"/>
              <w:ind w:left="199" w:right="272"/>
              <w:rPr>
                <w:rFonts w:cstheme="minorHAnsi"/>
              </w:rPr>
            </w:pPr>
            <w:r w:rsidRPr="00CD1C1E">
              <w:rPr>
                <w:rFonts w:cstheme="minorHAnsi"/>
              </w:rPr>
              <w:t>Tussen de € 135 en 274 miljoen bij een doelgroep van 120% sociaal minimum, zie verder tabel 4.1.</w:t>
            </w:r>
            <w:r>
              <w:rPr>
                <w:rFonts w:cstheme="minorHAnsi"/>
              </w:rPr>
              <w:t xml:space="preserve"> </w:t>
            </w:r>
            <w:r w:rsidR="0061388C">
              <w:rPr>
                <w:rFonts w:cstheme="minorHAnsi"/>
              </w:rPr>
              <w:t xml:space="preserve">Deze bedragen zijn exclusief uitvoeringskosten. </w:t>
            </w:r>
          </w:p>
        </w:tc>
      </w:tr>
      <w:tr w:rsidRPr="00632DCB" w:rsidR="00494A29" w:rsidTr="00D15C5F" w14:paraId="57B88005" w14:textId="77777777">
        <w:tc>
          <w:tcPr>
            <w:tcW w:w="1805" w:type="dxa"/>
            <w:shd w:val="clear" w:color="auto" w:fill="45B0E1"/>
          </w:tcPr>
          <w:p w:rsidRPr="00632DCB" w:rsidR="00494A29" w:rsidP="008271A5" w:rsidRDefault="00494A29" w14:paraId="56EBAB08" w14:textId="77777777">
            <w:pPr>
              <w:spacing w:line="360" w:lineRule="auto"/>
              <w:ind w:left="142"/>
              <w:rPr>
                <w:rFonts w:cstheme="minorHAnsi"/>
              </w:rPr>
            </w:pPr>
            <w:r w:rsidRPr="00632DCB">
              <w:rPr>
                <w:rFonts w:cstheme="minorHAnsi"/>
              </w:rPr>
              <w:lastRenderedPageBreak/>
              <w:t>Uitvoering</w:t>
            </w:r>
          </w:p>
        </w:tc>
        <w:tc>
          <w:tcPr>
            <w:tcW w:w="5982" w:type="dxa"/>
          </w:tcPr>
          <w:p w:rsidRPr="00632DCB" w:rsidR="00494A29" w:rsidP="001132E9" w:rsidRDefault="00633A3B" w14:paraId="469E5DE7" w14:textId="06E653C1">
            <w:pPr>
              <w:spacing w:line="276" w:lineRule="auto"/>
              <w:ind w:left="199" w:right="272"/>
              <w:rPr>
                <w:rFonts w:cstheme="minorHAnsi"/>
              </w:rPr>
            </w:pPr>
            <w:r w:rsidRPr="00632DCB">
              <w:rPr>
                <w:rFonts w:cstheme="minorHAnsi"/>
              </w:rPr>
              <w:t xml:space="preserve">Voor de wijze van uitvoering </w:t>
            </w:r>
            <w:r w:rsidRPr="00632DCB" w:rsidR="000F5854">
              <w:rPr>
                <w:rFonts w:cstheme="minorHAnsi"/>
              </w:rPr>
              <w:t>zijn</w:t>
            </w:r>
            <w:r w:rsidRPr="00632DCB" w:rsidR="00BB2843">
              <w:rPr>
                <w:rFonts w:cstheme="minorHAnsi"/>
              </w:rPr>
              <w:t xml:space="preserve"> twee opties in beeld gebracht:</w:t>
            </w:r>
          </w:p>
          <w:p w:rsidRPr="00632DCB" w:rsidR="00BB2843" w:rsidP="004A2196" w:rsidRDefault="00E90A1C" w14:paraId="4B365051" w14:textId="0B89975A">
            <w:pPr>
              <w:pStyle w:val="Lijstalinea"/>
              <w:numPr>
                <w:ilvl w:val="0"/>
                <w:numId w:val="10"/>
              </w:numPr>
              <w:spacing w:line="276" w:lineRule="auto"/>
              <w:ind w:right="272"/>
              <w:rPr>
                <w:rFonts w:ascii="Verdana" w:hAnsi="Verdana" w:cstheme="minorHAnsi"/>
                <w:sz w:val="18"/>
                <w:szCs w:val="18"/>
              </w:rPr>
            </w:pPr>
            <w:r w:rsidRPr="00632DCB">
              <w:rPr>
                <w:rFonts w:ascii="Verdana" w:hAnsi="Verdana" w:cstheme="minorHAnsi"/>
                <w:sz w:val="18"/>
                <w:szCs w:val="18"/>
              </w:rPr>
              <w:t>Uitvoering door zorgverzekeraars</w:t>
            </w:r>
            <w:r w:rsidRPr="00632DCB" w:rsidR="002900B4">
              <w:rPr>
                <w:rFonts w:ascii="Verdana" w:hAnsi="Verdana" w:cstheme="minorHAnsi"/>
                <w:sz w:val="18"/>
                <w:szCs w:val="18"/>
              </w:rPr>
              <w:t xml:space="preserve"> voor de eigen verzekerden</w:t>
            </w:r>
            <w:r w:rsidRPr="00632DCB">
              <w:rPr>
                <w:rFonts w:ascii="Verdana" w:hAnsi="Verdana" w:cstheme="minorHAnsi"/>
                <w:sz w:val="18"/>
                <w:szCs w:val="18"/>
              </w:rPr>
              <w:t xml:space="preserve">. </w:t>
            </w:r>
            <w:r w:rsidRPr="00632DCB" w:rsidR="0007496C">
              <w:rPr>
                <w:rFonts w:ascii="Verdana" w:hAnsi="Verdana" w:cstheme="minorHAnsi"/>
                <w:sz w:val="18"/>
                <w:szCs w:val="18"/>
              </w:rPr>
              <w:t>Hierbij brengt de zorgverlener de gemaakte zorgkosten in rekening bij de zorgverzekeraar van de klant</w:t>
            </w:r>
            <w:r w:rsidRPr="00632DCB" w:rsidR="00DB454A">
              <w:rPr>
                <w:rFonts w:ascii="Verdana" w:hAnsi="Verdana" w:cstheme="minorHAnsi"/>
                <w:sz w:val="18"/>
                <w:szCs w:val="18"/>
              </w:rPr>
              <w:t xml:space="preserve"> via het declaratiesysteem VECOZO</w:t>
            </w:r>
            <w:r w:rsidRPr="00632DCB" w:rsidR="001132E9">
              <w:rPr>
                <w:rFonts w:ascii="Verdana" w:hAnsi="Verdana" w:cstheme="minorHAnsi"/>
                <w:sz w:val="18"/>
                <w:szCs w:val="18"/>
              </w:rPr>
              <w:t xml:space="preserve">. De zorgverzekeraar declareert deze kosten </w:t>
            </w:r>
            <w:r w:rsidRPr="00632DCB" w:rsidR="0007496C">
              <w:rPr>
                <w:rFonts w:ascii="Verdana" w:hAnsi="Verdana" w:cstheme="minorHAnsi"/>
                <w:sz w:val="18"/>
                <w:szCs w:val="18"/>
              </w:rPr>
              <w:t xml:space="preserve">periodiek bij </w:t>
            </w:r>
            <w:r w:rsidRPr="00632DCB" w:rsidR="00DB454A">
              <w:rPr>
                <w:rFonts w:ascii="Verdana" w:hAnsi="Verdana" w:cstheme="minorHAnsi"/>
                <w:sz w:val="18"/>
                <w:szCs w:val="18"/>
              </w:rPr>
              <w:t xml:space="preserve">een Rijksuitvoerder, </w:t>
            </w:r>
            <w:r w:rsidRPr="00B27440" w:rsidR="002F56CA">
              <w:rPr>
                <w:rFonts w:ascii="Verdana" w:hAnsi="Verdana" w:cstheme="minorHAnsi"/>
                <w:sz w:val="18"/>
                <w:szCs w:val="18"/>
              </w:rPr>
              <w:t xml:space="preserve">bijvoorbeeld </w:t>
            </w:r>
            <w:r w:rsidRPr="00463C7B" w:rsidR="00DB454A">
              <w:rPr>
                <w:rFonts w:ascii="Verdana" w:hAnsi="Verdana" w:cstheme="minorHAnsi"/>
                <w:sz w:val="18"/>
                <w:szCs w:val="18"/>
              </w:rPr>
              <w:t>het CAK</w:t>
            </w:r>
            <w:r w:rsidRPr="00B27440" w:rsidR="0007496C">
              <w:rPr>
                <w:rFonts w:ascii="Verdana" w:hAnsi="Verdana" w:cstheme="minorHAnsi"/>
                <w:sz w:val="18"/>
                <w:szCs w:val="18"/>
              </w:rPr>
              <w:t>.</w:t>
            </w:r>
            <w:r w:rsidRPr="00B27440" w:rsidR="001132E9">
              <w:rPr>
                <w:rFonts w:ascii="Verdana" w:hAnsi="Verdana" w:cstheme="minorHAnsi"/>
                <w:sz w:val="18"/>
                <w:szCs w:val="18"/>
              </w:rPr>
              <w:t xml:space="preserve"> </w:t>
            </w:r>
            <w:r w:rsidRPr="00B27440" w:rsidR="004A2196">
              <w:rPr>
                <w:rFonts w:ascii="Verdana" w:hAnsi="Verdana" w:cstheme="minorHAnsi"/>
                <w:sz w:val="18"/>
                <w:szCs w:val="18"/>
              </w:rPr>
              <w:t xml:space="preserve">Eventueel kan dit beperkt worden tot </w:t>
            </w:r>
            <w:r w:rsidRPr="00B27440" w:rsidR="002D46EE">
              <w:rPr>
                <w:rFonts w:ascii="Verdana" w:hAnsi="Verdana" w:cstheme="minorHAnsi"/>
                <w:sz w:val="18"/>
                <w:szCs w:val="18"/>
              </w:rPr>
              <w:t xml:space="preserve">een aantal </w:t>
            </w:r>
            <w:r w:rsidRPr="00B27440" w:rsidR="004A2196">
              <w:rPr>
                <w:rFonts w:ascii="Verdana" w:hAnsi="Verdana" w:cstheme="minorHAnsi"/>
                <w:sz w:val="18"/>
                <w:szCs w:val="18"/>
              </w:rPr>
              <w:t>mondzorgverleners. De BSN van personen die in aanmerking komen voor de voorziening worden toegevoegd aan de ‘Controle op</w:t>
            </w:r>
            <w:r w:rsidRPr="00632DCB" w:rsidR="004A2196">
              <w:rPr>
                <w:rFonts w:ascii="Verdana" w:hAnsi="Verdana" w:cstheme="minorHAnsi"/>
                <w:sz w:val="18"/>
                <w:szCs w:val="18"/>
              </w:rPr>
              <w:t xml:space="preserve"> Verzekeringsgegevens’ van </w:t>
            </w:r>
            <w:hyperlink r:id="rId9">
              <w:r w:rsidR="00D95AFB">
                <w:rPr>
                  <w:rFonts w:ascii="Verdana" w:hAnsi="Verdana"/>
                  <w:sz w:val="18"/>
                  <w:szCs w:val="18"/>
                </w:rPr>
                <w:t>VECOZO</w:t>
              </w:r>
            </w:hyperlink>
            <w:r w:rsidRPr="00632DCB" w:rsidR="004A2196">
              <w:rPr>
                <w:rFonts w:ascii="Verdana" w:hAnsi="Verdana" w:cstheme="minorHAnsi"/>
                <w:sz w:val="18"/>
                <w:szCs w:val="18"/>
              </w:rPr>
              <w:t xml:space="preserve">, zodat zorgverleners de status van een patiënt kunnen controleren. </w:t>
            </w:r>
            <w:r w:rsidRPr="00632DCB" w:rsidR="001406C3">
              <w:rPr>
                <w:rFonts w:ascii="Verdana" w:hAnsi="Verdana" w:cstheme="minorHAnsi"/>
                <w:sz w:val="18"/>
                <w:szCs w:val="18"/>
              </w:rPr>
              <w:t>Om deze werkwijze toe te passen is</w:t>
            </w:r>
            <w:r w:rsidRPr="00632DCB" w:rsidR="00B91AF3">
              <w:rPr>
                <w:rFonts w:ascii="Verdana" w:hAnsi="Verdana" w:cstheme="minorHAnsi"/>
                <w:sz w:val="18"/>
                <w:szCs w:val="18"/>
              </w:rPr>
              <w:t xml:space="preserve"> een</w:t>
            </w:r>
            <w:r w:rsidRPr="00632DCB" w:rsidR="001406C3">
              <w:rPr>
                <w:rFonts w:ascii="Verdana" w:hAnsi="Verdana" w:cstheme="minorHAnsi"/>
                <w:sz w:val="18"/>
                <w:szCs w:val="18"/>
              </w:rPr>
              <w:t xml:space="preserve"> implementatie</w:t>
            </w:r>
            <w:r w:rsidR="002F56CA">
              <w:rPr>
                <w:rFonts w:ascii="Verdana" w:hAnsi="Verdana" w:cstheme="minorHAnsi"/>
                <w:sz w:val="18"/>
                <w:szCs w:val="18"/>
              </w:rPr>
              <w:t>periode</w:t>
            </w:r>
            <w:r w:rsidRPr="00632DCB" w:rsidR="001406C3">
              <w:rPr>
                <w:rFonts w:ascii="Verdana" w:hAnsi="Verdana" w:cstheme="minorHAnsi"/>
                <w:sz w:val="18"/>
                <w:szCs w:val="18"/>
              </w:rPr>
              <w:t xml:space="preserve"> </w:t>
            </w:r>
            <w:r w:rsidRPr="00632DCB" w:rsidR="00B91AF3">
              <w:rPr>
                <w:rFonts w:ascii="Verdana" w:hAnsi="Verdana" w:cstheme="minorHAnsi"/>
                <w:sz w:val="18"/>
                <w:szCs w:val="18"/>
              </w:rPr>
              <w:t>noodzakelijk</w:t>
            </w:r>
            <w:r w:rsidRPr="00632DCB" w:rsidR="001406C3">
              <w:rPr>
                <w:rFonts w:ascii="Verdana" w:hAnsi="Verdana" w:cstheme="minorHAnsi"/>
                <w:sz w:val="18"/>
                <w:szCs w:val="18"/>
              </w:rPr>
              <w:t xml:space="preserve">. </w:t>
            </w:r>
          </w:p>
          <w:p w:rsidRPr="00632DCB" w:rsidR="00E90A1C" w:rsidP="004A2196" w:rsidRDefault="00E90A1C" w14:paraId="469B1F07" w14:textId="16BBC927">
            <w:pPr>
              <w:pStyle w:val="Lijstalinea"/>
              <w:numPr>
                <w:ilvl w:val="0"/>
                <w:numId w:val="10"/>
              </w:numPr>
              <w:spacing w:line="276" w:lineRule="auto"/>
              <w:ind w:right="272"/>
              <w:rPr>
                <w:rFonts w:ascii="Verdana" w:hAnsi="Verdana" w:cstheme="minorHAnsi"/>
                <w:sz w:val="18"/>
                <w:szCs w:val="18"/>
              </w:rPr>
            </w:pPr>
            <w:r w:rsidRPr="00632DCB">
              <w:rPr>
                <w:rFonts w:ascii="Verdana" w:hAnsi="Verdana" w:cstheme="minorHAnsi"/>
                <w:sz w:val="18"/>
                <w:szCs w:val="18"/>
              </w:rPr>
              <w:t xml:space="preserve">Door </w:t>
            </w:r>
            <w:r w:rsidRPr="00B27440">
              <w:rPr>
                <w:rFonts w:ascii="Verdana" w:hAnsi="Verdana" w:cstheme="minorHAnsi"/>
                <w:sz w:val="18"/>
                <w:szCs w:val="18"/>
              </w:rPr>
              <w:t xml:space="preserve">een </w:t>
            </w:r>
            <w:proofErr w:type="spellStart"/>
            <w:r w:rsidRPr="00B27440">
              <w:rPr>
                <w:rFonts w:ascii="Verdana" w:hAnsi="Verdana" w:cstheme="minorHAnsi"/>
                <w:sz w:val="18"/>
                <w:szCs w:val="18"/>
              </w:rPr>
              <w:t>rijksuitvoerder</w:t>
            </w:r>
            <w:proofErr w:type="spellEnd"/>
            <w:r w:rsidRPr="00B27440">
              <w:rPr>
                <w:rFonts w:ascii="Verdana" w:hAnsi="Verdana" w:cstheme="minorHAnsi"/>
                <w:sz w:val="18"/>
                <w:szCs w:val="18"/>
              </w:rPr>
              <w:t xml:space="preserve">. </w:t>
            </w:r>
            <w:r w:rsidRPr="00B27440" w:rsidR="001132E9">
              <w:rPr>
                <w:rFonts w:ascii="Verdana" w:hAnsi="Verdana" w:cstheme="minorHAnsi"/>
                <w:sz w:val="18"/>
                <w:szCs w:val="18"/>
              </w:rPr>
              <w:t xml:space="preserve">Hierbij declareert </w:t>
            </w:r>
            <w:r w:rsidRPr="00B27440" w:rsidR="0007496C">
              <w:rPr>
                <w:rFonts w:ascii="Verdana" w:hAnsi="Verdana" w:cstheme="minorHAnsi"/>
                <w:sz w:val="18"/>
                <w:szCs w:val="18"/>
              </w:rPr>
              <w:t xml:space="preserve">de zorgverlener de gemaakte zorgkosten bij </w:t>
            </w:r>
            <w:r w:rsidRPr="00B27440" w:rsidR="001132E9">
              <w:rPr>
                <w:rFonts w:ascii="Verdana" w:hAnsi="Verdana" w:cstheme="minorHAnsi"/>
                <w:sz w:val="18"/>
                <w:szCs w:val="18"/>
              </w:rPr>
              <w:t>een</w:t>
            </w:r>
            <w:r w:rsidRPr="00B27440" w:rsidR="0007496C">
              <w:rPr>
                <w:rFonts w:ascii="Verdana" w:hAnsi="Verdana" w:cstheme="minorHAnsi"/>
                <w:sz w:val="18"/>
                <w:szCs w:val="18"/>
              </w:rPr>
              <w:t xml:space="preserve"> </w:t>
            </w:r>
            <w:proofErr w:type="spellStart"/>
            <w:r w:rsidRPr="00B27440" w:rsidR="0007496C">
              <w:rPr>
                <w:rFonts w:ascii="Verdana" w:hAnsi="Verdana" w:cstheme="minorHAnsi"/>
                <w:sz w:val="18"/>
                <w:szCs w:val="18"/>
              </w:rPr>
              <w:t>rijksuitvoerder</w:t>
            </w:r>
            <w:proofErr w:type="spellEnd"/>
            <w:r w:rsidRPr="00B27440" w:rsidR="001132E9">
              <w:rPr>
                <w:rFonts w:ascii="Verdana" w:hAnsi="Verdana" w:cstheme="minorHAnsi"/>
                <w:sz w:val="18"/>
                <w:szCs w:val="18"/>
              </w:rPr>
              <w:t xml:space="preserve">, </w:t>
            </w:r>
            <w:r w:rsidRPr="00463C7B" w:rsidR="001132E9">
              <w:rPr>
                <w:rFonts w:ascii="Verdana" w:hAnsi="Verdana" w:cstheme="minorHAnsi"/>
                <w:sz w:val="18"/>
                <w:szCs w:val="18"/>
              </w:rPr>
              <w:t>bijvoorbeeld het CAK</w:t>
            </w:r>
            <w:r w:rsidRPr="00B27440" w:rsidR="001132E9">
              <w:rPr>
                <w:rFonts w:ascii="Verdana" w:hAnsi="Verdana" w:cstheme="minorHAnsi"/>
                <w:sz w:val="18"/>
                <w:szCs w:val="18"/>
              </w:rPr>
              <w:t xml:space="preserve">. Uitvoering door een </w:t>
            </w:r>
            <w:proofErr w:type="spellStart"/>
            <w:r w:rsidRPr="00B27440" w:rsidR="001132E9">
              <w:rPr>
                <w:rFonts w:ascii="Verdana" w:hAnsi="Verdana" w:cstheme="minorHAnsi"/>
                <w:sz w:val="18"/>
                <w:szCs w:val="18"/>
              </w:rPr>
              <w:t>rijksuitvoerder</w:t>
            </w:r>
            <w:proofErr w:type="spellEnd"/>
            <w:r w:rsidRPr="00B27440" w:rsidR="001132E9">
              <w:rPr>
                <w:rFonts w:ascii="Verdana" w:hAnsi="Verdana" w:cstheme="minorHAnsi"/>
                <w:sz w:val="18"/>
                <w:szCs w:val="18"/>
              </w:rPr>
              <w:t xml:space="preserve"> zal in de voorbereiding enkele jaren kosten</w:t>
            </w:r>
            <w:r w:rsidRPr="00B27440" w:rsidR="00FF11B1">
              <w:rPr>
                <w:rFonts w:ascii="Verdana" w:hAnsi="Verdana" w:cstheme="minorHAnsi"/>
                <w:sz w:val="18"/>
                <w:szCs w:val="18"/>
              </w:rPr>
              <w:t xml:space="preserve"> (minimaal twee jaar nadat de regeling af is)</w:t>
            </w:r>
            <w:r w:rsidRPr="00B27440" w:rsidR="001132E9">
              <w:rPr>
                <w:rFonts w:ascii="Verdana" w:hAnsi="Verdana" w:cstheme="minorHAnsi"/>
                <w:sz w:val="18"/>
                <w:szCs w:val="18"/>
              </w:rPr>
              <w:t xml:space="preserve"> vanwege de benodigde</w:t>
            </w:r>
            <w:r w:rsidRPr="00632DCB" w:rsidR="001132E9">
              <w:rPr>
                <w:rFonts w:ascii="Verdana" w:hAnsi="Verdana" w:cstheme="minorHAnsi"/>
                <w:sz w:val="18"/>
                <w:szCs w:val="18"/>
              </w:rPr>
              <w:t xml:space="preserve"> expertise, capaciteit en ICT-systemen.</w:t>
            </w:r>
            <w:r w:rsidRPr="00632DCB" w:rsidR="008A5737">
              <w:rPr>
                <w:rFonts w:ascii="Verdana" w:hAnsi="Verdana" w:cstheme="minorHAnsi"/>
                <w:sz w:val="18"/>
                <w:szCs w:val="18"/>
              </w:rPr>
              <w:t xml:space="preserve"> </w:t>
            </w:r>
            <w:r w:rsidR="00D2329E">
              <w:rPr>
                <w:rFonts w:ascii="Verdana" w:hAnsi="Verdana" w:cstheme="minorHAnsi"/>
                <w:sz w:val="18"/>
                <w:szCs w:val="18"/>
              </w:rPr>
              <w:t>Mogelijk</w:t>
            </w:r>
            <w:r w:rsidRPr="00632DCB" w:rsidR="008A5737">
              <w:rPr>
                <w:rFonts w:ascii="Verdana" w:hAnsi="Verdana" w:cstheme="minorHAnsi"/>
                <w:sz w:val="18"/>
                <w:szCs w:val="18"/>
              </w:rPr>
              <w:t xml:space="preserve"> dat </w:t>
            </w:r>
            <w:r w:rsidRPr="00632DCB" w:rsidR="005245DE">
              <w:rPr>
                <w:rFonts w:ascii="Verdana" w:hAnsi="Verdana" w:cstheme="minorHAnsi"/>
                <w:sz w:val="18"/>
                <w:szCs w:val="18"/>
              </w:rPr>
              <w:t xml:space="preserve">Rijksuitvoerders, in verband met andere </w:t>
            </w:r>
            <w:r w:rsidR="001C1453">
              <w:rPr>
                <w:rFonts w:ascii="Verdana" w:hAnsi="Verdana" w:cstheme="minorHAnsi"/>
                <w:sz w:val="18"/>
                <w:szCs w:val="18"/>
              </w:rPr>
              <w:t>beleidsvoornemens</w:t>
            </w:r>
            <w:r w:rsidRPr="00632DCB" w:rsidR="005245DE">
              <w:rPr>
                <w:rFonts w:ascii="Verdana" w:hAnsi="Verdana" w:cstheme="minorHAnsi"/>
                <w:sz w:val="18"/>
                <w:szCs w:val="18"/>
              </w:rPr>
              <w:t xml:space="preserve">, niet gelijk kunnen starten met </w:t>
            </w:r>
            <w:r w:rsidR="001C1453">
              <w:rPr>
                <w:rFonts w:ascii="Verdana" w:hAnsi="Verdana" w:cstheme="minorHAnsi"/>
                <w:sz w:val="18"/>
                <w:szCs w:val="18"/>
              </w:rPr>
              <w:t xml:space="preserve">het implementeren van </w:t>
            </w:r>
            <w:r w:rsidRPr="00632DCB" w:rsidR="005245DE">
              <w:rPr>
                <w:rFonts w:ascii="Verdana" w:hAnsi="Verdana" w:cstheme="minorHAnsi"/>
                <w:sz w:val="18"/>
                <w:szCs w:val="18"/>
              </w:rPr>
              <w:t>zo’n regeling.</w:t>
            </w:r>
          </w:p>
          <w:p w:rsidRPr="00632DCB" w:rsidR="00633A3B" w:rsidP="00632DCB" w:rsidRDefault="00633A3B" w14:paraId="6615C425" w14:textId="25410182">
            <w:pPr>
              <w:spacing w:line="276" w:lineRule="auto"/>
              <w:ind w:left="199" w:right="272"/>
              <w:rPr>
                <w:rFonts w:cstheme="minorHAnsi"/>
              </w:rPr>
            </w:pPr>
            <w:r w:rsidRPr="00632DCB">
              <w:rPr>
                <w:rFonts w:cstheme="minorHAnsi"/>
              </w:rPr>
              <w:t xml:space="preserve">Voor de uitvoerbaarheid van deze maatregel moet met </w:t>
            </w:r>
            <w:r w:rsidR="00AA0E77">
              <w:rPr>
                <w:rFonts w:cstheme="minorHAnsi"/>
              </w:rPr>
              <w:t>het</w:t>
            </w:r>
            <w:r w:rsidRPr="00632DCB" w:rsidR="00AA0E77">
              <w:rPr>
                <w:rFonts w:cstheme="minorHAnsi"/>
              </w:rPr>
              <w:t xml:space="preserve"> volgende rekening</w:t>
            </w:r>
            <w:r w:rsidRPr="00632DCB">
              <w:rPr>
                <w:rFonts w:cstheme="minorHAnsi"/>
              </w:rPr>
              <w:t xml:space="preserve"> gehouden worden: </w:t>
            </w:r>
          </w:p>
          <w:p w:rsidRPr="00632DCB" w:rsidR="00633A3B" w:rsidP="00D15C5F" w:rsidRDefault="00633A3B" w14:paraId="71B25D8D" w14:textId="6576B5C4">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De uitvoering is complex omdat er meerdere partijen bij betrokken zijn die gegevens met elkaar moeten uitwisselen.</w:t>
            </w:r>
          </w:p>
          <w:p w:rsidRPr="00632DCB" w:rsidR="00633A3B" w:rsidP="00D15C5F" w:rsidRDefault="00633A3B" w14:paraId="62BBCFF9" w14:textId="1627FA58">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Voorbereiding van de uitvoering kost tijd en geld.</w:t>
            </w:r>
          </w:p>
          <w:p w:rsidRPr="00632DCB" w:rsidR="00633A3B" w:rsidP="00D15C5F" w:rsidRDefault="00633A3B" w14:paraId="5A267712" w14:textId="41FB6C4E">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 xml:space="preserve">Maatregel gaat gepaard met aanzienlijke administratieve lasten en ICT-uitdagingen bij de uitvoerende partij. </w:t>
            </w:r>
          </w:p>
          <w:p w:rsidRPr="00632DCB" w:rsidR="00734A40" w:rsidP="00734A40" w:rsidRDefault="00734A40" w14:paraId="71D89960" w14:textId="77777777">
            <w:pPr>
              <w:spacing w:line="276" w:lineRule="auto"/>
              <w:ind w:left="199"/>
              <w:rPr>
                <w:rFonts w:cstheme="minorHAnsi"/>
              </w:rPr>
            </w:pPr>
          </w:p>
          <w:p w:rsidRPr="00632DCB" w:rsidR="00633A3B" w:rsidP="000B3C9C" w:rsidRDefault="00365F4A" w14:paraId="2A0D350A" w14:textId="01FC61A5">
            <w:pPr>
              <w:spacing w:line="276" w:lineRule="auto"/>
              <w:ind w:left="199"/>
              <w:rPr>
                <w:rFonts w:cstheme="minorHAnsi"/>
              </w:rPr>
            </w:pPr>
            <w:r>
              <w:rPr>
                <w:rFonts w:cstheme="minorHAnsi"/>
              </w:rPr>
              <w:t>Laat</w:t>
            </w:r>
            <w:r w:rsidRPr="00632DCB" w:rsidR="00633A3B">
              <w:rPr>
                <w:rFonts w:cstheme="minorHAnsi"/>
              </w:rPr>
              <w:t xml:space="preserve"> de uitvoerende partij een uitvoeringstoets doen om zo de implementatie</w:t>
            </w:r>
            <w:r w:rsidR="00CA3018">
              <w:rPr>
                <w:rFonts w:cstheme="minorHAnsi"/>
              </w:rPr>
              <w:t>periode</w:t>
            </w:r>
            <w:r w:rsidRPr="00632DCB" w:rsidR="00633A3B">
              <w:rPr>
                <w:rFonts w:cstheme="minorHAnsi"/>
              </w:rPr>
              <w:t xml:space="preserve">, kosten en risico’s in beeld te </w:t>
            </w:r>
            <w:r w:rsidR="00E019EC">
              <w:rPr>
                <w:rFonts w:cstheme="minorHAnsi"/>
              </w:rPr>
              <w:t>brengen</w:t>
            </w:r>
            <w:r w:rsidRPr="00632DCB" w:rsidR="00633A3B">
              <w:rPr>
                <w:rFonts w:cstheme="minorHAnsi"/>
              </w:rPr>
              <w:t>.</w:t>
            </w:r>
          </w:p>
        </w:tc>
      </w:tr>
      <w:tr w:rsidRPr="00632DCB" w:rsidR="00494A29" w:rsidTr="00D15C5F" w14:paraId="36F73063" w14:textId="77777777">
        <w:tc>
          <w:tcPr>
            <w:tcW w:w="1805" w:type="dxa"/>
            <w:shd w:val="clear" w:color="auto" w:fill="45B0E1"/>
          </w:tcPr>
          <w:p w:rsidRPr="00632DCB" w:rsidR="00494A29" w:rsidP="008271A5" w:rsidRDefault="00494A29" w14:paraId="5C143348" w14:textId="77777777">
            <w:pPr>
              <w:spacing w:line="360" w:lineRule="auto"/>
              <w:ind w:left="142"/>
              <w:rPr>
                <w:rFonts w:cstheme="minorHAnsi"/>
              </w:rPr>
            </w:pPr>
            <w:r w:rsidRPr="00632DCB">
              <w:rPr>
                <w:rFonts w:cstheme="minorHAnsi"/>
              </w:rPr>
              <w:t>Neveneffecten</w:t>
            </w:r>
          </w:p>
        </w:tc>
        <w:tc>
          <w:tcPr>
            <w:tcW w:w="5982" w:type="dxa"/>
          </w:tcPr>
          <w:p w:rsidRPr="00891FED" w:rsidR="009B055C" w:rsidP="009B055C" w:rsidRDefault="00BB2843" w14:paraId="569C8ACD" w14:textId="6A546033">
            <w:pPr>
              <w:pStyle w:val="Lijstalinea"/>
              <w:numPr>
                <w:ilvl w:val="0"/>
                <w:numId w:val="6"/>
              </w:numPr>
              <w:spacing w:after="0" w:line="276" w:lineRule="auto"/>
              <w:ind w:right="272"/>
              <w:rPr>
                <w:rFonts w:ascii="Verdana" w:hAnsi="Verdana"/>
                <w:color w:val="000000"/>
                <w:sz w:val="18"/>
              </w:rPr>
            </w:pPr>
            <w:r w:rsidRPr="00632DCB">
              <w:rPr>
                <w:rFonts w:ascii="Verdana" w:hAnsi="Verdana"/>
                <w:sz w:val="18"/>
                <w:szCs w:val="18"/>
              </w:rPr>
              <w:t>Deze maatregel heeft potentieel effect op het aantal mensen dat een gemeentepolis of andere aanvullende zorgverzekering afsluit.</w:t>
            </w:r>
            <w:r w:rsidRPr="00632DCB" w:rsidR="00B35DBA">
              <w:rPr>
                <w:rFonts w:ascii="Verdana" w:hAnsi="Verdana"/>
                <w:sz w:val="18"/>
                <w:szCs w:val="18"/>
              </w:rPr>
              <w:t xml:space="preserve"> </w:t>
            </w:r>
            <w:r w:rsidRPr="00891FED" w:rsidR="009B055C">
              <w:rPr>
                <w:rFonts w:ascii="Verdana" w:hAnsi="Verdana"/>
                <w:color w:val="000000"/>
                <w:sz w:val="18"/>
              </w:rPr>
              <w:t xml:space="preserve">Er is een risico van onderverzekering op andere zorgvormen als de </w:t>
            </w:r>
            <w:r w:rsidRPr="00891FED" w:rsidR="009B055C">
              <w:rPr>
                <w:rFonts w:ascii="Verdana" w:hAnsi="Verdana"/>
                <w:color w:val="000000"/>
                <w:sz w:val="18"/>
              </w:rPr>
              <w:lastRenderedPageBreak/>
              <w:t>dekking in plaats komt van een verzekering met een bredere dekking dan alleen mondzorg.</w:t>
            </w:r>
          </w:p>
          <w:p w:rsidRPr="009515DE" w:rsidR="00494A29" w:rsidP="009515DE" w:rsidRDefault="00B35DBA" w14:paraId="0E00277A" w14:textId="32406103">
            <w:pPr>
              <w:pStyle w:val="Lijstalinea"/>
              <w:numPr>
                <w:ilvl w:val="0"/>
                <w:numId w:val="6"/>
              </w:numPr>
              <w:spacing w:after="0" w:line="276" w:lineRule="auto"/>
              <w:ind w:right="272"/>
              <w:rPr>
                <w:rFonts w:ascii="Verdana" w:hAnsi="Verdana"/>
                <w:sz w:val="18"/>
                <w:szCs w:val="18"/>
              </w:rPr>
            </w:pPr>
            <w:r w:rsidRPr="003A51FE">
              <w:rPr>
                <w:rFonts w:ascii="Verdana" w:hAnsi="Verdana"/>
                <w:sz w:val="18"/>
                <w:szCs w:val="18"/>
              </w:rPr>
              <w:t xml:space="preserve">En andersom: </w:t>
            </w:r>
            <w:r w:rsidRPr="003A51FE" w:rsidR="00BF471F">
              <w:rPr>
                <w:rFonts w:ascii="Verdana" w:hAnsi="Verdana"/>
                <w:sz w:val="18"/>
                <w:szCs w:val="18"/>
              </w:rPr>
              <w:t xml:space="preserve">als mensen voor de </w:t>
            </w:r>
            <w:r w:rsidRPr="003A51FE" w:rsidR="008009B6">
              <w:rPr>
                <w:rFonts w:ascii="Verdana" w:hAnsi="Verdana"/>
                <w:sz w:val="18"/>
                <w:szCs w:val="18"/>
              </w:rPr>
              <w:t>landelijke voorziening</w:t>
            </w:r>
            <w:r w:rsidRPr="003A51FE" w:rsidR="00BF471F">
              <w:rPr>
                <w:rFonts w:ascii="Verdana" w:hAnsi="Verdana"/>
                <w:sz w:val="18"/>
                <w:szCs w:val="18"/>
              </w:rPr>
              <w:t xml:space="preserve"> kiezen terwijl ze nu een </w:t>
            </w:r>
            <w:r w:rsidRPr="003A51FE" w:rsidR="008009B6">
              <w:rPr>
                <w:rFonts w:ascii="Verdana" w:hAnsi="Verdana"/>
                <w:sz w:val="18"/>
                <w:szCs w:val="18"/>
              </w:rPr>
              <w:t>aanvullende verzekering of gemeentepolis</w:t>
            </w:r>
            <w:r w:rsidRPr="003A51FE" w:rsidR="00BF471F">
              <w:rPr>
                <w:rFonts w:ascii="Verdana" w:hAnsi="Verdana"/>
                <w:sz w:val="18"/>
                <w:szCs w:val="18"/>
              </w:rPr>
              <w:t xml:space="preserve"> hebben maakt dit de maatregel relatief duur</w:t>
            </w:r>
            <w:r w:rsidRPr="00440A5E" w:rsidR="003A51FE">
              <w:rPr>
                <w:rFonts w:ascii="Verdana" w:hAnsi="Verdana"/>
                <w:sz w:val="18"/>
                <w:szCs w:val="18"/>
              </w:rPr>
              <w:t xml:space="preserve"> en zal er </w:t>
            </w:r>
            <w:r w:rsidR="00A97C31">
              <w:rPr>
                <w:rFonts w:ascii="Verdana" w:hAnsi="Verdana"/>
                <w:sz w:val="18"/>
                <w:szCs w:val="18"/>
              </w:rPr>
              <w:t xml:space="preserve">ook </w:t>
            </w:r>
            <w:r w:rsidRPr="00440A5E" w:rsidR="003A51FE">
              <w:rPr>
                <w:rFonts w:ascii="Verdana" w:hAnsi="Verdana"/>
                <w:sz w:val="18"/>
                <w:szCs w:val="18"/>
              </w:rPr>
              <w:t>sprake zijn van een minder doelmatige besteding van publieke middelen.</w:t>
            </w:r>
          </w:p>
        </w:tc>
      </w:tr>
      <w:tr w:rsidRPr="00632DCB" w:rsidR="003F6111" w:rsidTr="00D15C5F" w14:paraId="2029FEF2" w14:textId="77777777">
        <w:tc>
          <w:tcPr>
            <w:tcW w:w="1805" w:type="dxa"/>
            <w:shd w:val="clear" w:color="auto" w:fill="45B0E1"/>
          </w:tcPr>
          <w:p w:rsidRPr="00632DCB" w:rsidR="003F6111" w:rsidP="00C03933" w:rsidRDefault="003F6111" w14:paraId="4F2733FB" w14:textId="678A0DA1">
            <w:pPr>
              <w:spacing w:line="276" w:lineRule="auto"/>
              <w:ind w:left="142"/>
              <w:rPr>
                <w:rFonts w:cstheme="minorHAnsi"/>
              </w:rPr>
            </w:pPr>
            <w:r w:rsidRPr="00632DCB">
              <w:rPr>
                <w:rFonts w:cstheme="minorHAnsi"/>
              </w:rPr>
              <w:lastRenderedPageBreak/>
              <w:t>Juridische kaders</w:t>
            </w:r>
          </w:p>
        </w:tc>
        <w:tc>
          <w:tcPr>
            <w:tcW w:w="5982" w:type="dxa"/>
          </w:tcPr>
          <w:p w:rsidRPr="00632DCB" w:rsidR="004D4379" w:rsidP="00D15C5F" w:rsidRDefault="00191DA1" w14:paraId="0B31D712" w14:textId="22C66DD5">
            <w:pPr>
              <w:pStyle w:val="Lijstalinea"/>
              <w:numPr>
                <w:ilvl w:val="0"/>
                <w:numId w:val="6"/>
              </w:numPr>
              <w:spacing w:after="0" w:line="276" w:lineRule="auto"/>
              <w:ind w:right="272"/>
              <w:rPr>
                <w:rFonts w:ascii="Verdana" w:hAnsi="Verdana"/>
                <w:sz w:val="18"/>
                <w:szCs w:val="18"/>
              </w:rPr>
            </w:pPr>
            <w:r>
              <w:rPr>
                <w:rFonts w:ascii="Verdana" w:hAnsi="Verdana"/>
                <w:sz w:val="18"/>
                <w:szCs w:val="18"/>
              </w:rPr>
              <w:t>Variant A: o</w:t>
            </w:r>
            <w:r w:rsidRPr="006626B2">
              <w:rPr>
                <w:rFonts w:ascii="Verdana" w:hAnsi="Verdana"/>
                <w:sz w:val="18"/>
                <w:szCs w:val="18"/>
              </w:rPr>
              <w:t>mdat zorgverzekeraars geen nevenactiviteiten mogen verrichten (</w:t>
            </w:r>
            <w:hyperlink r:id="rId10">
              <w:r w:rsidRPr="006626B2">
                <w:rPr>
                  <w:rStyle w:val="Hyperlink"/>
                  <w:rFonts w:ascii="Verdana" w:hAnsi="Verdana"/>
                  <w:color w:val="467886"/>
                  <w:sz w:val="18"/>
                  <w:szCs w:val="18"/>
                </w:rPr>
                <w:t xml:space="preserve">Artikel 73 </w:t>
              </w:r>
              <w:proofErr w:type="spellStart"/>
              <w:r w:rsidRPr="006626B2">
                <w:rPr>
                  <w:rStyle w:val="Hyperlink"/>
                  <w:rFonts w:ascii="Verdana" w:hAnsi="Verdana"/>
                  <w:color w:val="467886"/>
                  <w:sz w:val="18"/>
                  <w:szCs w:val="18"/>
                </w:rPr>
                <w:t>Solvency</w:t>
              </w:r>
              <w:proofErr w:type="spellEnd"/>
              <w:r w:rsidRPr="006626B2">
                <w:rPr>
                  <w:rStyle w:val="Hyperlink"/>
                  <w:rFonts w:ascii="Verdana" w:hAnsi="Verdana"/>
                  <w:color w:val="467886"/>
                  <w:sz w:val="18"/>
                  <w:szCs w:val="18"/>
                </w:rPr>
                <w:t xml:space="preserve"> II en artikel 3:36 </w:t>
              </w:r>
              <w:proofErr w:type="spellStart"/>
              <w:r w:rsidRPr="006626B2">
                <w:rPr>
                  <w:rStyle w:val="Hyperlink"/>
                  <w:rFonts w:ascii="Verdana" w:hAnsi="Verdana"/>
                  <w:color w:val="467886"/>
                  <w:sz w:val="18"/>
                  <w:szCs w:val="18"/>
                </w:rPr>
                <w:t>Wft</w:t>
              </w:r>
              <w:proofErr w:type="spellEnd"/>
            </w:hyperlink>
            <w:r w:rsidRPr="006626B2">
              <w:rPr>
                <w:rFonts w:ascii="Verdana" w:hAnsi="Verdana"/>
                <w:sz w:val="18"/>
                <w:szCs w:val="18"/>
              </w:rPr>
              <w:t xml:space="preserve">) mogen zij deze activiteiten alleen uitvoeren voor </w:t>
            </w:r>
            <w:r>
              <w:rPr>
                <w:rFonts w:ascii="Verdana" w:hAnsi="Verdana"/>
                <w:sz w:val="18"/>
                <w:szCs w:val="18"/>
              </w:rPr>
              <w:t>verzekerden die een zorgverzekering bij hen hebben gesloten</w:t>
            </w:r>
            <w:r w:rsidRPr="006626B2">
              <w:rPr>
                <w:rFonts w:ascii="Verdana" w:hAnsi="Verdana"/>
                <w:sz w:val="18"/>
                <w:szCs w:val="18"/>
              </w:rPr>
              <w:t>.</w:t>
            </w:r>
            <w:r w:rsidRPr="00632DCB" w:rsidR="003F6111">
              <w:rPr>
                <w:rFonts w:ascii="Verdana" w:hAnsi="Verdana"/>
                <w:sz w:val="18"/>
                <w:szCs w:val="18"/>
              </w:rPr>
              <w:t xml:space="preserve"> </w:t>
            </w:r>
            <w:r w:rsidRPr="00632DCB" w:rsidR="004D4379">
              <w:rPr>
                <w:rFonts w:ascii="Verdana" w:hAnsi="Verdana"/>
                <w:sz w:val="18"/>
                <w:szCs w:val="18"/>
              </w:rPr>
              <w:t xml:space="preserve">Het is dus niet toegestaan dat één zorgverzekeraar de voorziening uitvoert voor iedereen die ervoor in aanmerking komt. </w:t>
            </w:r>
          </w:p>
          <w:p w:rsidRPr="009515DE" w:rsidR="003F6111" w:rsidP="003F6111" w:rsidRDefault="003F6111" w14:paraId="2E020FEF" w14:textId="1E261C26">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De inkomenstoets zal door een derde partij (bijvoorbeeld de Belastingdienst) gedaan moeten worden</w:t>
            </w:r>
            <w:r w:rsidR="00F44C14">
              <w:rPr>
                <w:rFonts w:ascii="Verdana" w:hAnsi="Verdana"/>
                <w:sz w:val="18"/>
                <w:szCs w:val="18"/>
              </w:rPr>
              <w:t xml:space="preserve">, </w:t>
            </w:r>
            <w:r w:rsidRPr="00632DCB">
              <w:rPr>
                <w:rFonts w:ascii="Verdana" w:hAnsi="Verdana"/>
                <w:sz w:val="18"/>
                <w:szCs w:val="18"/>
              </w:rPr>
              <w:t>aangezien zorgverzekeraars geen inkomensgegevens mogen opvragen bij hun klanten.</w:t>
            </w:r>
          </w:p>
        </w:tc>
      </w:tr>
    </w:tbl>
    <w:p w:rsidRPr="00632DCB" w:rsidR="00DF7045" w:rsidP="003B1B4E" w:rsidRDefault="00DF7045" w14:paraId="34BC8CF5" w14:textId="77777777"/>
    <w:p w:rsidRPr="00632DCB" w:rsidR="00B673B1" w:rsidP="0058708B" w:rsidRDefault="00B673B1" w14:paraId="62A5DCDF" w14:textId="0CD8585B">
      <w:pPr>
        <w:pStyle w:val="Kop2"/>
      </w:pPr>
      <w:bookmarkStart w:name="_Toc202280988" w:id="340"/>
      <w:bookmarkStart w:name="_Toc202788176" w:id="341"/>
      <w:bookmarkStart w:name="_Toc214547155" w:id="342"/>
      <w:r w:rsidRPr="00632DCB">
        <w:t>Maatregel 2: Landelijke uniforme aanvullende zorgverzekering</w:t>
      </w:r>
      <w:bookmarkEnd w:id="340"/>
      <w:bookmarkEnd w:id="341"/>
      <w:bookmarkEnd w:id="342"/>
    </w:p>
    <w:p w:rsidRPr="00632DCB" w:rsidR="003F6111" w:rsidP="0008444B" w:rsidRDefault="003F6111" w14:paraId="369626BA" w14:textId="65DD85BC">
      <w:pPr>
        <w:spacing w:line="276" w:lineRule="auto"/>
      </w:pPr>
    </w:p>
    <w:p w:rsidRPr="00632DCB" w:rsidR="003F6111" w:rsidP="0008444B" w:rsidRDefault="003F6111" w14:paraId="55494DBE" w14:textId="31BE107F">
      <w:pPr>
        <w:spacing w:line="276" w:lineRule="auto"/>
      </w:pPr>
      <w:r w:rsidRPr="00632DCB">
        <w:t>Een aanvullende zorgverzekering mondzorg is effectief in het voorkomen van mondzorgmijding</w:t>
      </w:r>
      <w:r w:rsidRPr="00632DCB" w:rsidR="00571DCE">
        <w:t xml:space="preserve"> (zie ook paragraaf 3.2)</w:t>
      </w:r>
      <w:r w:rsidRPr="00632DCB">
        <w:t xml:space="preserve">. Om </w:t>
      </w:r>
      <w:r w:rsidRPr="00632DCB" w:rsidR="00571DCE">
        <w:t xml:space="preserve">meer </w:t>
      </w:r>
      <w:r w:rsidRPr="00632DCB">
        <w:t xml:space="preserve">minima te bereiken zou de verzekering </w:t>
      </w:r>
      <w:r w:rsidRPr="00632DCB" w:rsidR="00E90A1C">
        <w:t xml:space="preserve">aangeboden </w:t>
      </w:r>
      <w:r w:rsidRPr="00632DCB" w:rsidR="00571DCE">
        <w:t xml:space="preserve">kunnen </w:t>
      </w:r>
      <w:r w:rsidRPr="00632DCB">
        <w:t xml:space="preserve">worden </w:t>
      </w:r>
      <w:r w:rsidRPr="00632DCB" w:rsidR="00E90A1C">
        <w:t>tegen een gereduceerde premie.</w:t>
      </w:r>
    </w:p>
    <w:p w:rsidRPr="00632DCB" w:rsidR="003F6111" w:rsidP="0008444B" w:rsidRDefault="003F6111" w14:paraId="258EEEC2" w14:textId="50DAD088">
      <w:pPr>
        <w:spacing w:line="276" w:lineRule="auto"/>
      </w:pPr>
      <w:r w:rsidRPr="00632DCB">
        <w:t>Het Rijk kan een subsidieregeling inrichten voor zorgverzekeraars voor het aanbieden van een betaalbare (lage premie) mondzorgverzekering aan minima.</w:t>
      </w:r>
      <w:r w:rsidRPr="00632DCB" w:rsidR="00571DCE">
        <w:t xml:space="preserve"> </w:t>
      </w:r>
    </w:p>
    <w:p w:rsidRPr="00632DCB" w:rsidR="00494A29" w:rsidP="003B1B4E" w:rsidRDefault="00494A29" w14:paraId="371FBFAC" w14:textId="77777777"/>
    <w:tbl>
      <w:tblPr>
        <w:tblStyle w:val="Tabelraster"/>
        <w:tblW w:w="0" w:type="auto"/>
        <w:tblInd w:w="0" w:type="dxa"/>
        <w:tblLayout w:type="fixed"/>
        <w:tblLook w:val="04A0" w:firstRow="1" w:lastRow="0" w:firstColumn="1" w:lastColumn="0" w:noHBand="0" w:noVBand="1"/>
      </w:tblPr>
      <w:tblGrid>
        <w:gridCol w:w="1838"/>
        <w:gridCol w:w="5949"/>
      </w:tblGrid>
      <w:tr w:rsidRPr="00632DCB" w:rsidR="00314D95" w:rsidTr="00314D95" w14:paraId="6179DD49" w14:textId="77777777">
        <w:tc>
          <w:tcPr>
            <w:tcW w:w="1838" w:type="dxa"/>
            <w:shd w:val="clear" w:color="auto" w:fill="45B0E1"/>
          </w:tcPr>
          <w:p w:rsidRPr="00632DCB" w:rsidR="0077783D" w:rsidP="008271A5" w:rsidRDefault="0077783D" w14:paraId="1724EF0D" w14:textId="6DB10CEF">
            <w:pPr>
              <w:spacing w:line="360" w:lineRule="auto"/>
              <w:ind w:left="142"/>
              <w:rPr>
                <w:rFonts w:cstheme="minorHAnsi"/>
              </w:rPr>
            </w:pPr>
            <w:r w:rsidRPr="00632DCB">
              <w:rPr>
                <w:rFonts w:cstheme="minorHAnsi"/>
              </w:rPr>
              <w:t>Maatregel</w:t>
            </w:r>
          </w:p>
        </w:tc>
        <w:tc>
          <w:tcPr>
            <w:tcW w:w="5949" w:type="dxa"/>
          </w:tcPr>
          <w:p w:rsidRPr="00632DCB" w:rsidR="0077783D" w:rsidP="00632DCB" w:rsidRDefault="0077783D" w14:paraId="598E4278" w14:textId="5E0F1DF5">
            <w:pPr>
              <w:pStyle w:val="Lijstalinea"/>
              <w:numPr>
                <w:ilvl w:val="0"/>
                <w:numId w:val="6"/>
              </w:numPr>
              <w:spacing w:line="276" w:lineRule="auto"/>
              <w:ind w:right="272"/>
            </w:pPr>
            <w:r w:rsidRPr="00632DCB">
              <w:rPr>
                <w:rFonts w:ascii="Verdana" w:hAnsi="Verdana"/>
                <w:sz w:val="18"/>
                <w:szCs w:val="18"/>
              </w:rPr>
              <w:t>Een subsidieregeling voor zorgverzekeraars voor het aanbieden van een betaalbare (lage premie) mondzorgverzekering aan minima.</w:t>
            </w:r>
          </w:p>
          <w:p w:rsidRPr="00632DCB" w:rsidR="00F967F8" w:rsidP="00D15C5F" w:rsidRDefault="00633A3B" w14:paraId="12199402" w14:textId="3493F913">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 xml:space="preserve">Deze </w:t>
            </w:r>
            <w:r w:rsidR="00191DA1">
              <w:rPr>
                <w:rFonts w:ascii="Verdana" w:hAnsi="Verdana"/>
                <w:sz w:val="18"/>
                <w:szCs w:val="18"/>
              </w:rPr>
              <w:t xml:space="preserve">maatregel </w:t>
            </w:r>
            <w:r w:rsidRPr="00632DCB">
              <w:rPr>
                <w:rFonts w:ascii="Verdana" w:hAnsi="Verdana"/>
                <w:sz w:val="18"/>
                <w:szCs w:val="18"/>
              </w:rPr>
              <w:t>biedt</w:t>
            </w:r>
            <w:r w:rsidR="00191DA1">
              <w:rPr>
                <w:rFonts w:ascii="Verdana" w:hAnsi="Verdana"/>
                <w:sz w:val="18"/>
                <w:szCs w:val="18"/>
              </w:rPr>
              <w:t xml:space="preserve"> minima</w:t>
            </w:r>
            <w:r w:rsidRPr="00632DCB">
              <w:rPr>
                <w:rFonts w:ascii="Verdana" w:hAnsi="Verdana"/>
                <w:sz w:val="18"/>
                <w:szCs w:val="18"/>
              </w:rPr>
              <w:t xml:space="preserve"> </w:t>
            </w:r>
            <w:r w:rsidRPr="00632DCB" w:rsidR="00F967F8">
              <w:rPr>
                <w:rFonts w:ascii="Verdana" w:hAnsi="Verdana"/>
                <w:sz w:val="18"/>
                <w:szCs w:val="18"/>
              </w:rPr>
              <w:t xml:space="preserve">toegang </w:t>
            </w:r>
            <w:r w:rsidR="00191DA1">
              <w:rPr>
                <w:rFonts w:ascii="Verdana" w:hAnsi="Verdana"/>
                <w:sz w:val="18"/>
                <w:szCs w:val="18"/>
              </w:rPr>
              <w:t xml:space="preserve">tot een mondzorgverzekering </w:t>
            </w:r>
            <w:r w:rsidRPr="00632DCB" w:rsidR="00F967F8">
              <w:rPr>
                <w:rFonts w:ascii="Verdana" w:hAnsi="Verdana"/>
                <w:sz w:val="18"/>
                <w:szCs w:val="18"/>
              </w:rPr>
              <w:t>(</w:t>
            </w:r>
            <w:r w:rsidR="00191DA1">
              <w:rPr>
                <w:rFonts w:ascii="Verdana" w:hAnsi="Verdana"/>
                <w:sz w:val="18"/>
                <w:szCs w:val="18"/>
              </w:rPr>
              <w:t>afhankelijk in hoeverre</w:t>
            </w:r>
            <w:r w:rsidRPr="00632DCB" w:rsidR="00F967F8">
              <w:rPr>
                <w:rFonts w:ascii="Verdana" w:hAnsi="Verdana"/>
                <w:sz w:val="18"/>
                <w:szCs w:val="18"/>
              </w:rPr>
              <w:t xml:space="preserve"> zorgverzekeraars gebruik maken van de subsidieregeling)</w:t>
            </w:r>
            <w:r w:rsidR="00314D95">
              <w:rPr>
                <w:rFonts w:ascii="Verdana" w:hAnsi="Verdana"/>
                <w:sz w:val="18"/>
                <w:szCs w:val="18"/>
              </w:rPr>
              <w:t>.</w:t>
            </w:r>
          </w:p>
          <w:p w:rsidRPr="00632DCB" w:rsidR="00F967F8" w:rsidP="00D15C5F" w:rsidRDefault="00F967F8" w14:paraId="0AB23CEF" w14:textId="757EC7A5">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 xml:space="preserve">Subsidievoorwaarden moeten minimaal bevatten: 1) dat het een aanvullende verzekering voor minima betreft, 2) dat het bestaat uit de afgesproken dekking en 3) de hoogte van de premie (moet immers betaalbaar zijn voor minima). </w:t>
            </w:r>
          </w:p>
          <w:p w:rsidRPr="00632DCB" w:rsidR="00F967F8" w:rsidP="00D15C5F" w:rsidRDefault="00F967F8" w14:paraId="72D8594A" w14:textId="77777777">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Er komt geen plicht voor minima om zo'n aanvullende mondzorgverzekering te sluiten.</w:t>
            </w:r>
          </w:p>
          <w:p w:rsidR="00D2329E" w:rsidP="00D15C5F" w:rsidRDefault="00F967F8" w14:paraId="76759BF9" w14:textId="77777777">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De privaatrechtelijke ziektekostenverzekeraars hebben geen plicht om de aanvullende mondzorgverzekering aan te bieden en mogen ook andere mondzorgverzekeringen aanbieden</w:t>
            </w:r>
            <w:r w:rsidR="00D95AFB">
              <w:rPr>
                <w:rFonts w:ascii="Verdana" w:hAnsi="Verdana"/>
                <w:sz w:val="18"/>
                <w:szCs w:val="18"/>
              </w:rPr>
              <w:t xml:space="preserve">. Het enige gevolg daarvan is dat ze voor andere mondzorgverzekeringen geen subsidie </w:t>
            </w:r>
            <w:r w:rsidR="00CA3018">
              <w:rPr>
                <w:rFonts w:ascii="Verdana" w:hAnsi="Verdana"/>
                <w:sz w:val="18"/>
                <w:szCs w:val="18"/>
              </w:rPr>
              <w:t>ontvangen</w:t>
            </w:r>
            <w:r w:rsidRPr="00632DCB">
              <w:rPr>
                <w:rFonts w:ascii="Verdana" w:hAnsi="Verdana"/>
                <w:sz w:val="18"/>
                <w:szCs w:val="18"/>
              </w:rPr>
              <w:t>.</w:t>
            </w:r>
            <w:r w:rsidR="007B40C1">
              <w:rPr>
                <w:rFonts w:ascii="Verdana" w:hAnsi="Verdana"/>
                <w:sz w:val="18"/>
                <w:szCs w:val="18"/>
              </w:rPr>
              <w:t xml:space="preserve"> </w:t>
            </w:r>
          </w:p>
          <w:p w:rsidRPr="009515DE" w:rsidR="0077783D" w:rsidP="009515DE" w:rsidRDefault="007B40C1" w14:paraId="7EF393CB" w14:textId="52EEFF62">
            <w:pPr>
              <w:pStyle w:val="Lijstalinea"/>
              <w:numPr>
                <w:ilvl w:val="0"/>
                <w:numId w:val="6"/>
              </w:numPr>
              <w:spacing w:after="0" w:line="276" w:lineRule="auto"/>
              <w:ind w:right="272"/>
              <w:rPr>
                <w:rFonts w:ascii="Verdana" w:hAnsi="Verdana"/>
                <w:sz w:val="18"/>
                <w:szCs w:val="18"/>
              </w:rPr>
            </w:pPr>
            <w:r>
              <w:rPr>
                <w:rFonts w:ascii="Verdana" w:hAnsi="Verdana"/>
                <w:sz w:val="18"/>
                <w:szCs w:val="18"/>
              </w:rPr>
              <w:lastRenderedPageBreak/>
              <w:t>Voor alle aanvullende verzekering geldt dat de overheid geen acceptatieplicht op kan leggen.</w:t>
            </w:r>
          </w:p>
        </w:tc>
      </w:tr>
      <w:tr w:rsidRPr="00632DCB" w:rsidR="00314D95" w:rsidTr="00314D95" w14:paraId="617FA323" w14:textId="77777777">
        <w:tc>
          <w:tcPr>
            <w:tcW w:w="1838" w:type="dxa"/>
            <w:shd w:val="clear" w:color="auto" w:fill="45B0E1"/>
          </w:tcPr>
          <w:p w:rsidRPr="00632DCB" w:rsidR="00494A29" w:rsidP="008271A5" w:rsidRDefault="00494A29" w14:paraId="3B05C64C" w14:textId="77777777">
            <w:pPr>
              <w:spacing w:line="360" w:lineRule="auto"/>
              <w:ind w:left="142"/>
              <w:rPr>
                <w:rFonts w:cstheme="minorHAnsi"/>
              </w:rPr>
            </w:pPr>
            <w:r w:rsidRPr="00632DCB">
              <w:rPr>
                <w:rFonts w:cstheme="minorHAnsi"/>
              </w:rPr>
              <w:lastRenderedPageBreak/>
              <w:t>Doelgroep en bereik</w:t>
            </w:r>
          </w:p>
        </w:tc>
        <w:tc>
          <w:tcPr>
            <w:tcW w:w="5949" w:type="dxa"/>
          </w:tcPr>
          <w:p w:rsidRPr="00632DCB" w:rsidR="00633A3B" w:rsidP="00D15C5F" w:rsidRDefault="005836FE" w14:paraId="7D872F3D" w14:textId="5E2C5C64">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 xml:space="preserve">120% bijstandsnorm, zie paragraaf </w:t>
            </w:r>
            <w:r w:rsidRPr="00632DCB" w:rsidR="009C64C7">
              <w:rPr>
                <w:rFonts w:ascii="Verdana" w:hAnsi="Verdana"/>
                <w:sz w:val="18"/>
                <w:szCs w:val="18"/>
              </w:rPr>
              <w:t>3</w:t>
            </w:r>
            <w:r w:rsidRPr="00632DCB">
              <w:rPr>
                <w:rFonts w:ascii="Verdana" w:hAnsi="Verdana"/>
                <w:sz w:val="18"/>
                <w:szCs w:val="18"/>
              </w:rPr>
              <w:t>.1.</w:t>
            </w:r>
          </w:p>
          <w:p w:rsidRPr="00632DCB" w:rsidR="00633A3B" w:rsidP="00D15C5F" w:rsidRDefault="00633A3B" w14:paraId="1F60DF46" w14:textId="35C83F2C">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 xml:space="preserve">Een deel van de doelgroep zal de voorkeur </w:t>
            </w:r>
            <w:r w:rsidR="00223F61">
              <w:rPr>
                <w:rFonts w:ascii="Verdana" w:hAnsi="Verdana"/>
                <w:sz w:val="18"/>
                <w:szCs w:val="18"/>
              </w:rPr>
              <w:t>houden</w:t>
            </w:r>
            <w:r w:rsidRPr="00632DCB">
              <w:rPr>
                <w:rFonts w:ascii="Verdana" w:hAnsi="Verdana"/>
                <w:sz w:val="18"/>
                <w:szCs w:val="18"/>
              </w:rPr>
              <w:t xml:space="preserve"> voor een gemeentepolis</w:t>
            </w:r>
            <w:r w:rsidR="00223F61">
              <w:rPr>
                <w:rFonts w:ascii="Verdana" w:hAnsi="Verdana"/>
                <w:sz w:val="18"/>
                <w:szCs w:val="18"/>
              </w:rPr>
              <w:t>, of andere aanvullende verzekering,</w:t>
            </w:r>
            <w:r w:rsidRPr="00632DCB">
              <w:rPr>
                <w:rFonts w:ascii="Verdana" w:hAnsi="Verdana"/>
                <w:sz w:val="18"/>
                <w:szCs w:val="18"/>
              </w:rPr>
              <w:t xml:space="preserve"> vanwege de bredere dekking dan alleen mondzorg.</w:t>
            </w:r>
          </w:p>
          <w:p w:rsidRPr="00632DCB" w:rsidR="009C64C7" w:rsidP="00D15C5F" w:rsidRDefault="00223F61" w14:paraId="3A36B9B3" w14:textId="66E14743">
            <w:pPr>
              <w:pStyle w:val="Lijstalinea"/>
              <w:numPr>
                <w:ilvl w:val="0"/>
                <w:numId w:val="6"/>
              </w:numPr>
              <w:spacing w:after="0" w:line="276" w:lineRule="auto"/>
              <w:ind w:right="272"/>
              <w:rPr>
                <w:rFonts w:ascii="Verdana" w:hAnsi="Verdana"/>
                <w:sz w:val="18"/>
                <w:szCs w:val="18"/>
              </w:rPr>
            </w:pPr>
            <w:r>
              <w:rPr>
                <w:rFonts w:ascii="Verdana" w:hAnsi="Verdana"/>
                <w:sz w:val="18"/>
                <w:szCs w:val="18"/>
              </w:rPr>
              <w:t xml:space="preserve">Verzekeraars zijn niet verplicht dit verzekeringsproduct aan te bieden. </w:t>
            </w:r>
            <w:r w:rsidRPr="00632DCB" w:rsidR="009C64C7">
              <w:rPr>
                <w:rFonts w:ascii="Verdana" w:hAnsi="Verdana"/>
                <w:sz w:val="18"/>
                <w:szCs w:val="18"/>
              </w:rPr>
              <w:t>Als weinig verzekeraars meedoen aan de subsidieregeling wordt niet de hele doelgroep bereikt</w:t>
            </w:r>
            <w:r>
              <w:rPr>
                <w:rStyle w:val="Voetnootmarkering"/>
                <w:rFonts w:ascii="Verdana" w:hAnsi="Verdana"/>
                <w:sz w:val="18"/>
                <w:szCs w:val="18"/>
              </w:rPr>
              <w:footnoteReference w:id="25"/>
            </w:r>
            <w:r w:rsidR="00D2329E">
              <w:rPr>
                <w:rFonts w:ascii="Verdana" w:hAnsi="Verdana"/>
                <w:sz w:val="18"/>
                <w:szCs w:val="18"/>
              </w:rPr>
              <w:t>.</w:t>
            </w:r>
          </w:p>
          <w:p w:rsidRPr="009515DE" w:rsidR="00494A29" w:rsidP="009515DE" w:rsidRDefault="00CA3018" w14:paraId="679530D7" w14:textId="1B0E59BB">
            <w:pPr>
              <w:pStyle w:val="Lijstalinea"/>
              <w:numPr>
                <w:ilvl w:val="0"/>
                <w:numId w:val="6"/>
              </w:numPr>
              <w:spacing w:after="0" w:line="276" w:lineRule="auto"/>
              <w:ind w:right="272"/>
            </w:pPr>
            <w:r w:rsidRPr="00632DCB">
              <w:rPr>
                <w:rFonts w:ascii="Verdana" w:hAnsi="Verdana"/>
                <w:sz w:val="18"/>
                <w:szCs w:val="18"/>
              </w:rPr>
              <w:t xml:space="preserve">Een deel van de groep die een gesubsidieerde aanvullende verzekering </w:t>
            </w:r>
            <w:r>
              <w:rPr>
                <w:rFonts w:ascii="Verdana" w:hAnsi="Verdana"/>
                <w:sz w:val="18"/>
                <w:szCs w:val="18"/>
              </w:rPr>
              <w:t xml:space="preserve">voor mondzorg </w:t>
            </w:r>
            <w:r w:rsidRPr="00632DCB">
              <w:rPr>
                <w:rFonts w:ascii="Verdana" w:hAnsi="Verdana"/>
                <w:sz w:val="18"/>
                <w:szCs w:val="18"/>
              </w:rPr>
              <w:t xml:space="preserve">aangaat zou het ook gedaan hebben zonder subsidie. </w:t>
            </w:r>
            <w:r>
              <w:rPr>
                <w:rFonts w:ascii="Verdana" w:hAnsi="Verdana"/>
                <w:sz w:val="18"/>
                <w:szCs w:val="18"/>
              </w:rPr>
              <w:t>Voor dat deel van de doelgroep leidt de subsidie niet tot minder mondzorgmijding.</w:t>
            </w:r>
          </w:p>
        </w:tc>
      </w:tr>
      <w:tr w:rsidRPr="00632DCB" w:rsidR="00314D95" w:rsidTr="00314D95" w14:paraId="02B49F28" w14:textId="77777777">
        <w:tc>
          <w:tcPr>
            <w:tcW w:w="1838" w:type="dxa"/>
            <w:shd w:val="clear" w:color="auto" w:fill="45B0E1"/>
          </w:tcPr>
          <w:p w:rsidRPr="00632DCB" w:rsidR="00494A29" w:rsidP="008271A5" w:rsidRDefault="00494A29" w14:paraId="78A2594B" w14:textId="77777777">
            <w:pPr>
              <w:spacing w:line="360" w:lineRule="auto"/>
              <w:ind w:left="142"/>
              <w:rPr>
                <w:rFonts w:cstheme="minorHAnsi"/>
              </w:rPr>
            </w:pPr>
            <w:r w:rsidRPr="00632DCB">
              <w:rPr>
                <w:rFonts w:cstheme="minorHAnsi"/>
              </w:rPr>
              <w:t>Toegang</w:t>
            </w:r>
          </w:p>
        </w:tc>
        <w:tc>
          <w:tcPr>
            <w:tcW w:w="5949" w:type="dxa"/>
          </w:tcPr>
          <w:p w:rsidRPr="00632DCB" w:rsidR="00E90A1C" w:rsidP="00D15C5F" w:rsidRDefault="00CA3018" w14:paraId="0854191E" w14:textId="7CEB2934">
            <w:pPr>
              <w:pStyle w:val="Lijstalinea"/>
              <w:numPr>
                <w:ilvl w:val="0"/>
                <w:numId w:val="6"/>
              </w:numPr>
              <w:spacing w:after="0" w:line="276" w:lineRule="auto"/>
              <w:ind w:right="272"/>
              <w:rPr>
                <w:rFonts w:ascii="Verdana" w:hAnsi="Verdana"/>
                <w:sz w:val="18"/>
                <w:szCs w:val="18"/>
              </w:rPr>
            </w:pPr>
            <w:r>
              <w:rPr>
                <w:rFonts w:ascii="Verdana" w:hAnsi="Verdana"/>
                <w:sz w:val="18"/>
                <w:szCs w:val="18"/>
              </w:rPr>
              <w:t>De doelgroep vraagt</w:t>
            </w:r>
            <w:r w:rsidRPr="00632DCB" w:rsidR="005836FE">
              <w:rPr>
                <w:rFonts w:ascii="Verdana" w:hAnsi="Verdana"/>
                <w:sz w:val="18"/>
                <w:szCs w:val="18"/>
              </w:rPr>
              <w:t xml:space="preserve"> </w:t>
            </w:r>
            <w:r w:rsidRPr="00632DCB" w:rsidR="00E90A1C">
              <w:rPr>
                <w:rFonts w:ascii="Verdana" w:hAnsi="Verdana"/>
                <w:sz w:val="18"/>
                <w:szCs w:val="18"/>
              </w:rPr>
              <w:t xml:space="preserve">de </w:t>
            </w:r>
            <w:r w:rsidRPr="00632DCB" w:rsidR="00C23675">
              <w:rPr>
                <w:rFonts w:ascii="Verdana" w:hAnsi="Verdana"/>
                <w:sz w:val="18"/>
                <w:szCs w:val="18"/>
              </w:rPr>
              <w:t>mond</w:t>
            </w:r>
            <w:r w:rsidRPr="00632DCB" w:rsidR="00E90A1C">
              <w:rPr>
                <w:rFonts w:ascii="Verdana" w:hAnsi="Verdana"/>
                <w:sz w:val="18"/>
                <w:szCs w:val="18"/>
              </w:rPr>
              <w:t>zorgverzekering aan bij de zorgverzekeraar.</w:t>
            </w:r>
          </w:p>
          <w:p w:rsidRPr="00632DCB" w:rsidR="005836FE" w:rsidP="00D15C5F" w:rsidRDefault="005836FE" w14:paraId="0F35E1E1" w14:textId="373B7A3D">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 xml:space="preserve">Op basis van </w:t>
            </w:r>
            <w:r w:rsidRPr="00632DCB" w:rsidR="00734A40">
              <w:rPr>
                <w:rFonts w:ascii="Verdana" w:hAnsi="Verdana"/>
                <w:sz w:val="18"/>
                <w:szCs w:val="18"/>
              </w:rPr>
              <w:t>inkomens</w:t>
            </w:r>
            <w:r w:rsidRPr="00632DCB">
              <w:rPr>
                <w:rFonts w:ascii="Verdana" w:hAnsi="Verdana"/>
                <w:sz w:val="18"/>
                <w:szCs w:val="18"/>
              </w:rPr>
              <w:t xml:space="preserve">gegevens van een </w:t>
            </w:r>
            <w:r w:rsidRPr="00632DCB" w:rsidR="00734A40">
              <w:rPr>
                <w:rFonts w:ascii="Verdana" w:hAnsi="Verdana"/>
                <w:sz w:val="18"/>
                <w:szCs w:val="18"/>
              </w:rPr>
              <w:t xml:space="preserve">derde </w:t>
            </w:r>
            <w:r w:rsidRPr="00632DCB">
              <w:rPr>
                <w:rFonts w:ascii="Verdana" w:hAnsi="Verdana"/>
                <w:sz w:val="18"/>
                <w:szCs w:val="18"/>
              </w:rPr>
              <w:t>partij</w:t>
            </w:r>
            <w:r w:rsidRPr="00632DCB" w:rsidR="00734A40">
              <w:rPr>
                <w:rFonts w:ascii="Verdana" w:hAnsi="Verdana"/>
                <w:sz w:val="18"/>
                <w:szCs w:val="18"/>
              </w:rPr>
              <w:t xml:space="preserve"> </w:t>
            </w:r>
            <w:r w:rsidRPr="00632DCB">
              <w:rPr>
                <w:rFonts w:ascii="Verdana" w:hAnsi="Verdana"/>
                <w:sz w:val="18"/>
                <w:szCs w:val="18"/>
              </w:rPr>
              <w:t xml:space="preserve"> weten zorgverzekeraars of de </w:t>
            </w:r>
            <w:r w:rsidR="00CA3018">
              <w:rPr>
                <w:rFonts w:ascii="Verdana" w:hAnsi="Verdana"/>
                <w:sz w:val="18"/>
                <w:szCs w:val="18"/>
              </w:rPr>
              <w:t>aanvragers</w:t>
            </w:r>
            <w:r w:rsidRPr="00632DCB" w:rsidR="00CA3018">
              <w:rPr>
                <w:rFonts w:ascii="Verdana" w:hAnsi="Verdana"/>
                <w:sz w:val="18"/>
                <w:szCs w:val="18"/>
              </w:rPr>
              <w:t xml:space="preserve"> </w:t>
            </w:r>
            <w:r w:rsidRPr="00632DCB">
              <w:rPr>
                <w:rFonts w:ascii="Verdana" w:hAnsi="Verdana"/>
                <w:sz w:val="18"/>
                <w:szCs w:val="18"/>
              </w:rPr>
              <w:t xml:space="preserve">wel of niet in aanmerking komt voor een lagere premie. </w:t>
            </w:r>
          </w:p>
          <w:p w:rsidRPr="009515DE" w:rsidR="00494A29" w:rsidP="009515DE" w:rsidRDefault="00C23675" w14:paraId="07487B73" w14:textId="1243F009">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 xml:space="preserve">De zorgverzekeraar </w:t>
            </w:r>
            <w:r w:rsidRPr="00632DCB" w:rsidR="005836FE">
              <w:rPr>
                <w:rFonts w:ascii="Verdana" w:hAnsi="Verdana"/>
                <w:sz w:val="18"/>
                <w:szCs w:val="18"/>
              </w:rPr>
              <w:t>ontvangt</w:t>
            </w:r>
            <w:r w:rsidRPr="00632DCB">
              <w:rPr>
                <w:rFonts w:ascii="Verdana" w:hAnsi="Verdana"/>
                <w:sz w:val="18"/>
                <w:szCs w:val="18"/>
              </w:rPr>
              <w:t xml:space="preserve"> subsidie </w:t>
            </w:r>
            <w:r w:rsidRPr="00632DCB" w:rsidR="005836FE">
              <w:rPr>
                <w:rFonts w:ascii="Verdana" w:hAnsi="Verdana"/>
                <w:sz w:val="18"/>
                <w:szCs w:val="18"/>
              </w:rPr>
              <w:t xml:space="preserve">voor de premiekorting per verzekerde. </w:t>
            </w:r>
          </w:p>
        </w:tc>
      </w:tr>
      <w:tr w:rsidRPr="00632DCB" w:rsidR="00314D95" w:rsidTr="00314D95" w14:paraId="227DF44F" w14:textId="77777777">
        <w:tc>
          <w:tcPr>
            <w:tcW w:w="1838" w:type="dxa"/>
            <w:shd w:val="clear" w:color="auto" w:fill="45B0E1"/>
          </w:tcPr>
          <w:p w:rsidRPr="00632DCB" w:rsidR="00494A29" w:rsidP="008271A5" w:rsidRDefault="00494A29" w14:paraId="664A73BB" w14:textId="77777777">
            <w:pPr>
              <w:spacing w:line="360" w:lineRule="auto"/>
              <w:ind w:left="142"/>
              <w:rPr>
                <w:rFonts w:cstheme="minorHAnsi"/>
              </w:rPr>
            </w:pPr>
            <w:r w:rsidRPr="00632DCB">
              <w:rPr>
                <w:rFonts w:cstheme="minorHAnsi"/>
              </w:rPr>
              <w:t>Dekking</w:t>
            </w:r>
          </w:p>
        </w:tc>
        <w:tc>
          <w:tcPr>
            <w:tcW w:w="5949" w:type="dxa"/>
          </w:tcPr>
          <w:p w:rsidRPr="00632DCB" w:rsidR="00494A29" w:rsidP="00D15C5F" w:rsidRDefault="008A1E3D" w14:paraId="5146C199" w14:textId="316FA790">
            <w:pPr>
              <w:pStyle w:val="Lijstalinea"/>
              <w:numPr>
                <w:ilvl w:val="0"/>
                <w:numId w:val="6"/>
              </w:numPr>
              <w:spacing w:after="0" w:line="276" w:lineRule="auto"/>
              <w:ind w:right="272"/>
              <w:rPr>
                <w:rFonts w:ascii="Verdana" w:hAnsi="Verdana"/>
                <w:sz w:val="18"/>
                <w:szCs w:val="18"/>
              </w:rPr>
            </w:pPr>
            <w:r w:rsidRPr="00D15C5F">
              <w:rPr>
                <w:rFonts w:ascii="Verdana" w:hAnsi="Verdana"/>
                <w:color w:val="000000"/>
                <w:sz w:val="18"/>
              </w:rPr>
              <w:t xml:space="preserve">Zie paragraaf </w:t>
            </w:r>
            <w:r w:rsidRPr="00D15C5F" w:rsidR="009C64C7">
              <w:rPr>
                <w:rFonts w:ascii="Verdana" w:hAnsi="Verdana"/>
                <w:color w:val="000000"/>
                <w:sz w:val="18"/>
              </w:rPr>
              <w:t>3</w:t>
            </w:r>
            <w:r w:rsidRPr="00D15C5F">
              <w:rPr>
                <w:rFonts w:ascii="Verdana" w:hAnsi="Verdana"/>
                <w:color w:val="000000"/>
                <w:sz w:val="18"/>
              </w:rPr>
              <w:t>.2.</w:t>
            </w:r>
          </w:p>
        </w:tc>
      </w:tr>
      <w:tr w:rsidRPr="00632DCB" w:rsidR="00314D95" w:rsidTr="00314D95" w14:paraId="6D4D7CB2" w14:textId="77777777">
        <w:tc>
          <w:tcPr>
            <w:tcW w:w="1838" w:type="dxa"/>
            <w:shd w:val="clear" w:color="auto" w:fill="45B0E1"/>
          </w:tcPr>
          <w:p w:rsidRPr="00632DCB" w:rsidR="00494A29" w:rsidP="008271A5" w:rsidRDefault="00494A29" w14:paraId="5512397D" w14:textId="77777777">
            <w:pPr>
              <w:spacing w:line="360" w:lineRule="auto"/>
              <w:ind w:left="142"/>
              <w:rPr>
                <w:rFonts w:cstheme="minorHAnsi"/>
              </w:rPr>
            </w:pPr>
            <w:r w:rsidRPr="00632DCB">
              <w:rPr>
                <w:rFonts w:cstheme="minorHAnsi"/>
              </w:rPr>
              <w:t>Kosten</w:t>
            </w:r>
          </w:p>
        </w:tc>
        <w:tc>
          <w:tcPr>
            <w:tcW w:w="5949" w:type="dxa"/>
          </w:tcPr>
          <w:p w:rsidRPr="00632DCB" w:rsidR="0089371F" w:rsidP="00D15C5F" w:rsidRDefault="0089371F" w14:paraId="6228E729" w14:textId="4C432A83">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 xml:space="preserve">Voor deze maatregel moet bepaald worden of wel of niet met een budgetplafond gewerkt moet worden en als voor een budgetplafond gekozen wordt hoe hoog </w:t>
            </w:r>
            <w:r w:rsidR="007B40C1">
              <w:rPr>
                <w:rFonts w:ascii="Verdana" w:hAnsi="Verdana"/>
                <w:sz w:val="18"/>
                <w:szCs w:val="18"/>
              </w:rPr>
              <w:t>dit</w:t>
            </w:r>
            <w:r w:rsidRPr="00632DCB" w:rsidR="007B40C1">
              <w:rPr>
                <w:rFonts w:ascii="Verdana" w:hAnsi="Verdana"/>
                <w:sz w:val="18"/>
                <w:szCs w:val="18"/>
              </w:rPr>
              <w:t xml:space="preserve"> </w:t>
            </w:r>
            <w:r w:rsidRPr="00632DCB">
              <w:rPr>
                <w:rFonts w:ascii="Verdana" w:hAnsi="Verdana"/>
                <w:sz w:val="18"/>
                <w:szCs w:val="18"/>
              </w:rPr>
              <w:t>moet zijn.</w:t>
            </w:r>
          </w:p>
          <w:p w:rsidR="00A65C4B" w:rsidP="00A65C4B" w:rsidRDefault="0089371F" w14:paraId="2A1CFFE6" w14:textId="77777777">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 xml:space="preserve">Ten behoeve van een goede uitleg aan burger en </w:t>
            </w:r>
            <w:r w:rsidRPr="0061388C">
              <w:rPr>
                <w:rFonts w:ascii="Verdana" w:hAnsi="Verdana"/>
                <w:sz w:val="18"/>
                <w:szCs w:val="18"/>
              </w:rPr>
              <w:t>verantwoording van de bestede middelen moet in de regelgeving goed afgebakend worden wat het doel is van de maatregel en welke kosten wel en niet voor rekening van de overheid komen.</w:t>
            </w:r>
          </w:p>
          <w:p w:rsidRPr="009515DE" w:rsidR="0061388C" w:rsidP="009515DE" w:rsidRDefault="00A65C4B" w14:paraId="3734527E" w14:textId="1AD1BCF9">
            <w:pPr>
              <w:pStyle w:val="Lijstalinea"/>
              <w:numPr>
                <w:ilvl w:val="0"/>
                <w:numId w:val="6"/>
              </w:numPr>
              <w:spacing w:after="0" w:line="276" w:lineRule="auto"/>
              <w:ind w:right="272"/>
              <w:rPr>
                <w:rFonts w:ascii="Verdana" w:hAnsi="Verdana"/>
                <w:sz w:val="18"/>
                <w:szCs w:val="18"/>
              </w:rPr>
            </w:pPr>
            <w:r w:rsidRPr="00FF618E">
              <w:rPr>
                <w:rFonts w:ascii="Verdana" w:hAnsi="Verdana"/>
                <w:sz w:val="18"/>
                <w:szCs w:val="18"/>
              </w:rPr>
              <w:t xml:space="preserve">Tussen de € 131 en 267 miljoen bij een doelgroep van 120% sociaal minimum, zie verder tabel 4.1. </w:t>
            </w:r>
            <w:r w:rsidRPr="00FF618E" w:rsidR="0061388C">
              <w:rPr>
                <w:rFonts w:ascii="Verdana" w:hAnsi="Verdana"/>
                <w:sz w:val="18"/>
                <w:szCs w:val="18"/>
              </w:rPr>
              <w:t xml:space="preserve">Deze bedragen zijn exclusief uitvoeringskosten. </w:t>
            </w:r>
          </w:p>
        </w:tc>
      </w:tr>
      <w:tr w:rsidRPr="00632DCB" w:rsidR="00314D95" w:rsidTr="00314D95" w14:paraId="7D041768" w14:textId="77777777">
        <w:tc>
          <w:tcPr>
            <w:tcW w:w="1838" w:type="dxa"/>
            <w:shd w:val="clear" w:color="auto" w:fill="45B0E1"/>
          </w:tcPr>
          <w:p w:rsidRPr="00632DCB" w:rsidR="00494A29" w:rsidP="008271A5" w:rsidRDefault="00494A29" w14:paraId="50B59919" w14:textId="77777777">
            <w:pPr>
              <w:spacing w:line="360" w:lineRule="auto"/>
              <w:ind w:left="142"/>
              <w:rPr>
                <w:rFonts w:cstheme="minorHAnsi"/>
              </w:rPr>
            </w:pPr>
            <w:r w:rsidRPr="00632DCB">
              <w:rPr>
                <w:rFonts w:cstheme="minorHAnsi"/>
              </w:rPr>
              <w:t>Uitvoering</w:t>
            </w:r>
          </w:p>
        </w:tc>
        <w:tc>
          <w:tcPr>
            <w:tcW w:w="5949" w:type="dxa"/>
          </w:tcPr>
          <w:p w:rsidRPr="00E32FCA" w:rsidR="009E2456" w:rsidP="00632DCB" w:rsidRDefault="009E2456" w14:paraId="66458E74" w14:textId="44BE214F">
            <w:pPr>
              <w:spacing w:line="276" w:lineRule="auto"/>
              <w:ind w:left="199" w:right="272"/>
              <w:rPr>
                <w:rFonts w:cstheme="minorHAnsi"/>
              </w:rPr>
            </w:pPr>
            <w:r w:rsidRPr="00E32FCA">
              <w:rPr>
                <w:rFonts w:cstheme="minorHAnsi"/>
              </w:rPr>
              <w:t>De wijze van uitvoering:</w:t>
            </w:r>
          </w:p>
          <w:p w:rsidRPr="00E32FCA" w:rsidR="00C23675" w:rsidP="00D15C5F" w:rsidRDefault="009D7B6C" w14:paraId="549A3F7D" w14:textId="5E439B6E">
            <w:pPr>
              <w:pStyle w:val="Lijstalinea"/>
              <w:numPr>
                <w:ilvl w:val="0"/>
                <w:numId w:val="6"/>
              </w:numPr>
              <w:spacing w:after="0" w:line="276" w:lineRule="auto"/>
              <w:ind w:right="272"/>
              <w:rPr>
                <w:rFonts w:ascii="Verdana" w:hAnsi="Verdana"/>
                <w:sz w:val="18"/>
                <w:szCs w:val="18"/>
              </w:rPr>
            </w:pPr>
            <w:r w:rsidRPr="00E32FCA">
              <w:rPr>
                <w:rFonts w:ascii="Verdana" w:hAnsi="Verdana"/>
                <w:sz w:val="18"/>
                <w:szCs w:val="18"/>
              </w:rPr>
              <w:t xml:space="preserve">Uitvoering door </w:t>
            </w:r>
            <w:r w:rsidRPr="00E32FCA" w:rsidR="00E32FCA">
              <w:rPr>
                <w:rFonts w:ascii="Verdana" w:hAnsi="Verdana"/>
                <w:sz w:val="18"/>
                <w:szCs w:val="18"/>
              </w:rPr>
              <w:t xml:space="preserve">een </w:t>
            </w:r>
            <w:proofErr w:type="spellStart"/>
            <w:r w:rsidRPr="00E32FCA" w:rsidR="00E32FCA">
              <w:rPr>
                <w:rFonts w:ascii="Verdana" w:hAnsi="Verdana"/>
                <w:sz w:val="18"/>
                <w:szCs w:val="18"/>
              </w:rPr>
              <w:t>rijksuitvoerder</w:t>
            </w:r>
            <w:proofErr w:type="spellEnd"/>
            <w:r w:rsidRPr="00E32FCA">
              <w:rPr>
                <w:rFonts w:ascii="Verdana" w:hAnsi="Verdana"/>
                <w:sz w:val="18"/>
                <w:szCs w:val="18"/>
              </w:rPr>
              <w:t xml:space="preserve">. </w:t>
            </w:r>
          </w:p>
          <w:p w:rsidRPr="00E32FCA" w:rsidR="009E2456" w:rsidP="00D15C5F" w:rsidRDefault="00C23675" w14:paraId="1172F6BD" w14:textId="69526EFF">
            <w:pPr>
              <w:pStyle w:val="Lijstalinea"/>
              <w:numPr>
                <w:ilvl w:val="0"/>
                <w:numId w:val="6"/>
              </w:numPr>
              <w:spacing w:after="0" w:line="276" w:lineRule="auto"/>
              <w:ind w:right="272"/>
              <w:rPr>
                <w:rFonts w:ascii="Verdana" w:hAnsi="Verdana"/>
                <w:sz w:val="18"/>
                <w:szCs w:val="18"/>
              </w:rPr>
            </w:pPr>
            <w:r w:rsidRPr="00E32FCA">
              <w:rPr>
                <w:rFonts w:ascii="Verdana" w:hAnsi="Verdana"/>
                <w:sz w:val="18"/>
                <w:szCs w:val="18"/>
              </w:rPr>
              <w:t xml:space="preserve">De inkomenstoets wordt gedaan </w:t>
            </w:r>
            <w:r w:rsidRPr="00E32FCA" w:rsidR="00E90A1C">
              <w:rPr>
                <w:rFonts w:ascii="Verdana" w:hAnsi="Verdana"/>
                <w:sz w:val="18"/>
                <w:szCs w:val="18"/>
              </w:rPr>
              <w:t>door de Belastingdienst</w:t>
            </w:r>
            <w:r w:rsidRPr="00E32FCA" w:rsidR="005836FE">
              <w:rPr>
                <w:rFonts w:ascii="Verdana" w:hAnsi="Verdana"/>
                <w:sz w:val="18"/>
                <w:szCs w:val="18"/>
              </w:rPr>
              <w:t>, Dienst Toeslagen</w:t>
            </w:r>
            <w:r w:rsidRPr="00E32FCA" w:rsidR="00E90A1C">
              <w:rPr>
                <w:rFonts w:ascii="Verdana" w:hAnsi="Verdana"/>
                <w:sz w:val="18"/>
                <w:szCs w:val="18"/>
              </w:rPr>
              <w:t xml:space="preserve"> of een derde partij. De zorgverzekeraar hoeft niet te beschikken over inkomensgegevens</w:t>
            </w:r>
            <w:r w:rsidRPr="00E32FCA" w:rsidR="005836FE">
              <w:rPr>
                <w:rFonts w:ascii="Verdana" w:hAnsi="Verdana"/>
                <w:sz w:val="18"/>
                <w:szCs w:val="18"/>
              </w:rPr>
              <w:t>, maar ontvangt alleen een ja/nee bericht</w:t>
            </w:r>
            <w:r w:rsidRPr="00E32FCA" w:rsidR="00AF781E">
              <w:rPr>
                <w:rFonts w:ascii="Verdana" w:hAnsi="Verdana"/>
                <w:sz w:val="18"/>
                <w:szCs w:val="18"/>
              </w:rPr>
              <w:t>.</w:t>
            </w:r>
          </w:p>
          <w:p w:rsidRPr="00632DCB" w:rsidR="00494A29" w:rsidP="009E2456" w:rsidRDefault="00494A29" w14:paraId="56F89AF1" w14:textId="77777777">
            <w:pPr>
              <w:spacing w:line="276" w:lineRule="auto"/>
              <w:ind w:left="360" w:right="272"/>
            </w:pPr>
          </w:p>
          <w:p w:rsidRPr="00632DCB" w:rsidR="009E2456" w:rsidP="009E2456" w:rsidRDefault="009E2456" w14:paraId="7ABC7456" w14:textId="77777777">
            <w:pPr>
              <w:spacing w:line="276" w:lineRule="auto"/>
              <w:ind w:left="199" w:right="272"/>
              <w:rPr>
                <w:rFonts w:cstheme="minorHAnsi"/>
              </w:rPr>
            </w:pPr>
            <w:r w:rsidRPr="00632DCB">
              <w:rPr>
                <w:rFonts w:cstheme="minorHAnsi"/>
              </w:rPr>
              <w:t xml:space="preserve">Voor de uitvoerbaarheid van deze maatregel moet met het volgende rekening gehouden worden: </w:t>
            </w:r>
          </w:p>
          <w:p w:rsidRPr="00632DCB" w:rsidR="00633A3B" w:rsidP="00D15C5F" w:rsidRDefault="00633A3B" w14:paraId="38AB61B3" w14:textId="7D959210">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lastRenderedPageBreak/>
              <w:t>De uitvoering is complex</w:t>
            </w:r>
            <w:r w:rsidR="00AF781E">
              <w:rPr>
                <w:rFonts w:ascii="Verdana" w:hAnsi="Verdana"/>
                <w:sz w:val="18"/>
                <w:szCs w:val="18"/>
              </w:rPr>
              <w:t>,</w:t>
            </w:r>
            <w:r w:rsidRPr="00632DCB">
              <w:rPr>
                <w:rFonts w:ascii="Verdana" w:hAnsi="Verdana"/>
                <w:sz w:val="18"/>
                <w:szCs w:val="18"/>
              </w:rPr>
              <w:t xml:space="preserve"> omdat er meerdere partijen bij betrokken zijn die gegevens met elkaar moeten uitwisselen.</w:t>
            </w:r>
          </w:p>
          <w:p w:rsidRPr="00632DCB" w:rsidR="00633A3B" w:rsidP="00D15C5F" w:rsidRDefault="00633A3B" w14:paraId="21CFE6A6" w14:textId="77777777">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 xml:space="preserve">Maatregel gaat gepaard met aanzienlijke administratieve lasten en ICT-uitdagingen bij de uitvoerende partij.  </w:t>
            </w:r>
          </w:p>
          <w:p w:rsidRPr="00632DCB" w:rsidR="00734A40" w:rsidP="00734A40" w:rsidRDefault="00734A40" w14:paraId="4A3271F1" w14:textId="77777777">
            <w:pPr>
              <w:spacing w:line="276" w:lineRule="auto"/>
              <w:ind w:left="360"/>
              <w:rPr>
                <w:rFonts w:cstheme="minorHAnsi"/>
              </w:rPr>
            </w:pPr>
          </w:p>
          <w:p w:rsidRPr="00D15C5F" w:rsidR="00633A3B" w:rsidP="009515DE" w:rsidRDefault="007B40C1" w14:paraId="61BF253A" w14:textId="1518008C">
            <w:pPr>
              <w:spacing w:line="276" w:lineRule="auto"/>
              <w:ind w:left="360"/>
              <w:rPr>
                <w:color w:val="auto"/>
              </w:rPr>
            </w:pPr>
            <w:r>
              <w:rPr>
                <w:rFonts w:cstheme="minorHAnsi"/>
              </w:rPr>
              <w:t>Vraag</w:t>
            </w:r>
            <w:r w:rsidRPr="00632DCB">
              <w:rPr>
                <w:rFonts w:cstheme="minorHAnsi"/>
              </w:rPr>
              <w:t xml:space="preserve"> </w:t>
            </w:r>
            <w:r w:rsidRPr="00632DCB" w:rsidR="00633A3B">
              <w:rPr>
                <w:rFonts w:cstheme="minorHAnsi"/>
              </w:rPr>
              <w:t>de uitvoerende partij een uitvoeringstoets te doen om zo de implementatie</w:t>
            </w:r>
            <w:r w:rsidR="00CA3018">
              <w:rPr>
                <w:rFonts w:cstheme="minorHAnsi"/>
              </w:rPr>
              <w:t>periode</w:t>
            </w:r>
            <w:r w:rsidRPr="00632DCB" w:rsidR="00633A3B">
              <w:rPr>
                <w:rFonts w:cstheme="minorHAnsi"/>
              </w:rPr>
              <w:t>, kosten en risico’s in beeld te krijgen.</w:t>
            </w:r>
          </w:p>
        </w:tc>
      </w:tr>
      <w:tr w:rsidRPr="00632DCB" w:rsidR="00314D95" w:rsidTr="00314D95" w14:paraId="2B840970" w14:textId="77777777">
        <w:trPr>
          <w:trHeight w:val="912"/>
        </w:trPr>
        <w:tc>
          <w:tcPr>
            <w:tcW w:w="1838" w:type="dxa"/>
            <w:shd w:val="clear" w:color="auto" w:fill="45B0E1"/>
          </w:tcPr>
          <w:p w:rsidRPr="00632DCB" w:rsidR="00494A29" w:rsidP="008271A5" w:rsidRDefault="00494A29" w14:paraId="2102DBDB" w14:textId="77777777">
            <w:pPr>
              <w:spacing w:line="360" w:lineRule="auto"/>
              <w:ind w:left="142"/>
              <w:rPr>
                <w:rFonts w:cstheme="minorHAnsi"/>
              </w:rPr>
            </w:pPr>
            <w:r w:rsidRPr="00632DCB">
              <w:rPr>
                <w:rFonts w:cstheme="minorHAnsi"/>
              </w:rPr>
              <w:lastRenderedPageBreak/>
              <w:t>Neveneffecten</w:t>
            </w:r>
          </w:p>
        </w:tc>
        <w:tc>
          <w:tcPr>
            <w:tcW w:w="5949" w:type="dxa"/>
          </w:tcPr>
          <w:p w:rsidRPr="00632DCB" w:rsidR="00AD5A81" w:rsidP="00D15C5F" w:rsidRDefault="00E5398C" w14:paraId="742C63F8" w14:textId="77777777">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Deze maatregel heeft potentieel effect op het aantal mensen dat een gemeentepolis of andere aanvullende zorgverzekering afsluit.</w:t>
            </w:r>
            <w:r w:rsidRPr="00632DCB" w:rsidR="00AD5A81">
              <w:rPr>
                <w:rFonts w:ascii="Verdana" w:hAnsi="Verdana"/>
                <w:sz w:val="18"/>
                <w:szCs w:val="18"/>
              </w:rPr>
              <w:t xml:space="preserve"> </w:t>
            </w:r>
          </w:p>
          <w:p w:rsidRPr="009515DE" w:rsidR="00926F6C" w:rsidP="009515DE" w:rsidRDefault="00926F6C" w14:paraId="05B929C4" w14:textId="2ED7C384">
            <w:pPr>
              <w:pStyle w:val="Lijstalinea"/>
              <w:numPr>
                <w:ilvl w:val="0"/>
                <w:numId w:val="6"/>
              </w:numPr>
              <w:spacing w:after="0" w:line="276" w:lineRule="auto"/>
              <w:ind w:right="272"/>
              <w:rPr>
                <w:rFonts w:ascii="Verdana" w:hAnsi="Verdana"/>
                <w:color w:val="000000"/>
                <w:sz w:val="18"/>
              </w:rPr>
            </w:pPr>
            <w:r w:rsidRPr="00891FED">
              <w:rPr>
                <w:rFonts w:ascii="Verdana" w:hAnsi="Verdana"/>
                <w:color w:val="000000"/>
                <w:sz w:val="18"/>
              </w:rPr>
              <w:t xml:space="preserve">Er is een risico van onderverzekering op andere zorgvormen als de dekking in plaats komt van een verzekering met een bredere dekking dan alleen mondzorg. </w:t>
            </w:r>
          </w:p>
        </w:tc>
      </w:tr>
      <w:tr w:rsidRPr="00632DCB" w:rsidR="00314D95" w:rsidTr="00314D95" w14:paraId="3B28034E" w14:textId="77777777">
        <w:tc>
          <w:tcPr>
            <w:tcW w:w="1838" w:type="dxa"/>
            <w:shd w:val="clear" w:color="auto" w:fill="45B0E1"/>
          </w:tcPr>
          <w:p w:rsidRPr="00632DCB" w:rsidR="003F6111" w:rsidP="008271A5" w:rsidRDefault="003F6111" w14:paraId="22136863" w14:textId="652A1F45">
            <w:pPr>
              <w:spacing w:line="360" w:lineRule="auto"/>
              <w:ind w:left="142"/>
              <w:rPr>
                <w:rFonts w:cstheme="minorHAnsi"/>
              </w:rPr>
            </w:pPr>
            <w:r w:rsidRPr="00632DCB">
              <w:rPr>
                <w:rFonts w:cstheme="minorHAnsi"/>
              </w:rPr>
              <w:t>Juridische kaders</w:t>
            </w:r>
          </w:p>
        </w:tc>
        <w:tc>
          <w:tcPr>
            <w:tcW w:w="5949" w:type="dxa"/>
          </w:tcPr>
          <w:p w:rsidRPr="00632DCB" w:rsidR="006A30D3" w:rsidP="00D15C5F" w:rsidRDefault="006A30D3" w14:paraId="2C0738A7" w14:textId="269BC3FE">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Zorgverzekeraars kunnen niet verplicht worden een bepaalde landelijke uniforme aanvullende zorgverzekering aan te bieden</w:t>
            </w:r>
            <w:r w:rsidRPr="00632DCB" w:rsidR="00D87685">
              <w:rPr>
                <w:rFonts w:ascii="Verdana" w:hAnsi="Verdana"/>
                <w:sz w:val="18"/>
                <w:szCs w:val="18"/>
              </w:rPr>
              <w:t xml:space="preserve"> (EU-richtlijn Solvabiliteit II, zoals geïmplementeerd in de Wet op het financieel toezicht (</w:t>
            </w:r>
            <w:proofErr w:type="spellStart"/>
            <w:r w:rsidRPr="00632DCB" w:rsidR="00D87685">
              <w:rPr>
                <w:rFonts w:ascii="Verdana" w:hAnsi="Verdana"/>
                <w:sz w:val="18"/>
                <w:szCs w:val="18"/>
              </w:rPr>
              <w:t>Wft</w:t>
            </w:r>
            <w:proofErr w:type="spellEnd"/>
            <w:r w:rsidRPr="00632DCB" w:rsidR="00D87685">
              <w:rPr>
                <w:rFonts w:ascii="Verdana" w:hAnsi="Verdana"/>
                <w:sz w:val="18"/>
                <w:szCs w:val="18"/>
              </w:rPr>
              <w:t>))</w:t>
            </w:r>
            <w:r w:rsidRPr="00632DCB">
              <w:rPr>
                <w:rFonts w:ascii="Verdana" w:hAnsi="Verdana"/>
                <w:sz w:val="18"/>
                <w:szCs w:val="18"/>
              </w:rPr>
              <w:t>, maar zij kunnen dit wel uit eigen beweging organiseren.</w:t>
            </w:r>
          </w:p>
          <w:p w:rsidRPr="00632DCB" w:rsidR="003F6111" w:rsidP="00D15C5F" w:rsidRDefault="003F6111" w14:paraId="5FC167A8" w14:textId="66615D2D">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 xml:space="preserve">Een dergelijke subsidieregeling </w:t>
            </w:r>
            <w:r w:rsidRPr="00632DCB" w:rsidR="00EB7FE2">
              <w:rPr>
                <w:rFonts w:ascii="Verdana" w:hAnsi="Verdana"/>
                <w:sz w:val="18"/>
                <w:szCs w:val="18"/>
              </w:rPr>
              <w:t xml:space="preserve">moet passen binnen de kaders van </w:t>
            </w:r>
            <w:proofErr w:type="spellStart"/>
            <w:r w:rsidRPr="00632DCB">
              <w:rPr>
                <w:rFonts w:ascii="Verdana" w:hAnsi="Verdana"/>
                <w:sz w:val="18"/>
                <w:szCs w:val="18"/>
              </w:rPr>
              <w:t>Solvency</w:t>
            </w:r>
            <w:proofErr w:type="spellEnd"/>
            <w:r w:rsidRPr="00632DCB">
              <w:rPr>
                <w:rFonts w:ascii="Verdana" w:hAnsi="Verdana"/>
                <w:sz w:val="18"/>
                <w:szCs w:val="18"/>
              </w:rPr>
              <w:t xml:space="preserve"> II</w:t>
            </w:r>
            <w:r w:rsidRPr="00632DCB" w:rsidR="00000DE2">
              <w:rPr>
                <w:rFonts w:ascii="Verdana" w:hAnsi="Verdana"/>
                <w:sz w:val="18"/>
                <w:szCs w:val="18"/>
              </w:rPr>
              <w:t xml:space="preserve">, staatssteun en privacywetgeving. </w:t>
            </w:r>
          </w:p>
          <w:p w:rsidRPr="00632DCB" w:rsidR="003F6111" w:rsidP="00D15C5F" w:rsidRDefault="003F6111" w14:paraId="7B7F96AD" w14:textId="431D6969">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De subsidie moet worden verstrekt aan iedere privaatrechtelijke ziektekostenverzekeraar die zo'n mondzorgverzekering voor minima aanbiedt en uitvoert. Dus ook aan privaatrechtelijke ziektekostenverzekeraars die geen zorgverzekeringen aanbieden of uitvoeren, en ongeacht of zo'n privaatrechtelijke ziektekostenverzekeraar zijn zetel in Nederland heeft of elders in de EU.</w:t>
            </w:r>
          </w:p>
          <w:p w:rsidRPr="009515DE" w:rsidR="003F6111" w:rsidP="009515DE" w:rsidRDefault="003F6111" w14:paraId="5D986A04" w14:textId="144B025D">
            <w:pPr>
              <w:pStyle w:val="Lijstalinea"/>
              <w:numPr>
                <w:ilvl w:val="0"/>
                <w:numId w:val="6"/>
              </w:numPr>
              <w:spacing w:after="0" w:line="276" w:lineRule="auto"/>
              <w:ind w:right="272"/>
              <w:rPr>
                <w:rFonts w:ascii="Verdana" w:hAnsi="Verdana"/>
                <w:sz w:val="18"/>
                <w:szCs w:val="18"/>
              </w:rPr>
            </w:pPr>
            <w:r w:rsidRPr="00632DCB">
              <w:rPr>
                <w:rFonts w:ascii="Verdana" w:hAnsi="Verdana"/>
                <w:sz w:val="18"/>
                <w:szCs w:val="18"/>
              </w:rPr>
              <w:t xml:space="preserve">De privaatrechtelijke ziektekostenverzekeraars die subsidiabele aanvullende mondzorgverzekeringen aanbieden, hebben daarvoor geen acceptatieplicht. </w:t>
            </w:r>
          </w:p>
        </w:tc>
      </w:tr>
    </w:tbl>
    <w:p w:rsidRPr="00632DCB" w:rsidR="00494A29" w:rsidP="003B1B4E" w:rsidRDefault="00494A29" w14:paraId="6E32E8EA" w14:textId="77777777"/>
    <w:p w:rsidRPr="00632DCB" w:rsidR="00494A29" w:rsidP="00F26A3B" w:rsidRDefault="009515DE" w14:paraId="3951171A" w14:textId="52EAFEFB">
      <w:pPr>
        <w:spacing w:line="240" w:lineRule="auto"/>
      </w:pPr>
      <w:r>
        <w:br w:type="page"/>
      </w:r>
    </w:p>
    <w:p w:rsidRPr="00632DCB" w:rsidR="00F967F8" w:rsidP="00F967F8" w:rsidRDefault="00F967F8" w14:paraId="2BEAAD23" w14:textId="252E7F30">
      <w:pPr>
        <w:pStyle w:val="Kop2"/>
      </w:pPr>
      <w:bookmarkStart w:name="_Toc203402016" w:id="343"/>
      <w:bookmarkStart w:name="_Toc214547156" w:id="344"/>
      <w:bookmarkStart w:name="_Toc202280989" w:id="345"/>
      <w:bookmarkStart w:name="_Toc202788177" w:id="346"/>
      <w:r w:rsidRPr="00632DCB">
        <w:lastRenderedPageBreak/>
        <w:t xml:space="preserve">Maatregel 3: </w:t>
      </w:r>
      <w:bookmarkEnd w:id="343"/>
      <w:r w:rsidRPr="00632DCB" w:rsidR="00E11A1F">
        <w:t>Nieuwe gemeentepolis met basisverzekering en mondzorg</w:t>
      </w:r>
      <w:bookmarkEnd w:id="344"/>
    </w:p>
    <w:p w:rsidRPr="00632DCB" w:rsidR="00AE1B58" w:rsidP="00AE1B58" w:rsidRDefault="00AE1B58" w14:paraId="2B7DC576" w14:textId="77777777"/>
    <w:p w:rsidRPr="00632DCB" w:rsidR="00975C78" w:rsidP="00975C78" w:rsidRDefault="00365F4A" w14:paraId="4B25BC7F" w14:textId="2B78EFAB">
      <w:r>
        <w:t xml:space="preserve">In paragraaf 2.3 is de gemeentepolis toegelicht. </w:t>
      </w:r>
      <w:r w:rsidRPr="00632DCB" w:rsidR="00975C78">
        <w:t>Adviesbureau BS&amp;F geeft in zijn leidraad voor gemeenten</w:t>
      </w:r>
      <w:r w:rsidR="00A65A5F">
        <w:t xml:space="preserve"> </w:t>
      </w:r>
      <w:r w:rsidRPr="00632DCB" w:rsidR="00975C78">
        <w:t xml:space="preserve">aan dat de hoogte van de premie voor veel mensen wordt gezien als een belangrijk aspect voor de keuze van de zorgverzekering en dat dit het sterkst geldt voor mensen zonder aanvullende verzekering(en). </w:t>
      </w:r>
      <w:r w:rsidR="00627D3D">
        <w:t>Uit de analyse van BS&amp;F blijk dat een hogere premiebijdrage aan de gemeentepolis</w:t>
      </w:r>
      <w:r w:rsidR="00ED645B">
        <w:t xml:space="preserve">, en daarmee een lagere premie voor de </w:t>
      </w:r>
      <w:r w:rsidR="005231F8">
        <w:t>verzekerde, samenhangt</w:t>
      </w:r>
      <w:r w:rsidR="00627D3D">
        <w:t xml:space="preserve"> met een hoger bereik van de gemeentepolis</w:t>
      </w:r>
      <w:r w:rsidR="00FC29F5">
        <w:t xml:space="preserve">. En </w:t>
      </w:r>
      <w:r w:rsidR="00975C78">
        <w:t xml:space="preserve">daarmee </w:t>
      </w:r>
      <w:r w:rsidR="00FC29F5">
        <w:t xml:space="preserve">dus het aantal mensen dat </w:t>
      </w:r>
      <w:r w:rsidR="00975C78">
        <w:t xml:space="preserve">verzekerd </w:t>
      </w:r>
      <w:r w:rsidR="00FC29F5">
        <w:t>is</w:t>
      </w:r>
      <w:r w:rsidR="00975C78">
        <w:t xml:space="preserve"> voor mondzorg</w:t>
      </w:r>
      <w:r w:rsidR="002F0E14">
        <w:t xml:space="preserve">. </w:t>
      </w:r>
      <w:r w:rsidR="00627D3D">
        <w:t xml:space="preserve"> </w:t>
      </w:r>
      <w:r w:rsidR="002F0E14">
        <w:t xml:space="preserve"> </w:t>
      </w:r>
    </w:p>
    <w:p w:rsidR="000E7430" w:rsidP="00AE1B58" w:rsidRDefault="000E7430" w14:paraId="73667954" w14:textId="77777777"/>
    <w:p w:rsidRPr="00632DCB" w:rsidR="00AE1B58" w:rsidP="00AE1B58" w:rsidRDefault="00851ABC" w14:paraId="1CA80118" w14:textId="4995274E">
      <w:r>
        <w:t>Naar verwachting heeft het echter meer effect om een nieuw pakket in de gemeentepolis aan te bieden, dan de premiebijdrage</w:t>
      </w:r>
      <w:r w:rsidR="00A94727">
        <w:t xml:space="preserve"> voor de huidige polissen</w:t>
      </w:r>
      <w:r>
        <w:t xml:space="preserve"> te vergroten. </w:t>
      </w:r>
      <w:r w:rsidR="00921835">
        <w:t>V</w:t>
      </w:r>
      <w:r w:rsidRPr="00632DCB" w:rsidR="00921835">
        <w:t xml:space="preserve">oor </w:t>
      </w:r>
      <w:r w:rsidR="00921835">
        <w:t>minima met een lage zorgvraag</w:t>
      </w:r>
      <w:r w:rsidRPr="00632DCB" w:rsidR="00921835">
        <w:t xml:space="preserve"> </w:t>
      </w:r>
      <w:r w:rsidR="0018693F">
        <w:t>kan</w:t>
      </w:r>
      <w:r w:rsidR="00921835">
        <w:t xml:space="preserve"> de dekking van de huidige gemeentepolissen </w:t>
      </w:r>
      <w:r w:rsidR="00DF6F8B">
        <w:t xml:space="preserve">namelijk </w:t>
      </w:r>
      <w:r w:rsidRPr="00632DCB" w:rsidR="00921835">
        <w:t xml:space="preserve">te breed </w:t>
      </w:r>
      <w:r w:rsidR="00921835">
        <w:t xml:space="preserve">en </w:t>
      </w:r>
      <w:r w:rsidR="00DF6F8B">
        <w:t xml:space="preserve">daardoor </w:t>
      </w:r>
      <w:r w:rsidR="00921835">
        <w:t>minder passend</w:t>
      </w:r>
      <w:r w:rsidR="0018693F">
        <w:t xml:space="preserve"> zijn</w:t>
      </w:r>
      <w:r w:rsidR="00921835">
        <w:t>.</w:t>
      </w:r>
      <w:r w:rsidRPr="00632DCB" w:rsidR="00921835">
        <w:t xml:space="preserve"> </w:t>
      </w:r>
      <w:r w:rsidR="004236BE">
        <w:t>H</w:t>
      </w:r>
      <w:r w:rsidRPr="00632DCB" w:rsidR="00EC30CA">
        <w:t>et is</w:t>
      </w:r>
      <w:r w:rsidR="00EE2CF2">
        <w:t xml:space="preserve"> daarom</w:t>
      </w:r>
      <w:r w:rsidRPr="00632DCB" w:rsidR="00EC30CA">
        <w:t xml:space="preserve"> onbekend in hoeverre </w:t>
      </w:r>
      <w:r w:rsidR="00CA3018">
        <w:t>een hogere premiebijdrage van de gemeente aan de</w:t>
      </w:r>
      <w:r w:rsidR="00365CFD">
        <w:t xml:space="preserve"> huidige</w:t>
      </w:r>
      <w:r w:rsidR="00CA3018">
        <w:t xml:space="preserve"> gemeentepolis</w:t>
      </w:r>
      <w:r w:rsidR="002F0E14">
        <w:t xml:space="preserve"> </w:t>
      </w:r>
      <w:r w:rsidRPr="00632DCB" w:rsidR="00AA0E77">
        <w:t>bijdraagt aan</w:t>
      </w:r>
      <w:r w:rsidRPr="00632DCB" w:rsidR="00AE1B58">
        <w:t xml:space="preserve"> het verminderen van de mijding van mondzorg door </w:t>
      </w:r>
      <w:r w:rsidR="004236BE">
        <w:t>minima</w:t>
      </w:r>
      <w:r w:rsidR="00CA3018">
        <w:t xml:space="preserve">. </w:t>
      </w:r>
      <w:r>
        <w:t>Het heeft</w:t>
      </w:r>
      <w:r w:rsidR="004236BE">
        <w:t xml:space="preserve"> naar verwachting</w:t>
      </w:r>
      <w:r w:rsidRPr="00632DCB" w:rsidR="00AE1B58">
        <w:t xml:space="preserve"> </w:t>
      </w:r>
      <w:r w:rsidRPr="00632DCB" w:rsidR="004236BE">
        <w:t xml:space="preserve">een groter effect </w:t>
      </w:r>
      <w:r w:rsidR="00921835">
        <w:t xml:space="preserve">om </w:t>
      </w:r>
      <w:r w:rsidRPr="00632DCB" w:rsidR="00921835">
        <w:t xml:space="preserve">naast het huidige aanbod </w:t>
      </w:r>
      <w:r w:rsidR="00921835">
        <w:t>van gemeentepolissen aan minima met een lager</w:t>
      </w:r>
      <w:r w:rsidR="00702162">
        <w:t>e</w:t>
      </w:r>
      <w:r w:rsidR="00921835">
        <w:t xml:space="preserve"> zorgvraag</w:t>
      </w:r>
      <w:r w:rsidRPr="00632DCB" w:rsidR="00AE1B58">
        <w:t xml:space="preserve"> een extra pakket </w:t>
      </w:r>
      <w:r w:rsidR="00921835">
        <w:t xml:space="preserve">aan te bieden </w:t>
      </w:r>
      <w:r w:rsidRPr="00632DCB" w:rsidR="00AE1B58">
        <w:t xml:space="preserve">bestaande uit een basisverzekering en </w:t>
      </w:r>
      <w:r w:rsidR="00A4201E">
        <w:t xml:space="preserve">enkel </w:t>
      </w:r>
      <w:r w:rsidRPr="00632DCB" w:rsidR="00AE1B58">
        <w:t>een mondzorgverzekering.</w:t>
      </w:r>
      <w:r w:rsidR="002F0E14">
        <w:t xml:space="preserve"> Om zo de doelgroep aan te spreken vo</w:t>
      </w:r>
      <w:r w:rsidR="00365CFD">
        <w:t>o</w:t>
      </w:r>
      <w:r w:rsidR="002F0E14">
        <w:t xml:space="preserve">r wie de gemeentepolis </w:t>
      </w:r>
      <w:r w:rsidR="00365CFD">
        <w:t>in</w:t>
      </w:r>
      <w:r w:rsidR="00C16EC9">
        <w:t xml:space="preserve"> de</w:t>
      </w:r>
      <w:r w:rsidR="00365CFD">
        <w:t xml:space="preserve"> huidige vorm minder</w:t>
      </w:r>
      <w:r w:rsidR="002F0E14">
        <w:t xml:space="preserve"> passend is</w:t>
      </w:r>
      <w:r w:rsidR="00365F4A">
        <w:t xml:space="preserve"> vanwege de bredere dekking</w:t>
      </w:r>
      <w:r w:rsidR="002F0E14">
        <w:t xml:space="preserve">. </w:t>
      </w:r>
      <w:r w:rsidR="00365F4A">
        <w:t>Door een</w:t>
      </w:r>
      <w:r w:rsidR="00A4201E">
        <w:t xml:space="preserve"> premiebijdrage </w:t>
      </w:r>
      <w:r w:rsidR="00365F4A">
        <w:t>zal</w:t>
      </w:r>
      <w:r w:rsidR="00A4201E">
        <w:t xml:space="preserve"> dit</w:t>
      </w:r>
      <w:r w:rsidR="00365F4A">
        <w:t xml:space="preserve"> nieuwe</w:t>
      </w:r>
      <w:r w:rsidR="00A4201E">
        <w:t xml:space="preserve"> </w:t>
      </w:r>
      <w:r w:rsidR="002F0E14">
        <w:t xml:space="preserve">pakket </w:t>
      </w:r>
      <w:r w:rsidR="00A4201E">
        <w:t xml:space="preserve">financieel toegankelijker </w:t>
      </w:r>
      <w:r w:rsidR="00365F4A">
        <w:t xml:space="preserve">zijn </w:t>
      </w:r>
      <w:r w:rsidR="00A4201E">
        <w:t>vergeleken met een reguliere basisverzekering en</w:t>
      </w:r>
      <w:r w:rsidR="00365F4A">
        <w:t xml:space="preserve"> reguliere</w:t>
      </w:r>
      <w:r w:rsidR="00A4201E">
        <w:t xml:space="preserve"> tandartsverzekering. </w:t>
      </w:r>
    </w:p>
    <w:p w:rsidRPr="00632DCB" w:rsidR="00AE1B58" w:rsidP="00AE1B58" w:rsidRDefault="00AE1B58" w14:paraId="743EB9FA" w14:textId="77777777">
      <w:pPr>
        <w:spacing w:line="276" w:lineRule="auto"/>
      </w:pPr>
    </w:p>
    <w:tbl>
      <w:tblPr>
        <w:tblStyle w:val="Tabelraster"/>
        <w:tblW w:w="0" w:type="auto"/>
        <w:tblInd w:w="0" w:type="dxa"/>
        <w:tblLayout w:type="fixed"/>
        <w:tblLook w:val="04A0" w:firstRow="1" w:lastRow="0" w:firstColumn="1" w:lastColumn="0" w:noHBand="0" w:noVBand="1"/>
      </w:tblPr>
      <w:tblGrid>
        <w:gridCol w:w="1838"/>
        <w:gridCol w:w="5949"/>
      </w:tblGrid>
      <w:tr w:rsidRPr="00632DCB" w:rsidR="00AE1B58" w:rsidTr="00D15C5F" w14:paraId="684AA62B" w14:textId="77777777">
        <w:tc>
          <w:tcPr>
            <w:tcW w:w="1838" w:type="dxa"/>
            <w:shd w:val="clear" w:color="auto" w:fill="45B0E1" w:themeFill="accent1" w:themeFillTint="99"/>
          </w:tcPr>
          <w:p w:rsidRPr="00632DCB" w:rsidR="00AE1B58" w:rsidP="00821DD7" w:rsidRDefault="00AE1B58" w14:paraId="257197DE" w14:textId="77777777">
            <w:pPr>
              <w:spacing w:line="360" w:lineRule="auto"/>
              <w:ind w:left="142"/>
              <w:rPr>
                <w:rFonts w:cstheme="minorHAnsi"/>
              </w:rPr>
            </w:pPr>
            <w:r w:rsidRPr="00632DCB">
              <w:rPr>
                <w:rFonts w:cstheme="minorHAnsi"/>
              </w:rPr>
              <w:t>Maatregel</w:t>
            </w:r>
          </w:p>
        </w:tc>
        <w:tc>
          <w:tcPr>
            <w:tcW w:w="5949" w:type="dxa"/>
          </w:tcPr>
          <w:p w:rsidR="00AE1B58" w:rsidP="00D15C5F" w:rsidRDefault="00AE1B58" w14:paraId="11DBF6CB" w14:textId="035EF424">
            <w:pPr>
              <w:pStyle w:val="Lijstalinea"/>
              <w:numPr>
                <w:ilvl w:val="0"/>
                <w:numId w:val="6"/>
              </w:numPr>
              <w:autoSpaceDN w:val="0"/>
              <w:spacing w:after="0" w:line="276" w:lineRule="auto"/>
              <w:ind w:right="272"/>
              <w:textAlignment w:val="baseline"/>
              <w:rPr>
                <w:rFonts w:ascii="Verdana" w:hAnsi="Verdana"/>
                <w:sz w:val="18"/>
                <w:szCs w:val="18"/>
              </w:rPr>
            </w:pPr>
            <w:r w:rsidRPr="00632DCB">
              <w:rPr>
                <w:rFonts w:ascii="Verdana" w:hAnsi="Verdana"/>
                <w:sz w:val="18"/>
                <w:szCs w:val="18"/>
              </w:rPr>
              <w:t xml:space="preserve">Werken aan een pakket waarin gemeenten binnen de gemeentepolis een pakket aan inwoners kunnen bieden bestaande uit een natura basisverzekering (B) en uitsluitend een aanvullende mondzorgverzekering (+M). </w:t>
            </w:r>
          </w:p>
          <w:p w:rsidRPr="00632DCB" w:rsidR="00E57855" w:rsidP="00821DD7" w:rsidRDefault="00E57855" w14:paraId="5746D3D6" w14:textId="4AB82FE5">
            <w:pPr>
              <w:pStyle w:val="Lijstalinea"/>
              <w:numPr>
                <w:ilvl w:val="0"/>
                <w:numId w:val="6"/>
              </w:numPr>
              <w:autoSpaceDN w:val="0"/>
              <w:spacing w:after="0" w:line="276" w:lineRule="auto"/>
              <w:ind w:right="272"/>
              <w:textAlignment w:val="baseline"/>
              <w:rPr>
                <w:rFonts w:ascii="Verdana" w:hAnsi="Verdana"/>
                <w:sz w:val="18"/>
                <w:szCs w:val="18"/>
              </w:rPr>
            </w:pPr>
            <w:r>
              <w:rPr>
                <w:rFonts w:ascii="Verdana" w:hAnsi="Verdana"/>
                <w:sz w:val="18"/>
                <w:szCs w:val="18"/>
              </w:rPr>
              <w:t>Over het pakket maakt de gemeente afsprak</w:t>
            </w:r>
            <w:r w:rsidR="00B04D4F">
              <w:rPr>
                <w:rFonts w:ascii="Verdana" w:hAnsi="Verdana"/>
                <w:sz w:val="18"/>
                <w:szCs w:val="18"/>
              </w:rPr>
              <w:t>en</w:t>
            </w:r>
            <w:r>
              <w:rPr>
                <w:rFonts w:ascii="Verdana" w:hAnsi="Verdana"/>
                <w:sz w:val="18"/>
                <w:szCs w:val="18"/>
              </w:rPr>
              <w:t xml:space="preserve"> met een zorgverzekeraar. </w:t>
            </w:r>
          </w:p>
          <w:p w:rsidRPr="00632DCB" w:rsidR="00AE1B58" w:rsidP="00D15C5F" w:rsidRDefault="00AE1B58" w14:paraId="3E9786BD" w14:textId="6CC8AF84">
            <w:pPr>
              <w:pStyle w:val="Lijstalinea"/>
              <w:numPr>
                <w:ilvl w:val="0"/>
                <w:numId w:val="6"/>
              </w:numPr>
              <w:autoSpaceDN w:val="0"/>
              <w:spacing w:after="0" w:line="276" w:lineRule="auto"/>
              <w:ind w:right="272"/>
              <w:textAlignment w:val="baseline"/>
              <w:rPr>
                <w:rFonts w:ascii="Verdana" w:hAnsi="Verdana"/>
                <w:sz w:val="18"/>
                <w:szCs w:val="18"/>
              </w:rPr>
            </w:pPr>
            <w:r w:rsidRPr="00632DCB">
              <w:rPr>
                <w:rFonts w:ascii="Verdana" w:hAnsi="Verdana"/>
                <w:sz w:val="18"/>
                <w:szCs w:val="18"/>
              </w:rPr>
              <w:t>Gemeenten</w:t>
            </w:r>
            <w:r w:rsidR="00A4201E">
              <w:rPr>
                <w:rFonts w:ascii="Verdana" w:hAnsi="Verdana"/>
                <w:sz w:val="18"/>
                <w:szCs w:val="18"/>
              </w:rPr>
              <w:t xml:space="preserve"> (en </w:t>
            </w:r>
            <w:r w:rsidR="00B04D4F">
              <w:rPr>
                <w:rFonts w:ascii="Verdana" w:hAnsi="Verdana"/>
                <w:sz w:val="18"/>
                <w:szCs w:val="18"/>
              </w:rPr>
              <w:t>zorgverzekeraars</w:t>
            </w:r>
            <w:r w:rsidR="00A4201E">
              <w:rPr>
                <w:rFonts w:ascii="Verdana" w:hAnsi="Verdana"/>
                <w:sz w:val="18"/>
                <w:szCs w:val="18"/>
              </w:rPr>
              <w:t>)</w:t>
            </w:r>
            <w:r w:rsidRPr="00632DCB">
              <w:rPr>
                <w:rFonts w:ascii="Verdana" w:hAnsi="Verdana"/>
                <w:sz w:val="18"/>
                <w:szCs w:val="18"/>
              </w:rPr>
              <w:t xml:space="preserve"> worden niet verplicht dit B+M pakket aan te bieden. </w:t>
            </w:r>
          </w:p>
          <w:p w:rsidRPr="00632DCB" w:rsidR="00AE1B58" w:rsidP="00D15C5F" w:rsidRDefault="00B04D4F" w14:paraId="5618D4F4" w14:textId="72BB7563">
            <w:pPr>
              <w:pStyle w:val="Lijstalinea"/>
              <w:numPr>
                <w:ilvl w:val="0"/>
                <w:numId w:val="6"/>
              </w:numPr>
              <w:autoSpaceDN w:val="0"/>
              <w:spacing w:after="0" w:line="276" w:lineRule="auto"/>
              <w:ind w:right="272"/>
              <w:textAlignment w:val="baseline"/>
              <w:rPr>
                <w:rFonts w:ascii="Verdana" w:hAnsi="Verdana"/>
                <w:sz w:val="18"/>
                <w:szCs w:val="18"/>
              </w:rPr>
            </w:pPr>
            <w:r>
              <w:rPr>
                <w:rFonts w:ascii="Verdana" w:hAnsi="Verdana"/>
                <w:sz w:val="18"/>
                <w:szCs w:val="18"/>
              </w:rPr>
              <w:t>Onderzocht kan worden</w:t>
            </w:r>
            <w:r w:rsidRPr="00632DCB" w:rsidR="00AE1B58">
              <w:rPr>
                <w:rFonts w:ascii="Verdana" w:hAnsi="Verdana"/>
                <w:sz w:val="18"/>
                <w:szCs w:val="18"/>
              </w:rPr>
              <w:t xml:space="preserve"> of het B+M pakket aangeboden kan worden voor het bedrag van een gemiddelde basisverzekering</w:t>
            </w:r>
            <w:r w:rsidR="000C76B0">
              <w:rPr>
                <w:rFonts w:ascii="Verdana" w:hAnsi="Verdana"/>
                <w:sz w:val="18"/>
                <w:szCs w:val="18"/>
              </w:rPr>
              <w:t xml:space="preserve">, </w:t>
            </w:r>
            <w:r w:rsidRPr="00632DCB" w:rsidR="00AE1B58">
              <w:rPr>
                <w:rFonts w:ascii="Verdana" w:hAnsi="Verdana"/>
                <w:sz w:val="18"/>
                <w:szCs w:val="18"/>
              </w:rPr>
              <w:t>door afspraken rondom korting met zorgverzekeraars en de bijdrage van gemeenten.</w:t>
            </w:r>
          </w:p>
          <w:p w:rsidRPr="00632DCB" w:rsidR="00AE1B58" w:rsidP="00D15C5F" w:rsidRDefault="00AE1B58" w14:paraId="11AE7BBF" w14:textId="77777777">
            <w:pPr>
              <w:pStyle w:val="Lijstalinea"/>
              <w:numPr>
                <w:ilvl w:val="0"/>
                <w:numId w:val="6"/>
              </w:numPr>
              <w:autoSpaceDN w:val="0"/>
              <w:spacing w:after="0" w:line="276" w:lineRule="auto"/>
              <w:ind w:right="272"/>
              <w:textAlignment w:val="baseline"/>
              <w:rPr>
                <w:rFonts w:ascii="Verdana" w:hAnsi="Verdana"/>
                <w:sz w:val="18"/>
                <w:szCs w:val="18"/>
              </w:rPr>
            </w:pPr>
            <w:r w:rsidRPr="00632DCB">
              <w:rPr>
                <w:rFonts w:ascii="Verdana" w:hAnsi="Verdana"/>
                <w:sz w:val="18"/>
                <w:szCs w:val="18"/>
              </w:rPr>
              <w:t xml:space="preserve">Op het moment dat er een nieuw aanbod is, zullen de gemeenten gefaciliteerd worden om de gemeentepolis en het nieuwe pakket onder de aandacht te brengen bij inwoners. </w:t>
            </w:r>
          </w:p>
          <w:p w:rsidRPr="00632DCB" w:rsidR="00AE1B58" w:rsidP="00D15C5F" w:rsidRDefault="00AE1B58" w14:paraId="6DCDFF76" w14:textId="5B80FE92">
            <w:pPr>
              <w:pStyle w:val="Lijstalinea"/>
              <w:numPr>
                <w:ilvl w:val="0"/>
                <w:numId w:val="6"/>
              </w:numPr>
              <w:autoSpaceDN w:val="0"/>
              <w:spacing w:after="0" w:line="276" w:lineRule="auto"/>
              <w:ind w:right="272"/>
              <w:textAlignment w:val="baseline"/>
              <w:rPr>
                <w:rFonts w:ascii="Verdana" w:hAnsi="Verdana"/>
                <w:sz w:val="18"/>
                <w:szCs w:val="18"/>
              </w:rPr>
            </w:pPr>
            <w:r w:rsidRPr="00632DCB">
              <w:rPr>
                <w:rFonts w:ascii="Verdana" w:hAnsi="Verdana"/>
                <w:sz w:val="18"/>
                <w:szCs w:val="18"/>
              </w:rPr>
              <w:t xml:space="preserve">Door dit nieuwe aanbod en de bekendmaking van dit nieuwe aanbod zal er een hoger bereik en een hoger gebruik van de gemeentepolis zijn. Hiervoor zijn extra middelen nodig die via het Gemeentefonds ter beschikking worden gesteld aan gemeenten. </w:t>
            </w:r>
            <w:r w:rsidRPr="00632DCB" w:rsidR="00EC30CA">
              <w:rPr>
                <w:rFonts w:ascii="Verdana" w:hAnsi="Verdana"/>
                <w:sz w:val="18"/>
                <w:szCs w:val="18"/>
              </w:rPr>
              <w:t>D</w:t>
            </w:r>
            <w:r w:rsidR="00B04D4F">
              <w:rPr>
                <w:rFonts w:ascii="Verdana" w:hAnsi="Verdana"/>
                <w:sz w:val="18"/>
                <w:szCs w:val="18"/>
              </w:rPr>
              <w:t>eze</w:t>
            </w:r>
            <w:r w:rsidRPr="00632DCB" w:rsidR="00EC30CA">
              <w:rPr>
                <w:rFonts w:ascii="Verdana" w:hAnsi="Verdana"/>
                <w:sz w:val="18"/>
                <w:szCs w:val="18"/>
              </w:rPr>
              <w:t xml:space="preserve"> middelen zijn </w:t>
            </w:r>
            <w:proofErr w:type="spellStart"/>
            <w:r w:rsidRPr="00632DCB" w:rsidR="00EC30CA">
              <w:rPr>
                <w:rFonts w:ascii="Verdana" w:hAnsi="Verdana"/>
                <w:sz w:val="18"/>
                <w:szCs w:val="18"/>
              </w:rPr>
              <w:t>ongeoormerkt</w:t>
            </w:r>
            <w:proofErr w:type="spellEnd"/>
            <w:r w:rsidRPr="00632DCB" w:rsidR="00EC30CA">
              <w:rPr>
                <w:rFonts w:ascii="Verdana" w:hAnsi="Verdana"/>
                <w:sz w:val="18"/>
                <w:szCs w:val="18"/>
              </w:rPr>
              <w:t xml:space="preserve">. Om het beoogde doel te bereiken is het zinvol </w:t>
            </w:r>
            <w:r w:rsidRPr="00632DCB">
              <w:rPr>
                <w:rFonts w:ascii="Verdana" w:hAnsi="Verdana"/>
                <w:sz w:val="18"/>
                <w:szCs w:val="18"/>
              </w:rPr>
              <w:t xml:space="preserve">om bestuurlijke afspraken te maken over besteding van de middelen. </w:t>
            </w:r>
            <w:r w:rsidRPr="00632DCB" w:rsidR="00EC30CA">
              <w:rPr>
                <w:rFonts w:ascii="Verdana" w:hAnsi="Verdana"/>
                <w:sz w:val="18"/>
                <w:szCs w:val="18"/>
              </w:rPr>
              <w:t xml:space="preserve">Dit vereist draagvlak bij gemeenten. </w:t>
            </w:r>
          </w:p>
          <w:p w:rsidRPr="00702162" w:rsidR="00AE1B58" w:rsidP="00702162" w:rsidRDefault="00AE1B58" w14:paraId="1009F00C" w14:textId="5D59733A">
            <w:pPr>
              <w:pStyle w:val="Lijstalinea"/>
              <w:numPr>
                <w:ilvl w:val="0"/>
                <w:numId w:val="6"/>
              </w:numPr>
              <w:autoSpaceDN w:val="0"/>
              <w:spacing w:after="0" w:line="276" w:lineRule="auto"/>
              <w:ind w:right="272"/>
              <w:textAlignment w:val="baseline"/>
              <w:rPr>
                <w:rFonts w:ascii="Verdana" w:hAnsi="Verdana"/>
                <w:sz w:val="18"/>
                <w:szCs w:val="18"/>
              </w:rPr>
            </w:pPr>
            <w:r w:rsidRPr="00632DCB">
              <w:rPr>
                <w:rFonts w:ascii="Verdana" w:hAnsi="Verdana"/>
                <w:sz w:val="18"/>
                <w:szCs w:val="18"/>
              </w:rPr>
              <w:lastRenderedPageBreak/>
              <w:t xml:space="preserve">Lokaal armoedebeleid kent weerbarstigheid doordat het onderhevig is aan lokale politieke kleur en de financiële randvoorwaarden. Op het moment dat er aan </w:t>
            </w:r>
            <w:r w:rsidR="00C16EC9">
              <w:rPr>
                <w:rFonts w:ascii="Verdana" w:hAnsi="Verdana"/>
                <w:sz w:val="18"/>
                <w:szCs w:val="18"/>
              </w:rPr>
              <w:t>het</w:t>
            </w:r>
            <w:r w:rsidRPr="00632DCB" w:rsidR="00C16EC9">
              <w:rPr>
                <w:rFonts w:ascii="Verdana" w:hAnsi="Verdana"/>
                <w:sz w:val="18"/>
                <w:szCs w:val="18"/>
              </w:rPr>
              <w:t xml:space="preserve"> </w:t>
            </w:r>
            <w:r w:rsidRPr="00632DCB">
              <w:rPr>
                <w:rFonts w:ascii="Verdana" w:hAnsi="Verdana"/>
                <w:sz w:val="18"/>
                <w:szCs w:val="18"/>
              </w:rPr>
              <w:t>laatste onvoldoende wordt voldaan, zullen gemeenten niet geneigd zijn dit pakket extra aan te bieden of heeft het consequenties op andere minimaregelingen (waterbedeffect).</w:t>
            </w:r>
          </w:p>
        </w:tc>
      </w:tr>
      <w:tr w:rsidRPr="00632DCB" w:rsidR="00AE1B58" w:rsidTr="00D15C5F" w14:paraId="04EF70A0" w14:textId="77777777">
        <w:tc>
          <w:tcPr>
            <w:tcW w:w="1838" w:type="dxa"/>
            <w:shd w:val="clear" w:color="auto" w:fill="45B0E1" w:themeFill="accent1" w:themeFillTint="99"/>
          </w:tcPr>
          <w:p w:rsidRPr="00632DCB" w:rsidR="00AE1B58" w:rsidP="00821DD7" w:rsidRDefault="00AE1B58" w14:paraId="12D5A71A" w14:textId="77777777">
            <w:pPr>
              <w:spacing w:line="360" w:lineRule="auto"/>
              <w:ind w:left="142"/>
              <w:rPr>
                <w:rFonts w:cstheme="minorHAnsi"/>
              </w:rPr>
            </w:pPr>
            <w:r w:rsidRPr="00632DCB">
              <w:rPr>
                <w:rFonts w:cstheme="minorHAnsi"/>
              </w:rPr>
              <w:lastRenderedPageBreak/>
              <w:t>Doelgroep en bereik</w:t>
            </w:r>
          </w:p>
        </w:tc>
        <w:tc>
          <w:tcPr>
            <w:tcW w:w="5949" w:type="dxa"/>
          </w:tcPr>
          <w:p w:rsidRPr="00632DCB" w:rsidR="00AE1B58" w:rsidP="00821DD7" w:rsidRDefault="00B04D4F" w14:paraId="29783E01" w14:textId="7EB3127C">
            <w:pPr>
              <w:spacing w:line="276" w:lineRule="auto"/>
              <w:ind w:left="171" w:right="272"/>
              <w:rPr>
                <w:rFonts w:cstheme="minorHAnsi"/>
              </w:rPr>
            </w:pPr>
            <w:r>
              <w:t>120% bijstandsnorm, of a</w:t>
            </w:r>
            <w:r w:rsidRPr="00632DCB" w:rsidR="00AE1B58">
              <w:t xml:space="preserve">ansluiten bij afbakening </w:t>
            </w:r>
            <w:r>
              <w:t xml:space="preserve">bestaande </w:t>
            </w:r>
            <w:r w:rsidRPr="00632DCB" w:rsidR="00AE1B58">
              <w:t>gemeentepolis</w:t>
            </w:r>
            <w:r>
              <w:t>sen</w:t>
            </w:r>
            <w:r w:rsidRPr="00632DCB" w:rsidR="00AE1B58">
              <w:t xml:space="preserve"> van deelnemende gemeentes.</w:t>
            </w:r>
            <w:r w:rsidRPr="00632DCB" w:rsidR="00AE1B58">
              <w:rPr>
                <w:rFonts w:cstheme="minorHAnsi"/>
              </w:rPr>
              <w:t xml:space="preserve"> </w:t>
            </w:r>
          </w:p>
        </w:tc>
      </w:tr>
      <w:tr w:rsidRPr="00632DCB" w:rsidR="00AE1B58" w:rsidTr="00D15C5F" w14:paraId="66B5404B" w14:textId="77777777">
        <w:tc>
          <w:tcPr>
            <w:tcW w:w="1838" w:type="dxa"/>
            <w:shd w:val="clear" w:color="auto" w:fill="45B0E1" w:themeFill="accent1" w:themeFillTint="99"/>
          </w:tcPr>
          <w:p w:rsidRPr="00632DCB" w:rsidR="00AE1B58" w:rsidP="00821DD7" w:rsidRDefault="00AE1B58" w14:paraId="70C06FCE" w14:textId="77777777">
            <w:pPr>
              <w:spacing w:line="360" w:lineRule="auto"/>
              <w:ind w:left="142"/>
              <w:rPr>
                <w:rFonts w:cstheme="minorHAnsi"/>
              </w:rPr>
            </w:pPr>
            <w:r w:rsidRPr="00632DCB">
              <w:rPr>
                <w:rFonts w:cstheme="minorHAnsi"/>
              </w:rPr>
              <w:t>Toegang</w:t>
            </w:r>
          </w:p>
        </w:tc>
        <w:tc>
          <w:tcPr>
            <w:tcW w:w="5949" w:type="dxa"/>
          </w:tcPr>
          <w:p w:rsidRPr="00632DCB" w:rsidR="00AE1B58" w:rsidP="00821DD7" w:rsidRDefault="00AE1B58" w14:paraId="218E2F31" w14:textId="4A3AA147">
            <w:pPr>
              <w:spacing w:line="276" w:lineRule="auto"/>
              <w:ind w:left="199"/>
              <w:rPr>
                <w:rFonts w:cstheme="minorHAnsi"/>
              </w:rPr>
            </w:pPr>
            <w:r w:rsidRPr="00632DCB">
              <w:rPr>
                <w:rFonts w:cstheme="minorHAnsi"/>
              </w:rPr>
              <w:t>Aanmelden kan bij de gemeenten zoals nu al het geval is voor de bestaande gemeentepolissen, in de meeste gevallen via gezondverzekerd.nl</w:t>
            </w:r>
            <w:r w:rsidR="000B3C9C">
              <w:rPr>
                <w:rFonts w:cstheme="minorHAnsi"/>
              </w:rPr>
              <w:t>.</w:t>
            </w:r>
          </w:p>
        </w:tc>
      </w:tr>
      <w:tr w:rsidRPr="00632DCB" w:rsidR="00AE1B58" w:rsidTr="00D15C5F" w14:paraId="7939870A" w14:textId="77777777">
        <w:tc>
          <w:tcPr>
            <w:tcW w:w="1838" w:type="dxa"/>
            <w:shd w:val="clear" w:color="auto" w:fill="45B0E1" w:themeFill="accent1" w:themeFillTint="99"/>
          </w:tcPr>
          <w:p w:rsidRPr="00632DCB" w:rsidR="00AE1B58" w:rsidP="00821DD7" w:rsidRDefault="00AE1B58" w14:paraId="527060C0" w14:textId="77777777">
            <w:pPr>
              <w:spacing w:line="360" w:lineRule="auto"/>
              <w:ind w:left="142"/>
              <w:rPr>
                <w:rFonts w:cstheme="minorHAnsi"/>
              </w:rPr>
            </w:pPr>
            <w:r w:rsidRPr="00632DCB">
              <w:rPr>
                <w:rFonts w:cstheme="minorHAnsi"/>
              </w:rPr>
              <w:t>Dekking</w:t>
            </w:r>
          </w:p>
        </w:tc>
        <w:tc>
          <w:tcPr>
            <w:tcW w:w="5949" w:type="dxa"/>
          </w:tcPr>
          <w:p w:rsidRPr="00632DCB" w:rsidR="00AE1B58" w:rsidP="00821DD7" w:rsidRDefault="00AE1B58" w14:paraId="3C3C87FB" w14:textId="2FF4EF64">
            <w:pPr>
              <w:spacing w:line="276" w:lineRule="auto"/>
              <w:ind w:left="199"/>
              <w:rPr>
                <w:rFonts w:cstheme="minorHAnsi"/>
              </w:rPr>
            </w:pPr>
            <w:r w:rsidRPr="00632DCB">
              <w:t>Zie paragraaf 3.2.</w:t>
            </w:r>
          </w:p>
        </w:tc>
      </w:tr>
      <w:tr w:rsidRPr="00632DCB" w:rsidR="00AE1B58" w:rsidTr="00D15C5F" w14:paraId="2F398F92" w14:textId="77777777">
        <w:tc>
          <w:tcPr>
            <w:tcW w:w="1838" w:type="dxa"/>
            <w:shd w:val="clear" w:color="auto" w:fill="45B0E1" w:themeFill="accent1" w:themeFillTint="99"/>
          </w:tcPr>
          <w:p w:rsidRPr="00632DCB" w:rsidR="00AE1B58" w:rsidP="00821DD7" w:rsidRDefault="00AE1B58" w14:paraId="2EFE8930" w14:textId="77777777">
            <w:pPr>
              <w:spacing w:line="360" w:lineRule="auto"/>
              <w:ind w:left="142"/>
              <w:rPr>
                <w:rFonts w:cstheme="minorHAnsi"/>
              </w:rPr>
            </w:pPr>
            <w:r w:rsidRPr="00632DCB">
              <w:rPr>
                <w:rFonts w:cstheme="minorHAnsi"/>
              </w:rPr>
              <w:t>Kosten</w:t>
            </w:r>
          </w:p>
        </w:tc>
        <w:tc>
          <w:tcPr>
            <w:tcW w:w="5949" w:type="dxa"/>
          </w:tcPr>
          <w:p w:rsidRPr="00FF618E" w:rsidR="00AE1B58" w:rsidP="00821DD7" w:rsidRDefault="00317413" w14:paraId="71CF532C" w14:textId="24FC4D74">
            <w:pPr>
              <w:spacing w:line="276" w:lineRule="auto"/>
              <w:ind w:left="199"/>
              <w:rPr>
                <w:rFonts w:cstheme="minorHAnsi"/>
              </w:rPr>
            </w:pPr>
            <w:r w:rsidRPr="00FF618E">
              <w:rPr>
                <w:rFonts w:cstheme="minorHAnsi"/>
              </w:rPr>
              <w:t>Tussen de € 136 en</w:t>
            </w:r>
            <w:r w:rsidR="001E3C6E">
              <w:rPr>
                <w:rFonts w:cstheme="minorHAnsi"/>
              </w:rPr>
              <w:t xml:space="preserve"> </w:t>
            </w:r>
            <w:r w:rsidRPr="00FF618E">
              <w:rPr>
                <w:rFonts w:cstheme="minorHAnsi"/>
              </w:rPr>
              <w:t>276 miljoen bij een doelgroep van 120% sociaal minimum, zie verder tabel 4.1</w:t>
            </w:r>
          </w:p>
          <w:p w:rsidRPr="00632DCB" w:rsidR="00317413" w:rsidP="000B3C9C" w:rsidRDefault="0061388C" w14:paraId="39B6A736" w14:textId="4649EC53">
            <w:pPr>
              <w:spacing w:line="276" w:lineRule="auto"/>
              <w:ind w:left="199" w:right="272"/>
              <w:rPr>
                <w:rFonts w:cstheme="minorHAnsi"/>
              </w:rPr>
            </w:pPr>
            <w:r w:rsidRPr="00FF618E">
              <w:rPr>
                <w:rFonts w:cstheme="minorHAnsi"/>
              </w:rPr>
              <w:t>Deze bedragen zijn exclusief uitvoeringskosten</w:t>
            </w:r>
            <w:r>
              <w:rPr>
                <w:rFonts w:cstheme="minorHAnsi"/>
              </w:rPr>
              <w:t xml:space="preserve">. </w:t>
            </w:r>
          </w:p>
        </w:tc>
      </w:tr>
      <w:tr w:rsidRPr="00632DCB" w:rsidR="00AE1B58" w:rsidTr="00D15C5F" w14:paraId="7830591E" w14:textId="77777777">
        <w:tc>
          <w:tcPr>
            <w:tcW w:w="1838" w:type="dxa"/>
            <w:shd w:val="clear" w:color="auto" w:fill="45B0E1" w:themeFill="accent1" w:themeFillTint="99"/>
          </w:tcPr>
          <w:p w:rsidRPr="00632DCB" w:rsidR="00AE1B58" w:rsidP="00821DD7" w:rsidRDefault="00AE1B58" w14:paraId="4E459C6B" w14:textId="77777777">
            <w:pPr>
              <w:spacing w:line="360" w:lineRule="auto"/>
              <w:ind w:left="142"/>
              <w:rPr>
                <w:rFonts w:cstheme="minorHAnsi"/>
              </w:rPr>
            </w:pPr>
            <w:r w:rsidRPr="00632DCB">
              <w:rPr>
                <w:rFonts w:cstheme="minorHAnsi"/>
              </w:rPr>
              <w:t>Uitvoering</w:t>
            </w:r>
          </w:p>
        </w:tc>
        <w:tc>
          <w:tcPr>
            <w:tcW w:w="5949" w:type="dxa"/>
          </w:tcPr>
          <w:p w:rsidR="00951FFA" w:rsidP="00821DD7" w:rsidRDefault="00AE1B58" w14:paraId="44211DF9" w14:textId="36D90B05">
            <w:pPr>
              <w:spacing w:line="276" w:lineRule="auto"/>
              <w:ind w:left="199"/>
              <w:rPr>
                <w:rFonts w:cstheme="minorHAnsi"/>
              </w:rPr>
            </w:pPr>
            <w:r w:rsidRPr="00632DCB">
              <w:rPr>
                <w:rFonts w:cstheme="minorHAnsi"/>
              </w:rPr>
              <w:t xml:space="preserve">De maatregel wordt uitgevoerd door de zorgverzekeraar die voor de gemeente de gemeentepolis uitvoert en gemeenten. </w:t>
            </w:r>
          </w:p>
          <w:p w:rsidRPr="00632DCB" w:rsidR="00951FFA" w:rsidP="00821DD7" w:rsidRDefault="00951FFA" w14:paraId="4D6AD8EB" w14:textId="77777777">
            <w:pPr>
              <w:spacing w:line="276" w:lineRule="auto"/>
              <w:ind w:left="199"/>
              <w:rPr>
                <w:rFonts w:cstheme="minorHAnsi"/>
              </w:rPr>
            </w:pPr>
          </w:p>
          <w:p w:rsidRPr="00BA7680" w:rsidR="00865BDF" w:rsidP="00D15C5F" w:rsidRDefault="00951FFA" w14:paraId="6714DE2F" w14:textId="729C9C77">
            <w:pPr>
              <w:spacing w:line="276" w:lineRule="auto"/>
              <w:ind w:left="199"/>
            </w:pPr>
            <w:r>
              <w:t>D</w:t>
            </w:r>
            <w:r w:rsidRPr="00BA7680" w:rsidR="00865BDF">
              <w:t>e uitvoeringslasten voor gemeenten zijn afhankelijk van de gestelde voorwaarden, zoals inkomen en vermogen, en de mate waarin de toegang is geautomatiseerd. Steeds meer gemeenten maken</w:t>
            </w:r>
            <w:r w:rsidR="00C92F3E">
              <w:t xml:space="preserve"> bij de bestaande gemeentepolissen</w:t>
            </w:r>
            <w:r w:rsidRPr="00BA7680" w:rsidR="00865BDF">
              <w:t xml:space="preserve"> gebruik van een digitaal systeem </w:t>
            </w:r>
            <w:r w:rsidR="00C92F3E">
              <w:t>waarin verzekerden de gemeentepolis kunnen aanvragen en toegang steeds meer automatisch verleend kan worden</w:t>
            </w:r>
            <w:r w:rsidRPr="00BA7680" w:rsidR="00865BDF">
              <w:t>. Dit vermindert de uitvoeringslasten aanzienlijk</w:t>
            </w:r>
            <w:r w:rsidR="00865BDF">
              <w:t xml:space="preserve"> bij de huidige gemeentepolissen en dus ook bij een nieuw aan te bieden gemeentepolis. </w:t>
            </w:r>
          </w:p>
          <w:p w:rsidRPr="00632DCB" w:rsidR="00865BDF" w:rsidP="00D15C5F" w:rsidRDefault="00865BDF" w14:paraId="18A0F44A" w14:textId="77777777">
            <w:pPr>
              <w:spacing w:line="276" w:lineRule="auto"/>
              <w:rPr>
                <w:rFonts w:cstheme="minorHAnsi"/>
              </w:rPr>
            </w:pPr>
          </w:p>
          <w:p w:rsidRPr="00632DCB" w:rsidR="00AE1B58" w:rsidP="009515DE" w:rsidRDefault="00AE1B58" w14:paraId="6A6D24F9" w14:textId="76F014A9">
            <w:pPr>
              <w:spacing w:line="276" w:lineRule="auto"/>
              <w:ind w:left="199"/>
              <w:rPr>
                <w:rFonts w:cstheme="minorHAnsi"/>
              </w:rPr>
            </w:pPr>
            <w:r w:rsidRPr="00632DCB">
              <w:rPr>
                <w:rFonts w:cstheme="minorHAnsi"/>
              </w:rPr>
              <w:t>Overweeg een pilot te starten onder leiding van een tussenpartij om te leren van afspraken, implementatie, communicatie en impact om vervolgens een uitrol te doen.</w:t>
            </w:r>
          </w:p>
        </w:tc>
      </w:tr>
      <w:tr w:rsidRPr="00632DCB" w:rsidR="00AE1B58" w:rsidTr="00D15C5F" w14:paraId="6525FBBF" w14:textId="77777777">
        <w:tc>
          <w:tcPr>
            <w:tcW w:w="1838" w:type="dxa"/>
            <w:shd w:val="clear" w:color="auto" w:fill="45B0E1" w:themeFill="accent1" w:themeFillTint="99"/>
          </w:tcPr>
          <w:p w:rsidRPr="00632DCB" w:rsidR="00AE1B58" w:rsidP="00821DD7" w:rsidRDefault="00AE1B58" w14:paraId="71D7CCFB" w14:textId="77777777">
            <w:pPr>
              <w:spacing w:line="360" w:lineRule="auto"/>
              <w:ind w:left="142"/>
              <w:rPr>
                <w:rFonts w:cstheme="minorHAnsi"/>
              </w:rPr>
            </w:pPr>
            <w:r w:rsidRPr="00632DCB">
              <w:rPr>
                <w:rFonts w:cstheme="minorHAnsi"/>
              </w:rPr>
              <w:t>Neveneffecten</w:t>
            </w:r>
          </w:p>
        </w:tc>
        <w:tc>
          <w:tcPr>
            <w:tcW w:w="5949" w:type="dxa"/>
          </w:tcPr>
          <w:p w:rsidR="00926F6C" w:rsidP="00926F6C" w:rsidRDefault="00926F6C" w14:paraId="6900A02D" w14:textId="77777777">
            <w:pPr>
              <w:pStyle w:val="Lijstalinea"/>
              <w:numPr>
                <w:ilvl w:val="0"/>
                <w:numId w:val="6"/>
              </w:numPr>
              <w:spacing w:after="0" w:line="276" w:lineRule="auto"/>
              <w:ind w:right="272"/>
              <w:rPr>
                <w:rFonts w:ascii="Verdana" w:hAnsi="Verdana"/>
                <w:color w:val="000000"/>
                <w:sz w:val="18"/>
              </w:rPr>
            </w:pPr>
            <w:r w:rsidRPr="00891FED">
              <w:rPr>
                <w:rFonts w:ascii="Verdana" w:hAnsi="Verdana"/>
                <w:color w:val="000000"/>
                <w:sz w:val="18"/>
              </w:rPr>
              <w:t xml:space="preserve">Er is een risico van onderverzekering op andere zorgvormen als de dekking in plaats komt van een verzekering met een bredere dekking dan alleen mondzorg. </w:t>
            </w:r>
          </w:p>
          <w:p w:rsidRPr="0061388C" w:rsidR="00AE1B58" w:rsidP="00BA1BE6" w:rsidRDefault="00B2539E" w14:paraId="7EDFA766" w14:textId="3BCD11EF">
            <w:pPr>
              <w:pStyle w:val="Lijstalinea"/>
              <w:numPr>
                <w:ilvl w:val="0"/>
                <w:numId w:val="6"/>
              </w:numPr>
              <w:spacing w:after="0" w:line="276" w:lineRule="auto"/>
              <w:ind w:right="272"/>
              <w:rPr>
                <w:rFonts w:cstheme="minorHAnsi"/>
              </w:rPr>
            </w:pPr>
            <w:r w:rsidRPr="00632DCB">
              <w:rPr>
                <w:rFonts w:ascii="Verdana" w:hAnsi="Verdana"/>
                <w:sz w:val="18"/>
                <w:szCs w:val="18"/>
              </w:rPr>
              <w:t xml:space="preserve">Deze maatregel heeft potentieel effect op het aantal mensen dat een </w:t>
            </w:r>
            <w:r>
              <w:rPr>
                <w:rFonts w:ascii="Verdana" w:hAnsi="Verdana"/>
                <w:sz w:val="18"/>
                <w:szCs w:val="18"/>
              </w:rPr>
              <w:t xml:space="preserve">“reguliere” </w:t>
            </w:r>
            <w:r w:rsidRPr="00632DCB">
              <w:rPr>
                <w:rFonts w:ascii="Verdana" w:hAnsi="Verdana"/>
                <w:sz w:val="18"/>
                <w:szCs w:val="18"/>
              </w:rPr>
              <w:t xml:space="preserve">gemeentepolis of andere aanvullende zorgverzekering afsluit. </w:t>
            </w:r>
          </w:p>
        </w:tc>
      </w:tr>
    </w:tbl>
    <w:p w:rsidRPr="00632DCB" w:rsidR="00AE1B58" w:rsidP="00AE1B58" w:rsidRDefault="00AE1B58" w14:paraId="7D37CCCA" w14:textId="77777777"/>
    <w:bookmarkEnd w:id="345"/>
    <w:bookmarkEnd w:id="346"/>
    <w:p w:rsidR="00494A29" w:rsidP="003B1B4E" w:rsidRDefault="00494A29" w14:paraId="10D0CFF2" w14:textId="77777777"/>
    <w:p w:rsidR="00440A5E" w:rsidP="003B1B4E" w:rsidRDefault="00440A5E" w14:paraId="1EA4787C" w14:textId="77777777"/>
    <w:p w:rsidR="009515DE" w:rsidP="003B1B4E" w:rsidRDefault="009515DE" w14:paraId="36970F77" w14:textId="77777777"/>
    <w:p w:rsidR="009515DE" w:rsidP="003B1B4E" w:rsidRDefault="009515DE" w14:paraId="17B75463" w14:textId="77777777"/>
    <w:p w:rsidR="00F26A3B" w:rsidRDefault="00F26A3B" w14:paraId="2E9907BE" w14:textId="1C44C9B0">
      <w:pPr>
        <w:spacing w:line="240" w:lineRule="auto"/>
      </w:pPr>
      <w:r>
        <w:br w:type="page"/>
      </w:r>
    </w:p>
    <w:p w:rsidRPr="00632DCB" w:rsidR="005A44C5" w:rsidP="0058708B" w:rsidRDefault="00B673B1" w14:paraId="0CA0FBFE" w14:textId="2B270A5D">
      <w:pPr>
        <w:pStyle w:val="Kop2"/>
      </w:pPr>
      <w:bookmarkStart w:name="_Toc202280990" w:id="347"/>
      <w:bookmarkStart w:name="_Toc202788178" w:id="348"/>
      <w:bookmarkStart w:name="_Toc214547157" w:id="349"/>
      <w:r w:rsidRPr="00632DCB">
        <w:lastRenderedPageBreak/>
        <w:t>Maatregel 4: Noodfonds</w:t>
      </w:r>
      <w:bookmarkEnd w:id="347"/>
      <w:bookmarkEnd w:id="348"/>
      <w:bookmarkEnd w:id="349"/>
    </w:p>
    <w:p w:rsidRPr="00632DCB" w:rsidR="00E742C1" w:rsidP="00C752AE" w:rsidRDefault="00E742C1" w14:paraId="7F00D596" w14:textId="77777777">
      <w:pPr>
        <w:spacing w:line="276" w:lineRule="auto"/>
      </w:pPr>
    </w:p>
    <w:p w:rsidRPr="00147B06" w:rsidR="00147B06" w:rsidP="00147B06" w:rsidRDefault="00147B06" w14:paraId="6FD9216B" w14:textId="3EEF2150">
      <w:pPr>
        <w:spacing w:line="276" w:lineRule="auto"/>
      </w:pPr>
      <w:r w:rsidRPr="00147B06">
        <w:rPr>
          <w:rFonts w:eastAsia="Times New Roman" w:cs="Calibri"/>
        </w:rPr>
        <w:t xml:space="preserve">Indien voor bovenstaande maatregelen onvoldoende financiële middelen beschikbaar </w:t>
      </w:r>
      <w:r w:rsidR="000D1567">
        <w:rPr>
          <w:rFonts w:eastAsia="Times New Roman" w:cs="Calibri"/>
        </w:rPr>
        <w:t>komen</w:t>
      </w:r>
      <w:r w:rsidRPr="00147B06">
        <w:rPr>
          <w:rFonts w:eastAsia="Times New Roman" w:cs="Calibri"/>
        </w:rPr>
        <w:t xml:space="preserve">, </w:t>
      </w:r>
      <w:r w:rsidR="000E7430">
        <w:rPr>
          <w:rFonts w:eastAsia="Times New Roman" w:cs="Calibri"/>
        </w:rPr>
        <w:t xml:space="preserve">kan </w:t>
      </w:r>
      <w:r w:rsidRPr="00147B06">
        <w:rPr>
          <w:rFonts w:eastAsia="Times New Roman" w:cs="Calibri"/>
        </w:rPr>
        <w:t xml:space="preserve">een noodfonds </w:t>
      </w:r>
      <w:r w:rsidR="000E7430">
        <w:rPr>
          <w:rFonts w:eastAsia="Times New Roman" w:cs="Calibri"/>
        </w:rPr>
        <w:t xml:space="preserve">overwogen worden </w:t>
      </w:r>
      <w:r w:rsidRPr="00147B06">
        <w:t>gericht op diegenen waarbij de nood het hoogst is. Deze maatregel zal naar</w:t>
      </w:r>
      <w:r w:rsidR="003425A1">
        <w:t xml:space="preserve"> verwachting</w:t>
      </w:r>
      <w:r w:rsidRPr="00147B06">
        <w:t xml:space="preserve"> minder mensen </w:t>
      </w:r>
      <w:r w:rsidR="00B828F5">
        <w:t xml:space="preserve">kunnen </w:t>
      </w:r>
      <w:r w:rsidRPr="00147B06">
        <w:t>bereiken dan de andere maatregel</w:t>
      </w:r>
      <w:r w:rsidR="000E7430">
        <w:t>en.</w:t>
      </w:r>
      <w:r w:rsidR="00B828F5">
        <w:t xml:space="preserve"> Een noodfonds als afzonderlijke maatregel biedt daarmee een beperktere oplossing voor de problematiek. </w:t>
      </w:r>
    </w:p>
    <w:p w:rsidRPr="00147B06" w:rsidR="00147B06" w:rsidP="00147B06" w:rsidRDefault="00147B06" w14:paraId="77E3F031" w14:textId="77777777">
      <w:pPr>
        <w:spacing w:line="276" w:lineRule="auto"/>
      </w:pPr>
    </w:p>
    <w:p w:rsidR="004A7C36" w:rsidP="00147B06" w:rsidRDefault="00147B06" w14:paraId="2687268D" w14:textId="223B9D4A">
      <w:pPr>
        <w:spacing w:line="276" w:lineRule="auto"/>
      </w:pPr>
      <w:r w:rsidRPr="00147B06">
        <w:t xml:space="preserve">Dit noodfonds kan op verschillende manieren ingericht worden, </w:t>
      </w:r>
      <w:r w:rsidR="0061388C">
        <w:t>mede</w:t>
      </w:r>
      <w:r w:rsidRPr="00147B06">
        <w:t xml:space="preserve"> afhankelijk van het beschikbare budget. </w:t>
      </w:r>
      <w:r w:rsidRPr="00D15C5F">
        <w:t xml:space="preserve">Hieronder </w:t>
      </w:r>
      <w:r w:rsidRPr="00D15C5F" w:rsidR="000E7430">
        <w:t xml:space="preserve">zijn ter inspiratie </w:t>
      </w:r>
      <w:r w:rsidRPr="00D15C5F">
        <w:t xml:space="preserve">twee </w:t>
      </w:r>
      <w:r w:rsidRPr="00D15C5F" w:rsidR="000E7430">
        <w:t>varianten</w:t>
      </w:r>
      <w:r w:rsidRPr="00D15C5F">
        <w:t xml:space="preserve"> </w:t>
      </w:r>
      <w:r w:rsidR="00B828F5">
        <w:t xml:space="preserve">globaal </w:t>
      </w:r>
      <w:r w:rsidRPr="00D15C5F">
        <w:t xml:space="preserve">uitgewerkt, </w:t>
      </w:r>
      <w:r w:rsidR="00B828F5">
        <w:t>hier kunnen</w:t>
      </w:r>
      <w:r w:rsidRPr="00D15C5F" w:rsidR="00B828F5">
        <w:t xml:space="preserve"> </w:t>
      </w:r>
      <w:r w:rsidRPr="00D15C5F">
        <w:t>– meer dan bij de voorgaande drie maatregelen –</w:t>
      </w:r>
      <w:r w:rsidR="001B1E4A">
        <w:t xml:space="preserve"> </w:t>
      </w:r>
      <w:r w:rsidRPr="00D15C5F">
        <w:t>nog andere keuzes in gemaakt worden.</w:t>
      </w:r>
      <w:r w:rsidR="00C92F3E">
        <w:t xml:space="preserve"> </w:t>
      </w:r>
    </w:p>
    <w:p w:rsidR="004A7C36" w:rsidP="00147B06" w:rsidRDefault="004A7C36" w14:paraId="4C2BC552" w14:textId="77777777">
      <w:pPr>
        <w:spacing w:line="276" w:lineRule="auto"/>
      </w:pPr>
    </w:p>
    <w:p w:rsidR="00147B06" w:rsidP="00147B06" w:rsidRDefault="00F83770" w14:paraId="63470099" w14:textId="47D8AF49">
      <w:pPr>
        <w:spacing w:line="276" w:lineRule="auto"/>
      </w:pPr>
      <w:r>
        <w:t>Een landelijk</w:t>
      </w:r>
      <w:r w:rsidR="00C92F3E">
        <w:t xml:space="preserve"> noodfonds zal, net als ma</w:t>
      </w:r>
      <w:r>
        <w:t>a</w:t>
      </w:r>
      <w:r w:rsidR="00C92F3E">
        <w:t>tregel 1, 2 of 3, geen volledige vervang</w:t>
      </w:r>
      <w:r>
        <w:t>i</w:t>
      </w:r>
      <w:r w:rsidR="00C92F3E">
        <w:t>n</w:t>
      </w:r>
      <w:r>
        <w:t>g</w:t>
      </w:r>
      <w:r w:rsidR="00C92F3E">
        <w:t xml:space="preserve"> vormen voor de </w:t>
      </w:r>
      <w:r w:rsidR="004A7C36">
        <w:t xml:space="preserve">al </w:t>
      </w:r>
      <w:r w:rsidR="00C92F3E">
        <w:t xml:space="preserve">bestaande lokale noodfondsen of andere initiatieven (zoals informele mondzorgnetwerken). </w:t>
      </w:r>
      <w:r w:rsidR="004A7C36">
        <w:t xml:space="preserve">Er zullen altijd groepen blijven die tussen wal en schip vallen. Bijvoorbeeld mensen die niet geregistreerd staan. Naar verwachting zal het inzetten op een gerichte regeling het beroep op de al bestaande noodfondsen verminderen. </w:t>
      </w:r>
    </w:p>
    <w:p w:rsidRPr="00147B06" w:rsidR="004A7C36" w:rsidP="00147B06" w:rsidRDefault="004A7C36" w14:paraId="226C353E" w14:textId="77777777">
      <w:pPr>
        <w:spacing w:line="276" w:lineRule="auto"/>
      </w:pPr>
    </w:p>
    <w:tbl>
      <w:tblPr>
        <w:tblStyle w:val="Tabelraster"/>
        <w:tblW w:w="0" w:type="auto"/>
        <w:tblInd w:w="0" w:type="dxa"/>
        <w:tblLook w:val="04A0" w:firstRow="1" w:lastRow="0" w:firstColumn="1" w:lastColumn="0" w:noHBand="0" w:noVBand="1"/>
      </w:tblPr>
      <w:tblGrid>
        <w:gridCol w:w="1803"/>
        <w:gridCol w:w="5984"/>
      </w:tblGrid>
      <w:tr w:rsidRPr="00147B06" w:rsidR="00147B06" w:rsidTr="00A85D76" w14:paraId="0C7FA467" w14:textId="77777777">
        <w:tc>
          <w:tcPr>
            <w:tcW w:w="1803" w:type="dxa"/>
            <w:shd w:val="clear" w:color="auto" w:fill="45B0E1"/>
          </w:tcPr>
          <w:p w:rsidRPr="00147B06" w:rsidR="00147B06" w:rsidP="00A85D76" w:rsidRDefault="00147B06" w14:paraId="35EEDB81" w14:textId="77777777">
            <w:pPr>
              <w:spacing w:line="360" w:lineRule="auto"/>
              <w:ind w:left="142"/>
              <w:rPr>
                <w:rFonts w:cstheme="minorHAnsi"/>
              </w:rPr>
            </w:pPr>
            <w:r w:rsidRPr="00147B06">
              <w:rPr>
                <w:rFonts w:cstheme="minorHAnsi"/>
              </w:rPr>
              <w:t>Maatregel</w:t>
            </w:r>
          </w:p>
        </w:tc>
        <w:tc>
          <w:tcPr>
            <w:tcW w:w="5984" w:type="dxa"/>
          </w:tcPr>
          <w:p w:rsidRPr="00E22073" w:rsidR="00147B06" w:rsidP="00E22073" w:rsidRDefault="00E22073" w14:paraId="2767A940" w14:textId="7E93536C">
            <w:pPr>
              <w:spacing w:line="276" w:lineRule="auto"/>
              <w:rPr>
                <w:rFonts w:cstheme="minorHAnsi"/>
              </w:rPr>
            </w:pPr>
            <w:r>
              <w:rPr>
                <w:rFonts w:cstheme="minorHAnsi"/>
              </w:rPr>
              <w:t xml:space="preserve"> </w:t>
            </w:r>
            <w:r w:rsidRPr="00E22073" w:rsidR="00147B06">
              <w:rPr>
                <w:rFonts w:cstheme="minorHAnsi"/>
              </w:rPr>
              <w:t xml:space="preserve">Een noodfonds kan op twee manieren vormgegeven worden: </w:t>
            </w:r>
          </w:p>
          <w:p w:rsidRPr="00D15C5F" w:rsidR="00147B06" w:rsidP="00147B06" w:rsidRDefault="00147B06" w14:paraId="4ED4B75E" w14:textId="5611AE14">
            <w:pPr>
              <w:pStyle w:val="Lijstalinea"/>
              <w:numPr>
                <w:ilvl w:val="0"/>
                <w:numId w:val="40"/>
              </w:numPr>
              <w:spacing w:line="276" w:lineRule="auto"/>
              <w:rPr>
                <w:rFonts w:ascii="Verdana" w:hAnsi="Verdana" w:cstheme="minorHAnsi"/>
                <w:sz w:val="18"/>
                <w:szCs w:val="18"/>
              </w:rPr>
            </w:pPr>
            <w:r w:rsidRPr="00D15C5F">
              <w:rPr>
                <w:rFonts w:ascii="Verdana" w:hAnsi="Verdana" w:cstheme="minorHAnsi"/>
                <w:sz w:val="18"/>
                <w:szCs w:val="18"/>
              </w:rPr>
              <w:t xml:space="preserve">Als een landelijke voorziening (uitgevoerd door </w:t>
            </w:r>
            <w:proofErr w:type="spellStart"/>
            <w:r w:rsidRPr="00D15C5F">
              <w:rPr>
                <w:rFonts w:ascii="Verdana" w:hAnsi="Verdana" w:cstheme="minorHAnsi"/>
                <w:sz w:val="18"/>
                <w:szCs w:val="18"/>
              </w:rPr>
              <w:t>rijksuitvoerder</w:t>
            </w:r>
            <w:proofErr w:type="spellEnd"/>
            <w:r w:rsidRPr="00D15C5F">
              <w:rPr>
                <w:rFonts w:ascii="Verdana" w:hAnsi="Verdana" w:cstheme="minorHAnsi"/>
                <w:sz w:val="18"/>
                <w:szCs w:val="18"/>
              </w:rPr>
              <w:t xml:space="preserve"> of zorgverzekeraar, zie maatregel 1) met een beperkte dekking. </w:t>
            </w:r>
            <w:r w:rsidR="00B74E87">
              <w:rPr>
                <w:rFonts w:ascii="Verdana" w:hAnsi="Verdana" w:cstheme="minorHAnsi"/>
                <w:sz w:val="18"/>
                <w:szCs w:val="18"/>
              </w:rPr>
              <w:t>Net als de bestaande noodfondsen heeft</w:t>
            </w:r>
            <w:r w:rsidR="000D1567">
              <w:rPr>
                <w:rFonts w:ascii="Verdana" w:hAnsi="Verdana" w:cstheme="minorHAnsi"/>
                <w:sz w:val="18"/>
                <w:szCs w:val="18"/>
              </w:rPr>
              <w:t xml:space="preserve"> een beroep op</w:t>
            </w:r>
            <w:r w:rsidR="00B74E87">
              <w:rPr>
                <w:rFonts w:ascii="Verdana" w:hAnsi="Verdana" w:cstheme="minorHAnsi"/>
                <w:sz w:val="18"/>
                <w:szCs w:val="18"/>
              </w:rPr>
              <w:t xml:space="preserve"> dit noodfonds </w:t>
            </w:r>
            <w:r w:rsidR="000D1567">
              <w:rPr>
                <w:rFonts w:ascii="Verdana" w:hAnsi="Verdana" w:cstheme="minorHAnsi"/>
                <w:sz w:val="18"/>
                <w:szCs w:val="18"/>
              </w:rPr>
              <w:t>geen structureel</w:t>
            </w:r>
            <w:r w:rsidRPr="00D15C5F">
              <w:rPr>
                <w:rFonts w:ascii="Verdana" w:hAnsi="Verdana" w:cstheme="minorHAnsi"/>
                <w:sz w:val="18"/>
                <w:szCs w:val="18"/>
              </w:rPr>
              <w:t xml:space="preserve"> karakter en werkt op basis van een behandelplan in plaats van automatische toegang</w:t>
            </w:r>
            <w:r w:rsidR="00B74E87">
              <w:rPr>
                <w:rFonts w:ascii="Verdana" w:hAnsi="Verdana" w:cstheme="minorHAnsi"/>
                <w:sz w:val="18"/>
                <w:szCs w:val="18"/>
              </w:rPr>
              <w:t>, op deze manier kan maatwerk geboden worden</w:t>
            </w:r>
            <w:r w:rsidRPr="00D15C5F">
              <w:rPr>
                <w:rFonts w:ascii="Verdana" w:hAnsi="Verdana" w:cstheme="minorHAnsi"/>
                <w:sz w:val="18"/>
                <w:szCs w:val="18"/>
              </w:rPr>
              <w:t>. Na het ontvangen van een vergoeding kan</w:t>
            </w:r>
            <w:r w:rsidR="00B74E87">
              <w:rPr>
                <w:rFonts w:ascii="Verdana" w:hAnsi="Verdana" w:cstheme="minorHAnsi"/>
                <w:sz w:val="18"/>
                <w:szCs w:val="18"/>
              </w:rPr>
              <w:t xml:space="preserve"> pas na een nog vast te stellen periode</w:t>
            </w:r>
            <w:r w:rsidRPr="00D15C5F">
              <w:rPr>
                <w:rFonts w:ascii="Verdana" w:hAnsi="Verdana" w:cstheme="minorHAnsi"/>
                <w:sz w:val="18"/>
                <w:szCs w:val="18"/>
              </w:rPr>
              <w:t xml:space="preserve"> </w:t>
            </w:r>
            <w:r w:rsidR="00B74E87">
              <w:rPr>
                <w:rFonts w:ascii="Verdana" w:hAnsi="Verdana" w:cstheme="minorHAnsi"/>
                <w:sz w:val="18"/>
                <w:szCs w:val="18"/>
              </w:rPr>
              <w:t>(</w:t>
            </w:r>
            <w:r w:rsidRPr="00D15C5F">
              <w:rPr>
                <w:rFonts w:ascii="Verdana" w:hAnsi="Verdana" w:cstheme="minorHAnsi"/>
                <w:sz w:val="18"/>
                <w:szCs w:val="18"/>
              </w:rPr>
              <w:t>bijvoorbeeld drie jaar</w:t>
            </w:r>
            <w:r w:rsidR="00B74E87">
              <w:rPr>
                <w:rFonts w:ascii="Verdana" w:hAnsi="Verdana" w:cstheme="minorHAnsi"/>
                <w:sz w:val="18"/>
                <w:szCs w:val="18"/>
              </w:rPr>
              <w:t>)</w:t>
            </w:r>
            <w:r w:rsidRPr="00D15C5F">
              <w:rPr>
                <w:rFonts w:ascii="Verdana" w:hAnsi="Verdana" w:cstheme="minorHAnsi"/>
                <w:sz w:val="18"/>
                <w:szCs w:val="18"/>
              </w:rPr>
              <w:t xml:space="preserve"> weer een nieuwe aanvraag worden ingediend.  </w:t>
            </w:r>
          </w:p>
          <w:p w:rsidRPr="003C7DD0" w:rsidR="00147B06" w:rsidP="00D15C5F" w:rsidRDefault="00147B06" w14:paraId="77016B55" w14:textId="4AA7E67B">
            <w:pPr>
              <w:pStyle w:val="Lijstalinea"/>
              <w:numPr>
                <w:ilvl w:val="0"/>
                <w:numId w:val="40"/>
              </w:numPr>
              <w:spacing w:line="276" w:lineRule="auto"/>
              <w:rPr>
                <w:rFonts w:cstheme="minorHAnsi"/>
              </w:rPr>
            </w:pPr>
            <w:r w:rsidRPr="00D15C5F">
              <w:rPr>
                <w:rFonts w:ascii="Verdana" w:hAnsi="Verdana" w:cstheme="minorHAnsi"/>
                <w:sz w:val="18"/>
                <w:szCs w:val="18"/>
              </w:rPr>
              <w:t xml:space="preserve">Door </w:t>
            </w:r>
            <w:r w:rsidR="00B828F5">
              <w:rPr>
                <w:rFonts w:ascii="Verdana" w:hAnsi="Verdana" w:cstheme="minorHAnsi"/>
                <w:sz w:val="18"/>
                <w:szCs w:val="18"/>
              </w:rPr>
              <w:t xml:space="preserve">boven op de bestaande financiering publiek </w:t>
            </w:r>
            <w:r w:rsidRPr="00D15C5F">
              <w:rPr>
                <w:rFonts w:ascii="Verdana" w:hAnsi="Verdana" w:cstheme="minorHAnsi"/>
                <w:sz w:val="18"/>
                <w:szCs w:val="18"/>
              </w:rPr>
              <w:t xml:space="preserve">geld beschikbaar te stellen aan bestaande of nieuw op te richten (lokale) noodfondsen en/of bestaande informele mondzorgnetwerken. Hierbij moet er rekening mee worden gehouden dat deze er niet in elke gemeente al zijn en dus niet iedereen er gebruik van kan maken. Ook zijn deze bestaande noodfondsen en informele mondzorgnetwerken maar in beperkte mate </w:t>
            </w:r>
            <w:proofErr w:type="spellStart"/>
            <w:r w:rsidRPr="00D15C5F">
              <w:rPr>
                <w:rFonts w:ascii="Verdana" w:hAnsi="Verdana" w:cstheme="minorHAnsi"/>
                <w:sz w:val="18"/>
                <w:szCs w:val="18"/>
              </w:rPr>
              <w:t>opschaalbaar</w:t>
            </w:r>
            <w:proofErr w:type="spellEnd"/>
            <w:r w:rsidRPr="00D15C5F">
              <w:rPr>
                <w:rFonts w:ascii="Verdana" w:hAnsi="Verdana" w:cstheme="minorHAnsi"/>
                <w:sz w:val="18"/>
                <w:szCs w:val="18"/>
              </w:rPr>
              <w:t>.</w:t>
            </w:r>
            <w:r w:rsidRPr="00D15C5F">
              <w:rPr>
                <w:rStyle w:val="Voetnootmarkering"/>
                <w:rFonts w:ascii="Verdana" w:hAnsi="Verdana" w:cstheme="minorHAnsi"/>
                <w:sz w:val="18"/>
                <w:szCs w:val="18"/>
              </w:rPr>
              <w:footnoteReference w:id="26"/>
            </w:r>
          </w:p>
        </w:tc>
      </w:tr>
      <w:tr w:rsidRPr="00147B06" w:rsidR="00147B06" w:rsidTr="00A85D76" w14:paraId="54CF2D41" w14:textId="77777777">
        <w:tc>
          <w:tcPr>
            <w:tcW w:w="1803" w:type="dxa"/>
            <w:shd w:val="clear" w:color="auto" w:fill="45B0E1"/>
          </w:tcPr>
          <w:p w:rsidRPr="00147B06" w:rsidR="00147B06" w:rsidP="00A85D76" w:rsidRDefault="00147B06" w14:paraId="17D2B519" w14:textId="77777777">
            <w:pPr>
              <w:spacing w:line="360" w:lineRule="auto"/>
              <w:ind w:left="142"/>
              <w:rPr>
                <w:rFonts w:cstheme="minorHAnsi"/>
              </w:rPr>
            </w:pPr>
            <w:r w:rsidRPr="00147B06">
              <w:rPr>
                <w:rFonts w:cstheme="minorHAnsi"/>
              </w:rPr>
              <w:t>Doelgroep en bereik</w:t>
            </w:r>
          </w:p>
        </w:tc>
        <w:tc>
          <w:tcPr>
            <w:tcW w:w="5984" w:type="dxa"/>
          </w:tcPr>
          <w:p w:rsidRPr="00D15C5F" w:rsidR="00147B06" w:rsidP="00147B06" w:rsidRDefault="00147B06" w14:paraId="097A43F9" w14:textId="5E4EABDF">
            <w:pPr>
              <w:pStyle w:val="Lijstalinea"/>
              <w:numPr>
                <w:ilvl w:val="0"/>
                <w:numId w:val="6"/>
              </w:numPr>
              <w:spacing w:line="276" w:lineRule="auto"/>
              <w:rPr>
                <w:rFonts w:ascii="Verdana" w:hAnsi="Verdana" w:cstheme="minorHAnsi"/>
                <w:sz w:val="18"/>
                <w:szCs w:val="18"/>
              </w:rPr>
            </w:pPr>
            <w:r w:rsidRPr="00D15C5F">
              <w:rPr>
                <w:rFonts w:ascii="Verdana" w:hAnsi="Verdana" w:cstheme="minorHAnsi"/>
                <w:sz w:val="18"/>
                <w:szCs w:val="18"/>
              </w:rPr>
              <w:t xml:space="preserve">Optie A: </w:t>
            </w:r>
            <w:r w:rsidR="00B74E87">
              <w:rPr>
                <w:rFonts w:ascii="Verdana" w:hAnsi="Verdana" w:cstheme="minorHAnsi"/>
                <w:sz w:val="18"/>
                <w:szCs w:val="18"/>
              </w:rPr>
              <w:t>Het betreft een kleinere doelgroep dan bij maatregel 1, 2 en 3, namelijk: m</w:t>
            </w:r>
            <w:r w:rsidRPr="00D15C5F">
              <w:rPr>
                <w:rFonts w:ascii="Verdana" w:hAnsi="Verdana" w:cstheme="minorHAnsi"/>
                <w:sz w:val="18"/>
                <w:szCs w:val="18"/>
              </w:rPr>
              <w:t xml:space="preserve">ensen die tot 120% </w:t>
            </w:r>
            <w:r w:rsidR="00F83770">
              <w:rPr>
                <w:rFonts w:ascii="Verdana" w:hAnsi="Verdana" w:cstheme="minorHAnsi"/>
                <w:sz w:val="18"/>
                <w:szCs w:val="18"/>
              </w:rPr>
              <w:t xml:space="preserve">(of 150%) </w:t>
            </w:r>
            <w:r w:rsidRPr="00D15C5F">
              <w:rPr>
                <w:rFonts w:ascii="Verdana" w:hAnsi="Verdana" w:cstheme="minorHAnsi"/>
                <w:sz w:val="18"/>
                <w:szCs w:val="18"/>
              </w:rPr>
              <w:t xml:space="preserve">bijstandsnorm verdienen, </w:t>
            </w:r>
            <w:r w:rsidR="00365F4A">
              <w:rPr>
                <w:rFonts w:ascii="Verdana" w:hAnsi="Verdana" w:cstheme="minorHAnsi"/>
                <w:sz w:val="18"/>
                <w:szCs w:val="18"/>
              </w:rPr>
              <w:t>een mondzorgbehandeling met hoge kosten nodig hebben</w:t>
            </w:r>
            <w:r w:rsidRPr="00D15C5F">
              <w:rPr>
                <w:rFonts w:ascii="Verdana" w:hAnsi="Verdana" w:cstheme="minorHAnsi"/>
                <w:sz w:val="18"/>
                <w:szCs w:val="18"/>
              </w:rPr>
              <w:t xml:space="preserve"> </w:t>
            </w:r>
            <w:r w:rsidR="00B74E87">
              <w:rPr>
                <w:rFonts w:ascii="Verdana" w:hAnsi="Verdana" w:cstheme="minorHAnsi"/>
                <w:sz w:val="18"/>
                <w:szCs w:val="18"/>
              </w:rPr>
              <w:t>é</w:t>
            </w:r>
            <w:r w:rsidRPr="00D15C5F">
              <w:rPr>
                <w:rFonts w:ascii="Verdana" w:hAnsi="Verdana" w:cstheme="minorHAnsi"/>
                <w:sz w:val="18"/>
                <w:szCs w:val="18"/>
              </w:rPr>
              <w:t xml:space="preserve">n niet al toegang tot mondzorg hebben via een mondzorgverzekering. </w:t>
            </w:r>
            <w:r w:rsidR="00365F4A">
              <w:rPr>
                <w:rFonts w:ascii="Verdana" w:hAnsi="Verdana" w:cstheme="minorHAnsi"/>
                <w:sz w:val="18"/>
                <w:szCs w:val="18"/>
              </w:rPr>
              <w:t>Er</w:t>
            </w:r>
            <w:r w:rsidR="00B74E87">
              <w:rPr>
                <w:rFonts w:ascii="Verdana" w:hAnsi="Verdana" w:cstheme="minorHAnsi"/>
                <w:sz w:val="18"/>
                <w:szCs w:val="18"/>
              </w:rPr>
              <w:t xml:space="preserve"> is </w:t>
            </w:r>
            <w:r w:rsidRPr="00D15C5F">
              <w:rPr>
                <w:rFonts w:ascii="Verdana" w:hAnsi="Verdana" w:cstheme="minorHAnsi"/>
                <w:sz w:val="18"/>
                <w:szCs w:val="18"/>
              </w:rPr>
              <w:t>geen automatische toegang</w:t>
            </w:r>
            <w:r w:rsidR="00B74E87">
              <w:rPr>
                <w:rFonts w:ascii="Verdana" w:hAnsi="Verdana" w:cstheme="minorHAnsi"/>
                <w:sz w:val="18"/>
                <w:szCs w:val="18"/>
              </w:rPr>
              <w:t xml:space="preserve">, </w:t>
            </w:r>
            <w:r w:rsidR="00702162">
              <w:rPr>
                <w:rFonts w:ascii="Verdana" w:hAnsi="Verdana" w:cstheme="minorHAnsi"/>
                <w:sz w:val="18"/>
                <w:szCs w:val="18"/>
              </w:rPr>
              <w:t>er</w:t>
            </w:r>
            <w:r w:rsidR="00B74E87">
              <w:rPr>
                <w:rFonts w:ascii="Verdana" w:hAnsi="Verdana" w:cstheme="minorHAnsi"/>
                <w:sz w:val="18"/>
                <w:szCs w:val="18"/>
              </w:rPr>
              <w:t xml:space="preserve"> moet een behandelplan zijn opgesteld</w:t>
            </w:r>
            <w:r w:rsidRPr="00D15C5F">
              <w:rPr>
                <w:rFonts w:ascii="Verdana" w:hAnsi="Verdana" w:cstheme="minorHAnsi"/>
                <w:sz w:val="18"/>
                <w:szCs w:val="18"/>
              </w:rPr>
              <w:t xml:space="preserve">. </w:t>
            </w:r>
          </w:p>
          <w:p w:rsidRPr="009515DE" w:rsidR="00147B06" w:rsidP="009515DE" w:rsidRDefault="00147B06" w14:paraId="02FD91CE" w14:textId="18E08DE5">
            <w:pPr>
              <w:pStyle w:val="Lijstalinea"/>
              <w:numPr>
                <w:ilvl w:val="0"/>
                <w:numId w:val="6"/>
              </w:numPr>
              <w:spacing w:after="0" w:line="276" w:lineRule="auto"/>
              <w:rPr>
                <w:rFonts w:ascii="Verdana" w:hAnsi="Verdana" w:cstheme="minorHAnsi"/>
                <w:sz w:val="18"/>
                <w:szCs w:val="18"/>
              </w:rPr>
            </w:pPr>
            <w:r w:rsidRPr="00D15C5F">
              <w:rPr>
                <w:rFonts w:ascii="Verdana" w:hAnsi="Verdana" w:cstheme="minorHAnsi"/>
                <w:sz w:val="18"/>
                <w:szCs w:val="18"/>
              </w:rPr>
              <w:lastRenderedPageBreak/>
              <w:t xml:space="preserve">Optie B: Aansluiten bij huidige doelgroep van noodfonds: de voorwaarden die de afzonderlijke noodfondsen stellen. </w:t>
            </w:r>
          </w:p>
        </w:tc>
      </w:tr>
      <w:tr w:rsidRPr="00147B06" w:rsidR="00147B06" w:rsidTr="00A85D76" w14:paraId="6B389F8E" w14:textId="77777777">
        <w:tc>
          <w:tcPr>
            <w:tcW w:w="1803" w:type="dxa"/>
            <w:shd w:val="clear" w:color="auto" w:fill="45B0E1"/>
          </w:tcPr>
          <w:p w:rsidRPr="00147B06" w:rsidR="00147B06" w:rsidP="00A85D76" w:rsidRDefault="00147B06" w14:paraId="2B07F0E8" w14:textId="77777777">
            <w:pPr>
              <w:spacing w:line="360" w:lineRule="auto"/>
              <w:ind w:left="142"/>
              <w:rPr>
                <w:rFonts w:cstheme="minorHAnsi"/>
              </w:rPr>
            </w:pPr>
            <w:r w:rsidRPr="00147B06">
              <w:rPr>
                <w:rFonts w:cstheme="minorHAnsi"/>
              </w:rPr>
              <w:lastRenderedPageBreak/>
              <w:t>Toegang</w:t>
            </w:r>
          </w:p>
        </w:tc>
        <w:tc>
          <w:tcPr>
            <w:tcW w:w="5984" w:type="dxa"/>
          </w:tcPr>
          <w:p w:rsidRPr="00147B06" w:rsidR="00147B06" w:rsidP="00A85D76" w:rsidRDefault="00147B06" w14:paraId="6AB1BA0A" w14:textId="62F20AA5">
            <w:pPr>
              <w:spacing w:line="276" w:lineRule="auto"/>
              <w:ind w:left="182"/>
              <w:rPr>
                <w:rFonts w:cstheme="minorHAnsi"/>
              </w:rPr>
            </w:pPr>
            <w:r w:rsidRPr="00147B06">
              <w:rPr>
                <w:rFonts w:cstheme="minorHAnsi"/>
              </w:rPr>
              <w:t xml:space="preserve">Bij optie A: </w:t>
            </w:r>
          </w:p>
          <w:p w:rsidRPr="00365F4A" w:rsidR="00365F4A" w:rsidP="00365F4A" w:rsidRDefault="004D7D4D" w14:paraId="01D91311" w14:textId="6AF89082">
            <w:pPr>
              <w:pStyle w:val="Lijstalinea"/>
              <w:numPr>
                <w:ilvl w:val="0"/>
                <w:numId w:val="11"/>
              </w:numPr>
              <w:spacing w:line="276" w:lineRule="auto"/>
              <w:rPr>
                <w:rFonts w:ascii="Verdana" w:hAnsi="Verdana"/>
                <w:sz w:val="18"/>
                <w:szCs w:val="18"/>
              </w:rPr>
            </w:pPr>
            <w:r>
              <w:rPr>
                <w:rFonts w:ascii="Verdana" w:hAnsi="Verdana"/>
                <w:sz w:val="18"/>
                <w:szCs w:val="18"/>
              </w:rPr>
              <w:t xml:space="preserve">Hierbij is sprake van maatwerk. </w:t>
            </w:r>
            <w:r w:rsidR="00B74E87">
              <w:rPr>
                <w:rFonts w:ascii="Verdana" w:hAnsi="Verdana"/>
                <w:sz w:val="18"/>
                <w:szCs w:val="18"/>
              </w:rPr>
              <w:t xml:space="preserve">De burger vraagt bij </w:t>
            </w:r>
            <w:r>
              <w:rPr>
                <w:rFonts w:ascii="Verdana" w:hAnsi="Verdana"/>
                <w:sz w:val="18"/>
                <w:szCs w:val="18"/>
              </w:rPr>
              <w:t xml:space="preserve">een </w:t>
            </w:r>
            <w:r w:rsidRPr="00EE42B7">
              <w:rPr>
                <w:rFonts w:ascii="Verdana" w:hAnsi="Verdana"/>
                <w:sz w:val="18"/>
                <w:szCs w:val="18"/>
              </w:rPr>
              <w:t>mondzorgpraktijk</w:t>
            </w:r>
            <w:r>
              <w:rPr>
                <w:rFonts w:ascii="Verdana" w:hAnsi="Verdana"/>
                <w:sz w:val="18"/>
                <w:szCs w:val="18"/>
              </w:rPr>
              <w:t xml:space="preserve"> </w:t>
            </w:r>
            <w:r w:rsidR="00B74E87">
              <w:rPr>
                <w:rFonts w:ascii="Verdana" w:hAnsi="Verdana"/>
                <w:sz w:val="18"/>
                <w:szCs w:val="18"/>
              </w:rPr>
              <w:t xml:space="preserve">een </w:t>
            </w:r>
            <w:r>
              <w:rPr>
                <w:rFonts w:ascii="Verdana" w:hAnsi="Verdana"/>
                <w:sz w:val="18"/>
                <w:szCs w:val="18"/>
              </w:rPr>
              <w:t>offerte en behandelplan op en dient deze in bij het noodfonds. Het noodfonds beoordeelt de offerte en het behandelplan en laat een derde partij een inkomenstoets doen. Bij akkoord wordt de zorg verleend en door de zorgverlener gedeclareerd bij het noodfonds.</w:t>
            </w:r>
          </w:p>
          <w:p w:rsidR="004D7D4D" w:rsidP="0033329B" w:rsidRDefault="004D7D4D" w14:paraId="694E46A6" w14:textId="083FE336">
            <w:pPr>
              <w:pStyle w:val="Lijstalinea"/>
              <w:numPr>
                <w:ilvl w:val="0"/>
                <w:numId w:val="11"/>
              </w:numPr>
              <w:spacing w:line="276" w:lineRule="auto"/>
              <w:rPr>
                <w:rFonts w:ascii="Verdana" w:hAnsi="Verdana"/>
                <w:sz w:val="18"/>
                <w:szCs w:val="18"/>
              </w:rPr>
            </w:pPr>
            <w:r>
              <w:rPr>
                <w:rFonts w:ascii="Verdana" w:hAnsi="Verdana"/>
                <w:sz w:val="18"/>
                <w:szCs w:val="18"/>
              </w:rPr>
              <w:t xml:space="preserve">Dit vraagt een aanzienlijk </w:t>
            </w:r>
            <w:proofErr w:type="spellStart"/>
            <w:r>
              <w:rPr>
                <w:rFonts w:ascii="Verdana" w:hAnsi="Verdana"/>
                <w:sz w:val="18"/>
                <w:szCs w:val="18"/>
              </w:rPr>
              <w:t>doenvermogen</w:t>
            </w:r>
            <w:proofErr w:type="spellEnd"/>
            <w:r>
              <w:rPr>
                <w:rFonts w:ascii="Verdana" w:hAnsi="Verdana"/>
                <w:sz w:val="18"/>
                <w:szCs w:val="18"/>
              </w:rPr>
              <w:t xml:space="preserve"> van de burger. </w:t>
            </w:r>
          </w:p>
          <w:p w:rsidRPr="009B4E5E" w:rsidR="00147B06" w:rsidP="009B4E5E" w:rsidRDefault="0033329B" w14:paraId="7F0B2FE0" w14:textId="111B0923">
            <w:pPr>
              <w:pStyle w:val="Lijstalinea"/>
              <w:numPr>
                <w:ilvl w:val="0"/>
                <w:numId w:val="11"/>
              </w:numPr>
              <w:spacing w:after="0" w:line="276" w:lineRule="auto"/>
              <w:rPr>
                <w:rFonts w:ascii="Verdana" w:hAnsi="Verdana" w:cstheme="minorHAnsi"/>
                <w:sz w:val="18"/>
                <w:szCs w:val="18"/>
              </w:rPr>
            </w:pPr>
            <w:r w:rsidRPr="00BB76CC">
              <w:rPr>
                <w:rFonts w:ascii="Verdana" w:hAnsi="Verdana" w:cstheme="minorHAnsi"/>
                <w:sz w:val="18"/>
                <w:szCs w:val="18"/>
              </w:rPr>
              <w:t xml:space="preserve">Overweeg ook doorverwijzing mogelijk te maken door </w:t>
            </w:r>
            <w:r>
              <w:rPr>
                <w:rFonts w:ascii="Verdana" w:hAnsi="Verdana" w:cstheme="minorHAnsi"/>
                <w:sz w:val="18"/>
                <w:szCs w:val="18"/>
              </w:rPr>
              <w:t xml:space="preserve">gemeenten en </w:t>
            </w:r>
            <w:r w:rsidRPr="00BB76CC">
              <w:rPr>
                <w:rFonts w:ascii="Verdana" w:hAnsi="Verdana" w:cstheme="minorHAnsi"/>
                <w:sz w:val="18"/>
                <w:szCs w:val="18"/>
              </w:rPr>
              <w:t xml:space="preserve">straatdokters, bijvoorbeeld specifiek voor onverzekerden aangezien zij minder vaak hun weg naar de gemeente weten te vinden. </w:t>
            </w:r>
          </w:p>
        </w:tc>
      </w:tr>
      <w:tr w:rsidRPr="00147B06" w:rsidR="00147B06" w:rsidTr="00A85D76" w14:paraId="627B2390" w14:textId="77777777">
        <w:tc>
          <w:tcPr>
            <w:tcW w:w="1803" w:type="dxa"/>
            <w:shd w:val="clear" w:color="auto" w:fill="45B0E1"/>
          </w:tcPr>
          <w:p w:rsidRPr="00147B06" w:rsidR="00147B06" w:rsidP="00A85D76" w:rsidRDefault="00147B06" w14:paraId="764DFC19" w14:textId="77777777">
            <w:pPr>
              <w:spacing w:line="360" w:lineRule="auto"/>
              <w:ind w:left="142"/>
              <w:rPr>
                <w:rFonts w:cstheme="minorHAnsi"/>
              </w:rPr>
            </w:pPr>
            <w:r w:rsidRPr="00147B06">
              <w:rPr>
                <w:rFonts w:cstheme="minorHAnsi"/>
              </w:rPr>
              <w:t>Dekking</w:t>
            </w:r>
          </w:p>
        </w:tc>
        <w:tc>
          <w:tcPr>
            <w:tcW w:w="5984" w:type="dxa"/>
          </w:tcPr>
          <w:p w:rsidRPr="00D15C5F" w:rsidR="00147B06" w:rsidP="00147B06" w:rsidRDefault="00147B06" w14:paraId="28CD527B" w14:textId="065D4974">
            <w:pPr>
              <w:pStyle w:val="Lijstalinea"/>
              <w:numPr>
                <w:ilvl w:val="0"/>
                <w:numId w:val="11"/>
              </w:numPr>
              <w:spacing w:line="276" w:lineRule="auto"/>
              <w:rPr>
                <w:rFonts w:ascii="Verdana" w:hAnsi="Verdana" w:cstheme="minorHAnsi"/>
                <w:sz w:val="18"/>
                <w:szCs w:val="18"/>
              </w:rPr>
            </w:pPr>
            <w:r w:rsidRPr="00D15C5F">
              <w:rPr>
                <w:rFonts w:ascii="Verdana" w:hAnsi="Verdana"/>
                <w:sz w:val="18"/>
                <w:szCs w:val="18"/>
              </w:rPr>
              <w:t xml:space="preserve">Bij optie A: </w:t>
            </w:r>
            <w:r w:rsidR="004D7D4D">
              <w:rPr>
                <w:rFonts w:ascii="Verdana" w:hAnsi="Verdana"/>
                <w:sz w:val="18"/>
                <w:szCs w:val="18"/>
              </w:rPr>
              <w:t xml:space="preserve">Hier kunnen verschillende keuzes in gemaakt worden. Het ligt voor de hand in ieder geval </w:t>
            </w:r>
            <w:r w:rsidR="00365F4A">
              <w:rPr>
                <w:rFonts w:ascii="Verdana" w:hAnsi="Verdana"/>
                <w:sz w:val="18"/>
                <w:szCs w:val="18"/>
              </w:rPr>
              <w:t>de behandelinge</w:t>
            </w:r>
            <w:r w:rsidRPr="00A75D77" w:rsidR="00365F4A">
              <w:rPr>
                <w:rFonts w:ascii="Verdana" w:hAnsi="Verdana"/>
                <w:sz w:val="18"/>
                <w:szCs w:val="18"/>
              </w:rPr>
              <w:t>n te</w:t>
            </w:r>
            <w:r w:rsidR="00365F4A">
              <w:rPr>
                <w:rFonts w:ascii="Verdana" w:hAnsi="Verdana"/>
                <w:sz w:val="18"/>
                <w:szCs w:val="18"/>
              </w:rPr>
              <w:t xml:space="preserve"> </w:t>
            </w:r>
            <w:r w:rsidR="004D7D4D">
              <w:rPr>
                <w:rFonts w:ascii="Verdana" w:hAnsi="Verdana"/>
                <w:sz w:val="18"/>
                <w:szCs w:val="18"/>
              </w:rPr>
              <w:t xml:space="preserve">vergoeden </w:t>
            </w:r>
            <w:r w:rsidR="00A75D77">
              <w:rPr>
                <w:rFonts w:ascii="Verdana" w:hAnsi="Verdana"/>
                <w:sz w:val="18"/>
                <w:szCs w:val="18"/>
              </w:rPr>
              <w:t>die</w:t>
            </w:r>
            <w:r w:rsidR="004D7D4D">
              <w:rPr>
                <w:rFonts w:ascii="Verdana" w:hAnsi="Verdana"/>
                <w:sz w:val="18"/>
                <w:szCs w:val="18"/>
              </w:rPr>
              <w:t xml:space="preserve"> doorgaans niet (voldoende) vergoed </w:t>
            </w:r>
            <w:r w:rsidR="00365F4A">
              <w:rPr>
                <w:rFonts w:ascii="Verdana" w:hAnsi="Verdana"/>
                <w:sz w:val="18"/>
                <w:szCs w:val="18"/>
              </w:rPr>
              <w:t>worden</w:t>
            </w:r>
            <w:r w:rsidR="004D7D4D">
              <w:rPr>
                <w:rFonts w:ascii="Verdana" w:hAnsi="Verdana"/>
                <w:sz w:val="18"/>
                <w:szCs w:val="18"/>
              </w:rPr>
              <w:t xml:space="preserve"> in een mondzorgverzekering of </w:t>
            </w:r>
            <w:r w:rsidR="00365F4A">
              <w:rPr>
                <w:rFonts w:ascii="Verdana" w:hAnsi="Verdana"/>
                <w:sz w:val="18"/>
                <w:szCs w:val="18"/>
              </w:rPr>
              <w:t xml:space="preserve">via een </w:t>
            </w:r>
            <w:r w:rsidR="004D7D4D">
              <w:rPr>
                <w:rFonts w:ascii="Verdana" w:hAnsi="Verdana"/>
                <w:sz w:val="18"/>
                <w:szCs w:val="18"/>
              </w:rPr>
              <w:t>bestaand lokaal noodfonds</w:t>
            </w:r>
            <w:r w:rsidR="00A75D77">
              <w:rPr>
                <w:rFonts w:ascii="Verdana" w:hAnsi="Verdana"/>
                <w:sz w:val="18"/>
                <w:szCs w:val="18"/>
              </w:rPr>
              <w:t>, bijvoorbeeld behandelingen met hoge zorgkosten</w:t>
            </w:r>
            <w:r w:rsidR="004D7D4D">
              <w:rPr>
                <w:rFonts w:ascii="Verdana" w:hAnsi="Verdana"/>
                <w:sz w:val="18"/>
                <w:szCs w:val="18"/>
              </w:rPr>
              <w:t>.</w:t>
            </w:r>
            <w:r w:rsidRPr="00D15C5F">
              <w:rPr>
                <w:rFonts w:ascii="Verdana" w:hAnsi="Verdana"/>
                <w:sz w:val="18"/>
                <w:szCs w:val="18"/>
              </w:rPr>
              <w:t xml:space="preserve"> </w:t>
            </w:r>
            <w:r w:rsidRPr="00D15C5F" w:rsidDel="00E423C5">
              <w:rPr>
                <w:rFonts w:ascii="Verdana" w:hAnsi="Verdana" w:cstheme="minorHAnsi"/>
                <w:sz w:val="18"/>
                <w:szCs w:val="18"/>
              </w:rPr>
              <w:t xml:space="preserve"> </w:t>
            </w:r>
          </w:p>
          <w:p w:rsidRPr="00D15C5F" w:rsidR="00147B06" w:rsidP="00147B06" w:rsidRDefault="00147B06" w14:paraId="67E1F4D9" w14:textId="7AB329D9">
            <w:pPr>
              <w:pStyle w:val="Lijstalinea"/>
              <w:numPr>
                <w:ilvl w:val="0"/>
                <w:numId w:val="11"/>
              </w:numPr>
              <w:spacing w:line="276" w:lineRule="auto"/>
              <w:rPr>
                <w:rFonts w:ascii="Verdana" w:hAnsi="Verdana" w:cstheme="minorHAnsi"/>
                <w:sz w:val="18"/>
                <w:szCs w:val="18"/>
              </w:rPr>
            </w:pPr>
            <w:r w:rsidRPr="00D15C5F">
              <w:rPr>
                <w:rFonts w:ascii="Verdana" w:hAnsi="Verdana" w:cstheme="minorHAnsi"/>
                <w:sz w:val="18"/>
                <w:szCs w:val="18"/>
              </w:rPr>
              <w:t xml:space="preserve">Bij optie B: </w:t>
            </w:r>
            <w:r w:rsidR="004D7D4D">
              <w:rPr>
                <w:rFonts w:ascii="Verdana" w:hAnsi="Verdana" w:cstheme="minorHAnsi"/>
                <w:sz w:val="18"/>
                <w:szCs w:val="18"/>
              </w:rPr>
              <w:t>Dekking wordt</w:t>
            </w:r>
            <w:r w:rsidR="00365F4A">
              <w:rPr>
                <w:rFonts w:ascii="Verdana" w:hAnsi="Verdana" w:cstheme="minorHAnsi"/>
                <w:sz w:val="18"/>
                <w:szCs w:val="18"/>
              </w:rPr>
              <w:t xml:space="preserve"> momenteel</w:t>
            </w:r>
            <w:r w:rsidR="004D7D4D">
              <w:rPr>
                <w:rFonts w:ascii="Verdana" w:hAnsi="Verdana" w:cstheme="minorHAnsi"/>
                <w:sz w:val="18"/>
                <w:szCs w:val="18"/>
              </w:rPr>
              <w:t xml:space="preserve"> bepaald door de lokale noodfondsen. </w:t>
            </w:r>
            <w:r w:rsidR="00365F4A">
              <w:rPr>
                <w:rFonts w:ascii="Verdana" w:hAnsi="Verdana" w:cstheme="minorHAnsi"/>
                <w:sz w:val="18"/>
                <w:szCs w:val="18"/>
              </w:rPr>
              <w:t xml:space="preserve">Noodfondsen verschillen, maar vergoeden over het algemeen enkele honderden euro’s in noodsituaties met pijnklachten. </w:t>
            </w:r>
            <w:r w:rsidR="004D7D4D">
              <w:rPr>
                <w:rFonts w:ascii="Verdana" w:hAnsi="Verdana" w:cstheme="minorHAnsi"/>
                <w:sz w:val="18"/>
                <w:szCs w:val="18"/>
              </w:rPr>
              <w:t xml:space="preserve">Onderzocht kan worden welke voorwaarden gesteld kunnen worden aan </w:t>
            </w:r>
            <w:r w:rsidR="00E35194">
              <w:rPr>
                <w:rFonts w:ascii="Verdana" w:hAnsi="Verdana" w:cstheme="minorHAnsi"/>
                <w:sz w:val="18"/>
                <w:szCs w:val="18"/>
              </w:rPr>
              <w:t>financiële ondersteuning door het Rijk</w:t>
            </w:r>
            <w:r w:rsidR="00FE2AB3">
              <w:rPr>
                <w:rFonts w:ascii="Verdana" w:hAnsi="Verdana" w:cstheme="minorHAnsi"/>
                <w:sz w:val="18"/>
                <w:szCs w:val="18"/>
              </w:rPr>
              <w:t xml:space="preserve"> en in gesprek met bestaande noodfondsen kan verkend worden wat een passende dekking is.</w:t>
            </w:r>
          </w:p>
        </w:tc>
      </w:tr>
      <w:tr w:rsidRPr="00147B06" w:rsidR="00147B06" w:rsidTr="00A85D76" w14:paraId="2E39F8BE" w14:textId="77777777">
        <w:tc>
          <w:tcPr>
            <w:tcW w:w="1803" w:type="dxa"/>
            <w:shd w:val="clear" w:color="auto" w:fill="45B0E1"/>
          </w:tcPr>
          <w:p w:rsidRPr="00005C8A" w:rsidR="00147B06" w:rsidP="00A85D76" w:rsidRDefault="00147B06" w14:paraId="29103962" w14:textId="77777777">
            <w:pPr>
              <w:spacing w:line="360" w:lineRule="auto"/>
              <w:ind w:left="142"/>
              <w:rPr>
                <w:rFonts w:cstheme="minorHAnsi"/>
              </w:rPr>
            </w:pPr>
            <w:r w:rsidRPr="00005C8A">
              <w:rPr>
                <w:rFonts w:cstheme="minorHAnsi"/>
              </w:rPr>
              <w:t>Kosten</w:t>
            </w:r>
          </w:p>
        </w:tc>
        <w:tc>
          <w:tcPr>
            <w:tcW w:w="5984" w:type="dxa"/>
          </w:tcPr>
          <w:p w:rsidRPr="00005C8A" w:rsidR="00147B06" w:rsidP="00147B06" w:rsidRDefault="00147B06" w14:paraId="6E7637EB" w14:textId="3691192F">
            <w:pPr>
              <w:pStyle w:val="Lijstalinea"/>
              <w:numPr>
                <w:ilvl w:val="0"/>
                <w:numId w:val="6"/>
              </w:numPr>
              <w:spacing w:after="0" w:line="276" w:lineRule="auto"/>
              <w:ind w:right="272"/>
              <w:rPr>
                <w:rFonts w:ascii="Verdana" w:hAnsi="Verdana"/>
                <w:sz w:val="18"/>
                <w:szCs w:val="18"/>
              </w:rPr>
            </w:pPr>
            <w:r w:rsidRPr="00005C8A">
              <w:rPr>
                <w:rFonts w:ascii="Verdana" w:hAnsi="Verdana"/>
                <w:sz w:val="18"/>
                <w:szCs w:val="18"/>
              </w:rPr>
              <w:t xml:space="preserve">Voor deze maatregel moet bepaald worden of wel of niet met een budgetplafond gewerkt moet worden en als voor een budgetplafond gekozen wordt hoe hoog </w:t>
            </w:r>
            <w:r w:rsidRPr="00005C8A" w:rsidR="000D1567">
              <w:rPr>
                <w:rFonts w:ascii="Verdana" w:hAnsi="Verdana"/>
                <w:sz w:val="18"/>
                <w:szCs w:val="18"/>
              </w:rPr>
              <w:t xml:space="preserve">dit </w:t>
            </w:r>
            <w:r w:rsidRPr="00005C8A">
              <w:rPr>
                <w:rFonts w:ascii="Verdana" w:hAnsi="Verdana"/>
                <w:sz w:val="18"/>
                <w:szCs w:val="18"/>
              </w:rPr>
              <w:t xml:space="preserve">moet zijn. </w:t>
            </w:r>
          </w:p>
          <w:p w:rsidR="00702162" w:rsidP="005A275A" w:rsidRDefault="00147B06" w14:paraId="180B42B9" w14:textId="77777777">
            <w:pPr>
              <w:pStyle w:val="Lijstalinea"/>
              <w:numPr>
                <w:ilvl w:val="0"/>
                <w:numId w:val="6"/>
              </w:numPr>
              <w:spacing w:after="0" w:line="276" w:lineRule="auto"/>
              <w:ind w:right="272"/>
              <w:rPr>
                <w:rFonts w:ascii="Verdana" w:hAnsi="Verdana"/>
                <w:sz w:val="18"/>
                <w:szCs w:val="18"/>
              </w:rPr>
            </w:pPr>
            <w:r w:rsidRPr="00702162">
              <w:rPr>
                <w:rFonts w:ascii="Verdana" w:hAnsi="Verdana"/>
                <w:sz w:val="18"/>
                <w:szCs w:val="18"/>
              </w:rPr>
              <w:t>Ten behoeve van een goede uitleg aan</w:t>
            </w:r>
            <w:r w:rsidRPr="00702162" w:rsidR="00F46392">
              <w:rPr>
                <w:rFonts w:ascii="Verdana" w:hAnsi="Verdana"/>
                <w:sz w:val="18"/>
                <w:szCs w:val="18"/>
              </w:rPr>
              <w:t xml:space="preserve"> de</w:t>
            </w:r>
            <w:r w:rsidRPr="00702162">
              <w:rPr>
                <w:rFonts w:ascii="Verdana" w:hAnsi="Verdana"/>
                <w:sz w:val="18"/>
                <w:szCs w:val="18"/>
              </w:rPr>
              <w:t xml:space="preserve"> burger en verantwoording van de bestede middelen moet in de regelgeving goed afgebakend worden wat het doel is van de maatregel en welke kosten wel en niet voor rekening van de overheid komen.</w:t>
            </w:r>
          </w:p>
          <w:p w:rsidRPr="00702162" w:rsidR="00317413" w:rsidP="005A275A" w:rsidRDefault="00F832FC" w14:paraId="6CBBB7E5" w14:textId="1E3CA825">
            <w:pPr>
              <w:pStyle w:val="Lijstalinea"/>
              <w:numPr>
                <w:ilvl w:val="0"/>
                <w:numId w:val="6"/>
              </w:numPr>
              <w:spacing w:after="0" w:line="276" w:lineRule="auto"/>
              <w:ind w:right="272"/>
              <w:rPr>
                <w:rFonts w:ascii="Verdana" w:hAnsi="Verdana"/>
                <w:sz w:val="18"/>
                <w:szCs w:val="18"/>
              </w:rPr>
            </w:pPr>
            <w:r w:rsidRPr="00702162">
              <w:rPr>
                <w:rFonts w:ascii="Verdana" w:hAnsi="Verdana"/>
                <w:sz w:val="18"/>
                <w:szCs w:val="18"/>
              </w:rPr>
              <w:t xml:space="preserve">Het budget dat politiek ter beschikking gesteld wordt is leidend voor de invulling van het noodfonds. In de doorrekening van </w:t>
            </w:r>
            <w:proofErr w:type="spellStart"/>
            <w:r w:rsidRPr="00702162">
              <w:rPr>
                <w:rFonts w:ascii="Verdana" w:hAnsi="Verdana"/>
                <w:sz w:val="18"/>
                <w:szCs w:val="18"/>
              </w:rPr>
              <w:t>Gupta</w:t>
            </w:r>
            <w:proofErr w:type="spellEnd"/>
            <w:r w:rsidRPr="00702162">
              <w:rPr>
                <w:rFonts w:ascii="Verdana" w:hAnsi="Verdana"/>
                <w:sz w:val="18"/>
                <w:szCs w:val="18"/>
              </w:rPr>
              <w:t xml:space="preserve"> </w:t>
            </w:r>
            <w:r w:rsidRPr="00702162" w:rsidR="00005C8A">
              <w:rPr>
                <w:rFonts w:ascii="Verdana" w:hAnsi="Verdana"/>
                <w:sz w:val="18"/>
                <w:szCs w:val="18"/>
              </w:rPr>
              <w:t>is</w:t>
            </w:r>
            <w:r w:rsidRPr="00702162">
              <w:rPr>
                <w:rFonts w:ascii="Verdana" w:hAnsi="Verdana"/>
                <w:sz w:val="18"/>
                <w:szCs w:val="18"/>
              </w:rPr>
              <w:t xml:space="preserve"> een kosteninschatting t</w:t>
            </w:r>
            <w:r w:rsidRPr="00702162" w:rsidR="00317413">
              <w:rPr>
                <w:rFonts w:ascii="Verdana" w:hAnsi="Verdana"/>
                <w:sz w:val="18"/>
                <w:szCs w:val="18"/>
              </w:rPr>
              <w:t>ussen de 3 (lokaal) en 6 (landelijk) miljoen</w:t>
            </w:r>
            <w:r w:rsidRPr="00702162" w:rsidR="00005C8A">
              <w:rPr>
                <w:rFonts w:ascii="Verdana" w:hAnsi="Verdana"/>
                <w:sz w:val="18"/>
                <w:szCs w:val="18"/>
              </w:rPr>
              <w:t xml:space="preserve"> gegeven</w:t>
            </w:r>
            <w:r w:rsidRPr="00702162">
              <w:rPr>
                <w:rFonts w:ascii="Verdana" w:hAnsi="Verdana"/>
                <w:sz w:val="18"/>
                <w:szCs w:val="18"/>
              </w:rPr>
              <w:t xml:space="preserve">, </w:t>
            </w:r>
            <w:r w:rsidRPr="00702162" w:rsidR="00317413">
              <w:rPr>
                <w:rFonts w:ascii="Verdana" w:hAnsi="Verdana"/>
                <w:sz w:val="18"/>
                <w:szCs w:val="18"/>
              </w:rPr>
              <w:t xml:space="preserve">zie verder tabel 4.2. </w:t>
            </w:r>
            <w:r w:rsidRPr="00702162">
              <w:rPr>
                <w:rFonts w:ascii="Verdana" w:hAnsi="Verdana"/>
                <w:sz w:val="18"/>
                <w:szCs w:val="18"/>
              </w:rPr>
              <w:t>Belangrijk is dat hierbij</w:t>
            </w:r>
            <w:r w:rsidRPr="00702162" w:rsidR="00317413">
              <w:rPr>
                <w:rFonts w:ascii="Verdana" w:hAnsi="Verdana"/>
                <w:sz w:val="18"/>
                <w:szCs w:val="18"/>
              </w:rPr>
              <w:t xml:space="preserve"> </w:t>
            </w:r>
            <w:r w:rsidRPr="00702162">
              <w:rPr>
                <w:rFonts w:ascii="Verdana" w:hAnsi="Verdana"/>
                <w:sz w:val="18"/>
                <w:szCs w:val="18"/>
              </w:rPr>
              <w:t xml:space="preserve">de aanname is gedaan </w:t>
            </w:r>
            <w:r w:rsidRPr="00702162" w:rsidR="00317413">
              <w:rPr>
                <w:rFonts w:ascii="Verdana" w:hAnsi="Verdana"/>
                <w:sz w:val="18"/>
                <w:szCs w:val="18"/>
              </w:rPr>
              <w:t xml:space="preserve">van beperkte opschalingsmogelijkheden </w:t>
            </w:r>
            <w:r w:rsidRPr="00702162">
              <w:rPr>
                <w:rFonts w:ascii="Verdana" w:hAnsi="Verdana"/>
                <w:sz w:val="18"/>
                <w:szCs w:val="18"/>
              </w:rPr>
              <w:t>en bekendheid</w:t>
            </w:r>
            <w:r w:rsidRPr="00702162" w:rsidR="00470EA8">
              <w:rPr>
                <w:rFonts w:ascii="Verdana" w:hAnsi="Verdana"/>
                <w:sz w:val="18"/>
                <w:szCs w:val="18"/>
              </w:rPr>
              <w:t xml:space="preserve"> wat resulteert in een (zeer)</w:t>
            </w:r>
            <w:r w:rsidRPr="00702162" w:rsidR="00317413">
              <w:rPr>
                <w:rFonts w:ascii="Verdana" w:hAnsi="Verdana"/>
                <w:sz w:val="18"/>
                <w:szCs w:val="18"/>
              </w:rPr>
              <w:t xml:space="preserve"> laag gebruik door de doelgroep. </w:t>
            </w:r>
          </w:p>
          <w:p w:rsidRPr="009515DE" w:rsidR="0061388C" w:rsidP="009515DE" w:rsidRDefault="0061388C" w14:paraId="037B5A0B" w14:textId="0A616F8C">
            <w:pPr>
              <w:pStyle w:val="Lijstalinea"/>
              <w:numPr>
                <w:ilvl w:val="0"/>
                <w:numId w:val="6"/>
              </w:numPr>
              <w:spacing w:after="0" w:line="276" w:lineRule="auto"/>
              <w:ind w:right="272"/>
              <w:rPr>
                <w:rFonts w:ascii="Verdana" w:hAnsi="Verdana"/>
                <w:sz w:val="18"/>
                <w:szCs w:val="18"/>
              </w:rPr>
            </w:pPr>
            <w:r w:rsidRPr="00005C8A">
              <w:rPr>
                <w:rFonts w:ascii="Verdana" w:hAnsi="Verdana"/>
                <w:sz w:val="18"/>
                <w:szCs w:val="18"/>
              </w:rPr>
              <w:t xml:space="preserve">Deze bedragen zijn exclusief uitvoeringskosten. </w:t>
            </w:r>
          </w:p>
        </w:tc>
      </w:tr>
      <w:tr w:rsidRPr="00147B06" w:rsidR="00147B06" w:rsidTr="00A85D76" w14:paraId="530EB28B" w14:textId="77777777">
        <w:tc>
          <w:tcPr>
            <w:tcW w:w="1803" w:type="dxa"/>
            <w:shd w:val="clear" w:color="auto" w:fill="45B0E1"/>
          </w:tcPr>
          <w:p w:rsidRPr="00147B06" w:rsidR="00147B06" w:rsidP="00A85D76" w:rsidRDefault="00147B06" w14:paraId="010852F7" w14:textId="77777777">
            <w:pPr>
              <w:spacing w:line="360" w:lineRule="auto"/>
              <w:ind w:left="142"/>
              <w:rPr>
                <w:rFonts w:cstheme="minorHAnsi"/>
              </w:rPr>
            </w:pPr>
            <w:r w:rsidRPr="00147B06">
              <w:rPr>
                <w:rFonts w:cstheme="minorHAnsi"/>
              </w:rPr>
              <w:t>Uitvoering</w:t>
            </w:r>
          </w:p>
        </w:tc>
        <w:tc>
          <w:tcPr>
            <w:tcW w:w="5984" w:type="dxa"/>
          </w:tcPr>
          <w:p w:rsidRPr="00147B06" w:rsidR="00147B06" w:rsidP="00A85D76" w:rsidRDefault="00147B06" w14:paraId="37637B36" w14:textId="77777777">
            <w:pPr>
              <w:spacing w:line="276" w:lineRule="auto"/>
              <w:ind w:left="199" w:right="272"/>
              <w:rPr>
                <w:rFonts w:cstheme="minorHAnsi"/>
              </w:rPr>
            </w:pPr>
            <w:r w:rsidRPr="00147B06">
              <w:rPr>
                <w:rFonts w:cstheme="minorHAnsi"/>
              </w:rPr>
              <w:t>De wijze van uitvoering bij optie A:</w:t>
            </w:r>
          </w:p>
          <w:p w:rsidR="00147B06" w:rsidP="00147B06" w:rsidRDefault="00147B06" w14:paraId="7E7AAA45" w14:textId="1287F448">
            <w:pPr>
              <w:pStyle w:val="Lijstalinea"/>
              <w:numPr>
                <w:ilvl w:val="0"/>
                <w:numId w:val="6"/>
              </w:numPr>
              <w:spacing w:after="0" w:line="276" w:lineRule="auto"/>
              <w:rPr>
                <w:rFonts w:ascii="Verdana" w:hAnsi="Verdana" w:cstheme="minorHAnsi"/>
                <w:sz w:val="18"/>
                <w:szCs w:val="18"/>
              </w:rPr>
            </w:pPr>
            <w:r w:rsidRPr="00D15C5F">
              <w:rPr>
                <w:rFonts w:ascii="Verdana" w:hAnsi="Verdana" w:cstheme="minorHAnsi"/>
                <w:sz w:val="18"/>
                <w:szCs w:val="18"/>
              </w:rPr>
              <w:t>Een landelijk noodfonds kan als voorziening worden georganiseerd (zie maatregel 1)</w:t>
            </w:r>
            <w:r w:rsidR="0033329B">
              <w:rPr>
                <w:rFonts w:ascii="Verdana" w:hAnsi="Verdana" w:cstheme="minorHAnsi"/>
                <w:sz w:val="18"/>
                <w:szCs w:val="18"/>
              </w:rPr>
              <w:t>.</w:t>
            </w:r>
          </w:p>
          <w:p w:rsidR="00702162" w:rsidP="00497295" w:rsidRDefault="006823FA" w14:paraId="30F0FAFE" w14:textId="77777777">
            <w:pPr>
              <w:pStyle w:val="Lijstalinea"/>
              <w:numPr>
                <w:ilvl w:val="0"/>
                <w:numId w:val="6"/>
              </w:numPr>
              <w:spacing w:after="0" w:line="276" w:lineRule="auto"/>
              <w:rPr>
                <w:rFonts w:ascii="Verdana" w:hAnsi="Verdana" w:cstheme="minorHAnsi"/>
                <w:sz w:val="18"/>
                <w:szCs w:val="18"/>
              </w:rPr>
            </w:pPr>
            <w:r w:rsidRPr="00702162">
              <w:rPr>
                <w:rFonts w:ascii="Verdana" w:hAnsi="Verdana" w:cstheme="minorHAnsi"/>
                <w:sz w:val="18"/>
                <w:szCs w:val="18"/>
              </w:rPr>
              <w:lastRenderedPageBreak/>
              <w:t>Bepaal aan welke voorwaarden de mondzorgverlener en de patiënt moeten voldoen om in aanmerking te komen vergoeding voor de behandeling vanuit het noodfonds.</w:t>
            </w:r>
          </w:p>
          <w:p w:rsidRPr="00702162" w:rsidR="00147B06" w:rsidP="00497295" w:rsidRDefault="00147B06" w14:paraId="1C9DE5C8" w14:textId="6346DF4A">
            <w:pPr>
              <w:pStyle w:val="Lijstalinea"/>
              <w:numPr>
                <w:ilvl w:val="0"/>
                <w:numId w:val="6"/>
              </w:numPr>
              <w:spacing w:after="0" w:line="276" w:lineRule="auto"/>
              <w:rPr>
                <w:rFonts w:ascii="Verdana" w:hAnsi="Verdana" w:cstheme="minorHAnsi"/>
                <w:sz w:val="18"/>
                <w:szCs w:val="18"/>
              </w:rPr>
            </w:pPr>
            <w:r w:rsidRPr="00702162">
              <w:rPr>
                <w:rFonts w:ascii="Verdana" w:hAnsi="Verdana" w:cstheme="minorHAnsi"/>
                <w:sz w:val="18"/>
                <w:szCs w:val="18"/>
              </w:rPr>
              <w:t>De</w:t>
            </w:r>
            <w:r w:rsidRPr="00702162" w:rsidR="006823FA">
              <w:rPr>
                <w:rFonts w:ascii="Verdana" w:hAnsi="Verdana" w:cstheme="minorHAnsi"/>
                <w:sz w:val="18"/>
                <w:szCs w:val="18"/>
              </w:rPr>
              <w:t xml:space="preserve"> individuele</w:t>
            </w:r>
            <w:r w:rsidRPr="00702162">
              <w:rPr>
                <w:rFonts w:ascii="Verdana" w:hAnsi="Verdana" w:cstheme="minorHAnsi"/>
                <w:sz w:val="18"/>
                <w:szCs w:val="18"/>
              </w:rPr>
              <w:t xml:space="preserve"> </w:t>
            </w:r>
            <w:r w:rsidRPr="00702162" w:rsidR="0033329B">
              <w:rPr>
                <w:rFonts w:ascii="Verdana" w:hAnsi="Verdana" w:cstheme="minorHAnsi"/>
                <w:sz w:val="18"/>
                <w:szCs w:val="18"/>
              </w:rPr>
              <w:t xml:space="preserve">offertes en behandelplannen </w:t>
            </w:r>
            <w:r w:rsidRPr="00702162" w:rsidR="00FC50BF">
              <w:rPr>
                <w:rFonts w:ascii="Verdana" w:hAnsi="Verdana" w:cstheme="minorHAnsi"/>
                <w:sz w:val="18"/>
                <w:szCs w:val="18"/>
              </w:rPr>
              <w:t xml:space="preserve">moeten inhoudelijk </w:t>
            </w:r>
            <w:r w:rsidRPr="00702162" w:rsidR="009F3009">
              <w:rPr>
                <w:rFonts w:ascii="Verdana" w:hAnsi="Verdana" w:cstheme="minorHAnsi"/>
                <w:sz w:val="18"/>
                <w:szCs w:val="18"/>
              </w:rPr>
              <w:t>worden getoetst</w:t>
            </w:r>
            <w:r w:rsidRPr="00702162" w:rsidR="0033329B">
              <w:rPr>
                <w:rFonts w:ascii="Verdana" w:hAnsi="Verdana" w:cstheme="minorHAnsi"/>
                <w:sz w:val="18"/>
                <w:szCs w:val="18"/>
              </w:rPr>
              <w:t xml:space="preserve">. </w:t>
            </w:r>
          </w:p>
          <w:p w:rsidRPr="00147B06" w:rsidR="00147B06" w:rsidP="00D15C5F" w:rsidRDefault="00147B06" w14:paraId="0EF5A334" w14:textId="67D23D15">
            <w:pPr>
              <w:spacing w:line="276" w:lineRule="auto"/>
              <w:rPr>
                <w:rFonts w:cstheme="minorHAnsi"/>
              </w:rPr>
            </w:pPr>
          </w:p>
          <w:p w:rsidRPr="00147B06" w:rsidR="00147B06" w:rsidP="00A85D76" w:rsidRDefault="00147B06" w14:paraId="0082B645" w14:textId="77777777">
            <w:pPr>
              <w:spacing w:line="276" w:lineRule="auto"/>
              <w:ind w:left="199" w:right="272"/>
              <w:rPr>
                <w:rFonts w:cstheme="minorHAnsi"/>
              </w:rPr>
            </w:pPr>
            <w:r w:rsidRPr="00147B06">
              <w:rPr>
                <w:rFonts w:cstheme="minorHAnsi"/>
              </w:rPr>
              <w:t xml:space="preserve">Voor de uitvoerbaarheid van deze maatregel moet met het volgende rekening gehouden worden: </w:t>
            </w:r>
          </w:p>
          <w:p w:rsidRPr="00D15C5F" w:rsidR="00147B06" w:rsidP="00147B06" w:rsidRDefault="00147B06" w14:paraId="31972745" w14:textId="77777777">
            <w:pPr>
              <w:pStyle w:val="Lijstalinea"/>
              <w:numPr>
                <w:ilvl w:val="0"/>
                <w:numId w:val="6"/>
              </w:numPr>
              <w:spacing w:after="0" w:line="276" w:lineRule="auto"/>
              <w:ind w:right="272"/>
              <w:rPr>
                <w:rFonts w:ascii="Verdana" w:hAnsi="Verdana"/>
                <w:sz w:val="18"/>
                <w:szCs w:val="18"/>
              </w:rPr>
            </w:pPr>
            <w:r w:rsidRPr="00D15C5F">
              <w:rPr>
                <w:rFonts w:ascii="Verdana" w:hAnsi="Verdana"/>
                <w:sz w:val="18"/>
                <w:szCs w:val="18"/>
              </w:rPr>
              <w:t xml:space="preserve">De uitvoering is complex omdat er meerdere partijen bij betrokken zijn die gegevens met elkaar moeten uitwisselen. </w:t>
            </w:r>
          </w:p>
          <w:p w:rsidRPr="00D15C5F" w:rsidR="00147B06" w:rsidP="00147B06" w:rsidRDefault="00147B06" w14:paraId="0ECA505F" w14:textId="77777777">
            <w:pPr>
              <w:pStyle w:val="Lijstalinea"/>
              <w:numPr>
                <w:ilvl w:val="0"/>
                <w:numId w:val="6"/>
              </w:numPr>
              <w:spacing w:after="0" w:line="276" w:lineRule="auto"/>
              <w:ind w:right="272"/>
              <w:rPr>
                <w:rFonts w:ascii="Verdana" w:hAnsi="Verdana"/>
                <w:sz w:val="18"/>
                <w:szCs w:val="18"/>
              </w:rPr>
            </w:pPr>
            <w:r w:rsidRPr="00D15C5F">
              <w:rPr>
                <w:rFonts w:ascii="Verdana" w:hAnsi="Verdana"/>
                <w:sz w:val="18"/>
                <w:szCs w:val="18"/>
              </w:rPr>
              <w:t xml:space="preserve">Voorbereiding van de uitvoering kost veel tijd en geld. </w:t>
            </w:r>
          </w:p>
          <w:p w:rsidRPr="00D15C5F" w:rsidR="00147B06" w:rsidP="00147B06" w:rsidRDefault="00147B06" w14:paraId="027A0460" w14:textId="6E5D2721">
            <w:pPr>
              <w:pStyle w:val="Lijstalinea"/>
              <w:numPr>
                <w:ilvl w:val="0"/>
                <w:numId w:val="6"/>
              </w:numPr>
              <w:spacing w:after="0" w:line="276" w:lineRule="auto"/>
              <w:ind w:right="272"/>
              <w:rPr>
                <w:rFonts w:ascii="Verdana" w:hAnsi="Verdana"/>
                <w:sz w:val="18"/>
                <w:szCs w:val="18"/>
              </w:rPr>
            </w:pPr>
            <w:r w:rsidRPr="00D15C5F">
              <w:rPr>
                <w:rFonts w:ascii="Verdana" w:hAnsi="Verdana"/>
                <w:sz w:val="18"/>
                <w:szCs w:val="18"/>
              </w:rPr>
              <w:t>Maatregel gaat gepaard met aanzienlijke administratieve lasten en ICT-uitdagingen bij de uitvoerende partij.</w:t>
            </w:r>
          </w:p>
          <w:p w:rsidR="00147B06" w:rsidP="00147B06" w:rsidRDefault="00365F4A" w14:paraId="1E068705" w14:textId="5A3F1F1F">
            <w:pPr>
              <w:pStyle w:val="Lijstalinea"/>
              <w:numPr>
                <w:ilvl w:val="0"/>
                <w:numId w:val="6"/>
              </w:numPr>
              <w:spacing w:after="0" w:line="276" w:lineRule="auto"/>
              <w:rPr>
                <w:rFonts w:ascii="Verdana" w:hAnsi="Verdana" w:cstheme="minorHAnsi"/>
                <w:sz w:val="18"/>
                <w:szCs w:val="18"/>
              </w:rPr>
            </w:pPr>
            <w:r>
              <w:rPr>
                <w:rFonts w:ascii="Verdana" w:hAnsi="Verdana" w:cstheme="minorHAnsi"/>
                <w:sz w:val="18"/>
                <w:szCs w:val="18"/>
              </w:rPr>
              <w:t>Laat</w:t>
            </w:r>
            <w:r w:rsidRPr="00D15C5F" w:rsidR="00147B06">
              <w:rPr>
                <w:rFonts w:ascii="Verdana" w:hAnsi="Verdana" w:cstheme="minorHAnsi"/>
                <w:sz w:val="18"/>
                <w:szCs w:val="18"/>
              </w:rPr>
              <w:t xml:space="preserve"> de uitvoerende partij een uitvoeringstoets doen om zo de implementatietijd, kosten en risico’s in beeld te krijgen. </w:t>
            </w:r>
          </w:p>
          <w:p w:rsidRPr="00147B06" w:rsidR="00147B06" w:rsidP="00A85D76" w:rsidRDefault="00147B06" w14:paraId="7B76861F" w14:textId="77777777">
            <w:pPr>
              <w:autoSpaceDN/>
              <w:spacing w:line="276" w:lineRule="auto"/>
              <w:textAlignment w:val="auto"/>
              <w:rPr>
                <w:rFonts w:cstheme="minorHAnsi"/>
              </w:rPr>
            </w:pPr>
          </w:p>
          <w:p w:rsidRPr="00147B06" w:rsidR="00147B06" w:rsidP="009515DE" w:rsidRDefault="00147B06" w14:paraId="7010E42E" w14:textId="79B0477B">
            <w:pPr>
              <w:spacing w:line="276" w:lineRule="auto"/>
              <w:ind w:left="199"/>
              <w:rPr>
                <w:rFonts w:cstheme="minorHAnsi"/>
              </w:rPr>
            </w:pPr>
            <w:r w:rsidRPr="00147B06">
              <w:rPr>
                <w:rFonts w:cstheme="minorHAnsi"/>
              </w:rPr>
              <w:t>Bij optie B hoeft in tegenstelling tot het opzetten van een voorziening geen nieuwe structuur te worden opgericht.</w:t>
            </w:r>
            <w:r w:rsidR="0033329B">
              <w:rPr>
                <w:rFonts w:cstheme="minorHAnsi"/>
              </w:rPr>
              <w:t xml:space="preserve"> </w:t>
            </w:r>
            <w:r w:rsidRPr="0033329B">
              <w:rPr>
                <w:rFonts w:cstheme="minorHAnsi"/>
              </w:rPr>
              <w:t>Overweeg daarom om als eerste stap subsidie te verlenen aan bestaande lokale noodfondsen</w:t>
            </w:r>
            <w:r w:rsidR="006823FA">
              <w:rPr>
                <w:rFonts w:cstheme="minorHAnsi"/>
              </w:rPr>
              <w:t xml:space="preserve"> </w:t>
            </w:r>
            <w:r w:rsidRPr="0033329B">
              <w:rPr>
                <w:rFonts w:cstheme="minorHAnsi"/>
              </w:rPr>
              <w:t xml:space="preserve">om leerpunten en opschalingsmogelijkheden op te halen die mogelijk ingezet kunnen worden voor andere lokale noodfondsen of een landelijk noodfonds. </w:t>
            </w:r>
          </w:p>
        </w:tc>
      </w:tr>
      <w:tr w:rsidRPr="00147B06" w:rsidR="00147B06" w:rsidTr="00A85D76" w14:paraId="01949031" w14:textId="77777777">
        <w:tc>
          <w:tcPr>
            <w:tcW w:w="1803" w:type="dxa"/>
            <w:shd w:val="clear" w:color="auto" w:fill="45B0E1"/>
          </w:tcPr>
          <w:p w:rsidRPr="00147B06" w:rsidR="00147B06" w:rsidP="00A85D76" w:rsidRDefault="00147B06" w14:paraId="75E465D2" w14:textId="77777777">
            <w:pPr>
              <w:spacing w:line="360" w:lineRule="auto"/>
              <w:ind w:left="142"/>
              <w:rPr>
                <w:rFonts w:cstheme="minorHAnsi"/>
              </w:rPr>
            </w:pPr>
            <w:r w:rsidRPr="00147B06">
              <w:rPr>
                <w:rFonts w:cstheme="minorHAnsi"/>
              </w:rPr>
              <w:lastRenderedPageBreak/>
              <w:t>Neveneffecten</w:t>
            </w:r>
          </w:p>
        </w:tc>
        <w:tc>
          <w:tcPr>
            <w:tcW w:w="5984" w:type="dxa"/>
          </w:tcPr>
          <w:p w:rsidRPr="00D15C5F" w:rsidR="00147B06" w:rsidP="00147B06" w:rsidRDefault="00147B06" w14:paraId="562315A2" w14:textId="686B0953">
            <w:pPr>
              <w:pStyle w:val="Lijstalinea"/>
              <w:numPr>
                <w:ilvl w:val="0"/>
                <w:numId w:val="6"/>
              </w:numPr>
              <w:spacing w:after="0" w:line="276" w:lineRule="auto"/>
              <w:rPr>
                <w:rFonts w:ascii="Verdana" w:hAnsi="Verdana" w:cstheme="minorHAnsi"/>
                <w:sz w:val="18"/>
                <w:szCs w:val="18"/>
              </w:rPr>
            </w:pPr>
            <w:r w:rsidRPr="00D15C5F">
              <w:rPr>
                <w:rFonts w:ascii="Verdana" w:hAnsi="Verdana" w:cstheme="minorHAnsi"/>
                <w:sz w:val="18"/>
                <w:szCs w:val="18"/>
              </w:rPr>
              <w:t>Een landelijk noodfonds kan ten koste gaan van lokale initiatieven. Ook van lokale noodfondsen waar private donaties naar gaan.</w:t>
            </w:r>
          </w:p>
          <w:p w:rsidRPr="009515DE" w:rsidR="00147B06" w:rsidP="009515DE" w:rsidRDefault="00147B06" w14:paraId="0AAF491D" w14:textId="5D78189F">
            <w:pPr>
              <w:pStyle w:val="Lijstalinea"/>
              <w:numPr>
                <w:ilvl w:val="0"/>
                <w:numId w:val="6"/>
              </w:numPr>
              <w:spacing w:after="0" w:line="276" w:lineRule="auto"/>
              <w:rPr>
                <w:rFonts w:ascii="Verdana" w:hAnsi="Verdana" w:cstheme="minorHAnsi"/>
                <w:sz w:val="18"/>
                <w:szCs w:val="18"/>
              </w:rPr>
            </w:pPr>
            <w:r w:rsidRPr="00D15C5F">
              <w:rPr>
                <w:rFonts w:ascii="Verdana" w:hAnsi="Verdana"/>
                <w:sz w:val="18"/>
                <w:szCs w:val="18"/>
              </w:rPr>
              <w:t>Door de introductie van een landelijk noodfonds is het te verwachten dat het huidige beroep op de bestaande noodfondsen en informele netwerken zal afnemen.</w:t>
            </w:r>
          </w:p>
        </w:tc>
      </w:tr>
      <w:tr w:rsidRPr="00147B06" w:rsidR="00147B06" w:rsidTr="00A85D76" w14:paraId="53A5724D" w14:textId="77777777">
        <w:tc>
          <w:tcPr>
            <w:tcW w:w="1803" w:type="dxa"/>
            <w:shd w:val="clear" w:color="auto" w:fill="45B0E1"/>
          </w:tcPr>
          <w:p w:rsidRPr="00147B06" w:rsidR="00147B06" w:rsidP="00A85D76" w:rsidRDefault="00147B06" w14:paraId="3B6C532F" w14:textId="77777777">
            <w:pPr>
              <w:spacing w:line="360" w:lineRule="auto"/>
              <w:ind w:left="142"/>
              <w:rPr>
                <w:rFonts w:cstheme="minorHAnsi"/>
              </w:rPr>
            </w:pPr>
            <w:r w:rsidRPr="00147B06">
              <w:rPr>
                <w:rFonts w:cstheme="minorHAnsi"/>
              </w:rPr>
              <w:t>Juridische kaders</w:t>
            </w:r>
          </w:p>
        </w:tc>
        <w:tc>
          <w:tcPr>
            <w:tcW w:w="5984" w:type="dxa"/>
          </w:tcPr>
          <w:p w:rsidRPr="00D15C5F" w:rsidR="00147B06" w:rsidP="00147B06" w:rsidRDefault="00147B06" w14:paraId="749001E4" w14:textId="77777777">
            <w:pPr>
              <w:pStyle w:val="Lijstalinea"/>
              <w:numPr>
                <w:ilvl w:val="0"/>
                <w:numId w:val="6"/>
              </w:numPr>
              <w:spacing w:after="0" w:line="276" w:lineRule="auto"/>
              <w:rPr>
                <w:rFonts w:ascii="Verdana" w:hAnsi="Verdana" w:cstheme="minorHAnsi"/>
                <w:sz w:val="18"/>
                <w:szCs w:val="18"/>
              </w:rPr>
            </w:pPr>
            <w:r w:rsidRPr="00D15C5F">
              <w:rPr>
                <w:rFonts w:ascii="Verdana" w:hAnsi="Verdana" w:cstheme="minorHAnsi"/>
                <w:sz w:val="18"/>
                <w:szCs w:val="18"/>
              </w:rPr>
              <w:t xml:space="preserve">Er moet nog verkend worden hoe een eventuele subsidie aan de huidige noodfondsen passend te maken is binnen de geldende juridische kaders. </w:t>
            </w:r>
          </w:p>
        </w:tc>
      </w:tr>
    </w:tbl>
    <w:p w:rsidR="00147B06" w:rsidP="00147B06" w:rsidRDefault="00147B06" w14:paraId="0D1ED229" w14:textId="77777777"/>
    <w:p w:rsidRPr="00632DCB" w:rsidR="00147B06" w:rsidP="00147B06" w:rsidRDefault="00147B06" w14:paraId="6EF4C5F3" w14:textId="77777777">
      <w:bookmarkStart w:name="_Toc202279976" w:id="350"/>
      <w:bookmarkStart w:name="_Toc202280993" w:id="351"/>
      <w:bookmarkEnd w:id="350"/>
    </w:p>
    <w:p w:rsidRPr="00632DCB" w:rsidR="00147B06" w:rsidP="00147B06" w:rsidRDefault="00147B06" w14:paraId="4AE767B3" w14:textId="77777777"/>
    <w:p w:rsidR="00147B06" w:rsidP="00147B06" w:rsidRDefault="00147B06" w14:paraId="2036A11A" w14:textId="77777777"/>
    <w:p w:rsidRPr="00632DCB" w:rsidR="00147B06" w:rsidP="00F26A3B" w:rsidRDefault="009515DE" w14:paraId="5F162BE2" w14:textId="4F6586BF">
      <w:pPr>
        <w:spacing w:line="240" w:lineRule="auto"/>
      </w:pPr>
      <w:r>
        <w:br w:type="page"/>
      </w:r>
    </w:p>
    <w:p w:rsidRPr="00005C8A" w:rsidR="0007616A" w:rsidP="009C7EA0" w:rsidRDefault="006618E9" w14:paraId="059C7648" w14:textId="60CDE5D0">
      <w:pPr>
        <w:pStyle w:val="Kop1"/>
      </w:pPr>
      <w:bookmarkStart w:name="_Toc209100786" w:id="352"/>
      <w:bookmarkStart w:name="_Toc209100787" w:id="353"/>
      <w:bookmarkStart w:name="_Toc209100788" w:id="354"/>
      <w:bookmarkStart w:name="_Toc209100789" w:id="355"/>
      <w:bookmarkStart w:name="_Toc209100790" w:id="356"/>
      <w:bookmarkStart w:name="_Toc209100791" w:id="357"/>
      <w:bookmarkStart w:name="_Toc209100792" w:id="358"/>
      <w:bookmarkStart w:name="_Toc209100793" w:id="359"/>
      <w:bookmarkStart w:name="_Toc209100794" w:id="360"/>
      <w:bookmarkStart w:name="_Toc209100795" w:id="361"/>
      <w:bookmarkStart w:name="_Toc209100796" w:id="362"/>
      <w:bookmarkStart w:name="_Toc209100797" w:id="363"/>
      <w:bookmarkStart w:name="_Toc209100798" w:id="364"/>
      <w:bookmarkStart w:name="_Toc209100799" w:id="365"/>
      <w:bookmarkStart w:name="_Toc209100800" w:id="366"/>
      <w:bookmarkStart w:name="_Toc209100801" w:id="367"/>
      <w:bookmarkStart w:name="_Toc209100802" w:id="368"/>
      <w:bookmarkStart w:name="_Toc209100803" w:id="369"/>
      <w:bookmarkStart w:name="_Toc209100804" w:id="370"/>
      <w:bookmarkStart w:name="_Toc209100805" w:id="371"/>
      <w:bookmarkStart w:name="_Toc209100806" w:id="372"/>
      <w:bookmarkStart w:name="_Toc209100807" w:id="373"/>
      <w:bookmarkStart w:name="_Toc209100808" w:id="374"/>
      <w:bookmarkStart w:name="_Toc209100809" w:id="375"/>
      <w:bookmarkStart w:name="_Toc209100810" w:id="376"/>
      <w:bookmarkStart w:name="_Toc209100811" w:id="377"/>
      <w:bookmarkStart w:name="_Toc209100812" w:id="378"/>
      <w:bookmarkStart w:name="_Toc209100813" w:id="379"/>
      <w:bookmarkStart w:name="_Toc206581880" w:id="380"/>
      <w:bookmarkStart w:name="_Toc207106272" w:id="381"/>
      <w:bookmarkStart w:name="_Toc206581881" w:id="382"/>
      <w:bookmarkStart w:name="_Toc207106273" w:id="383"/>
      <w:bookmarkStart w:name="_Toc206581882" w:id="384"/>
      <w:bookmarkStart w:name="_Toc207106274" w:id="385"/>
      <w:bookmarkStart w:name="_Toc206581883" w:id="386"/>
      <w:bookmarkStart w:name="_Toc207106275" w:id="387"/>
      <w:bookmarkStart w:name="_Toc206581884" w:id="388"/>
      <w:bookmarkStart w:name="_Toc207106276" w:id="389"/>
      <w:bookmarkStart w:name="_Toc206581885" w:id="390"/>
      <w:bookmarkStart w:name="_Toc207106277" w:id="391"/>
      <w:bookmarkStart w:name="_Toc206581886" w:id="392"/>
      <w:bookmarkStart w:name="_Toc207106278" w:id="393"/>
      <w:bookmarkStart w:name="_Toc206493556" w:id="394"/>
      <w:bookmarkStart w:name="_Toc206505531" w:id="395"/>
      <w:bookmarkStart w:name="_Toc206581887" w:id="396"/>
      <w:bookmarkStart w:name="_Toc207106279" w:id="397"/>
      <w:bookmarkStart w:name="_Toc206493557" w:id="398"/>
      <w:bookmarkStart w:name="_Toc206505532" w:id="399"/>
      <w:bookmarkStart w:name="_Toc206581888" w:id="400"/>
      <w:bookmarkStart w:name="_Toc207106280" w:id="401"/>
      <w:bookmarkStart w:name="_Toc206493558" w:id="402"/>
      <w:bookmarkStart w:name="_Toc206505533" w:id="403"/>
      <w:bookmarkStart w:name="_Toc206581889" w:id="404"/>
      <w:bookmarkStart w:name="_Toc207106281" w:id="405"/>
      <w:bookmarkStart w:name="_Toc206493559" w:id="406"/>
      <w:bookmarkStart w:name="_Toc206505534" w:id="407"/>
      <w:bookmarkStart w:name="_Toc206581890" w:id="408"/>
      <w:bookmarkStart w:name="_Toc207106282" w:id="409"/>
      <w:bookmarkStart w:name="_Toc206493560" w:id="410"/>
      <w:bookmarkStart w:name="_Toc206505535" w:id="411"/>
      <w:bookmarkStart w:name="_Toc206581891" w:id="412"/>
      <w:bookmarkStart w:name="_Toc207106283" w:id="413"/>
      <w:bookmarkStart w:name="_Toc206493561" w:id="414"/>
      <w:bookmarkStart w:name="_Toc206505536" w:id="415"/>
      <w:bookmarkStart w:name="_Toc206581892" w:id="416"/>
      <w:bookmarkStart w:name="_Toc207106284" w:id="417"/>
      <w:bookmarkStart w:name="_Toc206493562" w:id="418"/>
      <w:bookmarkStart w:name="_Toc206505537" w:id="419"/>
      <w:bookmarkStart w:name="_Toc206581893" w:id="420"/>
      <w:bookmarkStart w:name="_Toc207106285" w:id="421"/>
      <w:bookmarkStart w:name="_Toc206493563" w:id="422"/>
      <w:bookmarkStart w:name="_Toc206505538" w:id="423"/>
      <w:bookmarkStart w:name="_Toc206581894" w:id="424"/>
      <w:bookmarkStart w:name="_Toc207106286" w:id="425"/>
      <w:bookmarkStart w:name="_Toc206493564" w:id="426"/>
      <w:bookmarkStart w:name="_Toc206505539" w:id="427"/>
      <w:bookmarkStart w:name="_Toc206581895" w:id="428"/>
      <w:bookmarkStart w:name="_Toc207106287" w:id="429"/>
      <w:bookmarkStart w:name="_Toc206493565" w:id="430"/>
      <w:bookmarkStart w:name="_Toc206505540" w:id="431"/>
      <w:bookmarkStart w:name="_Toc206581896" w:id="432"/>
      <w:bookmarkStart w:name="_Toc207106288" w:id="433"/>
      <w:bookmarkStart w:name="_Toc206493566" w:id="434"/>
      <w:bookmarkStart w:name="_Toc206505541" w:id="435"/>
      <w:bookmarkStart w:name="_Toc206581897" w:id="436"/>
      <w:bookmarkStart w:name="_Toc207106289" w:id="437"/>
      <w:bookmarkStart w:name="_Toc206493567" w:id="438"/>
      <w:bookmarkStart w:name="_Toc206505542" w:id="439"/>
      <w:bookmarkStart w:name="_Toc206581898" w:id="440"/>
      <w:bookmarkStart w:name="_Toc207106290" w:id="441"/>
      <w:bookmarkStart w:name="_Toc206493568" w:id="442"/>
      <w:bookmarkStart w:name="_Toc206505543" w:id="443"/>
      <w:bookmarkStart w:name="_Toc206581899" w:id="444"/>
      <w:bookmarkStart w:name="_Toc207106291" w:id="445"/>
      <w:bookmarkStart w:name="_Toc206493569" w:id="446"/>
      <w:bookmarkStart w:name="_Toc206505544" w:id="447"/>
      <w:bookmarkStart w:name="_Toc206581900" w:id="448"/>
      <w:bookmarkStart w:name="_Toc207106292" w:id="449"/>
      <w:bookmarkStart w:name="_Toc206493570" w:id="450"/>
      <w:bookmarkStart w:name="_Toc206505545" w:id="451"/>
      <w:bookmarkStart w:name="_Toc206581901" w:id="452"/>
      <w:bookmarkStart w:name="_Toc207106293" w:id="453"/>
      <w:bookmarkStart w:name="_Toc206493571" w:id="454"/>
      <w:bookmarkStart w:name="_Toc206505546" w:id="455"/>
      <w:bookmarkStart w:name="_Toc206581902" w:id="456"/>
      <w:bookmarkStart w:name="_Toc207106294" w:id="457"/>
      <w:bookmarkStart w:name="_Toc206493572" w:id="458"/>
      <w:bookmarkStart w:name="_Toc206505547" w:id="459"/>
      <w:bookmarkStart w:name="_Toc206581903" w:id="460"/>
      <w:bookmarkStart w:name="_Toc207106295" w:id="461"/>
      <w:bookmarkStart w:name="_Toc206493573" w:id="462"/>
      <w:bookmarkStart w:name="_Toc206505548" w:id="463"/>
      <w:bookmarkStart w:name="_Toc206581904" w:id="464"/>
      <w:bookmarkStart w:name="_Toc207106296" w:id="465"/>
      <w:bookmarkStart w:name="_Toc206493574" w:id="466"/>
      <w:bookmarkStart w:name="_Toc206505549" w:id="467"/>
      <w:bookmarkStart w:name="_Toc206581905" w:id="468"/>
      <w:bookmarkStart w:name="_Toc207106297" w:id="469"/>
      <w:bookmarkStart w:name="_Toc206493575" w:id="470"/>
      <w:bookmarkStart w:name="_Toc206505550" w:id="471"/>
      <w:bookmarkStart w:name="_Toc206581906" w:id="472"/>
      <w:bookmarkStart w:name="_Toc207106298" w:id="473"/>
      <w:bookmarkStart w:name="_Toc206493576" w:id="474"/>
      <w:bookmarkStart w:name="_Toc206505551" w:id="475"/>
      <w:bookmarkStart w:name="_Toc206581907" w:id="476"/>
      <w:bookmarkStart w:name="_Toc207106299" w:id="477"/>
      <w:bookmarkStart w:name="_Toc206493577" w:id="478"/>
      <w:bookmarkStart w:name="_Toc206505552" w:id="479"/>
      <w:bookmarkStart w:name="_Toc206581908" w:id="480"/>
      <w:bookmarkStart w:name="_Toc207106300" w:id="481"/>
      <w:bookmarkStart w:name="_Toc206493578" w:id="482"/>
      <w:bookmarkStart w:name="_Toc206505553" w:id="483"/>
      <w:bookmarkStart w:name="_Toc206581909" w:id="484"/>
      <w:bookmarkStart w:name="_Toc207106301" w:id="485"/>
      <w:bookmarkStart w:name="_Toc206493579" w:id="486"/>
      <w:bookmarkStart w:name="_Toc206505554" w:id="487"/>
      <w:bookmarkStart w:name="_Toc206581910" w:id="488"/>
      <w:bookmarkStart w:name="_Toc207106302" w:id="489"/>
      <w:bookmarkStart w:name="_Toc206493580" w:id="490"/>
      <w:bookmarkStart w:name="_Toc206505555" w:id="491"/>
      <w:bookmarkStart w:name="_Toc206581911" w:id="492"/>
      <w:bookmarkStart w:name="_Toc207106303" w:id="493"/>
      <w:bookmarkStart w:name="_Toc206493581" w:id="494"/>
      <w:bookmarkStart w:name="_Toc206505556" w:id="495"/>
      <w:bookmarkStart w:name="_Toc206581912" w:id="496"/>
      <w:bookmarkStart w:name="_Toc207106304" w:id="497"/>
      <w:bookmarkStart w:name="_Toc206493582" w:id="498"/>
      <w:bookmarkStart w:name="_Toc206505557" w:id="499"/>
      <w:bookmarkStart w:name="_Toc206581913" w:id="500"/>
      <w:bookmarkStart w:name="_Toc207106305" w:id="501"/>
      <w:bookmarkStart w:name="_Toc206493583" w:id="502"/>
      <w:bookmarkStart w:name="_Toc206505558" w:id="503"/>
      <w:bookmarkStart w:name="_Toc206581914" w:id="504"/>
      <w:bookmarkStart w:name="_Toc207106306" w:id="505"/>
      <w:bookmarkStart w:name="_Toc206493584" w:id="506"/>
      <w:bookmarkStart w:name="_Toc206505559" w:id="507"/>
      <w:bookmarkStart w:name="_Toc206581915" w:id="508"/>
      <w:bookmarkStart w:name="_Toc207106307" w:id="509"/>
      <w:bookmarkStart w:name="_Toc204693466" w:id="510"/>
      <w:bookmarkStart w:name="_Toc204693467" w:id="511"/>
      <w:bookmarkStart w:name="_Toc202982428" w:id="512"/>
      <w:bookmarkStart w:name="_Toc202982483" w:id="513"/>
      <w:bookmarkStart w:name="_Toc202982537" w:id="514"/>
      <w:bookmarkStart w:name="_Toc202982591" w:id="515"/>
      <w:bookmarkStart w:name="_Toc202982644" w:id="516"/>
      <w:bookmarkStart w:name="_Toc202982692" w:id="517"/>
      <w:bookmarkStart w:name="_Toc202982746" w:id="518"/>
      <w:bookmarkStart w:name="_Toc202982800" w:id="519"/>
      <w:bookmarkStart w:name="_Toc202982914" w:id="520"/>
      <w:bookmarkStart w:name="_Toc202982968" w:id="521"/>
      <w:bookmarkStart w:name="_Toc202982429" w:id="522"/>
      <w:bookmarkStart w:name="_Toc202982484" w:id="523"/>
      <w:bookmarkStart w:name="_Toc202982538" w:id="524"/>
      <w:bookmarkStart w:name="_Toc202982592" w:id="525"/>
      <w:bookmarkStart w:name="_Toc202982645" w:id="526"/>
      <w:bookmarkStart w:name="_Toc202982693" w:id="527"/>
      <w:bookmarkStart w:name="_Toc202982747" w:id="528"/>
      <w:bookmarkStart w:name="_Toc202982801" w:id="529"/>
      <w:bookmarkStart w:name="_Toc202982915" w:id="530"/>
      <w:bookmarkStart w:name="_Toc202982969" w:id="531"/>
      <w:bookmarkStart w:name="_Toc202982430" w:id="532"/>
      <w:bookmarkStart w:name="_Toc202982485" w:id="533"/>
      <w:bookmarkStart w:name="_Toc202982539" w:id="534"/>
      <w:bookmarkStart w:name="_Toc202982593" w:id="535"/>
      <w:bookmarkStart w:name="_Toc202982646" w:id="536"/>
      <w:bookmarkStart w:name="_Toc202982694" w:id="537"/>
      <w:bookmarkStart w:name="_Toc202982748" w:id="538"/>
      <w:bookmarkStart w:name="_Toc202982802" w:id="539"/>
      <w:bookmarkStart w:name="_Toc202982916" w:id="540"/>
      <w:bookmarkStart w:name="_Toc202982970" w:id="541"/>
      <w:bookmarkStart w:name="_Toc202982431" w:id="542"/>
      <w:bookmarkStart w:name="_Toc202982486" w:id="543"/>
      <w:bookmarkStart w:name="_Toc202982540" w:id="544"/>
      <w:bookmarkStart w:name="_Toc202982594" w:id="545"/>
      <w:bookmarkStart w:name="_Toc202982647" w:id="546"/>
      <w:bookmarkStart w:name="_Toc202982695" w:id="547"/>
      <w:bookmarkStart w:name="_Toc202982749" w:id="548"/>
      <w:bookmarkStart w:name="_Toc202982803" w:id="549"/>
      <w:bookmarkStart w:name="_Toc202982917" w:id="550"/>
      <w:bookmarkStart w:name="_Toc202982971" w:id="551"/>
      <w:bookmarkStart w:name="_Toc202982432" w:id="552"/>
      <w:bookmarkStart w:name="_Toc202982487" w:id="553"/>
      <w:bookmarkStart w:name="_Toc202982541" w:id="554"/>
      <w:bookmarkStart w:name="_Toc202982595" w:id="555"/>
      <w:bookmarkStart w:name="_Toc202982648" w:id="556"/>
      <w:bookmarkStart w:name="_Toc202982696" w:id="557"/>
      <w:bookmarkStart w:name="_Toc202982750" w:id="558"/>
      <w:bookmarkStart w:name="_Toc202982804" w:id="559"/>
      <w:bookmarkStart w:name="_Toc202982918" w:id="560"/>
      <w:bookmarkStart w:name="_Toc202982972" w:id="561"/>
      <w:bookmarkStart w:name="_Toc202982433" w:id="562"/>
      <w:bookmarkStart w:name="_Toc202982488" w:id="563"/>
      <w:bookmarkStart w:name="_Toc202982542" w:id="564"/>
      <w:bookmarkStart w:name="_Toc202982596" w:id="565"/>
      <w:bookmarkStart w:name="_Toc202982649" w:id="566"/>
      <w:bookmarkStart w:name="_Toc202982697" w:id="567"/>
      <w:bookmarkStart w:name="_Toc202982751" w:id="568"/>
      <w:bookmarkStart w:name="_Toc202982805" w:id="569"/>
      <w:bookmarkStart w:name="_Toc202982919" w:id="570"/>
      <w:bookmarkStart w:name="_Toc202982973" w:id="571"/>
      <w:bookmarkStart w:name="_Toc202982434" w:id="572"/>
      <w:bookmarkStart w:name="_Toc202982489" w:id="573"/>
      <w:bookmarkStart w:name="_Toc202982543" w:id="574"/>
      <w:bookmarkStart w:name="_Toc202982597" w:id="575"/>
      <w:bookmarkStart w:name="_Toc202982650" w:id="576"/>
      <w:bookmarkStart w:name="_Toc202982698" w:id="577"/>
      <w:bookmarkStart w:name="_Toc202982752" w:id="578"/>
      <w:bookmarkStart w:name="_Toc202982806" w:id="579"/>
      <w:bookmarkStart w:name="_Toc202982920" w:id="580"/>
      <w:bookmarkStart w:name="_Toc202982974" w:id="581"/>
      <w:bookmarkStart w:name="_Toc202982435" w:id="582"/>
      <w:bookmarkStart w:name="_Toc202982490" w:id="583"/>
      <w:bookmarkStart w:name="_Toc202982544" w:id="584"/>
      <w:bookmarkStart w:name="_Toc202982598" w:id="585"/>
      <w:bookmarkStart w:name="_Toc202982651" w:id="586"/>
      <w:bookmarkStart w:name="_Toc202982699" w:id="587"/>
      <w:bookmarkStart w:name="_Toc202982753" w:id="588"/>
      <w:bookmarkStart w:name="_Toc202982807" w:id="589"/>
      <w:bookmarkStart w:name="_Toc202982921" w:id="590"/>
      <w:bookmarkStart w:name="_Toc202982975" w:id="591"/>
      <w:bookmarkStart w:name="_Toc202982436" w:id="592"/>
      <w:bookmarkStart w:name="_Toc202982491" w:id="593"/>
      <w:bookmarkStart w:name="_Toc202982545" w:id="594"/>
      <w:bookmarkStart w:name="_Toc202982599" w:id="595"/>
      <w:bookmarkStart w:name="_Toc202982652" w:id="596"/>
      <w:bookmarkStart w:name="_Toc202982700" w:id="597"/>
      <w:bookmarkStart w:name="_Toc202982754" w:id="598"/>
      <w:bookmarkStart w:name="_Toc202982808" w:id="599"/>
      <w:bookmarkStart w:name="_Toc202982922" w:id="600"/>
      <w:bookmarkStart w:name="_Toc202982976" w:id="601"/>
      <w:bookmarkStart w:name="_Toc202982437" w:id="602"/>
      <w:bookmarkStart w:name="_Toc202982492" w:id="603"/>
      <w:bookmarkStart w:name="_Toc202982546" w:id="604"/>
      <w:bookmarkStart w:name="_Toc202982600" w:id="605"/>
      <w:bookmarkStart w:name="_Toc202982653" w:id="606"/>
      <w:bookmarkStart w:name="_Toc202982701" w:id="607"/>
      <w:bookmarkStart w:name="_Toc202982755" w:id="608"/>
      <w:bookmarkStart w:name="_Toc202982809" w:id="609"/>
      <w:bookmarkStart w:name="_Toc202982923" w:id="610"/>
      <w:bookmarkStart w:name="_Toc202982977" w:id="611"/>
      <w:bookmarkStart w:name="_Toc202982438" w:id="612"/>
      <w:bookmarkStart w:name="_Toc202982493" w:id="613"/>
      <w:bookmarkStart w:name="_Toc202982547" w:id="614"/>
      <w:bookmarkStart w:name="_Toc202982601" w:id="615"/>
      <w:bookmarkStart w:name="_Toc202982654" w:id="616"/>
      <w:bookmarkStart w:name="_Toc202982702" w:id="617"/>
      <w:bookmarkStart w:name="_Toc202982756" w:id="618"/>
      <w:bookmarkStart w:name="_Toc202982810" w:id="619"/>
      <w:bookmarkStart w:name="_Toc202982924" w:id="620"/>
      <w:bookmarkStart w:name="_Toc202982978" w:id="621"/>
      <w:bookmarkStart w:name="_Toc202982439" w:id="622"/>
      <w:bookmarkStart w:name="_Toc202982494" w:id="623"/>
      <w:bookmarkStart w:name="_Toc202982548" w:id="624"/>
      <w:bookmarkStart w:name="_Toc202982602" w:id="625"/>
      <w:bookmarkStart w:name="_Toc202982655" w:id="626"/>
      <w:bookmarkStart w:name="_Toc202982703" w:id="627"/>
      <w:bookmarkStart w:name="_Toc202982757" w:id="628"/>
      <w:bookmarkStart w:name="_Toc202982811" w:id="629"/>
      <w:bookmarkStart w:name="_Toc202982925" w:id="630"/>
      <w:bookmarkStart w:name="_Toc202982979" w:id="631"/>
      <w:bookmarkStart w:name="_Toc202982440" w:id="632"/>
      <w:bookmarkStart w:name="_Toc202982495" w:id="633"/>
      <w:bookmarkStart w:name="_Toc202982549" w:id="634"/>
      <w:bookmarkStart w:name="_Toc202982603" w:id="635"/>
      <w:bookmarkStart w:name="_Toc202982656" w:id="636"/>
      <w:bookmarkStart w:name="_Toc202982704" w:id="637"/>
      <w:bookmarkStart w:name="_Toc202982758" w:id="638"/>
      <w:bookmarkStart w:name="_Toc202982812" w:id="639"/>
      <w:bookmarkStart w:name="_Toc202982926" w:id="640"/>
      <w:bookmarkStart w:name="_Toc202982980" w:id="641"/>
      <w:bookmarkStart w:name="_Toc202982441" w:id="642"/>
      <w:bookmarkStart w:name="_Toc202982496" w:id="643"/>
      <w:bookmarkStart w:name="_Toc202982550" w:id="644"/>
      <w:bookmarkStart w:name="_Toc202982604" w:id="645"/>
      <w:bookmarkStart w:name="_Toc202982657" w:id="646"/>
      <w:bookmarkStart w:name="_Toc202982705" w:id="647"/>
      <w:bookmarkStart w:name="_Toc202982759" w:id="648"/>
      <w:bookmarkStart w:name="_Toc202982813" w:id="649"/>
      <w:bookmarkStart w:name="_Toc202982927" w:id="650"/>
      <w:bookmarkStart w:name="_Toc202982981" w:id="651"/>
      <w:bookmarkStart w:name="_Toc202982442" w:id="652"/>
      <w:bookmarkStart w:name="_Toc202982497" w:id="653"/>
      <w:bookmarkStart w:name="_Toc202982551" w:id="654"/>
      <w:bookmarkStart w:name="_Toc202982605" w:id="655"/>
      <w:bookmarkStart w:name="_Toc202982658" w:id="656"/>
      <w:bookmarkStart w:name="_Toc202982706" w:id="657"/>
      <w:bookmarkStart w:name="_Toc202982760" w:id="658"/>
      <w:bookmarkStart w:name="_Toc202982814" w:id="659"/>
      <w:bookmarkStart w:name="_Toc202982928" w:id="660"/>
      <w:bookmarkStart w:name="_Toc202982982" w:id="661"/>
      <w:bookmarkStart w:name="_Toc202982443" w:id="662"/>
      <w:bookmarkStart w:name="_Toc202982498" w:id="663"/>
      <w:bookmarkStart w:name="_Toc202982552" w:id="664"/>
      <w:bookmarkStart w:name="_Toc202982606" w:id="665"/>
      <w:bookmarkStart w:name="_Toc202982659" w:id="666"/>
      <w:bookmarkStart w:name="_Toc202982707" w:id="667"/>
      <w:bookmarkStart w:name="_Toc202982761" w:id="668"/>
      <w:bookmarkStart w:name="_Toc202982815" w:id="669"/>
      <w:bookmarkStart w:name="_Toc202982929" w:id="670"/>
      <w:bookmarkStart w:name="_Toc202982983" w:id="671"/>
      <w:bookmarkStart w:name="_Toc202982444" w:id="672"/>
      <w:bookmarkStart w:name="_Toc202982499" w:id="673"/>
      <w:bookmarkStart w:name="_Toc202982553" w:id="674"/>
      <w:bookmarkStart w:name="_Toc202982607" w:id="675"/>
      <w:bookmarkStart w:name="_Toc202982660" w:id="676"/>
      <w:bookmarkStart w:name="_Toc202982708" w:id="677"/>
      <w:bookmarkStart w:name="_Toc202982762" w:id="678"/>
      <w:bookmarkStart w:name="_Toc202982816" w:id="679"/>
      <w:bookmarkStart w:name="_Toc202982930" w:id="680"/>
      <w:bookmarkStart w:name="_Toc202982984" w:id="681"/>
      <w:bookmarkStart w:name="_Toc202982445" w:id="682"/>
      <w:bookmarkStart w:name="_Toc202982500" w:id="683"/>
      <w:bookmarkStart w:name="_Toc202982554" w:id="684"/>
      <w:bookmarkStart w:name="_Toc202982608" w:id="685"/>
      <w:bookmarkStart w:name="_Toc202982661" w:id="686"/>
      <w:bookmarkStart w:name="_Toc202982709" w:id="687"/>
      <w:bookmarkStart w:name="_Toc202982763" w:id="688"/>
      <w:bookmarkStart w:name="_Toc202982817" w:id="689"/>
      <w:bookmarkStart w:name="_Toc202982931" w:id="690"/>
      <w:bookmarkStart w:name="_Toc202982985" w:id="691"/>
      <w:bookmarkStart w:name="_Toc202982446" w:id="692"/>
      <w:bookmarkStart w:name="_Toc202982501" w:id="693"/>
      <w:bookmarkStart w:name="_Toc202982555" w:id="694"/>
      <w:bookmarkStart w:name="_Toc202982609" w:id="695"/>
      <w:bookmarkStart w:name="_Toc202982662" w:id="696"/>
      <w:bookmarkStart w:name="_Toc202982710" w:id="697"/>
      <w:bookmarkStart w:name="_Toc202982764" w:id="698"/>
      <w:bookmarkStart w:name="_Toc202982818" w:id="699"/>
      <w:bookmarkStart w:name="_Toc202982932" w:id="700"/>
      <w:bookmarkStart w:name="_Toc202982986" w:id="701"/>
      <w:bookmarkStart w:name="_Toc202982447" w:id="702"/>
      <w:bookmarkStart w:name="_Toc202982502" w:id="703"/>
      <w:bookmarkStart w:name="_Toc202982556" w:id="704"/>
      <w:bookmarkStart w:name="_Toc202982610" w:id="705"/>
      <w:bookmarkStart w:name="_Toc202982663" w:id="706"/>
      <w:bookmarkStart w:name="_Toc202982711" w:id="707"/>
      <w:bookmarkStart w:name="_Toc202982765" w:id="708"/>
      <w:bookmarkStart w:name="_Toc202982819" w:id="709"/>
      <w:bookmarkStart w:name="_Toc202982933" w:id="710"/>
      <w:bookmarkStart w:name="_Toc202982987" w:id="711"/>
      <w:bookmarkStart w:name="_Toc202982448" w:id="712"/>
      <w:bookmarkStart w:name="_Toc202982503" w:id="713"/>
      <w:bookmarkStart w:name="_Toc202982557" w:id="714"/>
      <w:bookmarkStart w:name="_Toc202982611" w:id="715"/>
      <w:bookmarkStart w:name="_Toc202982664" w:id="716"/>
      <w:bookmarkStart w:name="_Toc202982712" w:id="717"/>
      <w:bookmarkStart w:name="_Toc202982766" w:id="718"/>
      <w:bookmarkStart w:name="_Toc202982820" w:id="719"/>
      <w:bookmarkStart w:name="_Toc202982934" w:id="720"/>
      <w:bookmarkStart w:name="_Toc202982988" w:id="721"/>
      <w:bookmarkStart w:name="_Toc202982449" w:id="722"/>
      <w:bookmarkStart w:name="_Toc202982504" w:id="723"/>
      <w:bookmarkStart w:name="_Toc202982558" w:id="724"/>
      <w:bookmarkStart w:name="_Toc202982612" w:id="725"/>
      <w:bookmarkStart w:name="_Toc202982665" w:id="726"/>
      <w:bookmarkStart w:name="_Toc202982713" w:id="727"/>
      <w:bookmarkStart w:name="_Toc202982767" w:id="728"/>
      <w:bookmarkStart w:name="_Toc202982821" w:id="729"/>
      <w:bookmarkStart w:name="_Toc202982935" w:id="730"/>
      <w:bookmarkStart w:name="_Toc202982989" w:id="731"/>
      <w:bookmarkStart w:name="_Toc202982450" w:id="732"/>
      <w:bookmarkStart w:name="_Toc202982505" w:id="733"/>
      <w:bookmarkStart w:name="_Toc202982559" w:id="734"/>
      <w:bookmarkStart w:name="_Toc202982613" w:id="735"/>
      <w:bookmarkStart w:name="_Toc202982666" w:id="736"/>
      <w:bookmarkStart w:name="_Toc202982714" w:id="737"/>
      <w:bookmarkStart w:name="_Toc202982768" w:id="738"/>
      <w:bookmarkStart w:name="_Toc202982822" w:id="739"/>
      <w:bookmarkStart w:name="_Toc202982936" w:id="740"/>
      <w:bookmarkStart w:name="_Toc202982990" w:id="741"/>
      <w:bookmarkStart w:name="_Toc202982451" w:id="742"/>
      <w:bookmarkStart w:name="_Toc202982506" w:id="743"/>
      <w:bookmarkStart w:name="_Toc202982560" w:id="744"/>
      <w:bookmarkStart w:name="_Toc202982614" w:id="745"/>
      <w:bookmarkStart w:name="_Toc202982667" w:id="746"/>
      <w:bookmarkStart w:name="_Toc202982715" w:id="747"/>
      <w:bookmarkStart w:name="_Toc202982769" w:id="748"/>
      <w:bookmarkStart w:name="_Toc202982823" w:id="749"/>
      <w:bookmarkStart w:name="_Toc202982937" w:id="750"/>
      <w:bookmarkStart w:name="_Toc202982991" w:id="751"/>
      <w:bookmarkStart w:name="_Toc214547158" w:id="752"/>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r w:rsidRPr="00005C8A">
        <w:lastRenderedPageBreak/>
        <w:t>Door</w:t>
      </w:r>
      <w:r w:rsidRPr="00005C8A" w:rsidR="00463C7B">
        <w:t>rekening budgettaire</w:t>
      </w:r>
      <w:r w:rsidRPr="00005C8A" w:rsidR="0007616A">
        <w:t xml:space="preserve"> gevolgen</w:t>
      </w:r>
      <w:r w:rsidRPr="00005C8A" w:rsidR="009C7EA0">
        <w:t xml:space="preserve"> per scenario</w:t>
      </w:r>
      <w:bookmarkEnd w:id="752"/>
    </w:p>
    <w:bookmarkEnd w:id="0"/>
    <w:p w:rsidRPr="00005C8A" w:rsidR="005B3A9A" w:rsidP="005B3A9A" w:rsidRDefault="006618E9" w14:paraId="5C7CFD6A" w14:textId="6A752BE8">
      <w:pPr>
        <w:spacing w:line="276" w:lineRule="auto"/>
        <w:rPr>
          <w:i/>
          <w:iCs/>
        </w:rPr>
      </w:pPr>
      <w:r w:rsidRPr="00005C8A">
        <w:t xml:space="preserve">In onderstaande tabellen zijn de verwachte </w:t>
      </w:r>
      <w:r w:rsidRPr="00005C8A" w:rsidR="002D6B51">
        <w:t>budgettaire</w:t>
      </w:r>
      <w:r w:rsidRPr="00005C8A">
        <w:t xml:space="preserve"> gevolgen per scenario </w:t>
      </w:r>
      <w:r w:rsidRPr="00005C8A" w:rsidR="00E05385">
        <w:t>weergegeven</w:t>
      </w:r>
      <w:r w:rsidRPr="00005C8A">
        <w:t xml:space="preserve">. </w:t>
      </w:r>
      <w:r w:rsidRPr="00005C8A" w:rsidR="00E05385">
        <w:t>D</w:t>
      </w:r>
      <w:r w:rsidR="00FF618E">
        <w:t xml:space="preserve">e bedragen </w:t>
      </w:r>
      <w:r w:rsidRPr="00005C8A" w:rsidR="00E05385">
        <w:t xml:space="preserve">hangen af van gedane aannames over o.a. de omvang van de doelgroep en de verwachte zorgkosten. </w:t>
      </w:r>
      <w:r w:rsidRPr="00005C8A">
        <w:t>Voor een toelichting op de aannames en voor de overige bevindingen wordt verwezen naar het rapport</w:t>
      </w:r>
      <w:r w:rsidRPr="00005C8A" w:rsidR="002354AE">
        <w:rPr>
          <w:rStyle w:val="Voetnootmarkering"/>
        </w:rPr>
        <w:footnoteReference w:id="27"/>
      </w:r>
      <w:r w:rsidRPr="00005C8A" w:rsidR="002354AE">
        <w:t xml:space="preserve"> van </w:t>
      </w:r>
      <w:proofErr w:type="spellStart"/>
      <w:r w:rsidRPr="00005C8A" w:rsidR="002354AE">
        <w:t>Gupta</w:t>
      </w:r>
      <w:proofErr w:type="spellEnd"/>
      <w:r w:rsidRPr="00005C8A" w:rsidR="002354AE">
        <w:t xml:space="preserve"> </w:t>
      </w:r>
      <w:proofErr w:type="spellStart"/>
      <w:r w:rsidRPr="00005C8A" w:rsidR="002354AE">
        <w:t>Strategists</w:t>
      </w:r>
      <w:proofErr w:type="spellEnd"/>
      <w:r w:rsidRPr="00005C8A">
        <w:t xml:space="preserve">. </w:t>
      </w:r>
    </w:p>
    <w:p w:rsidRPr="00005C8A" w:rsidR="00960993" w:rsidP="005B3A9A" w:rsidRDefault="00960993" w14:paraId="669B592A" w14:textId="77777777">
      <w:pPr>
        <w:spacing w:line="276" w:lineRule="auto"/>
      </w:pPr>
    </w:p>
    <w:p w:rsidR="00193BCF" w:rsidP="006618E9" w:rsidRDefault="005B3A9A" w14:paraId="403BB1D7" w14:textId="4F65E313">
      <w:pPr>
        <w:spacing w:line="276" w:lineRule="auto"/>
      </w:pPr>
      <w:r w:rsidRPr="00005C8A">
        <w:t>Uit de doorrekeningen blijkt dat de geschatte kosten per maatregel (1, 2 of 3) redelijk gelijk zijn.</w:t>
      </w:r>
      <w:r w:rsidRPr="00005C8A" w:rsidR="00960993">
        <w:t xml:space="preserve"> De verschillen komen door</w:t>
      </w:r>
      <w:r w:rsidR="00FF618E">
        <w:t xml:space="preserve">dat het aantal mensen dat naar verwachting gebruik gaat maken van de maatregel per maatregel verschilt. </w:t>
      </w:r>
      <w:r w:rsidRPr="00005C8A" w:rsidR="00D464E6">
        <w:t>Tussen de scenario’s van dekking zijn er wel grote verschillen</w:t>
      </w:r>
      <w:r w:rsidR="00FF618E">
        <w:t xml:space="preserve"> in kosten</w:t>
      </w:r>
      <w:r w:rsidRPr="00005C8A" w:rsidR="00D464E6">
        <w:t>. D</w:t>
      </w:r>
      <w:r w:rsidRPr="00005C8A">
        <w:t xml:space="preserve">ekkingsoptie C, het vrijwel volledig vergoeden van mondzorg, conform hoe mondzorg voor 18-minners nu in de basisverzekering vergoed wordt, </w:t>
      </w:r>
      <w:r w:rsidRPr="00005C8A" w:rsidR="00D464E6">
        <w:t xml:space="preserve">leidt </w:t>
      </w:r>
      <w:r w:rsidRPr="00005C8A">
        <w:t xml:space="preserve">tot bijna dubbele kosten ten opzichte van dekkingsoptie A, het vergoeden van acute en noodzakelijke mondzorg tot een bedrag van €350. </w:t>
      </w:r>
      <w:r w:rsidRPr="00005C8A" w:rsidR="00960993">
        <w:t>De daadwerkelijke budgettaire impact van een maatregel zal afhangen van het daadwerkelijk aantal gebruikers van de maatregel en de zorgkosten die zij maken.</w:t>
      </w:r>
    </w:p>
    <w:p w:rsidR="005E2B53" w:rsidP="006618E9" w:rsidRDefault="005E2B53" w14:paraId="2F7DEB3D" w14:textId="77777777">
      <w:pPr>
        <w:spacing w:line="276" w:lineRule="auto"/>
      </w:pPr>
    </w:p>
    <w:p w:rsidR="006618E9" w:rsidP="006618E9" w:rsidRDefault="005E2B53" w14:paraId="47796BEE" w14:textId="2C2258C5">
      <w:pPr>
        <w:spacing w:line="276" w:lineRule="auto"/>
      </w:pPr>
      <w:r>
        <w:t>De inschatting van de gemiddelde saneringskosten is met onzekerheid omgeven</w:t>
      </w:r>
      <w:r w:rsidR="00F13A2D">
        <w:t>, zoals de onderzoekers ook aangeven</w:t>
      </w:r>
      <w:r>
        <w:t xml:space="preserve">. Dit komt deels omdat het begrip sanering meer afbakening behoeft. </w:t>
      </w:r>
      <w:r w:rsidR="00F13A2D">
        <w:t>De beroepsgroepen geven aan dat</w:t>
      </w:r>
      <w:r>
        <w:t xml:space="preserve"> sanering per definitie maatwerk</w:t>
      </w:r>
      <w:r w:rsidR="00F13A2D">
        <w:t xml:space="preserve"> is</w:t>
      </w:r>
      <w:r>
        <w:t>, wat maakt dat de behandeling en daarmee de kosten, per patiënt verschillen.</w:t>
      </w:r>
      <w:r w:rsidR="00F13A2D">
        <w:t xml:space="preserve"> Soms zijn andere behandelingen </w:t>
      </w:r>
      <w:r w:rsidR="00F26747">
        <w:t>meer aangewezen</w:t>
      </w:r>
      <w:r w:rsidR="00F13A2D">
        <w:t xml:space="preserve"> dan sanering.</w:t>
      </w:r>
      <w:r>
        <w:t xml:space="preserve"> Het is </w:t>
      </w:r>
      <w:r w:rsidR="00F13A2D">
        <w:t xml:space="preserve">daarom </w:t>
      </w:r>
      <w:r>
        <w:t xml:space="preserve">belangrijk om, als het vergoeden van saneringskosten onderdeel wordt van een financiële regeling, </w:t>
      </w:r>
      <w:r w:rsidR="00DF2347">
        <w:t>scherp te zijn op wat voor de patiënt</w:t>
      </w:r>
      <w:r>
        <w:t xml:space="preserve"> een passende behandeling</w:t>
      </w:r>
      <w:r w:rsidR="00DF2347">
        <w:t xml:space="preserve"> is</w:t>
      </w:r>
      <w:r>
        <w:t xml:space="preserve">. De Mondzorgalliantie buigt zich momenteel ook over de vraag wat nodig is voor een goede mondgezondheid en hoe sanering hierin past. </w:t>
      </w:r>
    </w:p>
    <w:p w:rsidRPr="00005C8A" w:rsidR="009515DE" w:rsidP="006618E9" w:rsidRDefault="009515DE" w14:paraId="18B9CAFF" w14:textId="77777777">
      <w:pPr>
        <w:spacing w:line="276" w:lineRule="auto"/>
        <w:rPr>
          <w:i/>
          <w:iCs/>
        </w:rPr>
      </w:pPr>
    </w:p>
    <w:p w:rsidRPr="00005C8A" w:rsidR="00AB3BC0" w:rsidP="00AB3BC0" w:rsidRDefault="006618E9" w14:paraId="4139ECBA" w14:textId="12C53A61">
      <w:pPr>
        <w:spacing w:line="276" w:lineRule="auto"/>
        <w:rPr>
          <w:b/>
          <w:bCs/>
        </w:rPr>
      </w:pPr>
      <w:r w:rsidRPr="00005C8A">
        <w:t xml:space="preserve">Zoals in paragraaf </w:t>
      </w:r>
      <w:r w:rsidRPr="00005C8A" w:rsidR="002354AE">
        <w:t xml:space="preserve">3.1 vermeldt </w:t>
      </w:r>
      <w:r w:rsidRPr="00005C8A" w:rsidR="00960993">
        <w:t>staat</w:t>
      </w:r>
      <w:r w:rsidRPr="00005C8A" w:rsidR="002354AE">
        <w:t>, dragen de maatregelen naar verwachting beperkt bij aan het terugdringen van mondzorgmijding om financiële redenen. Dat komt door de afbakening van de doelgroep en het verwachte gebruik van de maatregel.</w:t>
      </w:r>
      <w:r w:rsidRPr="00005C8A" w:rsidR="00470EA8">
        <w:t xml:space="preserve"> </w:t>
      </w:r>
      <w:r w:rsidRPr="00005C8A" w:rsidR="00960993">
        <w:t>N</w:t>
      </w:r>
      <w:r w:rsidRPr="00005C8A" w:rsidR="00C27D52">
        <w:t>i</w:t>
      </w:r>
      <w:r w:rsidRPr="00005C8A" w:rsidR="00470EA8">
        <w:t xml:space="preserve">et alle </w:t>
      </w:r>
      <w:proofErr w:type="spellStart"/>
      <w:r w:rsidRPr="00005C8A" w:rsidR="00470EA8">
        <w:t>mondzorgmijders</w:t>
      </w:r>
      <w:proofErr w:type="spellEnd"/>
      <w:r w:rsidRPr="00005C8A" w:rsidR="00470EA8">
        <w:t xml:space="preserve"> vallen </w:t>
      </w:r>
      <w:r w:rsidRPr="00005C8A" w:rsidR="00D464E6">
        <w:t xml:space="preserve">onder </w:t>
      </w:r>
      <w:r w:rsidRPr="00005C8A" w:rsidR="00470EA8">
        <w:t xml:space="preserve">de </w:t>
      </w:r>
      <w:r w:rsidRPr="00005C8A" w:rsidR="00C27D52">
        <w:t xml:space="preserve">hier </w:t>
      </w:r>
      <w:r w:rsidRPr="00005C8A" w:rsidR="00470EA8">
        <w:t xml:space="preserve">gekozen afbakening: de aanname is dat van </w:t>
      </w:r>
      <w:r w:rsidR="008D4575">
        <w:t>de</w:t>
      </w:r>
      <w:r w:rsidRPr="00005C8A" w:rsidR="00470EA8">
        <w:t xml:space="preserve"> 640.000 mensen</w:t>
      </w:r>
      <w:r w:rsidRPr="00005C8A" w:rsidR="00C27D52">
        <w:t xml:space="preserve"> die afzien van mondzorg om financiële redenen</w:t>
      </w:r>
      <w:r w:rsidRPr="00005C8A" w:rsidR="00470EA8">
        <w:t xml:space="preserve">, 310.000 een inkomen tot 120% sociaal minimum </w:t>
      </w:r>
      <w:r w:rsidR="008D4575">
        <w:t>heeft</w:t>
      </w:r>
      <w:r w:rsidRPr="00005C8A" w:rsidR="00470EA8">
        <w:t xml:space="preserve"> en 405.000 een inkomen tot 150% van het sociaal minimum. </w:t>
      </w:r>
      <w:r w:rsidRPr="00005C8A" w:rsidR="00C27D52">
        <w:t xml:space="preserve">Een behoorlijk deel van de mensen die afziet van mondzorg heeft dus een inkomen boven de 120% respectievelijk 150% sociaal minimum. </w:t>
      </w:r>
      <w:r w:rsidRPr="00005C8A" w:rsidR="005B3A9A">
        <w:t xml:space="preserve">Tegelijkertijd blijkt uit de doorrekening dat </w:t>
      </w:r>
      <w:r w:rsidRPr="00005C8A" w:rsidR="00D464E6">
        <w:t xml:space="preserve">van de mensen met een inkomen onder 120% of 150% </w:t>
      </w:r>
      <w:r w:rsidR="008D4575">
        <w:t xml:space="preserve">van het </w:t>
      </w:r>
      <w:r w:rsidRPr="00005C8A" w:rsidR="00D464E6">
        <w:t xml:space="preserve">sociaal minimum </w:t>
      </w:r>
      <w:r w:rsidRPr="00005C8A" w:rsidR="00C27D52">
        <w:t>grofweg</w:t>
      </w:r>
      <w:r w:rsidRPr="00005C8A" w:rsidR="003E550B">
        <w:t xml:space="preserve"> gezegd</w:t>
      </w:r>
      <w:r w:rsidRPr="00005C8A" w:rsidR="00C27D52">
        <w:t xml:space="preserve"> </w:t>
      </w:r>
      <w:r w:rsidR="009515DE">
        <w:t xml:space="preserve">twee derde tot </w:t>
      </w:r>
      <w:r w:rsidRPr="00005C8A" w:rsidR="00C27D52">
        <w:t>driekwart</w:t>
      </w:r>
      <w:r w:rsidRPr="00005C8A" w:rsidR="00D464E6">
        <w:t xml:space="preserve"> </w:t>
      </w:r>
      <w:r w:rsidRPr="00005C8A" w:rsidR="00C27D52">
        <w:t>nu al mondzorg gebruikt</w:t>
      </w:r>
      <w:r w:rsidR="008D4575">
        <w:rPr>
          <w:rStyle w:val="Voetnootmarkering"/>
        </w:rPr>
        <w:footnoteReference w:id="28"/>
      </w:r>
      <w:r w:rsidRPr="00005C8A" w:rsidR="00C27D52">
        <w:t xml:space="preserve">. </w:t>
      </w:r>
      <w:r w:rsidRPr="00005C8A" w:rsidR="003E550B">
        <w:t>Oftewel</w:t>
      </w:r>
      <w:r w:rsidRPr="00005C8A" w:rsidR="005B3A9A">
        <w:t>: e</w:t>
      </w:r>
      <w:r w:rsidRPr="00005C8A" w:rsidR="00C27D52">
        <w:t xml:space="preserve">en groot deel van de verwachte kosten </w:t>
      </w:r>
      <w:r w:rsidRPr="00005C8A" w:rsidR="003E550B">
        <w:t xml:space="preserve">per maatregel </w:t>
      </w:r>
      <w:r w:rsidRPr="00005C8A" w:rsidR="00C27D52">
        <w:t xml:space="preserve">wordt dus gemaakt voor mensen die anders ook naar de mondzorgverlener </w:t>
      </w:r>
      <w:r w:rsidRPr="00005C8A" w:rsidR="003E550B">
        <w:t>zouden gaan</w:t>
      </w:r>
      <w:r w:rsidRPr="00005C8A" w:rsidR="00C27D52">
        <w:t xml:space="preserve">. </w:t>
      </w:r>
      <w:r w:rsidRPr="00005C8A" w:rsidR="003E550B">
        <w:t>Als de doelgroep vergroot wordt (bijvoorbeeld tot een modaal inkomen) om</w:t>
      </w:r>
      <w:r w:rsidRPr="00005C8A" w:rsidR="001B0DD1">
        <w:t xml:space="preserve"> zo</w:t>
      </w:r>
      <w:r w:rsidRPr="00005C8A" w:rsidR="003E550B">
        <w:t xml:space="preserve"> een groter deel van de 640.000 </w:t>
      </w:r>
      <w:r w:rsidR="00B2539E">
        <w:t xml:space="preserve">mensen die om financiële redenen afzien van </w:t>
      </w:r>
      <w:r w:rsidRPr="00005C8A" w:rsidR="003E550B">
        <w:t xml:space="preserve">mondzorg te kunnen bereiken, dan </w:t>
      </w:r>
      <w:r w:rsidRPr="00005C8A" w:rsidR="001B0DD1">
        <w:t xml:space="preserve">zal </w:t>
      </w:r>
      <w:r w:rsidRPr="00005C8A" w:rsidR="001B0DD1">
        <w:lastRenderedPageBreak/>
        <w:t xml:space="preserve">ook een groter deel van de kosten gemaakt worden voor mensen die </w:t>
      </w:r>
      <w:r w:rsidRPr="00005C8A" w:rsidR="00D464E6">
        <w:t>al</w:t>
      </w:r>
      <w:r w:rsidRPr="00005C8A" w:rsidR="001B0DD1">
        <w:t xml:space="preserve"> mondzorg </w:t>
      </w:r>
      <w:r w:rsidRPr="00005C8A" w:rsidR="00D464E6">
        <w:t>gebruiken</w:t>
      </w:r>
      <w:r w:rsidRPr="00005C8A" w:rsidR="001B0DD1">
        <w:t xml:space="preserve">. </w:t>
      </w:r>
      <w:r w:rsidRPr="00005C8A" w:rsidR="00470EA8">
        <w:t xml:space="preserve">Ten tweede </w:t>
      </w:r>
      <w:r w:rsidRPr="00005C8A" w:rsidR="00AB3BC0">
        <w:t xml:space="preserve">is de inschatting dat het aantal mensen dat om financiële redenen afziet van mondzorg en gebruik gaat maken van een van de maatregelen beperkt is. </w:t>
      </w:r>
      <w:r w:rsidRPr="00005C8A" w:rsidR="001B0DD1">
        <w:t xml:space="preserve">Op basis van wetenschappelijke literatuur stelt </w:t>
      </w:r>
      <w:proofErr w:type="spellStart"/>
      <w:r w:rsidRPr="00005C8A" w:rsidR="001B0DD1">
        <w:t>Gupta</w:t>
      </w:r>
      <w:proofErr w:type="spellEnd"/>
      <w:r w:rsidRPr="00005C8A" w:rsidR="001B0DD1">
        <w:t xml:space="preserve"> dat 40% van de </w:t>
      </w:r>
      <w:r w:rsidR="00787BD6">
        <w:t>mensen die nu afzien van mondzorg</w:t>
      </w:r>
      <w:r w:rsidRPr="00005C8A" w:rsidR="001B0DD1">
        <w:t xml:space="preserve"> gebruik gaat maken van maatregel 1</w:t>
      </w:r>
      <w:r w:rsidR="00A94727">
        <w:t xml:space="preserve"> bij volledige vergoeding</w:t>
      </w:r>
      <w:r w:rsidRPr="00005C8A" w:rsidR="001B0DD1">
        <w:t xml:space="preserve">. De verwachting is dat het gebruik bij maatregel 2 wat lager zal liggen en bij maatregel 3 wat hoger. </w:t>
      </w:r>
      <w:r w:rsidRPr="00005C8A" w:rsidR="00AB3BC0">
        <w:t xml:space="preserve">Het enkel bereiken van de groep mensen die mondzorg mijdt om financiële redenen is niet mogelijk, aangezien deze groep niet als zodanig geregistreerd staat. Voor de volledigheid geven we deze cijfers hieronder ook weer, al betreft dit dus een theoretische exercitie. </w:t>
      </w:r>
    </w:p>
    <w:p w:rsidR="006618E9" w:rsidP="006618E9" w:rsidRDefault="006618E9" w14:paraId="2BC1B1C0" w14:textId="77777777">
      <w:pPr>
        <w:spacing w:line="276" w:lineRule="auto"/>
      </w:pPr>
    </w:p>
    <w:p w:rsidRPr="00005C8A" w:rsidR="006618E9" w:rsidP="00440A5E" w:rsidRDefault="006618E9" w14:paraId="3006D95F" w14:textId="236C9F0E">
      <w:pPr>
        <w:spacing w:line="240" w:lineRule="auto"/>
        <w:rPr>
          <w:i/>
          <w:iCs/>
        </w:rPr>
      </w:pPr>
      <w:r w:rsidRPr="00005C8A">
        <w:rPr>
          <w:i/>
          <w:iCs/>
        </w:rPr>
        <w:t xml:space="preserve">Tabel 4.1. Verwachte kosten (bron: </w:t>
      </w:r>
      <w:proofErr w:type="spellStart"/>
      <w:r w:rsidRPr="00005C8A">
        <w:rPr>
          <w:i/>
          <w:iCs/>
        </w:rPr>
        <w:t>Gupta</w:t>
      </w:r>
      <w:proofErr w:type="spellEnd"/>
      <w:r w:rsidRPr="00005C8A">
        <w:rPr>
          <w:i/>
          <w:iCs/>
        </w:rPr>
        <w:t xml:space="preserve"> </w:t>
      </w:r>
      <w:proofErr w:type="spellStart"/>
      <w:r w:rsidRPr="00005C8A">
        <w:rPr>
          <w:i/>
          <w:iCs/>
        </w:rPr>
        <w:t>Strategists</w:t>
      </w:r>
      <w:proofErr w:type="spellEnd"/>
      <w:r w:rsidRPr="00005C8A">
        <w:rPr>
          <w:i/>
          <w:iCs/>
        </w:rPr>
        <w:t>)</w:t>
      </w:r>
    </w:p>
    <w:tbl>
      <w:tblPr>
        <w:tblStyle w:val="Tabelraster"/>
        <w:tblpPr w:leftFromText="141" w:rightFromText="141" w:vertAnchor="text" w:horzAnchor="margin" w:tblpY="155"/>
        <w:tblW w:w="0" w:type="auto"/>
        <w:tblInd w:w="0" w:type="dxa"/>
        <w:tblLook w:val="04A0" w:firstRow="1" w:lastRow="0" w:firstColumn="1" w:lastColumn="0" w:noHBand="0" w:noVBand="1"/>
      </w:tblPr>
      <w:tblGrid>
        <w:gridCol w:w="3638"/>
        <w:gridCol w:w="1319"/>
        <w:gridCol w:w="1559"/>
        <w:gridCol w:w="1271"/>
      </w:tblGrid>
      <w:tr w:rsidRPr="00005C8A" w:rsidR="003D4D64" w:rsidTr="003D4D64" w14:paraId="7A30BE9B" w14:textId="77777777">
        <w:tc>
          <w:tcPr>
            <w:tcW w:w="3638" w:type="dxa"/>
          </w:tcPr>
          <w:p w:rsidRPr="00005C8A" w:rsidR="003D4D64" w:rsidP="003D4D64" w:rsidRDefault="003D4D64" w14:paraId="6BDFD543" w14:textId="77777777">
            <w:pPr>
              <w:spacing w:line="240" w:lineRule="auto"/>
            </w:pPr>
          </w:p>
        </w:tc>
        <w:tc>
          <w:tcPr>
            <w:tcW w:w="1319" w:type="dxa"/>
          </w:tcPr>
          <w:p w:rsidRPr="00005C8A" w:rsidR="003D4D64" w:rsidP="003D4D64" w:rsidRDefault="003D4D64" w14:paraId="050558E4" w14:textId="77777777">
            <w:pPr>
              <w:ind w:left="142"/>
            </w:pPr>
            <w:r w:rsidRPr="00005C8A">
              <w:t>Dekking A</w:t>
            </w:r>
          </w:p>
        </w:tc>
        <w:tc>
          <w:tcPr>
            <w:tcW w:w="1559" w:type="dxa"/>
          </w:tcPr>
          <w:p w:rsidRPr="00005C8A" w:rsidR="003D4D64" w:rsidP="003D4D64" w:rsidRDefault="003D4D64" w14:paraId="392FC585" w14:textId="77777777">
            <w:pPr>
              <w:ind w:left="142"/>
            </w:pPr>
            <w:r w:rsidRPr="00005C8A">
              <w:t>Dekking B</w:t>
            </w:r>
          </w:p>
        </w:tc>
        <w:tc>
          <w:tcPr>
            <w:tcW w:w="1271" w:type="dxa"/>
          </w:tcPr>
          <w:p w:rsidRPr="00005C8A" w:rsidR="003D4D64" w:rsidP="003D4D64" w:rsidRDefault="003D4D64" w14:paraId="78B95CF9" w14:textId="77777777">
            <w:pPr>
              <w:ind w:left="142"/>
            </w:pPr>
            <w:r w:rsidRPr="00005C8A">
              <w:t>Dekking C</w:t>
            </w:r>
          </w:p>
        </w:tc>
      </w:tr>
      <w:tr w:rsidRPr="00005C8A" w:rsidR="003D4D64" w:rsidTr="003D4D64" w14:paraId="4F34ACAD" w14:textId="77777777">
        <w:tc>
          <w:tcPr>
            <w:tcW w:w="3638" w:type="dxa"/>
          </w:tcPr>
          <w:p w:rsidRPr="00005C8A" w:rsidR="003D4D64" w:rsidP="003D4D64" w:rsidRDefault="003D4D64" w14:paraId="3B0D2DC8" w14:textId="77777777">
            <w:pPr>
              <w:ind w:left="142"/>
              <w:rPr>
                <w:b/>
                <w:bCs/>
              </w:rPr>
            </w:pPr>
            <w:r w:rsidRPr="00005C8A">
              <w:rPr>
                <w:b/>
                <w:bCs/>
              </w:rPr>
              <w:t xml:space="preserve">120% sociaal minimum </w:t>
            </w:r>
          </w:p>
        </w:tc>
        <w:tc>
          <w:tcPr>
            <w:tcW w:w="1319" w:type="dxa"/>
          </w:tcPr>
          <w:p w:rsidRPr="00005C8A" w:rsidR="003D4D64" w:rsidP="003D4D64" w:rsidRDefault="003D4D64" w14:paraId="03A213AC" w14:textId="77777777">
            <w:pPr>
              <w:ind w:left="142"/>
            </w:pPr>
          </w:p>
        </w:tc>
        <w:tc>
          <w:tcPr>
            <w:tcW w:w="1559" w:type="dxa"/>
          </w:tcPr>
          <w:p w:rsidRPr="00005C8A" w:rsidR="003D4D64" w:rsidP="003D4D64" w:rsidRDefault="003D4D64" w14:paraId="7BD961EE" w14:textId="77777777">
            <w:pPr>
              <w:ind w:left="142"/>
            </w:pPr>
          </w:p>
        </w:tc>
        <w:tc>
          <w:tcPr>
            <w:tcW w:w="1271" w:type="dxa"/>
          </w:tcPr>
          <w:p w:rsidRPr="00005C8A" w:rsidR="003D4D64" w:rsidP="003D4D64" w:rsidRDefault="003D4D64" w14:paraId="5D8EED5B" w14:textId="77777777">
            <w:pPr>
              <w:ind w:left="142"/>
            </w:pPr>
          </w:p>
        </w:tc>
      </w:tr>
      <w:tr w:rsidRPr="00005C8A" w:rsidR="003D4D64" w:rsidTr="003D4D64" w14:paraId="10E3167F" w14:textId="77777777">
        <w:tc>
          <w:tcPr>
            <w:tcW w:w="3638" w:type="dxa"/>
          </w:tcPr>
          <w:p w:rsidRPr="00005C8A" w:rsidR="003D4D64" w:rsidP="003D4D64" w:rsidRDefault="003D4D64" w14:paraId="32D142EA" w14:textId="77777777">
            <w:pPr>
              <w:ind w:left="142"/>
            </w:pPr>
            <w:r w:rsidRPr="00005C8A">
              <w:t>Maatregel 1: landelijke regeling</w:t>
            </w:r>
          </w:p>
        </w:tc>
        <w:tc>
          <w:tcPr>
            <w:tcW w:w="1319" w:type="dxa"/>
          </w:tcPr>
          <w:p w:rsidRPr="00005C8A" w:rsidR="003D4D64" w:rsidP="003D4D64" w:rsidRDefault="003D4D64" w14:paraId="2100CB39" w14:textId="77777777">
            <w:r w:rsidRPr="00005C8A">
              <w:t xml:space="preserve">135 </w:t>
            </w:r>
            <w:proofErr w:type="spellStart"/>
            <w:r w:rsidRPr="00005C8A">
              <w:t>mln</w:t>
            </w:r>
            <w:proofErr w:type="spellEnd"/>
          </w:p>
        </w:tc>
        <w:tc>
          <w:tcPr>
            <w:tcW w:w="1559" w:type="dxa"/>
          </w:tcPr>
          <w:p w:rsidRPr="00005C8A" w:rsidR="003D4D64" w:rsidP="003D4D64" w:rsidRDefault="003D4D64" w14:paraId="368116BC" w14:textId="77777777">
            <w:r w:rsidRPr="00005C8A">
              <w:t xml:space="preserve">161 </w:t>
            </w:r>
            <w:proofErr w:type="spellStart"/>
            <w:r w:rsidRPr="00005C8A">
              <w:t>mln</w:t>
            </w:r>
            <w:proofErr w:type="spellEnd"/>
          </w:p>
        </w:tc>
        <w:tc>
          <w:tcPr>
            <w:tcW w:w="1271" w:type="dxa"/>
          </w:tcPr>
          <w:p w:rsidRPr="00005C8A" w:rsidR="003D4D64" w:rsidP="003D4D64" w:rsidRDefault="003D4D64" w14:paraId="1151F9A6" w14:textId="77777777">
            <w:r w:rsidRPr="00005C8A">
              <w:t xml:space="preserve">274 </w:t>
            </w:r>
            <w:proofErr w:type="spellStart"/>
            <w:r w:rsidRPr="00005C8A">
              <w:t>mln</w:t>
            </w:r>
            <w:proofErr w:type="spellEnd"/>
          </w:p>
        </w:tc>
      </w:tr>
      <w:tr w:rsidRPr="00005C8A" w:rsidR="003D4D64" w:rsidTr="003D4D64" w14:paraId="232540F0" w14:textId="77777777">
        <w:tc>
          <w:tcPr>
            <w:tcW w:w="3638" w:type="dxa"/>
          </w:tcPr>
          <w:p w:rsidRPr="00005C8A" w:rsidR="003D4D64" w:rsidP="003D4D64" w:rsidRDefault="003D4D64" w14:paraId="72E2BAA9" w14:textId="77777777">
            <w:pPr>
              <w:ind w:left="142"/>
            </w:pPr>
            <w:r w:rsidRPr="00005C8A">
              <w:t>Maatregel 2:</w:t>
            </w:r>
          </w:p>
          <w:p w:rsidRPr="00005C8A" w:rsidR="003D4D64" w:rsidP="003D4D64" w:rsidRDefault="003D4D64" w14:paraId="7F1FCBE5" w14:textId="77777777">
            <w:pPr>
              <w:ind w:left="142"/>
            </w:pPr>
            <w:r w:rsidRPr="00005C8A">
              <w:t>Landelijke aanvullende zorgverzekering</w:t>
            </w:r>
          </w:p>
        </w:tc>
        <w:tc>
          <w:tcPr>
            <w:tcW w:w="1319" w:type="dxa"/>
          </w:tcPr>
          <w:p w:rsidRPr="00005C8A" w:rsidR="003D4D64" w:rsidP="003D4D64" w:rsidRDefault="003D4D64" w14:paraId="01DDFC9E" w14:textId="77777777">
            <w:r w:rsidRPr="00005C8A">
              <w:t xml:space="preserve">131 </w:t>
            </w:r>
            <w:proofErr w:type="spellStart"/>
            <w:r w:rsidRPr="00005C8A">
              <w:t>mln</w:t>
            </w:r>
            <w:proofErr w:type="spellEnd"/>
          </w:p>
        </w:tc>
        <w:tc>
          <w:tcPr>
            <w:tcW w:w="1559" w:type="dxa"/>
          </w:tcPr>
          <w:p w:rsidRPr="00005C8A" w:rsidR="003D4D64" w:rsidP="003D4D64" w:rsidRDefault="003D4D64" w14:paraId="3C30E695" w14:textId="77777777">
            <w:r w:rsidRPr="00005C8A">
              <w:t xml:space="preserve">152 </w:t>
            </w:r>
            <w:proofErr w:type="spellStart"/>
            <w:r w:rsidRPr="00005C8A">
              <w:t>mln</w:t>
            </w:r>
            <w:proofErr w:type="spellEnd"/>
          </w:p>
        </w:tc>
        <w:tc>
          <w:tcPr>
            <w:tcW w:w="1271" w:type="dxa"/>
          </w:tcPr>
          <w:p w:rsidRPr="00005C8A" w:rsidR="003D4D64" w:rsidP="003D4D64" w:rsidRDefault="003D4D64" w14:paraId="3B0AA9EA" w14:textId="77777777">
            <w:r w:rsidRPr="00005C8A">
              <w:t xml:space="preserve">267 </w:t>
            </w:r>
            <w:proofErr w:type="spellStart"/>
            <w:r w:rsidRPr="00005C8A">
              <w:t>mln</w:t>
            </w:r>
            <w:proofErr w:type="spellEnd"/>
          </w:p>
        </w:tc>
      </w:tr>
      <w:tr w:rsidRPr="00005C8A" w:rsidR="003D4D64" w:rsidTr="003D4D64" w14:paraId="25F3C5C7" w14:textId="77777777">
        <w:tc>
          <w:tcPr>
            <w:tcW w:w="3638" w:type="dxa"/>
          </w:tcPr>
          <w:p w:rsidRPr="00005C8A" w:rsidR="003D4D64" w:rsidP="003D4D64" w:rsidRDefault="003D4D64" w14:paraId="6739033D" w14:textId="77777777">
            <w:pPr>
              <w:ind w:left="142"/>
            </w:pPr>
            <w:r w:rsidRPr="00005C8A">
              <w:t>Maatregel 3:</w:t>
            </w:r>
          </w:p>
          <w:p w:rsidRPr="00005C8A" w:rsidR="003D4D64" w:rsidP="003D4D64" w:rsidRDefault="003D4D64" w14:paraId="113E2304" w14:textId="77777777">
            <w:pPr>
              <w:ind w:left="142"/>
            </w:pPr>
            <w:r w:rsidRPr="00005C8A">
              <w:t>Nieuwe gemeentepolis</w:t>
            </w:r>
          </w:p>
        </w:tc>
        <w:tc>
          <w:tcPr>
            <w:tcW w:w="1319" w:type="dxa"/>
          </w:tcPr>
          <w:p w:rsidRPr="00005C8A" w:rsidR="003D4D64" w:rsidP="003D4D64" w:rsidRDefault="003D4D64" w14:paraId="17D1FA7E" w14:textId="77777777">
            <w:r w:rsidRPr="00005C8A">
              <w:t xml:space="preserve">136 </w:t>
            </w:r>
            <w:proofErr w:type="spellStart"/>
            <w:r w:rsidRPr="00005C8A">
              <w:t>mln</w:t>
            </w:r>
            <w:proofErr w:type="spellEnd"/>
          </w:p>
        </w:tc>
        <w:tc>
          <w:tcPr>
            <w:tcW w:w="1559" w:type="dxa"/>
          </w:tcPr>
          <w:p w:rsidRPr="00005C8A" w:rsidR="003D4D64" w:rsidP="003D4D64" w:rsidRDefault="003D4D64" w14:paraId="6D83636D" w14:textId="77777777">
            <w:r w:rsidRPr="00005C8A">
              <w:t xml:space="preserve">163 </w:t>
            </w:r>
            <w:proofErr w:type="spellStart"/>
            <w:r w:rsidRPr="00005C8A">
              <w:t>mln</w:t>
            </w:r>
            <w:proofErr w:type="spellEnd"/>
          </w:p>
        </w:tc>
        <w:tc>
          <w:tcPr>
            <w:tcW w:w="1271" w:type="dxa"/>
          </w:tcPr>
          <w:p w:rsidRPr="00005C8A" w:rsidR="003D4D64" w:rsidP="003D4D64" w:rsidRDefault="003D4D64" w14:paraId="648A3A84" w14:textId="77777777">
            <w:r w:rsidRPr="00005C8A">
              <w:t xml:space="preserve">276 </w:t>
            </w:r>
            <w:proofErr w:type="spellStart"/>
            <w:r w:rsidRPr="00005C8A">
              <w:t>mln</w:t>
            </w:r>
            <w:proofErr w:type="spellEnd"/>
            <w:r w:rsidRPr="00005C8A">
              <w:t xml:space="preserve"> </w:t>
            </w:r>
          </w:p>
        </w:tc>
      </w:tr>
      <w:tr w:rsidRPr="00005C8A" w:rsidR="00B25B45" w:rsidTr="003D4D64" w14:paraId="42B09D1A" w14:textId="77777777">
        <w:tc>
          <w:tcPr>
            <w:tcW w:w="3638" w:type="dxa"/>
          </w:tcPr>
          <w:p w:rsidRPr="00005C8A" w:rsidR="00B25B45" w:rsidP="003D4D64" w:rsidRDefault="00B25B45" w14:paraId="4B7C5133" w14:textId="77777777">
            <w:pPr>
              <w:ind w:left="142"/>
              <w:rPr>
                <w:b/>
                <w:bCs/>
              </w:rPr>
            </w:pPr>
          </w:p>
        </w:tc>
        <w:tc>
          <w:tcPr>
            <w:tcW w:w="1319" w:type="dxa"/>
          </w:tcPr>
          <w:p w:rsidRPr="00005C8A" w:rsidR="00B25B45" w:rsidP="003D4D64" w:rsidRDefault="00B25B45" w14:paraId="7B43EE96" w14:textId="77777777">
            <w:pPr>
              <w:ind w:left="142"/>
            </w:pPr>
          </w:p>
        </w:tc>
        <w:tc>
          <w:tcPr>
            <w:tcW w:w="1559" w:type="dxa"/>
          </w:tcPr>
          <w:p w:rsidRPr="00005C8A" w:rsidR="00B25B45" w:rsidP="003D4D64" w:rsidRDefault="00B25B45" w14:paraId="7824E142" w14:textId="77777777">
            <w:pPr>
              <w:ind w:left="142"/>
            </w:pPr>
          </w:p>
        </w:tc>
        <w:tc>
          <w:tcPr>
            <w:tcW w:w="1271" w:type="dxa"/>
          </w:tcPr>
          <w:p w:rsidRPr="00005C8A" w:rsidR="00B25B45" w:rsidP="003D4D64" w:rsidRDefault="00B25B45" w14:paraId="39E2890D" w14:textId="77777777">
            <w:pPr>
              <w:ind w:left="142"/>
            </w:pPr>
          </w:p>
        </w:tc>
      </w:tr>
      <w:tr w:rsidRPr="00005C8A" w:rsidR="003D4D64" w:rsidTr="003D4D64" w14:paraId="16DB357D" w14:textId="77777777">
        <w:tc>
          <w:tcPr>
            <w:tcW w:w="3638" w:type="dxa"/>
          </w:tcPr>
          <w:p w:rsidRPr="00005C8A" w:rsidR="003D4D64" w:rsidP="003D4D64" w:rsidRDefault="003D4D64" w14:paraId="13F72562" w14:textId="360C796D">
            <w:pPr>
              <w:ind w:left="142"/>
              <w:rPr>
                <w:b/>
                <w:bCs/>
              </w:rPr>
            </w:pPr>
            <w:r w:rsidRPr="00005C8A">
              <w:rPr>
                <w:b/>
                <w:bCs/>
              </w:rPr>
              <w:t>150% sociaal minimum</w:t>
            </w:r>
          </w:p>
        </w:tc>
        <w:tc>
          <w:tcPr>
            <w:tcW w:w="1319" w:type="dxa"/>
          </w:tcPr>
          <w:p w:rsidRPr="00005C8A" w:rsidR="003D4D64" w:rsidP="003D4D64" w:rsidRDefault="003D4D64" w14:paraId="0B61DC06" w14:textId="77777777">
            <w:pPr>
              <w:ind w:left="142"/>
            </w:pPr>
          </w:p>
        </w:tc>
        <w:tc>
          <w:tcPr>
            <w:tcW w:w="1559" w:type="dxa"/>
          </w:tcPr>
          <w:p w:rsidRPr="00005C8A" w:rsidR="003D4D64" w:rsidP="003D4D64" w:rsidRDefault="003D4D64" w14:paraId="4442873B" w14:textId="77777777">
            <w:pPr>
              <w:ind w:left="142"/>
            </w:pPr>
          </w:p>
        </w:tc>
        <w:tc>
          <w:tcPr>
            <w:tcW w:w="1271" w:type="dxa"/>
          </w:tcPr>
          <w:p w:rsidRPr="00005C8A" w:rsidR="003D4D64" w:rsidP="003D4D64" w:rsidRDefault="003D4D64" w14:paraId="474AACFD" w14:textId="77777777">
            <w:pPr>
              <w:ind w:left="142"/>
            </w:pPr>
          </w:p>
        </w:tc>
      </w:tr>
      <w:tr w:rsidRPr="00005C8A" w:rsidR="003D4D64" w:rsidTr="003D4D64" w14:paraId="5EF00B71" w14:textId="77777777">
        <w:tc>
          <w:tcPr>
            <w:tcW w:w="3638" w:type="dxa"/>
          </w:tcPr>
          <w:p w:rsidRPr="00005C8A" w:rsidR="003D4D64" w:rsidP="003D4D64" w:rsidRDefault="003D4D64" w14:paraId="729FAC23" w14:textId="77777777">
            <w:pPr>
              <w:ind w:left="142"/>
            </w:pPr>
            <w:r w:rsidRPr="00005C8A">
              <w:t>Maatregel 1: landelijke regeling</w:t>
            </w:r>
          </w:p>
        </w:tc>
        <w:tc>
          <w:tcPr>
            <w:tcW w:w="1319" w:type="dxa"/>
          </w:tcPr>
          <w:p w:rsidRPr="00005C8A" w:rsidR="003D4D64" w:rsidP="003D4D64" w:rsidRDefault="003D4D64" w14:paraId="729BAF9A" w14:textId="77777777">
            <w:r w:rsidRPr="00005C8A">
              <w:t xml:space="preserve">242 </w:t>
            </w:r>
            <w:proofErr w:type="spellStart"/>
            <w:r w:rsidRPr="00005C8A">
              <w:t>mln</w:t>
            </w:r>
            <w:proofErr w:type="spellEnd"/>
          </w:p>
        </w:tc>
        <w:tc>
          <w:tcPr>
            <w:tcW w:w="1559" w:type="dxa"/>
          </w:tcPr>
          <w:p w:rsidRPr="00005C8A" w:rsidR="003D4D64" w:rsidP="003D4D64" w:rsidRDefault="003D4D64" w14:paraId="59AC8E92" w14:textId="77777777">
            <w:r w:rsidRPr="00005C8A">
              <w:t xml:space="preserve">276 </w:t>
            </w:r>
            <w:proofErr w:type="spellStart"/>
            <w:r w:rsidRPr="00005C8A">
              <w:t>mln</w:t>
            </w:r>
            <w:proofErr w:type="spellEnd"/>
          </w:p>
        </w:tc>
        <w:tc>
          <w:tcPr>
            <w:tcW w:w="1271" w:type="dxa"/>
          </w:tcPr>
          <w:p w:rsidRPr="00005C8A" w:rsidR="003D4D64" w:rsidP="003D4D64" w:rsidRDefault="003D4D64" w14:paraId="4BE658F8" w14:textId="77777777">
            <w:r w:rsidRPr="00005C8A">
              <w:t xml:space="preserve">484 </w:t>
            </w:r>
            <w:proofErr w:type="spellStart"/>
            <w:r w:rsidRPr="00005C8A">
              <w:t>mln</w:t>
            </w:r>
            <w:proofErr w:type="spellEnd"/>
          </w:p>
        </w:tc>
      </w:tr>
      <w:tr w:rsidRPr="00005C8A" w:rsidR="003D4D64" w:rsidTr="003D4D64" w14:paraId="4AE7328F" w14:textId="77777777">
        <w:tc>
          <w:tcPr>
            <w:tcW w:w="3638" w:type="dxa"/>
          </w:tcPr>
          <w:p w:rsidRPr="00005C8A" w:rsidR="003D4D64" w:rsidP="003D4D64" w:rsidRDefault="003D4D64" w14:paraId="39F3D6BA" w14:textId="77777777">
            <w:pPr>
              <w:ind w:left="142"/>
            </w:pPr>
            <w:r w:rsidRPr="00005C8A">
              <w:t>Maatregel 2:</w:t>
            </w:r>
          </w:p>
          <w:p w:rsidRPr="00005C8A" w:rsidR="003D4D64" w:rsidP="003D4D64" w:rsidRDefault="003D4D64" w14:paraId="5A816DE4" w14:textId="77777777">
            <w:pPr>
              <w:ind w:left="142"/>
            </w:pPr>
            <w:r w:rsidRPr="00005C8A">
              <w:t>Landelijke aanvullende zorgverzekering</w:t>
            </w:r>
          </w:p>
        </w:tc>
        <w:tc>
          <w:tcPr>
            <w:tcW w:w="1319" w:type="dxa"/>
          </w:tcPr>
          <w:p w:rsidRPr="00005C8A" w:rsidR="003D4D64" w:rsidP="003D4D64" w:rsidRDefault="003D4D64" w14:paraId="3261B93E" w14:textId="77777777">
            <w:r w:rsidRPr="00005C8A">
              <w:t xml:space="preserve">237 </w:t>
            </w:r>
            <w:proofErr w:type="spellStart"/>
            <w:r w:rsidRPr="00005C8A">
              <w:t>mln</w:t>
            </w:r>
            <w:proofErr w:type="spellEnd"/>
          </w:p>
        </w:tc>
        <w:tc>
          <w:tcPr>
            <w:tcW w:w="1559" w:type="dxa"/>
          </w:tcPr>
          <w:p w:rsidRPr="00005C8A" w:rsidR="003D4D64" w:rsidP="003D4D64" w:rsidRDefault="003D4D64" w14:paraId="6A0C4B33" w14:textId="77777777">
            <w:r w:rsidRPr="00005C8A">
              <w:t xml:space="preserve">264 </w:t>
            </w:r>
            <w:proofErr w:type="spellStart"/>
            <w:r w:rsidRPr="00005C8A">
              <w:t>mln</w:t>
            </w:r>
            <w:proofErr w:type="spellEnd"/>
          </w:p>
        </w:tc>
        <w:tc>
          <w:tcPr>
            <w:tcW w:w="1271" w:type="dxa"/>
          </w:tcPr>
          <w:p w:rsidRPr="00005C8A" w:rsidR="003D4D64" w:rsidP="003D4D64" w:rsidRDefault="003D4D64" w14:paraId="74ADCEE6" w14:textId="77777777">
            <w:r w:rsidRPr="00005C8A">
              <w:t xml:space="preserve">474 </w:t>
            </w:r>
            <w:proofErr w:type="spellStart"/>
            <w:r w:rsidRPr="00005C8A">
              <w:t>mln</w:t>
            </w:r>
            <w:proofErr w:type="spellEnd"/>
          </w:p>
        </w:tc>
      </w:tr>
      <w:tr w:rsidRPr="00005C8A" w:rsidR="003D4D64" w:rsidTr="003D4D64" w14:paraId="62F4DF20" w14:textId="77777777">
        <w:tc>
          <w:tcPr>
            <w:tcW w:w="3638" w:type="dxa"/>
          </w:tcPr>
          <w:p w:rsidRPr="00005C8A" w:rsidR="003D4D64" w:rsidP="003D4D64" w:rsidRDefault="003D4D64" w14:paraId="228B6C19" w14:textId="77777777">
            <w:pPr>
              <w:ind w:left="142"/>
            </w:pPr>
            <w:r w:rsidRPr="00005C8A">
              <w:t>Maatregel 3:</w:t>
            </w:r>
          </w:p>
          <w:p w:rsidRPr="00005C8A" w:rsidR="003D4D64" w:rsidP="003D4D64" w:rsidRDefault="003D4D64" w14:paraId="59BEADE2" w14:textId="77777777">
            <w:pPr>
              <w:ind w:left="142"/>
            </w:pPr>
            <w:r w:rsidRPr="00005C8A">
              <w:t>Nieuwe gemeentepolis</w:t>
            </w:r>
          </w:p>
        </w:tc>
        <w:tc>
          <w:tcPr>
            <w:tcW w:w="1319" w:type="dxa"/>
          </w:tcPr>
          <w:p w:rsidRPr="00005C8A" w:rsidR="003D4D64" w:rsidP="003D4D64" w:rsidRDefault="003D4D64" w14:paraId="032196CA" w14:textId="77777777">
            <w:r w:rsidRPr="00005C8A">
              <w:t xml:space="preserve">243 </w:t>
            </w:r>
            <w:proofErr w:type="spellStart"/>
            <w:r w:rsidRPr="00005C8A">
              <w:t>mln</w:t>
            </w:r>
            <w:proofErr w:type="spellEnd"/>
          </w:p>
        </w:tc>
        <w:tc>
          <w:tcPr>
            <w:tcW w:w="1559" w:type="dxa"/>
          </w:tcPr>
          <w:p w:rsidRPr="00005C8A" w:rsidR="003D4D64" w:rsidP="003D4D64" w:rsidRDefault="003D4D64" w14:paraId="3AA27523" w14:textId="77777777">
            <w:r w:rsidRPr="00005C8A">
              <w:t xml:space="preserve">279 </w:t>
            </w:r>
            <w:proofErr w:type="spellStart"/>
            <w:r w:rsidRPr="00005C8A">
              <w:t>mln</w:t>
            </w:r>
            <w:proofErr w:type="spellEnd"/>
          </w:p>
        </w:tc>
        <w:tc>
          <w:tcPr>
            <w:tcW w:w="1271" w:type="dxa"/>
          </w:tcPr>
          <w:p w:rsidRPr="00005C8A" w:rsidR="003D4D64" w:rsidP="003D4D64" w:rsidRDefault="003D4D64" w14:paraId="05748A93" w14:textId="77777777">
            <w:r w:rsidRPr="00005C8A">
              <w:t xml:space="preserve">486 </w:t>
            </w:r>
            <w:proofErr w:type="spellStart"/>
            <w:r w:rsidRPr="00005C8A">
              <w:t>mln</w:t>
            </w:r>
            <w:proofErr w:type="spellEnd"/>
          </w:p>
        </w:tc>
      </w:tr>
      <w:tr w:rsidRPr="00005C8A" w:rsidR="00B25B45" w:rsidTr="003D4D64" w14:paraId="242BE934" w14:textId="77777777">
        <w:tc>
          <w:tcPr>
            <w:tcW w:w="3638" w:type="dxa"/>
          </w:tcPr>
          <w:p w:rsidRPr="00005C8A" w:rsidR="00B25B45" w:rsidP="003D4D64" w:rsidRDefault="00B25B45" w14:paraId="531CB6E8" w14:textId="77777777">
            <w:pPr>
              <w:ind w:left="142"/>
              <w:rPr>
                <w:b/>
                <w:bCs/>
                <w:i/>
                <w:iCs/>
              </w:rPr>
            </w:pPr>
          </w:p>
        </w:tc>
        <w:tc>
          <w:tcPr>
            <w:tcW w:w="1319" w:type="dxa"/>
          </w:tcPr>
          <w:p w:rsidRPr="00005C8A" w:rsidR="00B25B45" w:rsidP="003D4D64" w:rsidRDefault="00B25B45" w14:paraId="0FA1D719" w14:textId="77777777">
            <w:pPr>
              <w:ind w:left="142"/>
              <w:rPr>
                <w:i/>
                <w:iCs/>
              </w:rPr>
            </w:pPr>
          </w:p>
        </w:tc>
        <w:tc>
          <w:tcPr>
            <w:tcW w:w="1559" w:type="dxa"/>
          </w:tcPr>
          <w:p w:rsidRPr="00005C8A" w:rsidR="00B25B45" w:rsidP="003D4D64" w:rsidRDefault="00B25B45" w14:paraId="4EC59460" w14:textId="77777777">
            <w:pPr>
              <w:ind w:left="142"/>
              <w:rPr>
                <w:i/>
                <w:iCs/>
              </w:rPr>
            </w:pPr>
          </w:p>
        </w:tc>
        <w:tc>
          <w:tcPr>
            <w:tcW w:w="1271" w:type="dxa"/>
          </w:tcPr>
          <w:p w:rsidRPr="00005C8A" w:rsidR="00B25B45" w:rsidP="003D4D64" w:rsidRDefault="00B25B45" w14:paraId="0CDA0CDB" w14:textId="77777777">
            <w:pPr>
              <w:rPr>
                <w:i/>
                <w:iCs/>
              </w:rPr>
            </w:pPr>
          </w:p>
        </w:tc>
      </w:tr>
      <w:tr w:rsidRPr="00005C8A" w:rsidR="003D4D64" w:rsidTr="003D4D64" w14:paraId="1F13C2A3" w14:textId="77777777">
        <w:tc>
          <w:tcPr>
            <w:tcW w:w="3638" w:type="dxa"/>
          </w:tcPr>
          <w:p w:rsidRPr="00005C8A" w:rsidR="003D4D64" w:rsidP="003D4D64" w:rsidRDefault="003D4D64" w14:paraId="6720B187" w14:textId="77777777">
            <w:pPr>
              <w:ind w:left="142"/>
              <w:rPr>
                <w:b/>
                <w:bCs/>
                <w:i/>
                <w:iCs/>
              </w:rPr>
            </w:pPr>
            <w:r w:rsidRPr="00005C8A">
              <w:rPr>
                <w:b/>
                <w:bCs/>
                <w:i/>
                <w:iCs/>
              </w:rPr>
              <w:t xml:space="preserve">640.000 </w:t>
            </w:r>
            <w:proofErr w:type="spellStart"/>
            <w:r w:rsidRPr="00005C8A">
              <w:rPr>
                <w:b/>
                <w:bCs/>
                <w:i/>
                <w:iCs/>
              </w:rPr>
              <w:t>zorgmijders</w:t>
            </w:r>
            <w:proofErr w:type="spellEnd"/>
          </w:p>
          <w:p w:rsidRPr="00005C8A" w:rsidR="003D4D64" w:rsidP="003D4D64" w:rsidRDefault="003D4D64" w14:paraId="6C477F40" w14:textId="3979586E">
            <w:pPr>
              <w:ind w:left="142"/>
              <w:rPr>
                <w:i/>
                <w:iCs/>
              </w:rPr>
            </w:pPr>
            <w:r w:rsidRPr="00005C8A">
              <w:rPr>
                <w:i/>
                <w:iCs/>
              </w:rPr>
              <w:t>NB: Theoretisch, niet mogelijk deze groep exact te identificeren</w:t>
            </w:r>
          </w:p>
        </w:tc>
        <w:tc>
          <w:tcPr>
            <w:tcW w:w="1319" w:type="dxa"/>
          </w:tcPr>
          <w:p w:rsidRPr="00005C8A" w:rsidR="003D4D64" w:rsidP="003D4D64" w:rsidRDefault="003D4D64" w14:paraId="0DE9BA15" w14:textId="77777777">
            <w:pPr>
              <w:ind w:left="142"/>
              <w:rPr>
                <w:i/>
                <w:iCs/>
              </w:rPr>
            </w:pPr>
          </w:p>
        </w:tc>
        <w:tc>
          <w:tcPr>
            <w:tcW w:w="1559" w:type="dxa"/>
          </w:tcPr>
          <w:p w:rsidRPr="00005C8A" w:rsidR="003D4D64" w:rsidP="003D4D64" w:rsidRDefault="003D4D64" w14:paraId="5A94669C" w14:textId="77777777">
            <w:pPr>
              <w:ind w:left="142"/>
              <w:rPr>
                <w:i/>
                <w:iCs/>
              </w:rPr>
            </w:pPr>
          </w:p>
        </w:tc>
        <w:tc>
          <w:tcPr>
            <w:tcW w:w="1271" w:type="dxa"/>
          </w:tcPr>
          <w:p w:rsidRPr="00005C8A" w:rsidR="003D4D64" w:rsidP="003D4D64" w:rsidRDefault="003D4D64" w14:paraId="0A31443E" w14:textId="77777777">
            <w:pPr>
              <w:rPr>
                <w:i/>
                <w:iCs/>
              </w:rPr>
            </w:pPr>
          </w:p>
        </w:tc>
      </w:tr>
      <w:tr w:rsidRPr="00005C8A" w:rsidR="003D4D64" w:rsidTr="003D4D64" w14:paraId="5DFDC43C" w14:textId="77777777">
        <w:tc>
          <w:tcPr>
            <w:tcW w:w="3638" w:type="dxa"/>
          </w:tcPr>
          <w:p w:rsidRPr="00005C8A" w:rsidR="003D4D64" w:rsidP="003D4D64" w:rsidRDefault="003D4D64" w14:paraId="541E9EF6" w14:textId="77777777">
            <w:pPr>
              <w:ind w:left="142"/>
              <w:rPr>
                <w:i/>
                <w:iCs/>
              </w:rPr>
            </w:pPr>
            <w:r w:rsidRPr="00005C8A">
              <w:rPr>
                <w:i/>
                <w:iCs/>
              </w:rPr>
              <w:t>Maatregel 1: landelijke regeling</w:t>
            </w:r>
          </w:p>
        </w:tc>
        <w:tc>
          <w:tcPr>
            <w:tcW w:w="1319" w:type="dxa"/>
          </w:tcPr>
          <w:p w:rsidRPr="00005C8A" w:rsidR="003D4D64" w:rsidP="003D4D64" w:rsidRDefault="003D4D64" w14:paraId="35C5229A" w14:textId="77777777">
            <w:pPr>
              <w:rPr>
                <w:i/>
                <w:iCs/>
              </w:rPr>
            </w:pPr>
            <w:r w:rsidRPr="00005C8A">
              <w:rPr>
                <w:i/>
                <w:iCs/>
              </w:rPr>
              <w:t xml:space="preserve">39 </w:t>
            </w:r>
            <w:proofErr w:type="spellStart"/>
            <w:r w:rsidRPr="00005C8A">
              <w:rPr>
                <w:i/>
                <w:iCs/>
              </w:rPr>
              <w:t>mln</w:t>
            </w:r>
            <w:proofErr w:type="spellEnd"/>
          </w:p>
        </w:tc>
        <w:tc>
          <w:tcPr>
            <w:tcW w:w="1559" w:type="dxa"/>
          </w:tcPr>
          <w:p w:rsidRPr="00005C8A" w:rsidR="003D4D64" w:rsidP="003D4D64" w:rsidRDefault="003D4D64" w14:paraId="66CD429D" w14:textId="77777777">
            <w:pPr>
              <w:rPr>
                <w:i/>
                <w:iCs/>
              </w:rPr>
            </w:pPr>
            <w:r w:rsidRPr="00005C8A">
              <w:rPr>
                <w:i/>
                <w:iCs/>
              </w:rPr>
              <w:t xml:space="preserve">93 </w:t>
            </w:r>
            <w:proofErr w:type="spellStart"/>
            <w:r w:rsidRPr="00005C8A">
              <w:rPr>
                <w:i/>
                <w:iCs/>
              </w:rPr>
              <w:t>mln</w:t>
            </w:r>
            <w:proofErr w:type="spellEnd"/>
          </w:p>
        </w:tc>
        <w:tc>
          <w:tcPr>
            <w:tcW w:w="1271" w:type="dxa"/>
          </w:tcPr>
          <w:p w:rsidRPr="00005C8A" w:rsidR="003D4D64" w:rsidP="003D4D64" w:rsidRDefault="003D4D64" w14:paraId="6B81649D" w14:textId="77777777">
            <w:pPr>
              <w:rPr>
                <w:i/>
                <w:iCs/>
              </w:rPr>
            </w:pPr>
            <w:r w:rsidRPr="00005C8A">
              <w:rPr>
                <w:i/>
                <w:iCs/>
              </w:rPr>
              <w:t xml:space="preserve">77 </w:t>
            </w:r>
            <w:proofErr w:type="spellStart"/>
            <w:r w:rsidRPr="00005C8A">
              <w:rPr>
                <w:i/>
                <w:iCs/>
              </w:rPr>
              <w:t>mln</w:t>
            </w:r>
            <w:proofErr w:type="spellEnd"/>
          </w:p>
        </w:tc>
      </w:tr>
      <w:tr w:rsidRPr="00005C8A" w:rsidR="003D4D64" w:rsidTr="003D4D64" w14:paraId="0B263231" w14:textId="77777777">
        <w:tc>
          <w:tcPr>
            <w:tcW w:w="3638" w:type="dxa"/>
          </w:tcPr>
          <w:p w:rsidRPr="00005C8A" w:rsidR="003D4D64" w:rsidP="003D4D64" w:rsidRDefault="003D4D64" w14:paraId="6B5E0C88" w14:textId="77777777">
            <w:pPr>
              <w:ind w:left="142"/>
              <w:rPr>
                <w:i/>
                <w:iCs/>
              </w:rPr>
            </w:pPr>
            <w:r w:rsidRPr="00005C8A">
              <w:rPr>
                <w:i/>
                <w:iCs/>
              </w:rPr>
              <w:t>Maatregel 2:</w:t>
            </w:r>
          </w:p>
          <w:p w:rsidRPr="00005C8A" w:rsidR="003D4D64" w:rsidP="003D4D64" w:rsidRDefault="003D4D64" w14:paraId="1213BC57" w14:textId="77777777">
            <w:pPr>
              <w:ind w:left="142"/>
              <w:rPr>
                <w:i/>
                <w:iCs/>
              </w:rPr>
            </w:pPr>
            <w:r w:rsidRPr="00005C8A">
              <w:rPr>
                <w:i/>
                <w:iCs/>
              </w:rPr>
              <w:t>Landelijke aanvullende zorgverzekering</w:t>
            </w:r>
          </w:p>
        </w:tc>
        <w:tc>
          <w:tcPr>
            <w:tcW w:w="1319" w:type="dxa"/>
          </w:tcPr>
          <w:p w:rsidRPr="00005C8A" w:rsidR="003D4D64" w:rsidP="003D4D64" w:rsidRDefault="003D4D64" w14:paraId="1A2CFDB2" w14:textId="77777777">
            <w:pPr>
              <w:rPr>
                <w:i/>
                <w:iCs/>
              </w:rPr>
            </w:pPr>
            <w:r w:rsidRPr="00005C8A">
              <w:rPr>
                <w:i/>
                <w:iCs/>
              </w:rPr>
              <w:t xml:space="preserve">31 </w:t>
            </w:r>
            <w:proofErr w:type="spellStart"/>
            <w:r w:rsidRPr="00005C8A">
              <w:rPr>
                <w:i/>
                <w:iCs/>
              </w:rPr>
              <w:t>mln</w:t>
            </w:r>
            <w:proofErr w:type="spellEnd"/>
          </w:p>
        </w:tc>
        <w:tc>
          <w:tcPr>
            <w:tcW w:w="1559" w:type="dxa"/>
          </w:tcPr>
          <w:p w:rsidRPr="00005C8A" w:rsidR="003D4D64" w:rsidP="003D4D64" w:rsidRDefault="003D4D64" w14:paraId="4B0D4FF5" w14:textId="77777777">
            <w:pPr>
              <w:rPr>
                <w:i/>
                <w:iCs/>
              </w:rPr>
            </w:pPr>
            <w:r w:rsidRPr="00005C8A">
              <w:rPr>
                <w:i/>
                <w:iCs/>
              </w:rPr>
              <w:t xml:space="preserve">74 </w:t>
            </w:r>
            <w:proofErr w:type="spellStart"/>
            <w:r w:rsidRPr="00005C8A">
              <w:rPr>
                <w:i/>
                <w:iCs/>
              </w:rPr>
              <w:t>mln</w:t>
            </w:r>
            <w:proofErr w:type="spellEnd"/>
          </w:p>
        </w:tc>
        <w:tc>
          <w:tcPr>
            <w:tcW w:w="1271" w:type="dxa"/>
          </w:tcPr>
          <w:p w:rsidRPr="00005C8A" w:rsidR="003D4D64" w:rsidP="003D4D64" w:rsidRDefault="003D4D64" w14:paraId="58C14FFB" w14:textId="77777777">
            <w:pPr>
              <w:rPr>
                <w:i/>
                <w:iCs/>
              </w:rPr>
            </w:pPr>
            <w:r w:rsidRPr="00005C8A">
              <w:rPr>
                <w:i/>
                <w:iCs/>
              </w:rPr>
              <w:t xml:space="preserve">62 </w:t>
            </w:r>
            <w:proofErr w:type="spellStart"/>
            <w:r w:rsidRPr="00005C8A">
              <w:rPr>
                <w:i/>
                <w:iCs/>
              </w:rPr>
              <w:t>mln</w:t>
            </w:r>
            <w:proofErr w:type="spellEnd"/>
          </w:p>
        </w:tc>
      </w:tr>
      <w:tr w:rsidRPr="00005C8A" w:rsidR="003D4D64" w:rsidTr="003D4D64" w14:paraId="49A5D3AB" w14:textId="77777777">
        <w:tc>
          <w:tcPr>
            <w:tcW w:w="3638" w:type="dxa"/>
          </w:tcPr>
          <w:p w:rsidRPr="00005C8A" w:rsidR="003D4D64" w:rsidP="003D4D64" w:rsidRDefault="003D4D64" w14:paraId="53604BC1" w14:textId="77777777">
            <w:pPr>
              <w:ind w:left="142"/>
              <w:rPr>
                <w:i/>
                <w:iCs/>
              </w:rPr>
            </w:pPr>
            <w:r w:rsidRPr="00005C8A">
              <w:rPr>
                <w:i/>
                <w:iCs/>
              </w:rPr>
              <w:t>Maatregel 3:</w:t>
            </w:r>
          </w:p>
          <w:p w:rsidRPr="00005C8A" w:rsidR="003D4D64" w:rsidP="003D4D64" w:rsidRDefault="003D4D64" w14:paraId="30470FAB" w14:textId="77777777">
            <w:pPr>
              <w:ind w:left="142"/>
              <w:rPr>
                <w:i/>
                <w:iCs/>
              </w:rPr>
            </w:pPr>
            <w:r w:rsidRPr="00005C8A">
              <w:rPr>
                <w:i/>
                <w:iCs/>
              </w:rPr>
              <w:t>Nieuwe gemeentepolis</w:t>
            </w:r>
          </w:p>
        </w:tc>
        <w:tc>
          <w:tcPr>
            <w:tcW w:w="1319" w:type="dxa"/>
          </w:tcPr>
          <w:p w:rsidRPr="00005C8A" w:rsidR="003D4D64" w:rsidP="003D4D64" w:rsidRDefault="003D4D64" w14:paraId="3130E3D2" w14:textId="77777777">
            <w:pPr>
              <w:rPr>
                <w:i/>
                <w:iCs/>
              </w:rPr>
            </w:pPr>
            <w:r w:rsidRPr="00005C8A">
              <w:rPr>
                <w:i/>
                <w:iCs/>
              </w:rPr>
              <w:t xml:space="preserve">41 </w:t>
            </w:r>
            <w:proofErr w:type="spellStart"/>
            <w:r w:rsidRPr="00005C8A">
              <w:rPr>
                <w:i/>
                <w:iCs/>
              </w:rPr>
              <w:t>mln</w:t>
            </w:r>
            <w:proofErr w:type="spellEnd"/>
          </w:p>
        </w:tc>
        <w:tc>
          <w:tcPr>
            <w:tcW w:w="1559" w:type="dxa"/>
          </w:tcPr>
          <w:p w:rsidRPr="00005C8A" w:rsidR="003D4D64" w:rsidP="003D4D64" w:rsidRDefault="003D4D64" w14:paraId="3BA0BAD1" w14:textId="77777777">
            <w:pPr>
              <w:rPr>
                <w:i/>
                <w:iCs/>
              </w:rPr>
            </w:pPr>
            <w:r w:rsidRPr="00005C8A">
              <w:rPr>
                <w:i/>
                <w:iCs/>
              </w:rPr>
              <w:t xml:space="preserve">97 </w:t>
            </w:r>
            <w:proofErr w:type="spellStart"/>
            <w:r w:rsidRPr="00005C8A">
              <w:rPr>
                <w:i/>
                <w:iCs/>
              </w:rPr>
              <w:t>mln</w:t>
            </w:r>
            <w:proofErr w:type="spellEnd"/>
          </w:p>
        </w:tc>
        <w:tc>
          <w:tcPr>
            <w:tcW w:w="1271" w:type="dxa"/>
          </w:tcPr>
          <w:p w:rsidRPr="00005C8A" w:rsidR="003D4D64" w:rsidP="003D4D64" w:rsidRDefault="003D4D64" w14:paraId="202BC15D" w14:textId="77777777">
            <w:pPr>
              <w:rPr>
                <w:i/>
                <w:iCs/>
              </w:rPr>
            </w:pPr>
            <w:r w:rsidRPr="00005C8A">
              <w:rPr>
                <w:i/>
                <w:iCs/>
              </w:rPr>
              <w:t xml:space="preserve">80 </w:t>
            </w:r>
            <w:proofErr w:type="spellStart"/>
            <w:r w:rsidRPr="00005C8A">
              <w:rPr>
                <w:i/>
                <w:iCs/>
              </w:rPr>
              <w:t>mln</w:t>
            </w:r>
            <w:proofErr w:type="spellEnd"/>
          </w:p>
        </w:tc>
      </w:tr>
    </w:tbl>
    <w:p w:rsidRPr="00005C8A" w:rsidR="002F098B" w:rsidP="006618E9" w:rsidRDefault="002F098B" w14:paraId="5C3C5713" w14:textId="77777777">
      <w:pPr>
        <w:spacing w:line="276" w:lineRule="auto"/>
      </w:pPr>
    </w:p>
    <w:p w:rsidRPr="00005C8A" w:rsidR="006618E9" w:rsidP="006618E9" w:rsidRDefault="006618E9" w14:paraId="6ABD4E73" w14:textId="439E39D8">
      <w:pPr>
        <w:spacing w:line="276" w:lineRule="auto"/>
        <w:rPr>
          <w:i/>
          <w:iCs/>
        </w:rPr>
      </w:pPr>
      <w:r w:rsidRPr="00005C8A">
        <w:rPr>
          <w:i/>
          <w:iCs/>
        </w:rPr>
        <w:t xml:space="preserve"> Tabel 4.2. Verwachte kosten noodfonds bij doelgroep 120% sociaal minimum (bron: </w:t>
      </w:r>
      <w:proofErr w:type="spellStart"/>
      <w:r w:rsidRPr="00005C8A">
        <w:rPr>
          <w:i/>
          <w:iCs/>
        </w:rPr>
        <w:t>Gupta</w:t>
      </w:r>
      <w:proofErr w:type="spellEnd"/>
      <w:r w:rsidRPr="00005C8A">
        <w:rPr>
          <w:i/>
          <w:iCs/>
        </w:rPr>
        <w:t xml:space="preserve"> </w:t>
      </w:r>
      <w:proofErr w:type="spellStart"/>
      <w:r w:rsidRPr="00005C8A">
        <w:rPr>
          <w:i/>
          <w:iCs/>
        </w:rPr>
        <w:t>Strategists</w:t>
      </w:r>
      <w:proofErr w:type="spellEnd"/>
      <w:r w:rsidRPr="00005C8A">
        <w:rPr>
          <w:i/>
          <w:iCs/>
        </w:rPr>
        <w:t>)</w:t>
      </w:r>
    </w:p>
    <w:p w:rsidRPr="00005C8A" w:rsidR="003D4D64" w:rsidP="006618E9" w:rsidRDefault="003D4D64" w14:paraId="5A241A29" w14:textId="77777777">
      <w:pPr>
        <w:spacing w:line="276" w:lineRule="auto"/>
        <w:rPr>
          <w:i/>
          <w:iCs/>
        </w:rPr>
      </w:pPr>
    </w:p>
    <w:tbl>
      <w:tblPr>
        <w:tblStyle w:val="Tabelraster"/>
        <w:tblW w:w="0" w:type="auto"/>
        <w:tblInd w:w="-5" w:type="dxa"/>
        <w:tblLook w:val="04A0" w:firstRow="1" w:lastRow="0" w:firstColumn="1" w:lastColumn="0" w:noHBand="0" w:noVBand="1"/>
      </w:tblPr>
      <w:tblGrid>
        <w:gridCol w:w="3685"/>
        <w:gridCol w:w="1276"/>
        <w:gridCol w:w="1508"/>
        <w:gridCol w:w="1323"/>
      </w:tblGrid>
      <w:tr w:rsidRPr="00005C8A" w:rsidR="002D6B51" w:rsidTr="003D4D64" w14:paraId="7D7FA92F" w14:textId="1BD7CF05">
        <w:tc>
          <w:tcPr>
            <w:tcW w:w="3686" w:type="dxa"/>
          </w:tcPr>
          <w:p w:rsidRPr="00005C8A" w:rsidR="002D6B51" w:rsidP="002D6B51" w:rsidRDefault="002D6B51" w14:paraId="7B77907A" w14:textId="77777777">
            <w:pPr>
              <w:ind w:left="142"/>
            </w:pPr>
          </w:p>
        </w:tc>
        <w:tc>
          <w:tcPr>
            <w:tcW w:w="1276" w:type="dxa"/>
          </w:tcPr>
          <w:p w:rsidRPr="00005C8A" w:rsidR="002D6B51" w:rsidP="002D6B51" w:rsidRDefault="002D6B51" w14:paraId="34EE9E71" w14:textId="77777777">
            <w:pPr>
              <w:ind w:left="142"/>
            </w:pPr>
            <w:r w:rsidRPr="00005C8A">
              <w:t xml:space="preserve">120% sociaal </w:t>
            </w:r>
            <w:proofErr w:type="spellStart"/>
            <w:r w:rsidRPr="00005C8A">
              <w:t>minium</w:t>
            </w:r>
            <w:proofErr w:type="spellEnd"/>
          </w:p>
        </w:tc>
        <w:tc>
          <w:tcPr>
            <w:tcW w:w="1508" w:type="dxa"/>
          </w:tcPr>
          <w:p w:rsidRPr="00005C8A" w:rsidR="002D6B51" w:rsidP="002D6B51" w:rsidRDefault="002D6B51" w14:paraId="41413449" w14:textId="77777777">
            <w:pPr>
              <w:ind w:left="142"/>
            </w:pPr>
            <w:r w:rsidRPr="00005C8A">
              <w:t xml:space="preserve">150% sociaal </w:t>
            </w:r>
            <w:proofErr w:type="spellStart"/>
            <w:r w:rsidRPr="00005C8A">
              <w:t>minium</w:t>
            </w:r>
            <w:proofErr w:type="spellEnd"/>
          </w:p>
        </w:tc>
        <w:tc>
          <w:tcPr>
            <w:tcW w:w="1317" w:type="dxa"/>
          </w:tcPr>
          <w:p w:rsidRPr="00005C8A" w:rsidR="002D6B51" w:rsidP="002D6B51" w:rsidRDefault="002D6B51" w14:paraId="412DC324" w14:textId="062E8970">
            <w:pPr>
              <w:ind w:left="142"/>
              <w:rPr>
                <w:i/>
                <w:iCs/>
              </w:rPr>
            </w:pPr>
            <w:r w:rsidRPr="00005C8A">
              <w:rPr>
                <w:i/>
                <w:iCs/>
              </w:rPr>
              <w:t xml:space="preserve">640.000 </w:t>
            </w:r>
            <w:proofErr w:type="spellStart"/>
            <w:r w:rsidRPr="00005C8A">
              <w:rPr>
                <w:i/>
                <w:iCs/>
              </w:rPr>
              <w:t>zorgmijders</w:t>
            </w:r>
            <w:proofErr w:type="spellEnd"/>
            <w:r w:rsidRPr="00005C8A">
              <w:rPr>
                <w:i/>
                <w:iCs/>
              </w:rPr>
              <w:br/>
              <w:t>(theoretisch)</w:t>
            </w:r>
          </w:p>
        </w:tc>
      </w:tr>
      <w:tr w:rsidRPr="00005C8A" w:rsidR="002D6B51" w:rsidTr="003D4D64" w14:paraId="3325093D" w14:textId="13A40B21">
        <w:tc>
          <w:tcPr>
            <w:tcW w:w="3686" w:type="dxa"/>
          </w:tcPr>
          <w:p w:rsidRPr="00005C8A" w:rsidR="002D6B51" w:rsidP="002D6B51" w:rsidRDefault="002D6B51" w14:paraId="258A7A05" w14:textId="77777777">
            <w:pPr>
              <w:ind w:left="142"/>
            </w:pPr>
            <w:r w:rsidRPr="00005C8A">
              <w:t>Landelijk noodfonds</w:t>
            </w:r>
          </w:p>
        </w:tc>
        <w:tc>
          <w:tcPr>
            <w:tcW w:w="1276" w:type="dxa"/>
          </w:tcPr>
          <w:p w:rsidRPr="00005C8A" w:rsidR="002D6B51" w:rsidP="002D6B51" w:rsidRDefault="002D6B51" w14:paraId="4C77D4BA" w14:textId="77777777">
            <w:pPr>
              <w:ind w:left="142"/>
            </w:pPr>
            <w:r w:rsidRPr="00005C8A">
              <w:t xml:space="preserve">6 </w:t>
            </w:r>
            <w:proofErr w:type="spellStart"/>
            <w:r w:rsidRPr="00005C8A">
              <w:t>mln</w:t>
            </w:r>
            <w:proofErr w:type="spellEnd"/>
          </w:p>
        </w:tc>
        <w:tc>
          <w:tcPr>
            <w:tcW w:w="1508" w:type="dxa"/>
          </w:tcPr>
          <w:p w:rsidRPr="00005C8A" w:rsidR="002D6B51" w:rsidP="002D6B51" w:rsidRDefault="002D6B51" w14:paraId="2C28C547" w14:textId="750BE3F0">
            <w:pPr>
              <w:ind w:left="142"/>
            </w:pPr>
            <w:r w:rsidRPr="00005C8A">
              <w:t xml:space="preserve">10 </w:t>
            </w:r>
            <w:proofErr w:type="spellStart"/>
            <w:r w:rsidRPr="00005C8A">
              <w:t>mln</w:t>
            </w:r>
            <w:proofErr w:type="spellEnd"/>
          </w:p>
        </w:tc>
        <w:tc>
          <w:tcPr>
            <w:tcW w:w="1317" w:type="dxa"/>
          </w:tcPr>
          <w:p w:rsidRPr="00005C8A" w:rsidR="002D6B51" w:rsidP="002D6B51" w:rsidRDefault="002D6B51" w14:paraId="174BBCAB" w14:textId="34E5BFF7">
            <w:pPr>
              <w:ind w:left="142"/>
              <w:rPr>
                <w:i/>
                <w:iCs/>
              </w:rPr>
            </w:pPr>
            <w:r w:rsidRPr="00005C8A">
              <w:rPr>
                <w:i/>
                <w:iCs/>
              </w:rPr>
              <w:t xml:space="preserve">4 </w:t>
            </w:r>
            <w:proofErr w:type="spellStart"/>
            <w:r w:rsidRPr="00005C8A">
              <w:rPr>
                <w:i/>
                <w:iCs/>
              </w:rPr>
              <w:t>mln</w:t>
            </w:r>
            <w:proofErr w:type="spellEnd"/>
          </w:p>
        </w:tc>
      </w:tr>
      <w:tr w:rsidR="002D6B51" w:rsidTr="003D4D64" w14:paraId="427BDC63" w14:textId="4F91B121">
        <w:tc>
          <w:tcPr>
            <w:tcW w:w="3686" w:type="dxa"/>
          </w:tcPr>
          <w:p w:rsidRPr="00005C8A" w:rsidR="002D6B51" w:rsidP="002D6B51" w:rsidRDefault="002D6B51" w14:paraId="2EE037D6" w14:textId="77777777">
            <w:pPr>
              <w:ind w:left="142"/>
            </w:pPr>
            <w:r w:rsidRPr="00005C8A">
              <w:t>Aansluiten bij bestaande noodfondsen en/of informele mondzorgnetwerken</w:t>
            </w:r>
          </w:p>
        </w:tc>
        <w:tc>
          <w:tcPr>
            <w:tcW w:w="1276" w:type="dxa"/>
          </w:tcPr>
          <w:p w:rsidRPr="00005C8A" w:rsidR="002D6B51" w:rsidP="002D6B51" w:rsidRDefault="002D6B51" w14:paraId="6ACADBF0" w14:textId="77777777">
            <w:pPr>
              <w:ind w:left="142"/>
            </w:pPr>
            <w:r w:rsidRPr="00005C8A">
              <w:t xml:space="preserve">3 </w:t>
            </w:r>
            <w:proofErr w:type="spellStart"/>
            <w:r w:rsidRPr="00005C8A">
              <w:t>mln</w:t>
            </w:r>
            <w:proofErr w:type="spellEnd"/>
          </w:p>
        </w:tc>
        <w:tc>
          <w:tcPr>
            <w:tcW w:w="1508" w:type="dxa"/>
          </w:tcPr>
          <w:p w:rsidRPr="00005C8A" w:rsidR="002D6B51" w:rsidP="002D6B51" w:rsidRDefault="002D6B51" w14:paraId="0364862B" w14:textId="373F25D5">
            <w:pPr>
              <w:ind w:left="142"/>
            </w:pPr>
            <w:r w:rsidRPr="00005C8A">
              <w:t xml:space="preserve">5 </w:t>
            </w:r>
            <w:proofErr w:type="spellStart"/>
            <w:r w:rsidRPr="00005C8A">
              <w:t>mln</w:t>
            </w:r>
            <w:proofErr w:type="spellEnd"/>
          </w:p>
        </w:tc>
        <w:tc>
          <w:tcPr>
            <w:tcW w:w="1317" w:type="dxa"/>
          </w:tcPr>
          <w:p w:rsidRPr="00005C8A" w:rsidR="002D6B51" w:rsidP="002D6B51" w:rsidRDefault="002D6B51" w14:paraId="234523FE" w14:textId="07A2732D">
            <w:pPr>
              <w:ind w:left="142"/>
              <w:rPr>
                <w:i/>
                <w:iCs/>
              </w:rPr>
            </w:pPr>
            <w:r w:rsidRPr="00005C8A">
              <w:rPr>
                <w:i/>
                <w:iCs/>
              </w:rPr>
              <w:t xml:space="preserve">2 </w:t>
            </w:r>
            <w:proofErr w:type="spellStart"/>
            <w:r w:rsidRPr="00005C8A">
              <w:rPr>
                <w:i/>
                <w:iCs/>
              </w:rPr>
              <w:t>mln</w:t>
            </w:r>
            <w:proofErr w:type="spellEnd"/>
          </w:p>
        </w:tc>
      </w:tr>
    </w:tbl>
    <w:p w:rsidRPr="001B22FA" w:rsidR="00211452" w:rsidP="00E24B4A" w:rsidRDefault="00211452" w14:paraId="007F67D7" w14:textId="24C2A7B8">
      <w:pPr>
        <w:spacing w:line="480" w:lineRule="auto"/>
      </w:pPr>
    </w:p>
    <w:sectPr w:rsidRPr="001B22FA" w:rsidR="00211452" w:rsidSect="002C7653">
      <w:headerReference w:type="default" r:id="rId11"/>
      <w:headerReference w:type="first" r:id="rId12"/>
      <w:pgSz w:w="11905" w:h="16837"/>
      <w:pgMar w:top="2641" w:right="1273" w:bottom="1077" w:left="2835"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71C9" w14:textId="77777777" w:rsidR="00D8467A" w:rsidRDefault="00D8467A">
      <w:pPr>
        <w:spacing w:line="240" w:lineRule="auto"/>
      </w:pPr>
      <w:r>
        <w:separator/>
      </w:r>
    </w:p>
  </w:endnote>
  <w:endnote w:type="continuationSeparator" w:id="0">
    <w:p w14:paraId="74C683AA" w14:textId="77777777" w:rsidR="00D8467A" w:rsidRDefault="00D8467A">
      <w:pPr>
        <w:spacing w:line="240" w:lineRule="auto"/>
      </w:pPr>
      <w:r>
        <w:continuationSeparator/>
      </w:r>
    </w:p>
  </w:endnote>
  <w:endnote w:type="continuationNotice" w:id="1">
    <w:p w14:paraId="2593AEB5" w14:textId="77777777" w:rsidR="00D8467A" w:rsidRDefault="00D846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A5BDD" w14:textId="77777777" w:rsidR="00D8467A" w:rsidRDefault="00D8467A">
      <w:pPr>
        <w:spacing w:line="240" w:lineRule="auto"/>
      </w:pPr>
      <w:r>
        <w:separator/>
      </w:r>
    </w:p>
  </w:footnote>
  <w:footnote w:type="continuationSeparator" w:id="0">
    <w:p w14:paraId="4F2536F3" w14:textId="77777777" w:rsidR="00D8467A" w:rsidRDefault="00D8467A">
      <w:pPr>
        <w:spacing w:line="240" w:lineRule="auto"/>
      </w:pPr>
      <w:r>
        <w:continuationSeparator/>
      </w:r>
    </w:p>
  </w:footnote>
  <w:footnote w:type="continuationNotice" w:id="1">
    <w:p w14:paraId="358E6EC4" w14:textId="77777777" w:rsidR="00D8467A" w:rsidRDefault="00D8467A">
      <w:pPr>
        <w:spacing w:line="240" w:lineRule="auto"/>
      </w:pPr>
    </w:p>
  </w:footnote>
  <w:footnote w:id="2">
    <w:p w14:paraId="4775724A" w14:textId="17161E68" w:rsidR="00147B06" w:rsidRDefault="00147B06">
      <w:pPr>
        <w:pStyle w:val="Voetnoottekst"/>
      </w:pPr>
      <w:r>
        <w:rPr>
          <w:rStyle w:val="Voetnootmarkering"/>
        </w:rPr>
        <w:footnoteRef/>
      </w:r>
      <w:r>
        <w:t xml:space="preserve"> </w:t>
      </w:r>
      <w:proofErr w:type="spellStart"/>
      <w:r w:rsidRPr="002C1F39">
        <w:rPr>
          <w:sz w:val="16"/>
          <w:szCs w:val="16"/>
        </w:rPr>
        <w:t>Gupta</w:t>
      </w:r>
      <w:proofErr w:type="spellEnd"/>
      <w:r w:rsidRPr="002C1F39">
        <w:rPr>
          <w:sz w:val="16"/>
          <w:szCs w:val="16"/>
        </w:rPr>
        <w:t>, Onderzoek toegankelijkheid mondzorg, 2023</w:t>
      </w:r>
      <w:r>
        <w:rPr>
          <w:sz w:val="16"/>
          <w:szCs w:val="16"/>
        </w:rPr>
        <w:t>.</w:t>
      </w:r>
    </w:p>
  </w:footnote>
  <w:footnote w:id="3">
    <w:p w14:paraId="440CEF98" w14:textId="405EB871" w:rsidR="00390ACF" w:rsidRPr="00B41BF8" w:rsidRDefault="00390ACF" w:rsidP="00390ACF">
      <w:pPr>
        <w:pStyle w:val="Voetnoottekst"/>
        <w:rPr>
          <w:sz w:val="16"/>
          <w:szCs w:val="16"/>
        </w:rPr>
      </w:pPr>
      <w:r w:rsidRPr="00BA0F6A">
        <w:rPr>
          <w:rStyle w:val="Voetnootmarkering"/>
          <w:sz w:val="16"/>
          <w:szCs w:val="16"/>
        </w:rPr>
        <w:footnoteRef/>
      </w:r>
      <w:r w:rsidR="00D95AFB">
        <w:rPr>
          <w:sz w:val="16"/>
          <w:szCs w:val="16"/>
        </w:rPr>
        <w:t xml:space="preserve"> </w:t>
      </w:r>
      <w:hyperlink r:id="rId1" w:history="1">
        <w:r w:rsidR="006C7C0E" w:rsidRPr="006C7C0E">
          <w:rPr>
            <w:rStyle w:val="Hyperlink"/>
            <w:sz w:val="16"/>
            <w:szCs w:val="16"/>
          </w:rPr>
          <w:t>Contacten met de tandarts 2024 | CBS</w:t>
        </w:r>
      </w:hyperlink>
      <w:r w:rsidR="003633B0">
        <w:t>.</w:t>
      </w:r>
    </w:p>
  </w:footnote>
  <w:footnote w:id="4">
    <w:p w14:paraId="3F5080F2" w14:textId="0CD6932E" w:rsidR="00390ACF" w:rsidRPr="00FF1C86" w:rsidRDefault="00390ACF" w:rsidP="00390ACF">
      <w:pPr>
        <w:rPr>
          <w:sz w:val="16"/>
          <w:szCs w:val="16"/>
        </w:rPr>
      </w:pPr>
      <w:r w:rsidRPr="00BA0F6A">
        <w:rPr>
          <w:rStyle w:val="Voetnootmarkering"/>
          <w:sz w:val="16"/>
          <w:szCs w:val="16"/>
        </w:rPr>
        <w:footnoteRef/>
      </w:r>
      <w:r w:rsidRPr="00FF1C86">
        <w:rPr>
          <w:sz w:val="16"/>
          <w:szCs w:val="16"/>
        </w:rPr>
        <w:t xml:space="preserve"> In 20</w:t>
      </w:r>
      <w:r w:rsidR="00F47EE9">
        <w:rPr>
          <w:sz w:val="16"/>
          <w:szCs w:val="16"/>
        </w:rPr>
        <w:t>24</w:t>
      </w:r>
      <w:r w:rsidRPr="00FF1C86">
        <w:rPr>
          <w:sz w:val="16"/>
          <w:szCs w:val="16"/>
        </w:rPr>
        <w:t xml:space="preserve"> beoordeelde 7</w:t>
      </w:r>
      <w:r w:rsidR="00F47EE9">
        <w:rPr>
          <w:sz w:val="16"/>
          <w:szCs w:val="16"/>
        </w:rPr>
        <w:t>2,7%</w:t>
      </w:r>
      <w:r w:rsidRPr="00FF1C86">
        <w:rPr>
          <w:sz w:val="16"/>
          <w:szCs w:val="16"/>
        </w:rPr>
        <w:t xml:space="preserve"> van de </w:t>
      </w:r>
      <w:r w:rsidR="00F47EE9">
        <w:rPr>
          <w:sz w:val="16"/>
          <w:szCs w:val="16"/>
        </w:rPr>
        <w:t xml:space="preserve">volwassenen hun mondgezondheid als goed of zeer goed. Bron: </w:t>
      </w:r>
      <w:hyperlink r:id="rId2" w:anchor="/CBS/nl/dataset/85454NED/table" w:history="1">
        <w:proofErr w:type="spellStart"/>
        <w:r w:rsidR="00F47EE9" w:rsidRPr="00F47EE9">
          <w:rPr>
            <w:rStyle w:val="Hyperlink"/>
            <w:sz w:val="16"/>
            <w:szCs w:val="16"/>
          </w:rPr>
          <w:t>StatLine</w:t>
        </w:r>
        <w:proofErr w:type="spellEnd"/>
        <w:r w:rsidR="00F47EE9" w:rsidRPr="00F47EE9">
          <w:rPr>
            <w:rStyle w:val="Hyperlink"/>
            <w:sz w:val="16"/>
            <w:szCs w:val="16"/>
          </w:rPr>
          <w:t xml:space="preserve"> - Gezondheid en zorggebruik; persoonskenmerken</w:t>
        </w:r>
      </w:hyperlink>
      <w:r w:rsidR="003633B0">
        <w:t>.</w:t>
      </w:r>
    </w:p>
  </w:footnote>
  <w:footnote w:id="5">
    <w:p w14:paraId="0E6F9EE1" w14:textId="3A07234C" w:rsidR="00390ACF" w:rsidRPr="002C1F39" w:rsidRDefault="00390ACF" w:rsidP="00390ACF">
      <w:pPr>
        <w:pStyle w:val="Voetnoottekst"/>
        <w:rPr>
          <w:sz w:val="16"/>
          <w:szCs w:val="16"/>
        </w:rPr>
      </w:pPr>
      <w:r w:rsidRPr="002C1F39">
        <w:rPr>
          <w:rStyle w:val="Voetnootmarkering"/>
          <w:sz w:val="16"/>
          <w:szCs w:val="16"/>
        </w:rPr>
        <w:footnoteRef/>
      </w:r>
      <w:r w:rsidRPr="002C1F39">
        <w:rPr>
          <w:sz w:val="16"/>
          <w:szCs w:val="16"/>
        </w:rPr>
        <w:t xml:space="preserve"> </w:t>
      </w:r>
      <w:proofErr w:type="spellStart"/>
      <w:r w:rsidRPr="002C1F39">
        <w:rPr>
          <w:sz w:val="16"/>
          <w:szCs w:val="16"/>
        </w:rPr>
        <w:t>Gupta</w:t>
      </w:r>
      <w:proofErr w:type="spellEnd"/>
      <w:r w:rsidRPr="002C1F39">
        <w:rPr>
          <w:sz w:val="16"/>
          <w:szCs w:val="16"/>
        </w:rPr>
        <w:t>, Onderzoek toegankelijkheid mondzorg, 2023</w:t>
      </w:r>
      <w:r w:rsidR="00605996">
        <w:rPr>
          <w:sz w:val="16"/>
          <w:szCs w:val="16"/>
        </w:rPr>
        <w:t>.</w:t>
      </w:r>
    </w:p>
  </w:footnote>
  <w:footnote w:id="6">
    <w:p w14:paraId="2D359F7B" w14:textId="5BCE4C68" w:rsidR="00DA583D" w:rsidRPr="00632DCB" w:rsidRDefault="00DA583D" w:rsidP="00DA583D">
      <w:pPr>
        <w:pStyle w:val="Voetnoottekst"/>
      </w:pPr>
      <w:r w:rsidRPr="00605996">
        <w:rPr>
          <w:rStyle w:val="Voetnootmarkering"/>
          <w:sz w:val="16"/>
          <w:szCs w:val="16"/>
        </w:rPr>
        <w:footnoteRef/>
      </w:r>
      <w:r w:rsidRPr="00605996">
        <w:rPr>
          <w:sz w:val="16"/>
          <w:szCs w:val="16"/>
        </w:rPr>
        <w:t xml:space="preserve"> De gevolge</w:t>
      </w:r>
      <w:r w:rsidR="000B0C81">
        <w:rPr>
          <w:sz w:val="16"/>
          <w:szCs w:val="16"/>
        </w:rPr>
        <w:t>n</w:t>
      </w:r>
      <w:r w:rsidRPr="00605996">
        <w:rPr>
          <w:sz w:val="16"/>
          <w:szCs w:val="16"/>
        </w:rPr>
        <w:t xml:space="preserve"> van mondziekten zijn voor 194 landen geschat op basis van </w:t>
      </w:r>
      <w:proofErr w:type="spellStart"/>
      <w:r w:rsidRPr="00DA583D">
        <w:rPr>
          <w:sz w:val="16"/>
          <w:szCs w:val="16"/>
        </w:rPr>
        <w:t>Disability</w:t>
      </w:r>
      <w:proofErr w:type="spellEnd"/>
      <w:r w:rsidRPr="00DA583D">
        <w:rPr>
          <w:sz w:val="16"/>
          <w:szCs w:val="16"/>
        </w:rPr>
        <w:t xml:space="preserve"> </w:t>
      </w:r>
      <w:proofErr w:type="spellStart"/>
      <w:r w:rsidRPr="00DA583D">
        <w:rPr>
          <w:sz w:val="16"/>
          <w:szCs w:val="16"/>
        </w:rPr>
        <w:t>Adjusted</w:t>
      </w:r>
      <w:proofErr w:type="spellEnd"/>
      <w:r w:rsidRPr="00DA583D">
        <w:rPr>
          <w:sz w:val="16"/>
          <w:szCs w:val="16"/>
        </w:rPr>
        <w:t xml:space="preserve"> Life </w:t>
      </w:r>
      <w:proofErr w:type="spellStart"/>
      <w:r w:rsidRPr="00DA583D">
        <w:rPr>
          <w:sz w:val="16"/>
          <w:szCs w:val="16"/>
        </w:rPr>
        <w:t>Years</w:t>
      </w:r>
      <w:proofErr w:type="spellEnd"/>
      <w:r w:rsidRPr="00605996">
        <w:rPr>
          <w:sz w:val="16"/>
          <w:szCs w:val="16"/>
        </w:rPr>
        <w:t xml:space="preserve"> (</w:t>
      </w:r>
      <w:proofErr w:type="spellStart"/>
      <w:r w:rsidRPr="00605996">
        <w:rPr>
          <w:sz w:val="16"/>
          <w:szCs w:val="16"/>
        </w:rPr>
        <w:t>DALY’s</w:t>
      </w:r>
      <w:proofErr w:type="spellEnd"/>
      <w:r w:rsidRPr="00605996">
        <w:rPr>
          <w:sz w:val="16"/>
          <w:szCs w:val="16"/>
        </w:rPr>
        <w:t xml:space="preserve">) en het nationaal product. Voor Nederland wordt dit geschat op € 4,3 </w:t>
      </w:r>
      <w:proofErr w:type="spellStart"/>
      <w:r w:rsidRPr="00605996">
        <w:rPr>
          <w:sz w:val="16"/>
          <w:szCs w:val="16"/>
        </w:rPr>
        <w:t>mld</w:t>
      </w:r>
      <w:proofErr w:type="spellEnd"/>
      <w:r w:rsidRPr="00605996">
        <w:rPr>
          <w:sz w:val="16"/>
          <w:szCs w:val="16"/>
        </w:rPr>
        <w:t xml:space="preserve"> euro. </w:t>
      </w:r>
      <w:r w:rsidRPr="00632DCB">
        <w:rPr>
          <w:sz w:val="16"/>
          <w:szCs w:val="16"/>
        </w:rPr>
        <w:t xml:space="preserve">Zie: </w:t>
      </w:r>
      <w:proofErr w:type="spellStart"/>
      <w:r w:rsidRPr="00632DCB">
        <w:rPr>
          <w:sz w:val="16"/>
          <w:szCs w:val="16"/>
        </w:rPr>
        <w:t>Jevdjevic</w:t>
      </w:r>
      <w:proofErr w:type="spellEnd"/>
      <w:r w:rsidRPr="00632DCB">
        <w:rPr>
          <w:sz w:val="16"/>
          <w:szCs w:val="16"/>
        </w:rPr>
        <w:t xml:space="preserve">, </w:t>
      </w:r>
      <w:proofErr w:type="spellStart"/>
      <w:r w:rsidRPr="00632DCB">
        <w:rPr>
          <w:sz w:val="16"/>
          <w:szCs w:val="16"/>
        </w:rPr>
        <w:t>Milica</w:t>
      </w:r>
      <w:proofErr w:type="spellEnd"/>
      <w:r w:rsidRPr="00632DCB">
        <w:rPr>
          <w:sz w:val="16"/>
          <w:szCs w:val="16"/>
        </w:rPr>
        <w:t xml:space="preserve">; </w:t>
      </w:r>
      <w:proofErr w:type="spellStart"/>
      <w:r w:rsidRPr="00632DCB">
        <w:rPr>
          <w:sz w:val="16"/>
          <w:szCs w:val="16"/>
        </w:rPr>
        <w:t>Listl</w:t>
      </w:r>
      <w:proofErr w:type="spellEnd"/>
      <w:r w:rsidRPr="00632DCB">
        <w:rPr>
          <w:sz w:val="16"/>
          <w:szCs w:val="16"/>
        </w:rPr>
        <w:t>, Stefan, 2022, "</w:t>
      </w:r>
      <w:proofErr w:type="spellStart"/>
      <w:r w:rsidRPr="00632DCB">
        <w:rPr>
          <w:sz w:val="16"/>
          <w:szCs w:val="16"/>
        </w:rPr>
        <w:t>Economic</w:t>
      </w:r>
      <w:proofErr w:type="spellEnd"/>
      <w:r w:rsidRPr="00632DCB">
        <w:rPr>
          <w:sz w:val="16"/>
          <w:szCs w:val="16"/>
        </w:rPr>
        <w:t xml:space="preserve"> impacts of </w:t>
      </w:r>
      <w:proofErr w:type="spellStart"/>
      <w:r w:rsidRPr="00632DCB">
        <w:rPr>
          <w:sz w:val="16"/>
          <w:szCs w:val="16"/>
        </w:rPr>
        <w:t>oral</w:t>
      </w:r>
      <w:proofErr w:type="spellEnd"/>
      <w:r w:rsidRPr="00632DCB">
        <w:rPr>
          <w:sz w:val="16"/>
          <w:szCs w:val="16"/>
        </w:rPr>
        <w:t xml:space="preserve"> </w:t>
      </w:r>
      <w:proofErr w:type="spellStart"/>
      <w:r w:rsidRPr="00632DCB">
        <w:rPr>
          <w:sz w:val="16"/>
          <w:szCs w:val="16"/>
        </w:rPr>
        <w:t>diseases</w:t>
      </w:r>
      <w:proofErr w:type="spellEnd"/>
      <w:r w:rsidRPr="00632DCB">
        <w:rPr>
          <w:sz w:val="16"/>
          <w:szCs w:val="16"/>
        </w:rPr>
        <w:t xml:space="preserve"> in 2019 - data </w:t>
      </w:r>
      <w:proofErr w:type="spellStart"/>
      <w:r w:rsidRPr="00632DCB">
        <w:rPr>
          <w:sz w:val="16"/>
          <w:szCs w:val="16"/>
        </w:rPr>
        <w:t>for</w:t>
      </w:r>
      <w:proofErr w:type="spellEnd"/>
      <w:r w:rsidRPr="00632DCB">
        <w:rPr>
          <w:sz w:val="16"/>
          <w:szCs w:val="16"/>
        </w:rPr>
        <w:t xml:space="preserve"> 194 </w:t>
      </w:r>
      <w:proofErr w:type="spellStart"/>
      <w:r w:rsidRPr="00632DCB">
        <w:rPr>
          <w:sz w:val="16"/>
          <w:szCs w:val="16"/>
        </w:rPr>
        <w:t>countries</w:t>
      </w:r>
      <w:proofErr w:type="spellEnd"/>
      <w:r w:rsidR="00605996" w:rsidRPr="00632DCB">
        <w:rPr>
          <w:sz w:val="16"/>
          <w:szCs w:val="16"/>
        </w:rPr>
        <w:t>”.</w:t>
      </w:r>
    </w:p>
  </w:footnote>
  <w:footnote w:id="7">
    <w:p w14:paraId="1D65B426" w14:textId="4DBF564D" w:rsidR="001C7FBE" w:rsidRDefault="001C7FBE">
      <w:pPr>
        <w:pStyle w:val="Voetnoottekst"/>
      </w:pPr>
      <w:r w:rsidRPr="00605996">
        <w:rPr>
          <w:rStyle w:val="Voetnootmarkering"/>
          <w:sz w:val="16"/>
          <w:szCs w:val="16"/>
        </w:rPr>
        <w:footnoteRef/>
      </w:r>
      <w:r w:rsidRPr="00605996">
        <w:rPr>
          <w:sz w:val="16"/>
          <w:szCs w:val="16"/>
        </w:rPr>
        <w:t xml:space="preserve"> Van alle volwassen Nederlanders in het hoogste inkomens kwintiel (bovenste 20%) ziet slechts 1 op 100 (1%) af van mondzorg wegens kosten, terwijl dat bij Nederlanders in het laagste inkomens kwintiel (onderste 20%) 1 op 8 (12%) is. </w:t>
      </w:r>
      <w:r w:rsidR="00D95AFB">
        <w:rPr>
          <w:sz w:val="16"/>
          <w:szCs w:val="16"/>
        </w:rPr>
        <w:t xml:space="preserve">Zie ACTA-rapport </w:t>
      </w:r>
      <w:hyperlink r:id="rId3">
        <w:r w:rsidR="00D95AFB">
          <w:rPr>
            <w:rStyle w:val="Hyperlink"/>
            <w:color w:val="467886"/>
            <w:sz w:val="16"/>
            <w:szCs w:val="16"/>
          </w:rPr>
          <w:t>Ongewenste mijding van mondzorg</w:t>
        </w:r>
      </w:hyperlink>
      <w:r w:rsidR="003633B0">
        <w:t>.</w:t>
      </w:r>
    </w:p>
  </w:footnote>
  <w:footnote w:id="8">
    <w:p w14:paraId="78838A97" w14:textId="65B53B2E" w:rsidR="001C7FBE" w:rsidRDefault="001C7FBE" w:rsidP="001C7FBE">
      <w:pPr>
        <w:pStyle w:val="Voetnoottekst"/>
      </w:pPr>
      <w:r w:rsidRPr="004C6132">
        <w:rPr>
          <w:rStyle w:val="Voetnootmarkering"/>
          <w:sz w:val="16"/>
          <w:szCs w:val="16"/>
        </w:rPr>
        <w:footnoteRef/>
      </w:r>
      <w:r w:rsidRPr="004C6132">
        <w:rPr>
          <w:sz w:val="16"/>
          <w:szCs w:val="16"/>
        </w:rPr>
        <w:t xml:space="preserve"> </w:t>
      </w:r>
      <w:r w:rsidR="00965D2E">
        <w:rPr>
          <w:sz w:val="16"/>
          <w:szCs w:val="16"/>
        </w:rPr>
        <w:t>R</w:t>
      </w:r>
      <w:r w:rsidRPr="00553DC9">
        <w:rPr>
          <w:sz w:val="16"/>
          <w:szCs w:val="16"/>
        </w:rPr>
        <w:t>apport</w:t>
      </w:r>
      <w:r w:rsidR="00965D2E">
        <w:rPr>
          <w:sz w:val="16"/>
          <w:szCs w:val="16"/>
        </w:rPr>
        <w:t xml:space="preserve"> ACTA / Radboud UMC</w:t>
      </w:r>
      <w:r>
        <w:rPr>
          <w:sz w:val="16"/>
          <w:szCs w:val="16"/>
        </w:rPr>
        <w:t xml:space="preserve"> </w:t>
      </w:r>
      <w:hyperlink r:id="rId4">
        <w:r w:rsidR="00D95AFB">
          <w:rPr>
            <w:rStyle w:val="Hyperlink"/>
            <w:color w:val="467886"/>
            <w:sz w:val="16"/>
            <w:szCs w:val="16"/>
          </w:rPr>
          <w:t>Ongewenste mijding van mondzorg</w:t>
        </w:r>
      </w:hyperlink>
      <w:r>
        <w:rPr>
          <w:sz w:val="16"/>
          <w:szCs w:val="16"/>
        </w:rPr>
        <w:t>, p. 10</w:t>
      </w:r>
      <w:r w:rsidR="00965D2E">
        <w:rPr>
          <w:sz w:val="16"/>
          <w:szCs w:val="16"/>
        </w:rPr>
        <w:t>-11</w:t>
      </w:r>
      <w:r>
        <w:rPr>
          <w:sz w:val="16"/>
          <w:szCs w:val="16"/>
        </w:rPr>
        <w:t xml:space="preserve">. </w:t>
      </w:r>
    </w:p>
  </w:footnote>
  <w:footnote w:id="9">
    <w:p w14:paraId="174DEBDA" w14:textId="64C0A23B" w:rsidR="001B22FA" w:rsidRDefault="001B22FA" w:rsidP="001B22FA">
      <w:pPr>
        <w:pStyle w:val="Voetnoottekst"/>
      </w:pPr>
      <w:r w:rsidRPr="001F1F43">
        <w:rPr>
          <w:rStyle w:val="Voetnootmarkering"/>
          <w:sz w:val="16"/>
          <w:szCs w:val="16"/>
        </w:rPr>
        <w:footnoteRef/>
      </w:r>
      <w:r w:rsidRPr="001F1F43">
        <w:rPr>
          <w:rStyle w:val="Voetnootmarkering"/>
          <w:sz w:val="16"/>
          <w:szCs w:val="16"/>
        </w:rPr>
        <w:t xml:space="preserve"> </w:t>
      </w:r>
      <w:r w:rsidRPr="001F1F43">
        <w:rPr>
          <w:sz w:val="16"/>
          <w:szCs w:val="16"/>
        </w:rPr>
        <w:t>Samenwerkingsverband van KNMT, NVM-mondhygiënisten en ONT</w:t>
      </w:r>
      <w:r w:rsidR="00CB3CCE">
        <w:rPr>
          <w:sz w:val="16"/>
          <w:szCs w:val="16"/>
        </w:rPr>
        <w:t>.</w:t>
      </w:r>
    </w:p>
  </w:footnote>
  <w:footnote w:id="10">
    <w:p w14:paraId="2084FDDA" w14:textId="2EBC9550" w:rsidR="00903CB3" w:rsidRDefault="00903CB3" w:rsidP="00903CB3">
      <w:pPr>
        <w:pStyle w:val="Voetnoottekst"/>
      </w:pPr>
      <w:r w:rsidRPr="002C1F39">
        <w:rPr>
          <w:rStyle w:val="Voetnootmarkering"/>
          <w:sz w:val="16"/>
          <w:szCs w:val="16"/>
        </w:rPr>
        <w:footnoteRef/>
      </w:r>
      <w:r w:rsidR="00D95AFB">
        <w:rPr>
          <w:sz w:val="16"/>
          <w:szCs w:val="16"/>
        </w:rPr>
        <w:t xml:space="preserve"> Zie Eindverslag </w:t>
      </w:r>
      <w:hyperlink r:id="rId5">
        <w:r w:rsidR="00D95AFB">
          <w:rPr>
            <w:rStyle w:val="Hyperlink"/>
            <w:color w:val="467886"/>
            <w:sz w:val="16"/>
            <w:szCs w:val="16"/>
          </w:rPr>
          <w:t>Project ‘Verminderen van ongewenste mijding van mondzorg vanwege financiële redenen’</w:t>
        </w:r>
      </w:hyperlink>
      <w:r w:rsidR="003633B0">
        <w:t>.</w:t>
      </w:r>
    </w:p>
  </w:footnote>
  <w:footnote w:id="11">
    <w:p w14:paraId="7BF3E50F" w14:textId="344ECA9A" w:rsidR="00834A94" w:rsidRPr="003633B0" w:rsidRDefault="00834A94">
      <w:pPr>
        <w:pStyle w:val="Voetnoottekst"/>
        <w:rPr>
          <w:sz w:val="16"/>
          <w:szCs w:val="16"/>
        </w:rPr>
      </w:pPr>
      <w:r w:rsidRPr="002C556D">
        <w:rPr>
          <w:rStyle w:val="Voetnootmarkering"/>
          <w:sz w:val="16"/>
          <w:szCs w:val="16"/>
        </w:rPr>
        <w:footnoteRef/>
      </w:r>
      <w:r w:rsidRPr="002C556D">
        <w:rPr>
          <w:sz w:val="16"/>
          <w:szCs w:val="16"/>
        </w:rPr>
        <w:t xml:space="preserve"> Doorrekening </w:t>
      </w:r>
      <w:r w:rsidR="002C556D" w:rsidRPr="002C556D">
        <w:rPr>
          <w:sz w:val="16"/>
          <w:szCs w:val="16"/>
        </w:rPr>
        <w:t>impact gerichte</w:t>
      </w:r>
      <w:r w:rsidRPr="002C556D">
        <w:rPr>
          <w:sz w:val="16"/>
          <w:szCs w:val="16"/>
        </w:rPr>
        <w:t xml:space="preserve"> financiële maatregelen mondzorg voor minima, </w:t>
      </w:r>
      <w:proofErr w:type="spellStart"/>
      <w:r w:rsidRPr="002C556D">
        <w:rPr>
          <w:sz w:val="16"/>
          <w:szCs w:val="16"/>
        </w:rPr>
        <w:t>Gupta</w:t>
      </w:r>
      <w:proofErr w:type="spellEnd"/>
      <w:r w:rsidRPr="002C556D">
        <w:rPr>
          <w:sz w:val="16"/>
          <w:szCs w:val="16"/>
        </w:rPr>
        <w:t xml:space="preserve"> </w:t>
      </w:r>
      <w:proofErr w:type="spellStart"/>
      <w:r w:rsidR="00502E1C" w:rsidRPr="002C556D">
        <w:rPr>
          <w:sz w:val="16"/>
          <w:szCs w:val="16"/>
        </w:rPr>
        <w:t>Strategists</w:t>
      </w:r>
      <w:proofErr w:type="spellEnd"/>
      <w:r w:rsidRPr="002C556D">
        <w:rPr>
          <w:sz w:val="16"/>
          <w:szCs w:val="16"/>
        </w:rPr>
        <w:t>,</w:t>
      </w:r>
      <w:r w:rsidR="002C556D" w:rsidRPr="002C556D">
        <w:rPr>
          <w:sz w:val="16"/>
          <w:szCs w:val="16"/>
        </w:rPr>
        <w:t xml:space="preserve"> </w:t>
      </w:r>
      <w:r w:rsidRPr="002C556D">
        <w:rPr>
          <w:sz w:val="16"/>
          <w:szCs w:val="16"/>
        </w:rPr>
        <w:t>oktober 2025</w:t>
      </w:r>
      <w:r w:rsidR="003633B0">
        <w:rPr>
          <w:sz w:val="16"/>
          <w:szCs w:val="16"/>
        </w:rPr>
        <w:t>.</w:t>
      </w:r>
      <w:r w:rsidR="00360D92">
        <w:rPr>
          <w:sz w:val="16"/>
          <w:szCs w:val="16"/>
        </w:rPr>
        <w:t xml:space="preserve"> </w:t>
      </w:r>
    </w:p>
  </w:footnote>
  <w:footnote w:id="12">
    <w:p w14:paraId="5BB01961" w14:textId="731A4C0C" w:rsidR="00CA1021" w:rsidRDefault="00CA1021">
      <w:pPr>
        <w:pStyle w:val="Voetnoottekst"/>
      </w:pPr>
      <w:r w:rsidRPr="00440A5E">
        <w:rPr>
          <w:rStyle w:val="Voetnootmarkering"/>
          <w:sz w:val="16"/>
          <w:szCs w:val="16"/>
        </w:rPr>
        <w:footnoteRef/>
      </w:r>
      <w:r w:rsidRPr="00440A5E">
        <w:rPr>
          <w:sz w:val="16"/>
          <w:szCs w:val="16"/>
        </w:rPr>
        <w:t xml:space="preserve"> </w:t>
      </w:r>
      <w:r>
        <w:rPr>
          <w:sz w:val="16"/>
          <w:szCs w:val="16"/>
        </w:rPr>
        <w:t xml:space="preserve">Gegevens uit de </w:t>
      </w:r>
      <w:proofErr w:type="spellStart"/>
      <w:r>
        <w:rPr>
          <w:sz w:val="16"/>
          <w:szCs w:val="16"/>
        </w:rPr>
        <w:t>Vektis</w:t>
      </w:r>
      <w:proofErr w:type="spellEnd"/>
      <w:r>
        <w:rPr>
          <w:sz w:val="16"/>
          <w:szCs w:val="16"/>
        </w:rPr>
        <w:t xml:space="preserve"> publicatie Verzekerden in beeld genoemd in mondzorgmijding vanwege financiële redenen: een leidraad voor gemeenten, BS&amp;F, april 2025, te raadplegen via </w:t>
      </w:r>
      <w:hyperlink r:id="rId6" w:history="1">
        <w:r w:rsidRPr="00324A18">
          <w:rPr>
            <w:rStyle w:val="Hyperlink"/>
            <w:sz w:val="16"/>
            <w:szCs w:val="16"/>
          </w:rPr>
          <w:t>www.bsenf.nl</w:t>
        </w:r>
      </w:hyperlink>
      <w:r>
        <w:rPr>
          <w:sz w:val="16"/>
          <w:szCs w:val="16"/>
        </w:rPr>
        <w:t>.</w:t>
      </w:r>
    </w:p>
  </w:footnote>
  <w:footnote w:id="13">
    <w:p w14:paraId="69EA1F95" w14:textId="097FFC01" w:rsidR="00126A93" w:rsidRDefault="00126A93">
      <w:pPr>
        <w:pStyle w:val="Voetnoottekst"/>
      </w:pPr>
      <w:r>
        <w:rPr>
          <w:rStyle w:val="Voetnootmarkering"/>
        </w:rPr>
        <w:footnoteRef/>
      </w:r>
      <w:r w:rsidR="00D95AFB">
        <w:t xml:space="preserve"> </w:t>
      </w:r>
      <w:r w:rsidR="001E2BD4" w:rsidRPr="001E2BD4">
        <w:rPr>
          <w:sz w:val="16"/>
          <w:szCs w:val="16"/>
        </w:rPr>
        <w:t>M</w:t>
      </w:r>
      <w:r w:rsidR="001E2BD4">
        <w:rPr>
          <w:sz w:val="16"/>
          <w:szCs w:val="16"/>
        </w:rPr>
        <w:t xml:space="preserve">ondzorgmijding vanwege financiële redenen: een leidraad voor gemeenten, BS&amp;F, april 2025, te raadplegen via </w:t>
      </w:r>
      <w:hyperlink r:id="rId7" w:history="1">
        <w:r w:rsidR="001E2BD4" w:rsidRPr="00324A18">
          <w:rPr>
            <w:rStyle w:val="Hyperlink"/>
            <w:sz w:val="16"/>
            <w:szCs w:val="16"/>
          </w:rPr>
          <w:t>www.bsenf.nl</w:t>
        </w:r>
      </w:hyperlink>
      <w:r w:rsidR="001E2BD4">
        <w:rPr>
          <w:sz w:val="16"/>
          <w:szCs w:val="16"/>
        </w:rPr>
        <w:t xml:space="preserve">. </w:t>
      </w:r>
    </w:p>
  </w:footnote>
  <w:footnote w:id="14">
    <w:p w14:paraId="5C0E15D5" w14:textId="1ED9142B" w:rsidR="006C0BFA" w:rsidRDefault="006C0BFA">
      <w:pPr>
        <w:pStyle w:val="Voetnoottekst"/>
      </w:pPr>
      <w:r>
        <w:rPr>
          <w:rStyle w:val="Voetnootmarkering"/>
        </w:rPr>
        <w:footnoteRef/>
      </w:r>
      <w:r w:rsidR="00D95AFB">
        <w:t xml:space="preserve"> </w:t>
      </w:r>
      <w:hyperlink r:id="rId8">
        <w:r w:rsidR="00D95AFB">
          <w:rPr>
            <w:rStyle w:val="Hyperlink"/>
            <w:color w:val="467886"/>
            <w:sz w:val="16"/>
            <w:szCs w:val="16"/>
          </w:rPr>
          <w:t>Over de gemeentepolis – Gezondverzekerd.nl</w:t>
        </w:r>
      </w:hyperlink>
      <w:r w:rsidR="003633B0">
        <w:t>.</w:t>
      </w:r>
    </w:p>
  </w:footnote>
  <w:footnote w:id="15">
    <w:p w14:paraId="53D24045" w14:textId="6C1CE74F" w:rsidR="00870787" w:rsidRDefault="00870787">
      <w:pPr>
        <w:pStyle w:val="Voetnoottekst"/>
      </w:pPr>
      <w:r>
        <w:rPr>
          <w:rStyle w:val="Voetnootmarkering"/>
        </w:rPr>
        <w:footnoteRef/>
      </w:r>
      <w:r>
        <w:t xml:space="preserve"> </w:t>
      </w:r>
      <w:r w:rsidRPr="00605996">
        <w:rPr>
          <w:sz w:val="16"/>
          <w:szCs w:val="16"/>
        </w:rPr>
        <w:t>De hoogste premiebijdrage wordt momenteel gegeven in Ouder-Amstel (€ 66,85 per maand)</w:t>
      </w:r>
      <w:r w:rsidR="00335894">
        <w:rPr>
          <w:sz w:val="16"/>
          <w:szCs w:val="16"/>
        </w:rPr>
        <w:t xml:space="preserve">. </w:t>
      </w:r>
    </w:p>
  </w:footnote>
  <w:footnote w:id="16">
    <w:p w14:paraId="7AA6D7CB" w14:textId="08E781E7" w:rsidR="00DA0924" w:rsidRDefault="00DA0924" w:rsidP="00DA0924">
      <w:pPr>
        <w:pStyle w:val="Voetnoottekst"/>
      </w:pPr>
      <w:r>
        <w:rPr>
          <w:rStyle w:val="Voetnootmarkering"/>
        </w:rPr>
        <w:footnoteRef/>
      </w:r>
      <w:r>
        <w:t xml:space="preserve"> </w:t>
      </w:r>
      <w:r w:rsidRPr="00632DCB">
        <w:rPr>
          <w:sz w:val="16"/>
          <w:szCs w:val="16"/>
        </w:rPr>
        <w:t>Rapport Ongewenste mijding van mondzorg om financiële redenen, BS&amp;F, 202</w:t>
      </w:r>
      <w:r>
        <w:rPr>
          <w:sz w:val="16"/>
          <w:szCs w:val="16"/>
        </w:rPr>
        <w:t>3</w:t>
      </w:r>
      <w:r w:rsidR="003633B0">
        <w:rPr>
          <w:sz w:val="16"/>
          <w:szCs w:val="16"/>
        </w:rPr>
        <w:t>.</w:t>
      </w:r>
    </w:p>
  </w:footnote>
  <w:footnote w:id="17">
    <w:p w14:paraId="15AF5170" w14:textId="77777777" w:rsidR="00B05421" w:rsidRDefault="00B05421" w:rsidP="00B05421">
      <w:pPr>
        <w:pStyle w:val="Voetnoottekst"/>
      </w:pPr>
      <w:r>
        <w:rPr>
          <w:rStyle w:val="Voetnootmarkering"/>
        </w:rPr>
        <w:footnoteRef/>
      </w:r>
      <w:r>
        <w:t xml:space="preserve"> </w:t>
      </w:r>
      <w:r w:rsidRPr="00553DC9">
        <w:rPr>
          <w:sz w:val="16"/>
          <w:szCs w:val="16"/>
        </w:rPr>
        <w:t>ACTA-rapport</w:t>
      </w:r>
      <w:r>
        <w:rPr>
          <w:sz w:val="16"/>
          <w:szCs w:val="16"/>
        </w:rPr>
        <w:t xml:space="preserve"> </w:t>
      </w:r>
      <w:hyperlink r:id="rId9" w:history="1">
        <w:r w:rsidRPr="00A04D35">
          <w:rPr>
            <w:rStyle w:val="Hyperlink"/>
            <w:sz w:val="16"/>
            <w:szCs w:val="16"/>
          </w:rPr>
          <w:t>Ongewenste mijding van mondzorg</w:t>
        </w:r>
      </w:hyperlink>
      <w:r w:rsidRPr="002D46E7">
        <w:rPr>
          <w:rStyle w:val="Voetnootmarkering"/>
          <w:sz w:val="16"/>
          <w:szCs w:val="16"/>
        </w:rPr>
        <w:t xml:space="preserve"> </w:t>
      </w:r>
      <w:r>
        <w:rPr>
          <w:sz w:val="16"/>
          <w:szCs w:val="16"/>
        </w:rPr>
        <w:t xml:space="preserve">p, 9-11. </w:t>
      </w:r>
    </w:p>
  </w:footnote>
  <w:footnote w:id="18">
    <w:p w14:paraId="5B3DE581" w14:textId="77777777" w:rsidR="0074526E" w:rsidRPr="00834A94" w:rsidRDefault="0074526E" w:rsidP="0074526E">
      <w:pPr>
        <w:pStyle w:val="Voetnoottekst"/>
        <w:rPr>
          <w:sz w:val="16"/>
          <w:szCs w:val="16"/>
        </w:rPr>
      </w:pPr>
      <w:r w:rsidRPr="002D46E7">
        <w:rPr>
          <w:rStyle w:val="Voetnootmarkering"/>
          <w:sz w:val="16"/>
          <w:szCs w:val="16"/>
        </w:rPr>
        <w:footnoteRef/>
      </w:r>
      <w:r w:rsidRPr="002D46E7">
        <w:rPr>
          <w:rStyle w:val="Voetnootmarkering"/>
        </w:rPr>
        <w:t xml:space="preserve"> </w:t>
      </w:r>
      <w:r w:rsidRPr="00755359">
        <w:rPr>
          <w:sz w:val="16"/>
          <w:szCs w:val="16"/>
        </w:rPr>
        <w:t xml:space="preserve">BS&amp;F: Landelijk heeft 5% van de gemeenten een inkomensgrens tot 110% van de bijstandsnorm. 51% van de gemeenten heeft een inkomensgrens tot 120% van de </w:t>
      </w:r>
      <w:r w:rsidRPr="00834A94">
        <w:rPr>
          <w:sz w:val="16"/>
          <w:szCs w:val="16"/>
        </w:rPr>
        <w:t>bijstandsnorm en 44% hanteert een inkomensgrens van hoger dan 120% van de bijstandsnorm.</w:t>
      </w:r>
    </w:p>
  </w:footnote>
  <w:footnote w:id="19">
    <w:p w14:paraId="709A7E54" w14:textId="70DECB4E" w:rsidR="0074526E" w:rsidRPr="00D15C5F" w:rsidRDefault="0074526E" w:rsidP="0074526E">
      <w:pPr>
        <w:pStyle w:val="Voetnoottekst"/>
        <w:rPr>
          <w:sz w:val="16"/>
          <w:szCs w:val="16"/>
          <w:highlight w:val="yellow"/>
        </w:rPr>
      </w:pPr>
      <w:r w:rsidRPr="00834A94">
        <w:rPr>
          <w:rStyle w:val="Voetnootmarkering"/>
          <w:sz w:val="16"/>
          <w:szCs w:val="16"/>
        </w:rPr>
        <w:footnoteRef/>
      </w:r>
      <w:r w:rsidR="00D95AFB" w:rsidRPr="00834A94">
        <w:rPr>
          <w:sz w:val="16"/>
          <w:szCs w:val="16"/>
        </w:rPr>
        <w:t xml:space="preserve"> Volgens de </w:t>
      </w:r>
      <w:hyperlink r:id="rId10">
        <w:r w:rsidR="00D95AFB" w:rsidRPr="00834A94">
          <w:rPr>
            <w:rStyle w:val="Hyperlink"/>
            <w:color w:val="467886"/>
            <w:sz w:val="16"/>
            <w:szCs w:val="16"/>
          </w:rPr>
          <w:t>Armoedescan</w:t>
        </w:r>
      </w:hyperlink>
      <w:r w:rsidRPr="00834A94">
        <w:rPr>
          <w:sz w:val="16"/>
          <w:szCs w:val="16"/>
        </w:rPr>
        <w:t xml:space="preserve"> van het CBS ging het in 2022 om 921.700 huishoudens in Nederland met een inkomen van 120% van het sociaal minimum gedurende minimaal 1 jaar (12,0% van alle huishoudens). </w:t>
      </w:r>
    </w:p>
  </w:footnote>
  <w:footnote w:id="20">
    <w:p w14:paraId="7F59A051" w14:textId="2E2A5A7C" w:rsidR="0074526E" w:rsidRDefault="0074526E" w:rsidP="0074526E">
      <w:pPr>
        <w:pStyle w:val="Voetnoottekst"/>
      </w:pPr>
      <w:r w:rsidRPr="00A51509">
        <w:rPr>
          <w:rStyle w:val="Voetnootmarkering"/>
          <w:sz w:val="16"/>
          <w:szCs w:val="16"/>
        </w:rPr>
        <w:footnoteRef/>
      </w:r>
      <w:r w:rsidRPr="00A51509">
        <w:rPr>
          <w:sz w:val="16"/>
          <w:szCs w:val="16"/>
        </w:rPr>
        <w:t xml:space="preserve"> Voor 150% komt dit uit op 1.465.000 huishoudens (19,1% van alle huishoudens). Een huishouden bestaat </w:t>
      </w:r>
      <w:hyperlink r:id="rId11">
        <w:r w:rsidR="00D95AFB" w:rsidRPr="00A51509">
          <w:rPr>
            <w:rStyle w:val="Hyperlink"/>
            <w:color w:val="467886"/>
            <w:sz w:val="16"/>
            <w:szCs w:val="16"/>
          </w:rPr>
          <w:t>volgens het CBS</w:t>
        </w:r>
      </w:hyperlink>
      <w:r w:rsidRPr="00A51509">
        <w:rPr>
          <w:sz w:val="16"/>
          <w:szCs w:val="16"/>
        </w:rPr>
        <w:t xml:space="preserve"> in 2024 gemiddeld uit 2,11 personen.</w:t>
      </w:r>
    </w:p>
  </w:footnote>
  <w:footnote w:id="21">
    <w:p w14:paraId="536BAB39" w14:textId="1A20A240" w:rsidR="00A51509" w:rsidRDefault="00A51509">
      <w:pPr>
        <w:pStyle w:val="Voetnoottekst"/>
      </w:pPr>
      <w:r>
        <w:rPr>
          <w:rStyle w:val="Voetnootmarkering"/>
        </w:rPr>
        <w:footnoteRef/>
      </w:r>
      <w:r>
        <w:t xml:space="preserve"> </w:t>
      </w:r>
      <w:bookmarkStart w:id="291" w:name="_Hlk210909485"/>
      <w:r w:rsidRPr="00A51509">
        <w:rPr>
          <w:sz w:val="16"/>
          <w:szCs w:val="16"/>
        </w:rPr>
        <w:t xml:space="preserve">Dit </w:t>
      </w:r>
      <w:r w:rsidR="00A65C4B">
        <w:rPr>
          <w:sz w:val="16"/>
          <w:szCs w:val="16"/>
        </w:rPr>
        <w:t>verschilt per maatregel en</w:t>
      </w:r>
      <w:r w:rsidRPr="00A51509">
        <w:rPr>
          <w:sz w:val="16"/>
          <w:szCs w:val="16"/>
        </w:rPr>
        <w:t xml:space="preserve"> zal lager liggen als meer handelingen nodig zijn vanuit de burger om gebruik te maken van de maatregel</w:t>
      </w:r>
      <w:r w:rsidR="00A65C4B">
        <w:rPr>
          <w:sz w:val="16"/>
          <w:szCs w:val="16"/>
        </w:rPr>
        <w:t xml:space="preserve"> en hoger als de maatregel bekend is</w:t>
      </w:r>
      <w:r w:rsidRPr="00A51509">
        <w:rPr>
          <w:sz w:val="16"/>
          <w:szCs w:val="16"/>
        </w:rPr>
        <w:t>.</w:t>
      </w:r>
      <w:r w:rsidR="00AB1CEF">
        <w:rPr>
          <w:sz w:val="16"/>
          <w:szCs w:val="16"/>
        </w:rPr>
        <w:t xml:space="preserve"> De </w:t>
      </w:r>
      <w:r w:rsidR="00C209E6">
        <w:rPr>
          <w:sz w:val="16"/>
          <w:szCs w:val="16"/>
        </w:rPr>
        <w:t>aanname</w:t>
      </w:r>
      <w:r w:rsidR="00AB1CEF">
        <w:rPr>
          <w:sz w:val="16"/>
          <w:szCs w:val="16"/>
        </w:rPr>
        <w:t xml:space="preserve"> van </w:t>
      </w:r>
      <w:proofErr w:type="spellStart"/>
      <w:r w:rsidR="00AB1CEF">
        <w:rPr>
          <w:sz w:val="16"/>
          <w:szCs w:val="16"/>
        </w:rPr>
        <w:t>Gupta</w:t>
      </w:r>
      <w:proofErr w:type="spellEnd"/>
      <w:r w:rsidR="00AB1CEF">
        <w:rPr>
          <w:sz w:val="16"/>
          <w:szCs w:val="16"/>
        </w:rPr>
        <w:t xml:space="preserve"> is dat het gebruik voor maatregel 2 32% is en voor maatregel 3 41,8%. </w:t>
      </w:r>
      <w:r w:rsidRPr="00A51509">
        <w:rPr>
          <w:sz w:val="16"/>
          <w:szCs w:val="16"/>
        </w:rPr>
        <w:t xml:space="preserve"> </w:t>
      </w:r>
      <w:r w:rsidR="00C209E6">
        <w:rPr>
          <w:sz w:val="16"/>
          <w:szCs w:val="16"/>
        </w:rPr>
        <w:t xml:space="preserve">Voor een noodfonds is de aanname dat dit 5-10% is.  </w:t>
      </w:r>
      <w:r w:rsidRPr="00A51509">
        <w:rPr>
          <w:sz w:val="16"/>
          <w:szCs w:val="16"/>
        </w:rPr>
        <w:t xml:space="preserve"> </w:t>
      </w:r>
      <w:bookmarkEnd w:id="291"/>
    </w:p>
  </w:footnote>
  <w:footnote w:id="22">
    <w:p w14:paraId="6AD9C351" w14:textId="590F143A" w:rsidR="00BB12E5" w:rsidRDefault="00BB12E5" w:rsidP="00BB12E5">
      <w:pPr>
        <w:pStyle w:val="Voetnoottekst"/>
      </w:pPr>
      <w:r>
        <w:rPr>
          <w:rStyle w:val="Voetnootmarkering"/>
        </w:rPr>
        <w:footnoteRef/>
      </w:r>
      <w:r w:rsidR="00D95AFB">
        <w:t xml:space="preserve"> </w:t>
      </w:r>
      <w:hyperlink r:id="rId12">
        <w:r w:rsidR="00D95AFB">
          <w:rPr>
            <w:rStyle w:val="Hyperlink"/>
            <w:color w:val="467886"/>
            <w:sz w:val="16"/>
            <w:szCs w:val="16"/>
          </w:rPr>
          <w:t>Handreiking noodzakelijke mondzorg voor financieel kwetsbare mensen</w:t>
        </w:r>
      </w:hyperlink>
      <w:r w:rsidR="003633B0">
        <w:rPr>
          <w:sz w:val="16"/>
          <w:szCs w:val="16"/>
        </w:rPr>
        <w:t>.</w:t>
      </w:r>
    </w:p>
  </w:footnote>
  <w:footnote w:id="23">
    <w:p w14:paraId="25E837BA" w14:textId="77777777" w:rsidR="00926F6C" w:rsidRDefault="00926F6C" w:rsidP="00926F6C">
      <w:pPr>
        <w:pStyle w:val="Voetnoottekst"/>
      </w:pPr>
      <w:r>
        <w:rPr>
          <w:rStyle w:val="Voetnootmarkering"/>
        </w:rPr>
        <w:footnoteRef/>
      </w:r>
      <w:r>
        <w:t xml:space="preserve"> </w:t>
      </w:r>
      <w:proofErr w:type="spellStart"/>
      <w:r w:rsidRPr="002C1F39">
        <w:rPr>
          <w:sz w:val="16"/>
          <w:szCs w:val="16"/>
        </w:rPr>
        <w:t>Gupta</w:t>
      </w:r>
      <w:proofErr w:type="spellEnd"/>
      <w:r w:rsidRPr="002C1F39">
        <w:rPr>
          <w:sz w:val="16"/>
          <w:szCs w:val="16"/>
        </w:rPr>
        <w:t>, Onderzoek toegankelijkheid mondzorg, 2023</w:t>
      </w:r>
      <w:r>
        <w:rPr>
          <w:sz w:val="16"/>
          <w:szCs w:val="16"/>
        </w:rPr>
        <w:t xml:space="preserve">, p 10. </w:t>
      </w:r>
    </w:p>
  </w:footnote>
  <w:footnote w:id="24">
    <w:p w14:paraId="4898E5C9" w14:textId="4A261E14" w:rsidR="00781AEC" w:rsidRDefault="00781AEC" w:rsidP="00781AEC">
      <w:pPr>
        <w:pStyle w:val="Voetnoottekst"/>
      </w:pPr>
      <w:r>
        <w:rPr>
          <w:rStyle w:val="Voetnootmarkering"/>
        </w:rPr>
        <w:footnoteRef/>
      </w:r>
      <w:r>
        <w:t xml:space="preserve"> </w:t>
      </w:r>
      <w:r w:rsidR="00AC5BD3" w:rsidRPr="00632DCB">
        <w:rPr>
          <w:rFonts w:cstheme="minorHAnsi"/>
          <w:sz w:val="16"/>
          <w:szCs w:val="16"/>
        </w:rPr>
        <w:t xml:space="preserve">Gelijk aan de maximale vergoeding in de RMA en RMO voor noodhulp. </w:t>
      </w:r>
      <w:r w:rsidR="00AC5BD3" w:rsidRPr="00632DCB">
        <w:rPr>
          <w:sz w:val="16"/>
          <w:szCs w:val="16"/>
        </w:rPr>
        <w:t xml:space="preserve">In de </w:t>
      </w:r>
      <w:r w:rsidR="002F56CA">
        <w:rPr>
          <w:sz w:val="16"/>
          <w:szCs w:val="16"/>
        </w:rPr>
        <w:t>H</w:t>
      </w:r>
      <w:r w:rsidR="00AC5BD3" w:rsidRPr="00632DCB">
        <w:rPr>
          <w:sz w:val="16"/>
          <w:szCs w:val="16"/>
        </w:rPr>
        <w:t>andreiking staat momenteel een maximumbedrag van €250.</w:t>
      </w:r>
    </w:p>
  </w:footnote>
  <w:footnote w:id="25">
    <w:p w14:paraId="64148AEC" w14:textId="571117DF" w:rsidR="00223F61" w:rsidRDefault="00223F61">
      <w:pPr>
        <w:pStyle w:val="Voetnoottekst"/>
      </w:pPr>
      <w:r w:rsidRPr="00223F61">
        <w:rPr>
          <w:rStyle w:val="Voetnootmarkering"/>
          <w:sz w:val="18"/>
          <w:szCs w:val="18"/>
        </w:rPr>
        <w:footnoteRef/>
      </w:r>
      <w:r w:rsidRPr="00223F61">
        <w:rPr>
          <w:sz w:val="18"/>
          <w:szCs w:val="18"/>
        </w:rPr>
        <w:t xml:space="preserve"> </w:t>
      </w:r>
      <w:r w:rsidRPr="00FC29F5">
        <w:rPr>
          <w:sz w:val="16"/>
          <w:szCs w:val="16"/>
        </w:rPr>
        <w:t xml:space="preserve">Het is mogelijk om een aanvullende verzekering af te sluiten bij een andere verzekeraar dan de verzekeraar waar je een basisverzekering hebt afgesloten. Wij nemen hier aan dat een deel van de doelgroep beide verzekeringen bij dezelfde verzekeraar wenst af te sluiten. </w:t>
      </w:r>
    </w:p>
  </w:footnote>
  <w:footnote w:id="26">
    <w:p w14:paraId="5BBF4110" w14:textId="3287DF3F" w:rsidR="00147B06" w:rsidRDefault="00147B06" w:rsidP="00147B06">
      <w:pPr>
        <w:pStyle w:val="Voetnoottekst"/>
      </w:pPr>
      <w:r w:rsidRPr="002E2E8B">
        <w:rPr>
          <w:rStyle w:val="Voetnootmarkering"/>
          <w:sz w:val="16"/>
          <w:szCs w:val="16"/>
        </w:rPr>
        <w:footnoteRef/>
      </w:r>
      <w:r w:rsidRPr="002E2E8B">
        <w:rPr>
          <w:sz w:val="16"/>
          <w:szCs w:val="16"/>
        </w:rPr>
        <w:t xml:space="preserve"> Zie tussentijdse evaluatie Dokters van de Wereld: </w:t>
      </w:r>
      <w:hyperlink r:id="rId13">
        <w:r w:rsidRPr="00B877CC">
          <w:rPr>
            <w:rStyle w:val="Hyperlink"/>
            <w:color w:val="467886"/>
            <w:sz w:val="16"/>
            <w:szCs w:val="16"/>
          </w:rPr>
          <w:t>Mondzorgmijding vanwege financiële redenen: een leidraad voor gemeenten, BS&amp;F, april 2025</w:t>
        </w:r>
      </w:hyperlink>
      <w:r w:rsidR="003633B0">
        <w:t>.</w:t>
      </w:r>
    </w:p>
  </w:footnote>
  <w:footnote w:id="27">
    <w:p w14:paraId="569B6F88" w14:textId="218C3620" w:rsidR="002354AE" w:rsidRDefault="002354AE">
      <w:pPr>
        <w:pStyle w:val="Voetnoottekst"/>
      </w:pPr>
      <w:r>
        <w:rPr>
          <w:rStyle w:val="Voetnootmarkering"/>
        </w:rPr>
        <w:footnoteRef/>
      </w:r>
      <w:r>
        <w:t xml:space="preserve"> </w:t>
      </w:r>
      <w:r w:rsidRPr="002C556D">
        <w:rPr>
          <w:sz w:val="16"/>
          <w:szCs w:val="16"/>
        </w:rPr>
        <w:t xml:space="preserve">Doorrekening impact gerichte financiële maatregelen mondzorg voor minima, </w:t>
      </w:r>
      <w:proofErr w:type="spellStart"/>
      <w:r w:rsidRPr="002C556D">
        <w:rPr>
          <w:sz w:val="16"/>
          <w:szCs w:val="16"/>
        </w:rPr>
        <w:t>Gupta</w:t>
      </w:r>
      <w:proofErr w:type="spellEnd"/>
      <w:r w:rsidRPr="002C556D">
        <w:rPr>
          <w:sz w:val="16"/>
          <w:szCs w:val="16"/>
        </w:rPr>
        <w:t xml:space="preserve"> </w:t>
      </w:r>
      <w:proofErr w:type="spellStart"/>
      <w:r w:rsidRPr="002C556D">
        <w:rPr>
          <w:sz w:val="16"/>
          <w:szCs w:val="16"/>
        </w:rPr>
        <w:t>Strategists</w:t>
      </w:r>
      <w:proofErr w:type="spellEnd"/>
      <w:r w:rsidRPr="002C556D">
        <w:rPr>
          <w:sz w:val="16"/>
          <w:szCs w:val="16"/>
        </w:rPr>
        <w:t>, oktober 2025</w:t>
      </w:r>
      <w:r w:rsidR="003633B0">
        <w:rPr>
          <w:sz w:val="16"/>
          <w:szCs w:val="16"/>
        </w:rPr>
        <w:t>.</w:t>
      </w:r>
      <w:r>
        <w:rPr>
          <w:sz w:val="16"/>
          <w:szCs w:val="16"/>
        </w:rPr>
        <w:t xml:space="preserve">   </w:t>
      </w:r>
    </w:p>
  </w:footnote>
  <w:footnote w:id="28">
    <w:p w14:paraId="71B9068B" w14:textId="48333C71" w:rsidR="008D4575" w:rsidRDefault="008D4575">
      <w:pPr>
        <w:pStyle w:val="Voetnoottekst"/>
      </w:pPr>
      <w:r>
        <w:rPr>
          <w:rStyle w:val="Voetnootmarkering"/>
        </w:rPr>
        <w:footnoteRef/>
      </w:r>
      <w:r>
        <w:t xml:space="preserve"> </w:t>
      </w:r>
      <w:r w:rsidRPr="001427EA">
        <w:rPr>
          <w:sz w:val="16"/>
          <w:szCs w:val="16"/>
        </w:rPr>
        <w:t xml:space="preserve">Er zijn 1.190.000 volwassenen met een inkomen tot 120% sociaal minimum, </w:t>
      </w:r>
      <w:r w:rsidR="001427EA" w:rsidRPr="001427EA">
        <w:rPr>
          <w:sz w:val="16"/>
          <w:szCs w:val="16"/>
        </w:rPr>
        <w:t xml:space="preserve">waarvan naar verwachting </w:t>
      </w:r>
      <w:r w:rsidRPr="001427EA">
        <w:rPr>
          <w:sz w:val="16"/>
          <w:szCs w:val="16"/>
        </w:rPr>
        <w:t xml:space="preserve">820.000 </w:t>
      </w:r>
      <w:r w:rsidR="001427EA" w:rsidRPr="001427EA">
        <w:rPr>
          <w:sz w:val="16"/>
          <w:szCs w:val="16"/>
        </w:rPr>
        <w:t xml:space="preserve">al gebruik maken van mondzorg. Er zijn 1.980.000 volwassenen met een inkomen tot 150% sociaal minimum, waarvan naar verwachting 1.480.000 al gebruik maken van mondzorg.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9C5E" w14:textId="67DC591D" w:rsidR="001C3642" w:rsidRDefault="00000000">
    <w:r>
      <w:pict w14:anchorId="65A0377C">
        <v:shapetype id="_x0000_t202" coordsize="21600,21600" o:spt="202" path="m,l,21600r21600,l21600,xe">
          <v:stroke joinstyle="miter"/>
          <v:path gradientshapeok="t" o:connecttype="rect"/>
        </v:shapetype>
        <v:shape id="46feee07-aa3c-11ea-a756-beb5f67e67be" o:spid="_x0000_s1025" type="#_x0000_t202" style="position:absolute;margin-left:42.4pt;margin-top:21.75pt;width:340.7pt;height:13.3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filled="f" stroked="f">
          <v:textbox inset="0,0,0,0">
            <w:txbxContent>
              <w:p w14:paraId="40E5E680" w14:textId="327D429B" w:rsidR="00FF7F83" w:rsidRDefault="00D95AFB">
                <w:pPr>
                  <w:pStyle w:val="Referentiegegevens"/>
                </w:pPr>
                <w:r>
                  <w:t xml:space="preserve">Uitwerking gerichte financiële maatregelen mondzorg voor minima  |  </w:t>
                </w:r>
                <w:r w:rsidR="00F26A3B">
                  <w:t>november</w:t>
                </w:r>
                <w:r>
                  <w:t xml:space="preserve"> 2025</w:t>
                </w:r>
              </w:p>
            </w:txbxContent>
          </v:textbox>
          <w10:wrap anchorx="margin" anchory="page"/>
          <w10:anchorlock/>
        </v:shape>
      </w:pict>
    </w:r>
    <w:r>
      <w:pict w14:anchorId="4E7D8862">
        <v:shape id="46fef06f-aa3c-11ea-a756-beb5f67e67be" o:spid="_x0000_s1026" type="#_x0000_t202" style="position:absolute;margin-left:449.25pt;margin-top:795.1pt;width:99pt;height:12.75pt;z-index:25166438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1C62790" w14:textId="77777777" w:rsidR="00FF7F83" w:rsidRDefault="00D95AFB">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CB2D" w14:textId="0A90A6D0" w:rsidR="001C3642" w:rsidRDefault="00000000">
    <w:pPr>
      <w:spacing w:after="7131" w:line="14" w:lineRule="exact"/>
    </w:pPr>
    <w:r>
      <w:pict w14:anchorId="51076548">
        <v:shapetype id="_x0000_t202" coordsize="21600,21600" o:spt="202" path="m,l,21600r21600,l21600,xe">
          <v:stroke joinstyle="miter"/>
          <v:path gradientshapeok="t" o:connecttype="rect"/>
        </v:shapetype>
        <v:shape id="46ffa8a4-aa3c-11ea-a756-beb5f67e67be" o:spid="_x0000_s1027" type="#_x0000_t202" style="position:absolute;margin-left:161.55pt;margin-top:191.3pt;width:358.2pt;height:70.85pt;z-index:251666432;visibility:visibl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CA57AA8" w14:textId="335CCDCB" w:rsidR="00FF7F83" w:rsidRPr="00D15C5F" w:rsidRDefault="002723F2">
                <w:pPr>
                  <w:pStyle w:val="Ondertitel"/>
                  <w:rPr>
                    <w:color w:val="156082" w:themeColor="accent1"/>
                    <w:sz w:val="32"/>
                    <w:szCs w:val="28"/>
                  </w:rPr>
                </w:pPr>
                <w:r w:rsidRPr="00D15C5F">
                  <w:rPr>
                    <w:color w:val="156082" w:themeColor="accent1"/>
                    <w:sz w:val="32"/>
                    <w:szCs w:val="28"/>
                  </w:rPr>
                  <w:t>Rapport u</w:t>
                </w:r>
                <w:r w:rsidR="00D95AFB" w:rsidRPr="00D15C5F">
                  <w:rPr>
                    <w:color w:val="156082" w:themeColor="accent1"/>
                    <w:sz w:val="32"/>
                    <w:szCs w:val="28"/>
                  </w:rPr>
                  <w:t>itwerking gerichte financiële maatregelen mondzorg voor minima</w:t>
                </w:r>
              </w:p>
              <w:p w14:paraId="04DB134E" w14:textId="77777777" w:rsidR="002723F2" w:rsidRPr="00D15C5F" w:rsidRDefault="002723F2" w:rsidP="002723F2">
                <w:pPr>
                  <w:rPr>
                    <w:color w:val="156082" w:themeColor="accent1"/>
                    <w:sz w:val="22"/>
                    <w:szCs w:val="22"/>
                  </w:rPr>
                </w:pPr>
              </w:p>
              <w:p w14:paraId="793C4496" w14:textId="520D1B86" w:rsidR="002723F2" w:rsidRPr="00D15C5F" w:rsidRDefault="00C10DDD" w:rsidP="00D15C5F">
                <w:pPr>
                  <w:rPr>
                    <w:color w:val="156082" w:themeColor="accent1"/>
                    <w:sz w:val="22"/>
                    <w:szCs w:val="22"/>
                  </w:rPr>
                </w:pPr>
                <w:r>
                  <w:rPr>
                    <w:color w:val="156082" w:themeColor="accent1"/>
                    <w:sz w:val="22"/>
                    <w:szCs w:val="22"/>
                  </w:rPr>
                  <w:t>November</w:t>
                </w:r>
                <w:r w:rsidR="002723F2" w:rsidRPr="00D15C5F">
                  <w:rPr>
                    <w:color w:val="156082" w:themeColor="accent1"/>
                    <w:sz w:val="22"/>
                    <w:szCs w:val="22"/>
                  </w:rPr>
                  <w:t xml:space="preserve"> 2025</w:t>
                </w:r>
              </w:p>
            </w:txbxContent>
          </v:textbox>
          <w10:wrap anchorx="page" anchory="page"/>
          <w10:anchorlock/>
        </v:shape>
      </w:pict>
    </w:r>
    <w:r>
      <w:pict w14:anchorId="634F3856">
        <v:shape id="46feecbe-aa3c-11ea-a756-beb5f67e67be" o:spid="_x0000_s1029" type="#_x0000_t202" style="position:absolute;margin-left:449.25pt;margin-top:795.1pt;width:99pt;height:12.75pt;z-index:25166848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2007E84" w14:textId="77777777" w:rsidR="00FF7F83" w:rsidRDefault="00D95AF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w:r>
    <w:r>
      <w:pict w14:anchorId="71311441">
        <v:shape id="46feed0e-aa3c-11ea-a756-beb5f67e67be" o:spid="_x0000_s1030" type="#_x0000_t202" style="position:absolute;margin-left:279.2pt;margin-top:0;width:36.85pt;height:124.65pt;z-index:25166950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DCDBA01" w14:textId="77777777" w:rsidR="00FF7F83" w:rsidRDefault="00D95AFB">
                <w:pPr>
                  <w:spacing w:line="240" w:lineRule="auto"/>
                </w:pPr>
                <w:r>
                  <w:rPr>
                    <w:noProof/>
                  </w:rPr>
                  <w:drawing>
                    <wp:inline distT="0" distB="0" distL="0" distR="0" wp14:anchorId="4F163F10" wp14:editId="237E2E1E">
                      <wp:extent cx="467999" cy="1583861"/>
                      <wp:effectExtent l="0" t="0" r="0" b="0"/>
                      <wp:docPr id="1674737398" name="Logo"/>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02E2F9BA">
        <v:shape id="46feed67-aa3c-11ea-a756-beb5f67e67be" o:spid="_x0000_s1031" type="#_x0000_t202" style="position:absolute;margin-left:314.6pt;margin-top:0;width:184.25pt;height:124.7pt;z-index:25167052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ABBFE8E" w14:textId="77777777" w:rsidR="00FF7F83" w:rsidRDefault="00D95AFB">
                <w:pPr>
                  <w:spacing w:line="240" w:lineRule="auto"/>
                </w:pPr>
                <w:r>
                  <w:rPr>
                    <w:noProof/>
                  </w:rPr>
                  <w:drawing>
                    <wp:inline distT="0" distB="0" distL="0" distR="0" wp14:anchorId="6EF74FE2" wp14:editId="20C0817F">
                      <wp:extent cx="2339968" cy="1582828"/>
                      <wp:effectExtent l="0" t="0" r="0" b="0"/>
                      <wp:docPr id="242302728" name="Logotype"/>
                      <wp:cNvGraphicFramePr/>
                      <a:graphic xmlns:a="http://schemas.openxmlformats.org/drawingml/2006/main">
                        <a:graphicData uri="http://schemas.openxmlformats.org/drawingml/2006/picture">
                          <pic:pic xmlns:pic="http://schemas.openxmlformats.org/drawingml/2006/picture">
                            <pic:nvPicPr>
                              <pic:cNvPr id="9"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1520E"/>
    <w:multiLevelType w:val="multilevel"/>
    <w:tmpl w:val="6DC9E0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0ABF884"/>
    <w:multiLevelType w:val="multilevel"/>
    <w:tmpl w:val="A6938D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57D20C3"/>
    <w:multiLevelType w:val="multilevel"/>
    <w:tmpl w:val="453ECA4D"/>
    <w:name w:val="Kopnummering"/>
    <w:lvl w:ilvl="0">
      <w:start w:val="1"/>
      <w:numFmt w:val="decimal"/>
      <w:pStyle w:val="Kop1"/>
      <w:lvlText w:val="%1"/>
      <w:lvlJc w:val="left"/>
      <w:pPr>
        <w:ind w:left="0" w:firstLine="0"/>
      </w:pPr>
    </w:lvl>
    <w:lvl w:ilvl="1">
      <w:start w:val="1"/>
      <w:numFmt w:val="decimal"/>
      <w:pStyle w:val="Kop2"/>
      <w:lvlText w:val="%1.%2"/>
      <w:lvlJc w:val="left"/>
      <w:pPr>
        <w:ind w:left="0" w:firstLine="0"/>
      </w:pPr>
    </w:lvl>
    <w:lvl w:ilvl="2">
      <w:start w:val="1"/>
      <w:numFmt w:val="decimal"/>
      <w:pStyle w:val="Kop3"/>
      <w:lvlText w:val="%1.%2.%3"/>
      <w:lvlJc w:val="left"/>
      <w:pPr>
        <w:ind w:left="0" w:firstLine="0"/>
      </w:pPr>
    </w:lvl>
    <w:lvl w:ilvl="3">
      <w:start w:val="1"/>
      <w:numFmt w:val="decimal"/>
      <w:pStyle w:val="Kop4"/>
      <w:lvlText w:val="%1.%2.%3.%4"/>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BECF3E1D"/>
    <w:multiLevelType w:val="multilevel"/>
    <w:tmpl w:val="F3F9A1D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E600CC"/>
    <w:multiLevelType w:val="multilevel"/>
    <w:tmpl w:val="ABE1DDAD"/>
    <w:name w:val="Lijst kop zonder nummer"/>
    <w:lvl w:ilvl="0">
      <w:start w:val="1"/>
      <w:numFmt w:val="bullet"/>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0974430"/>
    <w:multiLevelType w:val="hybridMultilevel"/>
    <w:tmpl w:val="2A9024C0"/>
    <w:lvl w:ilvl="0" w:tplc="5D7E1BA0">
      <w:start w:val="1"/>
      <w:numFmt w:val="decimal"/>
      <w:lvlText w:val="%1)"/>
      <w:lvlJc w:val="left"/>
      <w:pPr>
        <w:ind w:left="1020" w:hanging="360"/>
      </w:pPr>
    </w:lvl>
    <w:lvl w:ilvl="1" w:tplc="406A94F4">
      <w:start w:val="1"/>
      <w:numFmt w:val="decimal"/>
      <w:lvlText w:val="%2)"/>
      <w:lvlJc w:val="left"/>
      <w:pPr>
        <w:ind w:left="1020" w:hanging="360"/>
      </w:pPr>
    </w:lvl>
    <w:lvl w:ilvl="2" w:tplc="C824B7B0">
      <w:start w:val="1"/>
      <w:numFmt w:val="decimal"/>
      <w:lvlText w:val="%3)"/>
      <w:lvlJc w:val="left"/>
      <w:pPr>
        <w:ind w:left="1020" w:hanging="360"/>
      </w:pPr>
    </w:lvl>
    <w:lvl w:ilvl="3" w:tplc="7C08C68A">
      <w:start w:val="1"/>
      <w:numFmt w:val="decimal"/>
      <w:lvlText w:val="%4)"/>
      <w:lvlJc w:val="left"/>
      <w:pPr>
        <w:ind w:left="1020" w:hanging="360"/>
      </w:pPr>
    </w:lvl>
    <w:lvl w:ilvl="4" w:tplc="20B407EA">
      <w:start w:val="1"/>
      <w:numFmt w:val="decimal"/>
      <w:lvlText w:val="%5)"/>
      <w:lvlJc w:val="left"/>
      <w:pPr>
        <w:ind w:left="1020" w:hanging="360"/>
      </w:pPr>
    </w:lvl>
    <w:lvl w:ilvl="5" w:tplc="1ABAD1C8">
      <w:start w:val="1"/>
      <w:numFmt w:val="decimal"/>
      <w:lvlText w:val="%6)"/>
      <w:lvlJc w:val="left"/>
      <w:pPr>
        <w:ind w:left="1020" w:hanging="360"/>
      </w:pPr>
    </w:lvl>
    <w:lvl w:ilvl="6" w:tplc="6DC8090C">
      <w:start w:val="1"/>
      <w:numFmt w:val="decimal"/>
      <w:lvlText w:val="%7)"/>
      <w:lvlJc w:val="left"/>
      <w:pPr>
        <w:ind w:left="1020" w:hanging="360"/>
      </w:pPr>
    </w:lvl>
    <w:lvl w:ilvl="7" w:tplc="8DFA59A8">
      <w:start w:val="1"/>
      <w:numFmt w:val="decimal"/>
      <w:lvlText w:val="%8)"/>
      <w:lvlJc w:val="left"/>
      <w:pPr>
        <w:ind w:left="1020" w:hanging="360"/>
      </w:pPr>
    </w:lvl>
    <w:lvl w:ilvl="8" w:tplc="FF226438">
      <w:start w:val="1"/>
      <w:numFmt w:val="decimal"/>
      <w:lvlText w:val="%9)"/>
      <w:lvlJc w:val="left"/>
      <w:pPr>
        <w:ind w:left="1020" w:hanging="360"/>
      </w:pPr>
    </w:lvl>
  </w:abstractNum>
  <w:abstractNum w:abstractNumId="6" w15:restartNumberingAfterBreak="0">
    <w:nsid w:val="025A6C4A"/>
    <w:multiLevelType w:val="multilevel"/>
    <w:tmpl w:val="7AFA5E16"/>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1916AF"/>
    <w:multiLevelType w:val="hybridMultilevel"/>
    <w:tmpl w:val="9468BE80"/>
    <w:lvl w:ilvl="0" w:tplc="2CB21F64">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99429AB"/>
    <w:multiLevelType w:val="hybridMultilevel"/>
    <w:tmpl w:val="6BBA447A"/>
    <w:lvl w:ilvl="0" w:tplc="6B3C4FB4">
      <w:start w:val="1"/>
      <w:numFmt w:val="decimal"/>
      <w:lvlText w:val="%1)"/>
      <w:lvlJc w:val="left"/>
      <w:pPr>
        <w:ind w:left="1020" w:hanging="360"/>
      </w:pPr>
    </w:lvl>
    <w:lvl w:ilvl="1" w:tplc="29FE6B44">
      <w:start w:val="1"/>
      <w:numFmt w:val="decimal"/>
      <w:lvlText w:val="%2)"/>
      <w:lvlJc w:val="left"/>
      <w:pPr>
        <w:ind w:left="1020" w:hanging="360"/>
      </w:pPr>
    </w:lvl>
    <w:lvl w:ilvl="2" w:tplc="7EAE670C">
      <w:start w:val="1"/>
      <w:numFmt w:val="decimal"/>
      <w:lvlText w:val="%3)"/>
      <w:lvlJc w:val="left"/>
      <w:pPr>
        <w:ind w:left="1020" w:hanging="360"/>
      </w:pPr>
    </w:lvl>
    <w:lvl w:ilvl="3" w:tplc="BB9286E4">
      <w:start w:val="1"/>
      <w:numFmt w:val="decimal"/>
      <w:lvlText w:val="%4)"/>
      <w:lvlJc w:val="left"/>
      <w:pPr>
        <w:ind w:left="1020" w:hanging="360"/>
      </w:pPr>
    </w:lvl>
    <w:lvl w:ilvl="4" w:tplc="3C389B78">
      <w:start w:val="1"/>
      <w:numFmt w:val="decimal"/>
      <w:lvlText w:val="%5)"/>
      <w:lvlJc w:val="left"/>
      <w:pPr>
        <w:ind w:left="1020" w:hanging="360"/>
      </w:pPr>
    </w:lvl>
    <w:lvl w:ilvl="5" w:tplc="C996FA16">
      <w:start w:val="1"/>
      <w:numFmt w:val="decimal"/>
      <w:lvlText w:val="%6)"/>
      <w:lvlJc w:val="left"/>
      <w:pPr>
        <w:ind w:left="1020" w:hanging="360"/>
      </w:pPr>
    </w:lvl>
    <w:lvl w:ilvl="6" w:tplc="C0505CD6">
      <w:start w:val="1"/>
      <w:numFmt w:val="decimal"/>
      <w:lvlText w:val="%7)"/>
      <w:lvlJc w:val="left"/>
      <w:pPr>
        <w:ind w:left="1020" w:hanging="360"/>
      </w:pPr>
    </w:lvl>
    <w:lvl w:ilvl="7" w:tplc="D08AF32A">
      <w:start w:val="1"/>
      <w:numFmt w:val="decimal"/>
      <w:lvlText w:val="%8)"/>
      <w:lvlJc w:val="left"/>
      <w:pPr>
        <w:ind w:left="1020" w:hanging="360"/>
      </w:pPr>
    </w:lvl>
    <w:lvl w:ilvl="8" w:tplc="2C38B2DE">
      <w:start w:val="1"/>
      <w:numFmt w:val="decimal"/>
      <w:lvlText w:val="%9)"/>
      <w:lvlJc w:val="left"/>
      <w:pPr>
        <w:ind w:left="1020" w:hanging="360"/>
      </w:pPr>
    </w:lvl>
  </w:abstractNum>
  <w:abstractNum w:abstractNumId="9" w15:restartNumberingAfterBreak="0">
    <w:nsid w:val="0E644151"/>
    <w:multiLevelType w:val="hybridMultilevel"/>
    <w:tmpl w:val="8F9236F0"/>
    <w:lvl w:ilvl="0" w:tplc="04130001">
      <w:start w:val="1"/>
      <w:numFmt w:val="bullet"/>
      <w:lvlText w:val=""/>
      <w:lvlJc w:val="left"/>
      <w:pPr>
        <w:ind w:left="559" w:hanging="360"/>
      </w:pPr>
      <w:rPr>
        <w:rFonts w:ascii="Symbol" w:hAnsi="Symbol" w:hint="default"/>
      </w:rPr>
    </w:lvl>
    <w:lvl w:ilvl="1" w:tplc="FFFFFFFF" w:tentative="1">
      <w:start w:val="1"/>
      <w:numFmt w:val="lowerLetter"/>
      <w:lvlText w:val="%2."/>
      <w:lvlJc w:val="left"/>
      <w:pPr>
        <w:ind w:left="1279" w:hanging="360"/>
      </w:pPr>
    </w:lvl>
    <w:lvl w:ilvl="2" w:tplc="FFFFFFFF" w:tentative="1">
      <w:start w:val="1"/>
      <w:numFmt w:val="lowerRoman"/>
      <w:lvlText w:val="%3."/>
      <w:lvlJc w:val="right"/>
      <w:pPr>
        <w:ind w:left="1999" w:hanging="180"/>
      </w:pPr>
    </w:lvl>
    <w:lvl w:ilvl="3" w:tplc="FFFFFFFF" w:tentative="1">
      <w:start w:val="1"/>
      <w:numFmt w:val="decimal"/>
      <w:lvlText w:val="%4."/>
      <w:lvlJc w:val="left"/>
      <w:pPr>
        <w:ind w:left="2719" w:hanging="360"/>
      </w:pPr>
    </w:lvl>
    <w:lvl w:ilvl="4" w:tplc="FFFFFFFF" w:tentative="1">
      <w:start w:val="1"/>
      <w:numFmt w:val="lowerLetter"/>
      <w:lvlText w:val="%5."/>
      <w:lvlJc w:val="left"/>
      <w:pPr>
        <w:ind w:left="3439" w:hanging="360"/>
      </w:pPr>
    </w:lvl>
    <w:lvl w:ilvl="5" w:tplc="FFFFFFFF" w:tentative="1">
      <w:start w:val="1"/>
      <w:numFmt w:val="lowerRoman"/>
      <w:lvlText w:val="%6."/>
      <w:lvlJc w:val="right"/>
      <w:pPr>
        <w:ind w:left="4159" w:hanging="180"/>
      </w:pPr>
    </w:lvl>
    <w:lvl w:ilvl="6" w:tplc="FFFFFFFF" w:tentative="1">
      <w:start w:val="1"/>
      <w:numFmt w:val="decimal"/>
      <w:lvlText w:val="%7."/>
      <w:lvlJc w:val="left"/>
      <w:pPr>
        <w:ind w:left="4879" w:hanging="360"/>
      </w:pPr>
    </w:lvl>
    <w:lvl w:ilvl="7" w:tplc="FFFFFFFF" w:tentative="1">
      <w:start w:val="1"/>
      <w:numFmt w:val="lowerLetter"/>
      <w:lvlText w:val="%8."/>
      <w:lvlJc w:val="left"/>
      <w:pPr>
        <w:ind w:left="5599" w:hanging="360"/>
      </w:pPr>
    </w:lvl>
    <w:lvl w:ilvl="8" w:tplc="FFFFFFFF" w:tentative="1">
      <w:start w:val="1"/>
      <w:numFmt w:val="lowerRoman"/>
      <w:lvlText w:val="%9."/>
      <w:lvlJc w:val="right"/>
      <w:pPr>
        <w:ind w:left="6319" w:hanging="180"/>
      </w:pPr>
    </w:lvl>
  </w:abstractNum>
  <w:abstractNum w:abstractNumId="10" w15:restartNumberingAfterBreak="0">
    <w:nsid w:val="0F7E19F2"/>
    <w:multiLevelType w:val="hybridMultilevel"/>
    <w:tmpl w:val="7F207E18"/>
    <w:lvl w:ilvl="0" w:tplc="51AA74B4">
      <w:start w:val="1"/>
      <w:numFmt w:val="upperLetter"/>
      <w:lvlText w:val="%1."/>
      <w:lvlJc w:val="left"/>
      <w:pPr>
        <w:ind w:left="559" w:hanging="360"/>
      </w:pPr>
      <w:rPr>
        <w:rFonts w:hint="default"/>
      </w:rPr>
    </w:lvl>
    <w:lvl w:ilvl="1" w:tplc="04130019" w:tentative="1">
      <w:start w:val="1"/>
      <w:numFmt w:val="lowerLetter"/>
      <w:lvlText w:val="%2."/>
      <w:lvlJc w:val="left"/>
      <w:pPr>
        <w:ind w:left="1279" w:hanging="360"/>
      </w:pPr>
    </w:lvl>
    <w:lvl w:ilvl="2" w:tplc="0413001B" w:tentative="1">
      <w:start w:val="1"/>
      <w:numFmt w:val="lowerRoman"/>
      <w:lvlText w:val="%3."/>
      <w:lvlJc w:val="right"/>
      <w:pPr>
        <w:ind w:left="1999" w:hanging="180"/>
      </w:pPr>
    </w:lvl>
    <w:lvl w:ilvl="3" w:tplc="0413000F" w:tentative="1">
      <w:start w:val="1"/>
      <w:numFmt w:val="decimal"/>
      <w:lvlText w:val="%4."/>
      <w:lvlJc w:val="left"/>
      <w:pPr>
        <w:ind w:left="2719" w:hanging="360"/>
      </w:pPr>
    </w:lvl>
    <w:lvl w:ilvl="4" w:tplc="04130019" w:tentative="1">
      <w:start w:val="1"/>
      <w:numFmt w:val="lowerLetter"/>
      <w:lvlText w:val="%5."/>
      <w:lvlJc w:val="left"/>
      <w:pPr>
        <w:ind w:left="3439" w:hanging="360"/>
      </w:pPr>
    </w:lvl>
    <w:lvl w:ilvl="5" w:tplc="0413001B" w:tentative="1">
      <w:start w:val="1"/>
      <w:numFmt w:val="lowerRoman"/>
      <w:lvlText w:val="%6."/>
      <w:lvlJc w:val="right"/>
      <w:pPr>
        <w:ind w:left="4159" w:hanging="180"/>
      </w:pPr>
    </w:lvl>
    <w:lvl w:ilvl="6" w:tplc="0413000F" w:tentative="1">
      <w:start w:val="1"/>
      <w:numFmt w:val="decimal"/>
      <w:lvlText w:val="%7."/>
      <w:lvlJc w:val="left"/>
      <w:pPr>
        <w:ind w:left="4879" w:hanging="360"/>
      </w:pPr>
    </w:lvl>
    <w:lvl w:ilvl="7" w:tplc="04130019" w:tentative="1">
      <w:start w:val="1"/>
      <w:numFmt w:val="lowerLetter"/>
      <w:lvlText w:val="%8."/>
      <w:lvlJc w:val="left"/>
      <w:pPr>
        <w:ind w:left="5599" w:hanging="360"/>
      </w:pPr>
    </w:lvl>
    <w:lvl w:ilvl="8" w:tplc="0413001B" w:tentative="1">
      <w:start w:val="1"/>
      <w:numFmt w:val="lowerRoman"/>
      <w:lvlText w:val="%9."/>
      <w:lvlJc w:val="right"/>
      <w:pPr>
        <w:ind w:left="6319" w:hanging="180"/>
      </w:pPr>
    </w:lvl>
  </w:abstractNum>
  <w:abstractNum w:abstractNumId="11" w15:restartNumberingAfterBreak="0">
    <w:nsid w:val="11575849"/>
    <w:multiLevelType w:val="hybridMultilevel"/>
    <w:tmpl w:val="778218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F035AA1"/>
    <w:multiLevelType w:val="multilevel"/>
    <w:tmpl w:val="446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E02BD"/>
    <w:multiLevelType w:val="hybridMultilevel"/>
    <w:tmpl w:val="82EE713A"/>
    <w:lvl w:ilvl="0" w:tplc="D5B29D7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D50152"/>
    <w:multiLevelType w:val="hybridMultilevel"/>
    <w:tmpl w:val="D5B28812"/>
    <w:lvl w:ilvl="0" w:tplc="70BA253C">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6D907A1"/>
    <w:multiLevelType w:val="hybridMultilevel"/>
    <w:tmpl w:val="B84E112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28770618"/>
    <w:multiLevelType w:val="hybridMultilevel"/>
    <w:tmpl w:val="24E6EDE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952786"/>
    <w:multiLevelType w:val="hybridMultilevel"/>
    <w:tmpl w:val="5478E8F8"/>
    <w:lvl w:ilvl="0" w:tplc="D5B29D7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08511C9"/>
    <w:multiLevelType w:val="hybridMultilevel"/>
    <w:tmpl w:val="E58A84E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9E6881"/>
    <w:multiLevelType w:val="hybridMultilevel"/>
    <w:tmpl w:val="B524DA58"/>
    <w:lvl w:ilvl="0" w:tplc="04130009">
      <w:start w:val="1"/>
      <w:numFmt w:val="bullet"/>
      <w:lvlText w:val=""/>
      <w:lvlJc w:val="left"/>
      <w:pPr>
        <w:ind w:left="8157"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557146"/>
    <w:multiLevelType w:val="hybridMultilevel"/>
    <w:tmpl w:val="C69030EC"/>
    <w:lvl w:ilvl="0" w:tplc="C63ECA96">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2F7497A"/>
    <w:multiLevelType w:val="hybridMultilevel"/>
    <w:tmpl w:val="16D8B1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C2272E"/>
    <w:multiLevelType w:val="multilevel"/>
    <w:tmpl w:val="B5E6C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274610"/>
    <w:multiLevelType w:val="hybridMultilevel"/>
    <w:tmpl w:val="DB9463AA"/>
    <w:lvl w:ilvl="0" w:tplc="04130015">
      <w:start w:val="1"/>
      <w:numFmt w:val="upperLetter"/>
      <w:lvlText w:val="%1."/>
      <w:lvlJc w:val="left"/>
      <w:pPr>
        <w:ind w:left="559" w:hanging="360"/>
      </w:pPr>
      <w:rPr>
        <w:rFonts w:hint="default"/>
      </w:rPr>
    </w:lvl>
    <w:lvl w:ilvl="1" w:tplc="FFFFFFFF" w:tentative="1">
      <w:start w:val="1"/>
      <w:numFmt w:val="lowerLetter"/>
      <w:lvlText w:val="%2."/>
      <w:lvlJc w:val="left"/>
      <w:pPr>
        <w:ind w:left="1279" w:hanging="360"/>
      </w:pPr>
    </w:lvl>
    <w:lvl w:ilvl="2" w:tplc="FFFFFFFF" w:tentative="1">
      <w:start w:val="1"/>
      <w:numFmt w:val="lowerRoman"/>
      <w:lvlText w:val="%3."/>
      <w:lvlJc w:val="right"/>
      <w:pPr>
        <w:ind w:left="1999" w:hanging="180"/>
      </w:pPr>
    </w:lvl>
    <w:lvl w:ilvl="3" w:tplc="FFFFFFFF" w:tentative="1">
      <w:start w:val="1"/>
      <w:numFmt w:val="decimal"/>
      <w:lvlText w:val="%4."/>
      <w:lvlJc w:val="left"/>
      <w:pPr>
        <w:ind w:left="2719" w:hanging="360"/>
      </w:pPr>
    </w:lvl>
    <w:lvl w:ilvl="4" w:tplc="FFFFFFFF" w:tentative="1">
      <w:start w:val="1"/>
      <w:numFmt w:val="lowerLetter"/>
      <w:lvlText w:val="%5."/>
      <w:lvlJc w:val="left"/>
      <w:pPr>
        <w:ind w:left="3439" w:hanging="360"/>
      </w:pPr>
    </w:lvl>
    <w:lvl w:ilvl="5" w:tplc="FFFFFFFF" w:tentative="1">
      <w:start w:val="1"/>
      <w:numFmt w:val="lowerRoman"/>
      <w:lvlText w:val="%6."/>
      <w:lvlJc w:val="right"/>
      <w:pPr>
        <w:ind w:left="4159" w:hanging="180"/>
      </w:pPr>
    </w:lvl>
    <w:lvl w:ilvl="6" w:tplc="FFFFFFFF" w:tentative="1">
      <w:start w:val="1"/>
      <w:numFmt w:val="decimal"/>
      <w:lvlText w:val="%7."/>
      <w:lvlJc w:val="left"/>
      <w:pPr>
        <w:ind w:left="4879" w:hanging="360"/>
      </w:pPr>
    </w:lvl>
    <w:lvl w:ilvl="7" w:tplc="FFFFFFFF" w:tentative="1">
      <w:start w:val="1"/>
      <w:numFmt w:val="lowerLetter"/>
      <w:lvlText w:val="%8."/>
      <w:lvlJc w:val="left"/>
      <w:pPr>
        <w:ind w:left="5599" w:hanging="360"/>
      </w:pPr>
    </w:lvl>
    <w:lvl w:ilvl="8" w:tplc="FFFFFFFF" w:tentative="1">
      <w:start w:val="1"/>
      <w:numFmt w:val="lowerRoman"/>
      <w:lvlText w:val="%9."/>
      <w:lvlJc w:val="right"/>
      <w:pPr>
        <w:ind w:left="6319" w:hanging="180"/>
      </w:pPr>
    </w:lvl>
  </w:abstractNum>
  <w:abstractNum w:abstractNumId="24" w15:restartNumberingAfterBreak="0">
    <w:nsid w:val="4C3F513D"/>
    <w:multiLevelType w:val="hybridMultilevel"/>
    <w:tmpl w:val="CCDA8702"/>
    <w:lvl w:ilvl="0" w:tplc="F7D2E4D2">
      <w:start w:val="1"/>
      <w:numFmt w:val="decimal"/>
      <w:lvlText w:val="%1)"/>
      <w:lvlJc w:val="left"/>
      <w:pPr>
        <w:ind w:left="1020" w:hanging="360"/>
      </w:pPr>
    </w:lvl>
    <w:lvl w:ilvl="1" w:tplc="EC761246">
      <w:start w:val="1"/>
      <w:numFmt w:val="decimal"/>
      <w:lvlText w:val="%2)"/>
      <w:lvlJc w:val="left"/>
      <w:pPr>
        <w:ind w:left="1020" w:hanging="360"/>
      </w:pPr>
    </w:lvl>
    <w:lvl w:ilvl="2" w:tplc="8864EC70">
      <w:start w:val="1"/>
      <w:numFmt w:val="decimal"/>
      <w:lvlText w:val="%3)"/>
      <w:lvlJc w:val="left"/>
      <w:pPr>
        <w:ind w:left="1020" w:hanging="360"/>
      </w:pPr>
    </w:lvl>
    <w:lvl w:ilvl="3" w:tplc="09E02DEA">
      <w:start w:val="1"/>
      <w:numFmt w:val="decimal"/>
      <w:lvlText w:val="%4)"/>
      <w:lvlJc w:val="left"/>
      <w:pPr>
        <w:ind w:left="1020" w:hanging="360"/>
      </w:pPr>
    </w:lvl>
    <w:lvl w:ilvl="4" w:tplc="F5486F7C">
      <w:start w:val="1"/>
      <w:numFmt w:val="decimal"/>
      <w:lvlText w:val="%5)"/>
      <w:lvlJc w:val="left"/>
      <w:pPr>
        <w:ind w:left="1020" w:hanging="360"/>
      </w:pPr>
    </w:lvl>
    <w:lvl w:ilvl="5" w:tplc="67964CF0">
      <w:start w:val="1"/>
      <w:numFmt w:val="decimal"/>
      <w:lvlText w:val="%6)"/>
      <w:lvlJc w:val="left"/>
      <w:pPr>
        <w:ind w:left="1020" w:hanging="360"/>
      </w:pPr>
    </w:lvl>
    <w:lvl w:ilvl="6" w:tplc="E7BA6D5A">
      <w:start w:val="1"/>
      <w:numFmt w:val="decimal"/>
      <w:lvlText w:val="%7)"/>
      <w:lvlJc w:val="left"/>
      <w:pPr>
        <w:ind w:left="1020" w:hanging="360"/>
      </w:pPr>
    </w:lvl>
    <w:lvl w:ilvl="7" w:tplc="80C0B392">
      <w:start w:val="1"/>
      <w:numFmt w:val="decimal"/>
      <w:lvlText w:val="%8)"/>
      <w:lvlJc w:val="left"/>
      <w:pPr>
        <w:ind w:left="1020" w:hanging="360"/>
      </w:pPr>
    </w:lvl>
    <w:lvl w:ilvl="8" w:tplc="6FB28A80">
      <w:start w:val="1"/>
      <w:numFmt w:val="decimal"/>
      <w:lvlText w:val="%9)"/>
      <w:lvlJc w:val="left"/>
      <w:pPr>
        <w:ind w:left="1020" w:hanging="360"/>
      </w:pPr>
    </w:lvl>
  </w:abstractNum>
  <w:abstractNum w:abstractNumId="25" w15:restartNumberingAfterBreak="0">
    <w:nsid w:val="4F8D2D52"/>
    <w:multiLevelType w:val="hybridMultilevel"/>
    <w:tmpl w:val="D2545FCE"/>
    <w:lvl w:ilvl="0" w:tplc="C43A7A7A">
      <w:start w:val="1"/>
      <w:numFmt w:val="decimal"/>
      <w:lvlText w:val="%1."/>
      <w:lvlJc w:val="left"/>
      <w:pPr>
        <w:ind w:left="1020" w:hanging="360"/>
      </w:pPr>
    </w:lvl>
    <w:lvl w:ilvl="1" w:tplc="2AAC71A8">
      <w:start w:val="1"/>
      <w:numFmt w:val="decimal"/>
      <w:lvlText w:val="%2."/>
      <w:lvlJc w:val="left"/>
      <w:pPr>
        <w:ind w:left="1020" w:hanging="360"/>
      </w:pPr>
    </w:lvl>
    <w:lvl w:ilvl="2" w:tplc="B47CA1BE">
      <w:start w:val="1"/>
      <w:numFmt w:val="decimal"/>
      <w:lvlText w:val="%3."/>
      <w:lvlJc w:val="left"/>
      <w:pPr>
        <w:ind w:left="1020" w:hanging="360"/>
      </w:pPr>
    </w:lvl>
    <w:lvl w:ilvl="3" w:tplc="866AFAF4">
      <w:start w:val="1"/>
      <w:numFmt w:val="decimal"/>
      <w:lvlText w:val="%4."/>
      <w:lvlJc w:val="left"/>
      <w:pPr>
        <w:ind w:left="1020" w:hanging="360"/>
      </w:pPr>
    </w:lvl>
    <w:lvl w:ilvl="4" w:tplc="1DA6AF16">
      <w:start w:val="1"/>
      <w:numFmt w:val="decimal"/>
      <w:lvlText w:val="%5."/>
      <w:lvlJc w:val="left"/>
      <w:pPr>
        <w:ind w:left="1020" w:hanging="360"/>
      </w:pPr>
    </w:lvl>
    <w:lvl w:ilvl="5" w:tplc="6204CE08">
      <w:start w:val="1"/>
      <w:numFmt w:val="decimal"/>
      <w:lvlText w:val="%6."/>
      <w:lvlJc w:val="left"/>
      <w:pPr>
        <w:ind w:left="1020" w:hanging="360"/>
      </w:pPr>
    </w:lvl>
    <w:lvl w:ilvl="6" w:tplc="A4DAEBE4">
      <w:start w:val="1"/>
      <w:numFmt w:val="decimal"/>
      <w:lvlText w:val="%7."/>
      <w:lvlJc w:val="left"/>
      <w:pPr>
        <w:ind w:left="1020" w:hanging="360"/>
      </w:pPr>
    </w:lvl>
    <w:lvl w:ilvl="7" w:tplc="45CC255A">
      <w:start w:val="1"/>
      <w:numFmt w:val="decimal"/>
      <w:lvlText w:val="%8."/>
      <w:lvlJc w:val="left"/>
      <w:pPr>
        <w:ind w:left="1020" w:hanging="360"/>
      </w:pPr>
    </w:lvl>
    <w:lvl w:ilvl="8" w:tplc="5182474E">
      <w:start w:val="1"/>
      <w:numFmt w:val="decimal"/>
      <w:lvlText w:val="%9."/>
      <w:lvlJc w:val="left"/>
      <w:pPr>
        <w:ind w:left="1020" w:hanging="360"/>
      </w:pPr>
    </w:lvl>
  </w:abstractNum>
  <w:abstractNum w:abstractNumId="26" w15:restartNumberingAfterBreak="0">
    <w:nsid w:val="51462F30"/>
    <w:multiLevelType w:val="hybridMultilevel"/>
    <w:tmpl w:val="1EB4293E"/>
    <w:lvl w:ilvl="0" w:tplc="8612C21E">
      <w:start w:val="1"/>
      <w:numFmt w:val="decimal"/>
      <w:lvlText w:val="%1)"/>
      <w:lvlJc w:val="left"/>
      <w:pPr>
        <w:ind w:left="1020" w:hanging="360"/>
      </w:pPr>
    </w:lvl>
    <w:lvl w:ilvl="1" w:tplc="8B26BD48">
      <w:start w:val="1"/>
      <w:numFmt w:val="decimal"/>
      <w:lvlText w:val="%2)"/>
      <w:lvlJc w:val="left"/>
      <w:pPr>
        <w:ind w:left="1020" w:hanging="360"/>
      </w:pPr>
    </w:lvl>
    <w:lvl w:ilvl="2" w:tplc="F098BF5E">
      <w:start w:val="1"/>
      <w:numFmt w:val="decimal"/>
      <w:lvlText w:val="%3)"/>
      <w:lvlJc w:val="left"/>
      <w:pPr>
        <w:ind w:left="1020" w:hanging="360"/>
      </w:pPr>
    </w:lvl>
    <w:lvl w:ilvl="3" w:tplc="19D2F9CC">
      <w:start w:val="1"/>
      <w:numFmt w:val="decimal"/>
      <w:lvlText w:val="%4)"/>
      <w:lvlJc w:val="left"/>
      <w:pPr>
        <w:ind w:left="1020" w:hanging="360"/>
      </w:pPr>
    </w:lvl>
    <w:lvl w:ilvl="4" w:tplc="CA1E62B0">
      <w:start w:val="1"/>
      <w:numFmt w:val="decimal"/>
      <w:lvlText w:val="%5)"/>
      <w:lvlJc w:val="left"/>
      <w:pPr>
        <w:ind w:left="1020" w:hanging="360"/>
      </w:pPr>
    </w:lvl>
    <w:lvl w:ilvl="5" w:tplc="984AC446">
      <w:start w:val="1"/>
      <w:numFmt w:val="decimal"/>
      <w:lvlText w:val="%6)"/>
      <w:lvlJc w:val="left"/>
      <w:pPr>
        <w:ind w:left="1020" w:hanging="360"/>
      </w:pPr>
    </w:lvl>
    <w:lvl w:ilvl="6" w:tplc="3E6AF48C">
      <w:start w:val="1"/>
      <w:numFmt w:val="decimal"/>
      <w:lvlText w:val="%7)"/>
      <w:lvlJc w:val="left"/>
      <w:pPr>
        <w:ind w:left="1020" w:hanging="360"/>
      </w:pPr>
    </w:lvl>
    <w:lvl w:ilvl="7" w:tplc="35AC8970">
      <w:start w:val="1"/>
      <w:numFmt w:val="decimal"/>
      <w:lvlText w:val="%8)"/>
      <w:lvlJc w:val="left"/>
      <w:pPr>
        <w:ind w:left="1020" w:hanging="360"/>
      </w:pPr>
    </w:lvl>
    <w:lvl w:ilvl="8" w:tplc="0B9A60BC">
      <w:start w:val="1"/>
      <w:numFmt w:val="decimal"/>
      <w:lvlText w:val="%9)"/>
      <w:lvlJc w:val="left"/>
      <w:pPr>
        <w:ind w:left="1020" w:hanging="360"/>
      </w:pPr>
    </w:lvl>
  </w:abstractNum>
  <w:abstractNum w:abstractNumId="27" w15:restartNumberingAfterBreak="0">
    <w:nsid w:val="53604DB4"/>
    <w:multiLevelType w:val="hybridMultilevel"/>
    <w:tmpl w:val="93C6A740"/>
    <w:lvl w:ilvl="0" w:tplc="04130009">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554A4767"/>
    <w:multiLevelType w:val="hybridMultilevel"/>
    <w:tmpl w:val="F3105496"/>
    <w:lvl w:ilvl="0" w:tplc="70BA253C">
      <w:start w:val="1"/>
      <w:numFmt w:val="bullet"/>
      <w:lvlText w:val="-"/>
      <w:lvlJc w:val="left"/>
      <w:pPr>
        <w:ind w:left="559" w:hanging="360"/>
      </w:pPr>
      <w:rPr>
        <w:rFonts w:ascii="Aptos" w:eastAsia="Aptos" w:hAnsi="Aptos" w:cs="Times New Roman" w:hint="default"/>
      </w:rPr>
    </w:lvl>
    <w:lvl w:ilvl="1" w:tplc="FFFFFFFF" w:tentative="1">
      <w:start w:val="1"/>
      <w:numFmt w:val="lowerLetter"/>
      <w:lvlText w:val="%2."/>
      <w:lvlJc w:val="left"/>
      <w:pPr>
        <w:ind w:left="1279" w:hanging="360"/>
      </w:pPr>
    </w:lvl>
    <w:lvl w:ilvl="2" w:tplc="FFFFFFFF" w:tentative="1">
      <w:start w:val="1"/>
      <w:numFmt w:val="lowerRoman"/>
      <w:lvlText w:val="%3."/>
      <w:lvlJc w:val="right"/>
      <w:pPr>
        <w:ind w:left="1999" w:hanging="180"/>
      </w:pPr>
    </w:lvl>
    <w:lvl w:ilvl="3" w:tplc="FFFFFFFF" w:tentative="1">
      <w:start w:val="1"/>
      <w:numFmt w:val="decimal"/>
      <w:lvlText w:val="%4."/>
      <w:lvlJc w:val="left"/>
      <w:pPr>
        <w:ind w:left="2719" w:hanging="360"/>
      </w:pPr>
    </w:lvl>
    <w:lvl w:ilvl="4" w:tplc="FFFFFFFF" w:tentative="1">
      <w:start w:val="1"/>
      <w:numFmt w:val="lowerLetter"/>
      <w:lvlText w:val="%5."/>
      <w:lvlJc w:val="left"/>
      <w:pPr>
        <w:ind w:left="3439" w:hanging="360"/>
      </w:pPr>
    </w:lvl>
    <w:lvl w:ilvl="5" w:tplc="FFFFFFFF" w:tentative="1">
      <w:start w:val="1"/>
      <w:numFmt w:val="lowerRoman"/>
      <w:lvlText w:val="%6."/>
      <w:lvlJc w:val="right"/>
      <w:pPr>
        <w:ind w:left="4159" w:hanging="180"/>
      </w:pPr>
    </w:lvl>
    <w:lvl w:ilvl="6" w:tplc="FFFFFFFF" w:tentative="1">
      <w:start w:val="1"/>
      <w:numFmt w:val="decimal"/>
      <w:lvlText w:val="%7."/>
      <w:lvlJc w:val="left"/>
      <w:pPr>
        <w:ind w:left="4879" w:hanging="360"/>
      </w:pPr>
    </w:lvl>
    <w:lvl w:ilvl="7" w:tplc="FFFFFFFF" w:tentative="1">
      <w:start w:val="1"/>
      <w:numFmt w:val="lowerLetter"/>
      <w:lvlText w:val="%8."/>
      <w:lvlJc w:val="left"/>
      <w:pPr>
        <w:ind w:left="5599" w:hanging="360"/>
      </w:pPr>
    </w:lvl>
    <w:lvl w:ilvl="8" w:tplc="FFFFFFFF" w:tentative="1">
      <w:start w:val="1"/>
      <w:numFmt w:val="lowerRoman"/>
      <w:lvlText w:val="%9."/>
      <w:lvlJc w:val="right"/>
      <w:pPr>
        <w:ind w:left="6319" w:hanging="180"/>
      </w:pPr>
    </w:lvl>
  </w:abstractNum>
  <w:abstractNum w:abstractNumId="29" w15:restartNumberingAfterBreak="0">
    <w:nsid w:val="55887CD6"/>
    <w:multiLevelType w:val="hybridMultilevel"/>
    <w:tmpl w:val="06D67C5C"/>
    <w:lvl w:ilvl="0" w:tplc="78F85200">
      <w:start w:val="1"/>
      <w:numFmt w:val="bullet"/>
      <w:lvlText w:val="•"/>
      <w:lvlJc w:val="left"/>
      <w:pPr>
        <w:tabs>
          <w:tab w:val="num" w:pos="720"/>
        </w:tabs>
        <w:ind w:left="720" w:hanging="360"/>
      </w:pPr>
      <w:rPr>
        <w:rFonts w:ascii="Arial" w:hAnsi="Arial" w:hint="default"/>
      </w:rPr>
    </w:lvl>
    <w:lvl w:ilvl="1" w:tplc="5FF0CE44" w:tentative="1">
      <w:start w:val="1"/>
      <w:numFmt w:val="bullet"/>
      <w:lvlText w:val="•"/>
      <w:lvlJc w:val="left"/>
      <w:pPr>
        <w:tabs>
          <w:tab w:val="num" w:pos="1440"/>
        </w:tabs>
        <w:ind w:left="1440" w:hanging="360"/>
      </w:pPr>
      <w:rPr>
        <w:rFonts w:ascii="Arial" w:hAnsi="Arial" w:hint="default"/>
      </w:rPr>
    </w:lvl>
    <w:lvl w:ilvl="2" w:tplc="8BBC3CF0" w:tentative="1">
      <w:start w:val="1"/>
      <w:numFmt w:val="bullet"/>
      <w:lvlText w:val="•"/>
      <w:lvlJc w:val="left"/>
      <w:pPr>
        <w:tabs>
          <w:tab w:val="num" w:pos="2160"/>
        </w:tabs>
        <w:ind w:left="2160" w:hanging="360"/>
      </w:pPr>
      <w:rPr>
        <w:rFonts w:ascii="Arial" w:hAnsi="Arial" w:hint="default"/>
      </w:rPr>
    </w:lvl>
    <w:lvl w:ilvl="3" w:tplc="1BA63A00" w:tentative="1">
      <w:start w:val="1"/>
      <w:numFmt w:val="bullet"/>
      <w:lvlText w:val="•"/>
      <w:lvlJc w:val="left"/>
      <w:pPr>
        <w:tabs>
          <w:tab w:val="num" w:pos="2880"/>
        </w:tabs>
        <w:ind w:left="2880" w:hanging="360"/>
      </w:pPr>
      <w:rPr>
        <w:rFonts w:ascii="Arial" w:hAnsi="Arial" w:hint="default"/>
      </w:rPr>
    </w:lvl>
    <w:lvl w:ilvl="4" w:tplc="A0E4D092" w:tentative="1">
      <w:start w:val="1"/>
      <w:numFmt w:val="bullet"/>
      <w:lvlText w:val="•"/>
      <w:lvlJc w:val="left"/>
      <w:pPr>
        <w:tabs>
          <w:tab w:val="num" w:pos="3600"/>
        </w:tabs>
        <w:ind w:left="3600" w:hanging="360"/>
      </w:pPr>
      <w:rPr>
        <w:rFonts w:ascii="Arial" w:hAnsi="Arial" w:hint="default"/>
      </w:rPr>
    </w:lvl>
    <w:lvl w:ilvl="5" w:tplc="F4946D7A" w:tentative="1">
      <w:start w:val="1"/>
      <w:numFmt w:val="bullet"/>
      <w:lvlText w:val="•"/>
      <w:lvlJc w:val="left"/>
      <w:pPr>
        <w:tabs>
          <w:tab w:val="num" w:pos="4320"/>
        </w:tabs>
        <w:ind w:left="4320" w:hanging="360"/>
      </w:pPr>
      <w:rPr>
        <w:rFonts w:ascii="Arial" w:hAnsi="Arial" w:hint="default"/>
      </w:rPr>
    </w:lvl>
    <w:lvl w:ilvl="6" w:tplc="6E9AA822" w:tentative="1">
      <w:start w:val="1"/>
      <w:numFmt w:val="bullet"/>
      <w:lvlText w:val="•"/>
      <w:lvlJc w:val="left"/>
      <w:pPr>
        <w:tabs>
          <w:tab w:val="num" w:pos="5040"/>
        </w:tabs>
        <w:ind w:left="5040" w:hanging="360"/>
      </w:pPr>
      <w:rPr>
        <w:rFonts w:ascii="Arial" w:hAnsi="Arial" w:hint="default"/>
      </w:rPr>
    </w:lvl>
    <w:lvl w:ilvl="7" w:tplc="C10EB18C" w:tentative="1">
      <w:start w:val="1"/>
      <w:numFmt w:val="bullet"/>
      <w:lvlText w:val="•"/>
      <w:lvlJc w:val="left"/>
      <w:pPr>
        <w:tabs>
          <w:tab w:val="num" w:pos="5760"/>
        </w:tabs>
        <w:ind w:left="5760" w:hanging="360"/>
      </w:pPr>
      <w:rPr>
        <w:rFonts w:ascii="Arial" w:hAnsi="Arial" w:hint="default"/>
      </w:rPr>
    </w:lvl>
    <w:lvl w:ilvl="8" w:tplc="D2128F6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FE1410"/>
    <w:multiLevelType w:val="hybridMultilevel"/>
    <w:tmpl w:val="17683F8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E55068"/>
    <w:multiLevelType w:val="hybridMultilevel"/>
    <w:tmpl w:val="289C45C0"/>
    <w:lvl w:ilvl="0" w:tplc="94168E42">
      <w:numFmt w:val="bullet"/>
      <w:lvlText w:val="-"/>
      <w:lvlJc w:val="left"/>
      <w:pPr>
        <w:ind w:left="720" w:hanging="360"/>
      </w:pPr>
      <w:rPr>
        <w:rFonts w:ascii="Verdana" w:eastAsiaTheme="minorHAnsi" w:hAnsi="Verdana"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1E55E7"/>
    <w:multiLevelType w:val="hybridMultilevel"/>
    <w:tmpl w:val="A0C42A86"/>
    <w:lvl w:ilvl="0" w:tplc="04130015">
      <w:start w:val="1"/>
      <w:numFmt w:val="upp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62860BAC"/>
    <w:multiLevelType w:val="hybridMultilevel"/>
    <w:tmpl w:val="06BCA504"/>
    <w:lvl w:ilvl="0" w:tplc="FFBEDB6A">
      <w:start w:val="1"/>
      <w:numFmt w:val="decimal"/>
      <w:lvlText w:val="%1."/>
      <w:lvlJc w:val="left"/>
      <w:pPr>
        <w:ind w:left="1020" w:hanging="360"/>
      </w:pPr>
    </w:lvl>
    <w:lvl w:ilvl="1" w:tplc="31A4D74C">
      <w:start w:val="1"/>
      <w:numFmt w:val="decimal"/>
      <w:lvlText w:val="%2."/>
      <w:lvlJc w:val="left"/>
      <w:pPr>
        <w:ind w:left="1020" w:hanging="360"/>
      </w:pPr>
    </w:lvl>
    <w:lvl w:ilvl="2" w:tplc="034A81BE">
      <w:start w:val="1"/>
      <w:numFmt w:val="decimal"/>
      <w:lvlText w:val="%3."/>
      <w:lvlJc w:val="left"/>
      <w:pPr>
        <w:ind w:left="1020" w:hanging="360"/>
      </w:pPr>
    </w:lvl>
    <w:lvl w:ilvl="3" w:tplc="C63C6DCE">
      <w:start w:val="1"/>
      <w:numFmt w:val="decimal"/>
      <w:lvlText w:val="%4."/>
      <w:lvlJc w:val="left"/>
      <w:pPr>
        <w:ind w:left="1020" w:hanging="360"/>
      </w:pPr>
    </w:lvl>
    <w:lvl w:ilvl="4" w:tplc="DDA47DA2">
      <w:start w:val="1"/>
      <w:numFmt w:val="decimal"/>
      <w:lvlText w:val="%5."/>
      <w:lvlJc w:val="left"/>
      <w:pPr>
        <w:ind w:left="1020" w:hanging="360"/>
      </w:pPr>
    </w:lvl>
    <w:lvl w:ilvl="5" w:tplc="34EEDE48">
      <w:start w:val="1"/>
      <w:numFmt w:val="decimal"/>
      <w:lvlText w:val="%6."/>
      <w:lvlJc w:val="left"/>
      <w:pPr>
        <w:ind w:left="1020" w:hanging="360"/>
      </w:pPr>
    </w:lvl>
    <w:lvl w:ilvl="6" w:tplc="1550E856">
      <w:start w:val="1"/>
      <w:numFmt w:val="decimal"/>
      <w:lvlText w:val="%7."/>
      <w:lvlJc w:val="left"/>
      <w:pPr>
        <w:ind w:left="1020" w:hanging="360"/>
      </w:pPr>
    </w:lvl>
    <w:lvl w:ilvl="7" w:tplc="CBA89178">
      <w:start w:val="1"/>
      <w:numFmt w:val="decimal"/>
      <w:lvlText w:val="%8."/>
      <w:lvlJc w:val="left"/>
      <w:pPr>
        <w:ind w:left="1020" w:hanging="360"/>
      </w:pPr>
    </w:lvl>
    <w:lvl w:ilvl="8" w:tplc="3612D26E">
      <w:start w:val="1"/>
      <w:numFmt w:val="decimal"/>
      <w:lvlText w:val="%9."/>
      <w:lvlJc w:val="left"/>
      <w:pPr>
        <w:ind w:left="1020" w:hanging="360"/>
      </w:pPr>
    </w:lvl>
  </w:abstractNum>
  <w:abstractNum w:abstractNumId="34" w15:restartNumberingAfterBreak="0">
    <w:nsid w:val="64BE1108"/>
    <w:multiLevelType w:val="hybridMultilevel"/>
    <w:tmpl w:val="22E4E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AB3111"/>
    <w:multiLevelType w:val="hybridMultilevel"/>
    <w:tmpl w:val="112870B0"/>
    <w:lvl w:ilvl="0" w:tplc="9BACBF7A">
      <w:numFmt w:val="bullet"/>
      <w:lvlText w:val="-"/>
      <w:lvlJc w:val="left"/>
      <w:pPr>
        <w:ind w:left="360" w:hanging="360"/>
      </w:pPr>
      <w:rPr>
        <w:rFonts w:ascii="Verdana" w:eastAsia="DejaVu Sans" w:hAnsi="Verdana" w:cs="Lohit Hin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66428FF"/>
    <w:multiLevelType w:val="hybridMultilevel"/>
    <w:tmpl w:val="FE4C46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77845AF5"/>
    <w:multiLevelType w:val="hybridMultilevel"/>
    <w:tmpl w:val="D6447BC8"/>
    <w:lvl w:ilvl="0" w:tplc="0413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7B94CE8"/>
    <w:multiLevelType w:val="multilevel"/>
    <w:tmpl w:val="3938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D6023B"/>
    <w:multiLevelType w:val="hybridMultilevel"/>
    <w:tmpl w:val="7DCC9742"/>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F263777"/>
    <w:multiLevelType w:val="hybridMultilevel"/>
    <w:tmpl w:val="7CD45FE2"/>
    <w:lvl w:ilvl="0" w:tplc="C63ECA96">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4819017">
    <w:abstractNumId w:val="0"/>
  </w:num>
  <w:num w:numId="2" w16cid:durableId="1991784583">
    <w:abstractNumId w:val="2"/>
  </w:num>
  <w:num w:numId="3" w16cid:durableId="670331001">
    <w:abstractNumId w:val="3"/>
  </w:num>
  <w:num w:numId="4" w16cid:durableId="1285234976">
    <w:abstractNumId w:val="1"/>
  </w:num>
  <w:num w:numId="5" w16cid:durableId="1777290145">
    <w:abstractNumId w:val="31"/>
  </w:num>
  <w:num w:numId="6" w16cid:durableId="292758901">
    <w:abstractNumId w:val="6"/>
  </w:num>
  <w:num w:numId="7" w16cid:durableId="1699238729">
    <w:abstractNumId w:val="34"/>
  </w:num>
  <w:num w:numId="8" w16cid:durableId="2069720398">
    <w:abstractNumId w:val="16"/>
  </w:num>
  <w:num w:numId="9" w16cid:durableId="766534123">
    <w:abstractNumId w:val="21"/>
  </w:num>
  <w:num w:numId="10" w16cid:durableId="2131967277">
    <w:abstractNumId w:val="10"/>
  </w:num>
  <w:num w:numId="11" w16cid:durableId="547913472">
    <w:abstractNumId w:val="14"/>
  </w:num>
  <w:num w:numId="12" w16cid:durableId="457645278">
    <w:abstractNumId w:val="17"/>
  </w:num>
  <w:num w:numId="13" w16cid:durableId="247740726">
    <w:abstractNumId w:val="35"/>
  </w:num>
  <w:num w:numId="14" w16cid:durableId="1903322512">
    <w:abstractNumId w:val="7"/>
  </w:num>
  <w:num w:numId="15" w16cid:durableId="530187424">
    <w:abstractNumId w:val="13"/>
  </w:num>
  <w:num w:numId="16" w16cid:durableId="991982914">
    <w:abstractNumId w:val="22"/>
  </w:num>
  <w:num w:numId="17" w16cid:durableId="594291120">
    <w:abstractNumId w:val="11"/>
  </w:num>
  <w:num w:numId="18" w16cid:durableId="945312277">
    <w:abstractNumId w:val="12"/>
  </w:num>
  <w:num w:numId="19" w16cid:durableId="650794298">
    <w:abstractNumId w:val="40"/>
  </w:num>
  <w:num w:numId="20" w16cid:durableId="1901478757">
    <w:abstractNumId w:val="20"/>
  </w:num>
  <w:num w:numId="21" w16cid:durableId="1353846768">
    <w:abstractNumId w:val="30"/>
  </w:num>
  <w:num w:numId="22" w16cid:durableId="746851951">
    <w:abstractNumId w:val="37"/>
  </w:num>
  <w:num w:numId="23" w16cid:durableId="393621113">
    <w:abstractNumId w:val="29"/>
  </w:num>
  <w:num w:numId="24" w16cid:durableId="338460054">
    <w:abstractNumId w:val="38"/>
  </w:num>
  <w:num w:numId="25" w16cid:durableId="109208628">
    <w:abstractNumId w:val="23"/>
  </w:num>
  <w:num w:numId="26" w16cid:durableId="1504736950">
    <w:abstractNumId w:val="39"/>
  </w:num>
  <w:num w:numId="27" w16cid:durableId="750812030">
    <w:abstractNumId w:val="27"/>
  </w:num>
  <w:num w:numId="28" w16cid:durableId="2032296153">
    <w:abstractNumId w:val="19"/>
  </w:num>
  <w:num w:numId="29" w16cid:durableId="933057142">
    <w:abstractNumId w:val="33"/>
  </w:num>
  <w:num w:numId="30" w16cid:durableId="2143184759">
    <w:abstractNumId w:val="25"/>
  </w:num>
  <w:num w:numId="31" w16cid:durableId="1429615243">
    <w:abstractNumId w:val="26"/>
  </w:num>
  <w:num w:numId="32" w16cid:durableId="1960255969">
    <w:abstractNumId w:val="24"/>
  </w:num>
  <w:num w:numId="33" w16cid:durableId="294024950">
    <w:abstractNumId w:val="5"/>
  </w:num>
  <w:num w:numId="34" w16cid:durableId="1065227772">
    <w:abstractNumId w:val="8"/>
  </w:num>
  <w:num w:numId="35" w16cid:durableId="1538662229">
    <w:abstractNumId w:val="36"/>
  </w:num>
  <w:num w:numId="36" w16cid:durableId="1882159770">
    <w:abstractNumId w:val="9"/>
  </w:num>
  <w:num w:numId="37" w16cid:durableId="282542036">
    <w:abstractNumId w:val="28"/>
  </w:num>
  <w:num w:numId="38" w16cid:durableId="1680887668">
    <w:abstractNumId w:val="32"/>
  </w:num>
  <w:num w:numId="39" w16cid:durableId="11534509">
    <w:abstractNumId w:val="15"/>
  </w:num>
  <w:num w:numId="40" w16cid:durableId="133464669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A9"/>
    <w:rsid w:val="00000DE2"/>
    <w:rsid w:val="00002EC8"/>
    <w:rsid w:val="00003570"/>
    <w:rsid w:val="000036D5"/>
    <w:rsid w:val="00005C8A"/>
    <w:rsid w:val="00005DE0"/>
    <w:rsid w:val="00005E6A"/>
    <w:rsid w:val="00011157"/>
    <w:rsid w:val="0001239C"/>
    <w:rsid w:val="00012A7D"/>
    <w:rsid w:val="00014276"/>
    <w:rsid w:val="000162C7"/>
    <w:rsid w:val="000200AB"/>
    <w:rsid w:val="00020100"/>
    <w:rsid w:val="000246BE"/>
    <w:rsid w:val="00024D5E"/>
    <w:rsid w:val="00024FC6"/>
    <w:rsid w:val="00025F93"/>
    <w:rsid w:val="00026EE5"/>
    <w:rsid w:val="00052172"/>
    <w:rsid w:val="00053612"/>
    <w:rsid w:val="00053B54"/>
    <w:rsid w:val="00053DD3"/>
    <w:rsid w:val="00057F00"/>
    <w:rsid w:val="000604FE"/>
    <w:rsid w:val="00063502"/>
    <w:rsid w:val="0006373A"/>
    <w:rsid w:val="00066AA8"/>
    <w:rsid w:val="00071E0D"/>
    <w:rsid w:val="00071E16"/>
    <w:rsid w:val="00072119"/>
    <w:rsid w:val="0007496C"/>
    <w:rsid w:val="0007616A"/>
    <w:rsid w:val="00076F7E"/>
    <w:rsid w:val="000770E7"/>
    <w:rsid w:val="00080269"/>
    <w:rsid w:val="00080E16"/>
    <w:rsid w:val="00081B63"/>
    <w:rsid w:val="00081E26"/>
    <w:rsid w:val="00083805"/>
    <w:rsid w:val="0008444B"/>
    <w:rsid w:val="00086DDC"/>
    <w:rsid w:val="000877AB"/>
    <w:rsid w:val="00091A34"/>
    <w:rsid w:val="000933B6"/>
    <w:rsid w:val="00095056"/>
    <w:rsid w:val="000A1303"/>
    <w:rsid w:val="000A35D0"/>
    <w:rsid w:val="000A3667"/>
    <w:rsid w:val="000A55D5"/>
    <w:rsid w:val="000A5759"/>
    <w:rsid w:val="000A7937"/>
    <w:rsid w:val="000B03DB"/>
    <w:rsid w:val="000B0C81"/>
    <w:rsid w:val="000B18C3"/>
    <w:rsid w:val="000B1919"/>
    <w:rsid w:val="000B3C9C"/>
    <w:rsid w:val="000B5BDC"/>
    <w:rsid w:val="000B6634"/>
    <w:rsid w:val="000B7381"/>
    <w:rsid w:val="000C013E"/>
    <w:rsid w:val="000C2C35"/>
    <w:rsid w:val="000C57C3"/>
    <w:rsid w:val="000C61AE"/>
    <w:rsid w:val="000C76B0"/>
    <w:rsid w:val="000D118F"/>
    <w:rsid w:val="000D12E3"/>
    <w:rsid w:val="000D1567"/>
    <w:rsid w:val="000D20F9"/>
    <w:rsid w:val="000D7A4E"/>
    <w:rsid w:val="000E262E"/>
    <w:rsid w:val="000E7430"/>
    <w:rsid w:val="000F235E"/>
    <w:rsid w:val="000F5854"/>
    <w:rsid w:val="000F6211"/>
    <w:rsid w:val="000F72E2"/>
    <w:rsid w:val="00100DD0"/>
    <w:rsid w:val="00104AC4"/>
    <w:rsid w:val="0010571C"/>
    <w:rsid w:val="00107E1C"/>
    <w:rsid w:val="001132E9"/>
    <w:rsid w:val="00115898"/>
    <w:rsid w:val="001164CB"/>
    <w:rsid w:val="00117BF9"/>
    <w:rsid w:val="00117F7A"/>
    <w:rsid w:val="00121F8D"/>
    <w:rsid w:val="001262B9"/>
    <w:rsid w:val="001264A6"/>
    <w:rsid w:val="00126A93"/>
    <w:rsid w:val="00127CE5"/>
    <w:rsid w:val="00127D55"/>
    <w:rsid w:val="00130BCB"/>
    <w:rsid w:val="00131A13"/>
    <w:rsid w:val="00134C4A"/>
    <w:rsid w:val="001354EE"/>
    <w:rsid w:val="00135FF0"/>
    <w:rsid w:val="001365AD"/>
    <w:rsid w:val="00137BBA"/>
    <w:rsid w:val="001406C3"/>
    <w:rsid w:val="0014075A"/>
    <w:rsid w:val="00140C91"/>
    <w:rsid w:val="00141B20"/>
    <w:rsid w:val="001427EA"/>
    <w:rsid w:val="00146E8E"/>
    <w:rsid w:val="00147535"/>
    <w:rsid w:val="00147B06"/>
    <w:rsid w:val="00151251"/>
    <w:rsid w:val="00153284"/>
    <w:rsid w:val="001536DA"/>
    <w:rsid w:val="0015388F"/>
    <w:rsid w:val="00154395"/>
    <w:rsid w:val="0015502B"/>
    <w:rsid w:val="0015575A"/>
    <w:rsid w:val="00156566"/>
    <w:rsid w:val="001627DA"/>
    <w:rsid w:val="00163004"/>
    <w:rsid w:val="00164331"/>
    <w:rsid w:val="00173CED"/>
    <w:rsid w:val="001828C7"/>
    <w:rsid w:val="001833C0"/>
    <w:rsid w:val="00183488"/>
    <w:rsid w:val="00185028"/>
    <w:rsid w:val="0018693F"/>
    <w:rsid w:val="00191DA1"/>
    <w:rsid w:val="00193BCF"/>
    <w:rsid w:val="00197E3A"/>
    <w:rsid w:val="001A3EEF"/>
    <w:rsid w:val="001A50D4"/>
    <w:rsid w:val="001A75D2"/>
    <w:rsid w:val="001A7DC4"/>
    <w:rsid w:val="001B0DD1"/>
    <w:rsid w:val="001B0E38"/>
    <w:rsid w:val="001B102B"/>
    <w:rsid w:val="001B1E4A"/>
    <w:rsid w:val="001B22FA"/>
    <w:rsid w:val="001B2E6F"/>
    <w:rsid w:val="001B6C53"/>
    <w:rsid w:val="001C0AE5"/>
    <w:rsid w:val="001C1453"/>
    <w:rsid w:val="001C3642"/>
    <w:rsid w:val="001C562F"/>
    <w:rsid w:val="001C7D80"/>
    <w:rsid w:val="001C7FBE"/>
    <w:rsid w:val="001D02D3"/>
    <w:rsid w:val="001D0ABA"/>
    <w:rsid w:val="001D1778"/>
    <w:rsid w:val="001D2120"/>
    <w:rsid w:val="001D76FC"/>
    <w:rsid w:val="001E1B08"/>
    <w:rsid w:val="001E2BD4"/>
    <w:rsid w:val="001E39E4"/>
    <w:rsid w:val="001E3C6E"/>
    <w:rsid w:val="001E71B8"/>
    <w:rsid w:val="001F1D72"/>
    <w:rsid w:val="001F557B"/>
    <w:rsid w:val="0020431D"/>
    <w:rsid w:val="00211452"/>
    <w:rsid w:val="0021162A"/>
    <w:rsid w:val="002119FC"/>
    <w:rsid w:val="00211E8F"/>
    <w:rsid w:val="00212690"/>
    <w:rsid w:val="00212A64"/>
    <w:rsid w:val="0021474F"/>
    <w:rsid w:val="00214C06"/>
    <w:rsid w:val="00215A42"/>
    <w:rsid w:val="00215A85"/>
    <w:rsid w:val="0021621E"/>
    <w:rsid w:val="00216E2C"/>
    <w:rsid w:val="00217E0A"/>
    <w:rsid w:val="00220DA5"/>
    <w:rsid w:val="002215CF"/>
    <w:rsid w:val="00223F61"/>
    <w:rsid w:val="00224359"/>
    <w:rsid w:val="00225994"/>
    <w:rsid w:val="002354AE"/>
    <w:rsid w:val="002355DE"/>
    <w:rsid w:val="00252887"/>
    <w:rsid w:val="00253310"/>
    <w:rsid w:val="00257A2E"/>
    <w:rsid w:val="00260A88"/>
    <w:rsid w:val="00266E1C"/>
    <w:rsid w:val="00267134"/>
    <w:rsid w:val="002719C8"/>
    <w:rsid w:val="002723F2"/>
    <w:rsid w:val="00274976"/>
    <w:rsid w:val="00274ADC"/>
    <w:rsid w:val="0027627D"/>
    <w:rsid w:val="00276BBE"/>
    <w:rsid w:val="002779E3"/>
    <w:rsid w:val="00277BFE"/>
    <w:rsid w:val="00284971"/>
    <w:rsid w:val="00285B22"/>
    <w:rsid w:val="002900B4"/>
    <w:rsid w:val="00291A4F"/>
    <w:rsid w:val="00291C20"/>
    <w:rsid w:val="00292F02"/>
    <w:rsid w:val="002A2AAA"/>
    <w:rsid w:val="002A3D27"/>
    <w:rsid w:val="002A588F"/>
    <w:rsid w:val="002B4B4F"/>
    <w:rsid w:val="002B623B"/>
    <w:rsid w:val="002C00EA"/>
    <w:rsid w:val="002C0601"/>
    <w:rsid w:val="002C2E5B"/>
    <w:rsid w:val="002C4E89"/>
    <w:rsid w:val="002C556D"/>
    <w:rsid w:val="002C6D9E"/>
    <w:rsid w:val="002C7653"/>
    <w:rsid w:val="002C791E"/>
    <w:rsid w:val="002D0030"/>
    <w:rsid w:val="002D0D6C"/>
    <w:rsid w:val="002D2480"/>
    <w:rsid w:val="002D2E95"/>
    <w:rsid w:val="002D46EE"/>
    <w:rsid w:val="002D5589"/>
    <w:rsid w:val="002D6B51"/>
    <w:rsid w:val="002D6E69"/>
    <w:rsid w:val="002E039E"/>
    <w:rsid w:val="002E3D95"/>
    <w:rsid w:val="002E589F"/>
    <w:rsid w:val="002E6292"/>
    <w:rsid w:val="002E7668"/>
    <w:rsid w:val="002F02F8"/>
    <w:rsid w:val="002F098B"/>
    <w:rsid w:val="002F0E14"/>
    <w:rsid w:val="002F29A6"/>
    <w:rsid w:val="002F29D2"/>
    <w:rsid w:val="002F30BA"/>
    <w:rsid w:val="002F56CA"/>
    <w:rsid w:val="002F6A68"/>
    <w:rsid w:val="002F74A1"/>
    <w:rsid w:val="002F7919"/>
    <w:rsid w:val="002F793D"/>
    <w:rsid w:val="003030B2"/>
    <w:rsid w:val="00307B16"/>
    <w:rsid w:val="00314D95"/>
    <w:rsid w:val="003156EB"/>
    <w:rsid w:val="00315762"/>
    <w:rsid w:val="00315A92"/>
    <w:rsid w:val="00317413"/>
    <w:rsid w:val="003230F0"/>
    <w:rsid w:val="0033329B"/>
    <w:rsid w:val="00333D79"/>
    <w:rsid w:val="00334E25"/>
    <w:rsid w:val="00335574"/>
    <w:rsid w:val="00335894"/>
    <w:rsid w:val="00335CFF"/>
    <w:rsid w:val="00336E15"/>
    <w:rsid w:val="003413D8"/>
    <w:rsid w:val="003425A1"/>
    <w:rsid w:val="00344C11"/>
    <w:rsid w:val="00344EA2"/>
    <w:rsid w:val="00346E89"/>
    <w:rsid w:val="00347636"/>
    <w:rsid w:val="00354299"/>
    <w:rsid w:val="00356A41"/>
    <w:rsid w:val="00360D92"/>
    <w:rsid w:val="003612F0"/>
    <w:rsid w:val="00362A45"/>
    <w:rsid w:val="003633B0"/>
    <w:rsid w:val="00365CFD"/>
    <w:rsid w:val="00365F4A"/>
    <w:rsid w:val="00367011"/>
    <w:rsid w:val="0037364E"/>
    <w:rsid w:val="003738CF"/>
    <w:rsid w:val="00381AB3"/>
    <w:rsid w:val="00386CD6"/>
    <w:rsid w:val="00390608"/>
    <w:rsid w:val="00390ACF"/>
    <w:rsid w:val="00393676"/>
    <w:rsid w:val="00393E2D"/>
    <w:rsid w:val="00395500"/>
    <w:rsid w:val="003A24A9"/>
    <w:rsid w:val="003A27E9"/>
    <w:rsid w:val="003A2C72"/>
    <w:rsid w:val="003A51FE"/>
    <w:rsid w:val="003A66B2"/>
    <w:rsid w:val="003B07EC"/>
    <w:rsid w:val="003B1B4E"/>
    <w:rsid w:val="003B28CC"/>
    <w:rsid w:val="003B306C"/>
    <w:rsid w:val="003C084C"/>
    <w:rsid w:val="003C0B72"/>
    <w:rsid w:val="003C1661"/>
    <w:rsid w:val="003C194A"/>
    <w:rsid w:val="003C5898"/>
    <w:rsid w:val="003C638A"/>
    <w:rsid w:val="003C6B35"/>
    <w:rsid w:val="003C7DD0"/>
    <w:rsid w:val="003D102D"/>
    <w:rsid w:val="003D11A9"/>
    <w:rsid w:val="003D4D64"/>
    <w:rsid w:val="003D4F24"/>
    <w:rsid w:val="003D54BD"/>
    <w:rsid w:val="003D7D29"/>
    <w:rsid w:val="003E5122"/>
    <w:rsid w:val="003E550B"/>
    <w:rsid w:val="003E6060"/>
    <w:rsid w:val="003E6263"/>
    <w:rsid w:val="003F3B26"/>
    <w:rsid w:val="003F6111"/>
    <w:rsid w:val="003F752C"/>
    <w:rsid w:val="0040071B"/>
    <w:rsid w:val="004054FE"/>
    <w:rsid w:val="0040584D"/>
    <w:rsid w:val="0040640C"/>
    <w:rsid w:val="0041037F"/>
    <w:rsid w:val="00412100"/>
    <w:rsid w:val="00412558"/>
    <w:rsid w:val="004136B3"/>
    <w:rsid w:val="00413EA8"/>
    <w:rsid w:val="0041785E"/>
    <w:rsid w:val="0042331F"/>
    <w:rsid w:val="004236BE"/>
    <w:rsid w:val="0042527E"/>
    <w:rsid w:val="004260C4"/>
    <w:rsid w:val="00427138"/>
    <w:rsid w:val="0043231C"/>
    <w:rsid w:val="00433B3B"/>
    <w:rsid w:val="00440A5E"/>
    <w:rsid w:val="00442149"/>
    <w:rsid w:val="00447531"/>
    <w:rsid w:val="0045420F"/>
    <w:rsid w:val="00454235"/>
    <w:rsid w:val="0046167E"/>
    <w:rsid w:val="004623B4"/>
    <w:rsid w:val="00462AC3"/>
    <w:rsid w:val="00463C7B"/>
    <w:rsid w:val="00464E06"/>
    <w:rsid w:val="00470EA8"/>
    <w:rsid w:val="0047100B"/>
    <w:rsid w:val="00474F8C"/>
    <w:rsid w:val="004756CC"/>
    <w:rsid w:val="00475728"/>
    <w:rsid w:val="004824FA"/>
    <w:rsid w:val="00483F3C"/>
    <w:rsid w:val="0048451F"/>
    <w:rsid w:val="00487191"/>
    <w:rsid w:val="00487846"/>
    <w:rsid w:val="004910B3"/>
    <w:rsid w:val="00491AEC"/>
    <w:rsid w:val="00494A29"/>
    <w:rsid w:val="004960B0"/>
    <w:rsid w:val="004A0F7F"/>
    <w:rsid w:val="004A2196"/>
    <w:rsid w:val="004A60BE"/>
    <w:rsid w:val="004A6E78"/>
    <w:rsid w:val="004A7C36"/>
    <w:rsid w:val="004C42F6"/>
    <w:rsid w:val="004C6132"/>
    <w:rsid w:val="004D02F7"/>
    <w:rsid w:val="004D0E0A"/>
    <w:rsid w:val="004D1B65"/>
    <w:rsid w:val="004D4379"/>
    <w:rsid w:val="004D4E47"/>
    <w:rsid w:val="004D50C5"/>
    <w:rsid w:val="004D5E1F"/>
    <w:rsid w:val="004D6A19"/>
    <w:rsid w:val="004D7D4D"/>
    <w:rsid w:val="004E0979"/>
    <w:rsid w:val="004E1657"/>
    <w:rsid w:val="004E2C8A"/>
    <w:rsid w:val="004E3933"/>
    <w:rsid w:val="004E5BE5"/>
    <w:rsid w:val="004E7AB3"/>
    <w:rsid w:val="004F1EE5"/>
    <w:rsid w:val="004F6EC3"/>
    <w:rsid w:val="004F7998"/>
    <w:rsid w:val="00502066"/>
    <w:rsid w:val="00502E1C"/>
    <w:rsid w:val="0050384D"/>
    <w:rsid w:val="00505190"/>
    <w:rsid w:val="00511B25"/>
    <w:rsid w:val="00513CE4"/>
    <w:rsid w:val="00513F5A"/>
    <w:rsid w:val="0051425C"/>
    <w:rsid w:val="0051756D"/>
    <w:rsid w:val="005231F8"/>
    <w:rsid w:val="00523510"/>
    <w:rsid w:val="00523BDD"/>
    <w:rsid w:val="005245DE"/>
    <w:rsid w:val="0053167C"/>
    <w:rsid w:val="00531B1E"/>
    <w:rsid w:val="00531D2A"/>
    <w:rsid w:val="00532FAC"/>
    <w:rsid w:val="00537242"/>
    <w:rsid w:val="005406E6"/>
    <w:rsid w:val="00540AB6"/>
    <w:rsid w:val="00541D60"/>
    <w:rsid w:val="00544041"/>
    <w:rsid w:val="00544740"/>
    <w:rsid w:val="00544E14"/>
    <w:rsid w:val="00546CF8"/>
    <w:rsid w:val="00551159"/>
    <w:rsid w:val="005559E3"/>
    <w:rsid w:val="00562F0B"/>
    <w:rsid w:val="005648FE"/>
    <w:rsid w:val="00564952"/>
    <w:rsid w:val="00564E12"/>
    <w:rsid w:val="00565DD6"/>
    <w:rsid w:val="00565E11"/>
    <w:rsid w:val="00566399"/>
    <w:rsid w:val="00571433"/>
    <w:rsid w:val="00571DCE"/>
    <w:rsid w:val="00576448"/>
    <w:rsid w:val="005836FE"/>
    <w:rsid w:val="0058708B"/>
    <w:rsid w:val="005933D5"/>
    <w:rsid w:val="0059354C"/>
    <w:rsid w:val="005A426B"/>
    <w:rsid w:val="005A44C5"/>
    <w:rsid w:val="005A5CE5"/>
    <w:rsid w:val="005A5E77"/>
    <w:rsid w:val="005B0308"/>
    <w:rsid w:val="005B090C"/>
    <w:rsid w:val="005B0D0C"/>
    <w:rsid w:val="005B3A9A"/>
    <w:rsid w:val="005B5070"/>
    <w:rsid w:val="005B7243"/>
    <w:rsid w:val="005B7F09"/>
    <w:rsid w:val="005C07E6"/>
    <w:rsid w:val="005C52CD"/>
    <w:rsid w:val="005C7D42"/>
    <w:rsid w:val="005D0B9E"/>
    <w:rsid w:val="005D1359"/>
    <w:rsid w:val="005D2099"/>
    <w:rsid w:val="005D5E64"/>
    <w:rsid w:val="005D601E"/>
    <w:rsid w:val="005D7015"/>
    <w:rsid w:val="005D75FD"/>
    <w:rsid w:val="005E1837"/>
    <w:rsid w:val="005E2B53"/>
    <w:rsid w:val="005E37A7"/>
    <w:rsid w:val="005E54CE"/>
    <w:rsid w:val="005E5796"/>
    <w:rsid w:val="005E5F17"/>
    <w:rsid w:val="005E7251"/>
    <w:rsid w:val="005F5348"/>
    <w:rsid w:val="005F7D7F"/>
    <w:rsid w:val="0060433D"/>
    <w:rsid w:val="00604CDF"/>
    <w:rsid w:val="00605996"/>
    <w:rsid w:val="006077D7"/>
    <w:rsid w:val="00611A26"/>
    <w:rsid w:val="00611DC0"/>
    <w:rsid w:val="0061388C"/>
    <w:rsid w:val="00613EF6"/>
    <w:rsid w:val="00614F41"/>
    <w:rsid w:val="006201FB"/>
    <w:rsid w:val="006238FB"/>
    <w:rsid w:val="00623E93"/>
    <w:rsid w:val="00625090"/>
    <w:rsid w:val="00627D3D"/>
    <w:rsid w:val="00632DCB"/>
    <w:rsid w:val="00633A3B"/>
    <w:rsid w:val="006343C2"/>
    <w:rsid w:val="00637D6E"/>
    <w:rsid w:val="006523C6"/>
    <w:rsid w:val="0065347E"/>
    <w:rsid w:val="00653EFC"/>
    <w:rsid w:val="00654125"/>
    <w:rsid w:val="006545DC"/>
    <w:rsid w:val="0065688C"/>
    <w:rsid w:val="00660961"/>
    <w:rsid w:val="006618E9"/>
    <w:rsid w:val="00666DAA"/>
    <w:rsid w:val="00670A85"/>
    <w:rsid w:val="006712D3"/>
    <w:rsid w:val="0067359E"/>
    <w:rsid w:val="00674EBF"/>
    <w:rsid w:val="00676893"/>
    <w:rsid w:val="00677D1F"/>
    <w:rsid w:val="006804FB"/>
    <w:rsid w:val="006823FA"/>
    <w:rsid w:val="006828FE"/>
    <w:rsid w:val="0068381E"/>
    <w:rsid w:val="006838A9"/>
    <w:rsid w:val="00684CF0"/>
    <w:rsid w:val="00685F05"/>
    <w:rsid w:val="006879D7"/>
    <w:rsid w:val="00690AAA"/>
    <w:rsid w:val="00691285"/>
    <w:rsid w:val="00693180"/>
    <w:rsid w:val="006936C2"/>
    <w:rsid w:val="00697298"/>
    <w:rsid w:val="00697391"/>
    <w:rsid w:val="006A000B"/>
    <w:rsid w:val="006A13C8"/>
    <w:rsid w:val="006A2481"/>
    <w:rsid w:val="006A30D3"/>
    <w:rsid w:val="006A655F"/>
    <w:rsid w:val="006A6DEA"/>
    <w:rsid w:val="006B093B"/>
    <w:rsid w:val="006B182A"/>
    <w:rsid w:val="006B1859"/>
    <w:rsid w:val="006B3BEF"/>
    <w:rsid w:val="006B668E"/>
    <w:rsid w:val="006C0491"/>
    <w:rsid w:val="006C0BFA"/>
    <w:rsid w:val="006C0CBD"/>
    <w:rsid w:val="006C30C4"/>
    <w:rsid w:val="006C34FB"/>
    <w:rsid w:val="006C3F61"/>
    <w:rsid w:val="006C5106"/>
    <w:rsid w:val="006C5F1D"/>
    <w:rsid w:val="006C7C0E"/>
    <w:rsid w:val="006D3B75"/>
    <w:rsid w:val="006D4FFC"/>
    <w:rsid w:val="006D7D2B"/>
    <w:rsid w:val="006E0872"/>
    <w:rsid w:val="006E0F59"/>
    <w:rsid w:val="006E15A3"/>
    <w:rsid w:val="006F080C"/>
    <w:rsid w:val="006F0B8D"/>
    <w:rsid w:val="006F2E57"/>
    <w:rsid w:val="006F555D"/>
    <w:rsid w:val="006F6207"/>
    <w:rsid w:val="00702162"/>
    <w:rsid w:val="00705875"/>
    <w:rsid w:val="00706A70"/>
    <w:rsid w:val="0071156A"/>
    <w:rsid w:val="00711FDB"/>
    <w:rsid w:val="00713926"/>
    <w:rsid w:val="00713AA3"/>
    <w:rsid w:val="00715799"/>
    <w:rsid w:val="00716025"/>
    <w:rsid w:val="00716482"/>
    <w:rsid w:val="007166D5"/>
    <w:rsid w:val="00716773"/>
    <w:rsid w:val="0071785F"/>
    <w:rsid w:val="00720AF2"/>
    <w:rsid w:val="007232F7"/>
    <w:rsid w:val="00726A6E"/>
    <w:rsid w:val="00727019"/>
    <w:rsid w:val="007277A7"/>
    <w:rsid w:val="0072795E"/>
    <w:rsid w:val="007279F5"/>
    <w:rsid w:val="007311CA"/>
    <w:rsid w:val="00734495"/>
    <w:rsid w:val="00734A40"/>
    <w:rsid w:val="0074526E"/>
    <w:rsid w:val="0074660A"/>
    <w:rsid w:val="00747D4B"/>
    <w:rsid w:val="00751054"/>
    <w:rsid w:val="00751DB2"/>
    <w:rsid w:val="007532A8"/>
    <w:rsid w:val="00755359"/>
    <w:rsid w:val="007574F5"/>
    <w:rsid w:val="0076123C"/>
    <w:rsid w:val="00762CE1"/>
    <w:rsid w:val="0076660F"/>
    <w:rsid w:val="00774447"/>
    <w:rsid w:val="00775022"/>
    <w:rsid w:val="00776823"/>
    <w:rsid w:val="0077783D"/>
    <w:rsid w:val="00781AEC"/>
    <w:rsid w:val="00782202"/>
    <w:rsid w:val="00787BD6"/>
    <w:rsid w:val="00790C71"/>
    <w:rsid w:val="0079118B"/>
    <w:rsid w:val="0079287E"/>
    <w:rsid w:val="00793EC6"/>
    <w:rsid w:val="0079434D"/>
    <w:rsid w:val="00794D58"/>
    <w:rsid w:val="00795AAB"/>
    <w:rsid w:val="007971C3"/>
    <w:rsid w:val="007971F8"/>
    <w:rsid w:val="007A4B53"/>
    <w:rsid w:val="007B1DE5"/>
    <w:rsid w:val="007B40C1"/>
    <w:rsid w:val="007B6361"/>
    <w:rsid w:val="007C0BDA"/>
    <w:rsid w:val="007C5AD3"/>
    <w:rsid w:val="007C6462"/>
    <w:rsid w:val="007C716D"/>
    <w:rsid w:val="007D01BB"/>
    <w:rsid w:val="007D13FB"/>
    <w:rsid w:val="007D1A31"/>
    <w:rsid w:val="007D20BF"/>
    <w:rsid w:val="007D25E4"/>
    <w:rsid w:val="007D4564"/>
    <w:rsid w:val="007D4A14"/>
    <w:rsid w:val="007E0D09"/>
    <w:rsid w:val="007E2885"/>
    <w:rsid w:val="007E581D"/>
    <w:rsid w:val="007E6702"/>
    <w:rsid w:val="007E6EE9"/>
    <w:rsid w:val="007F0A32"/>
    <w:rsid w:val="007F4568"/>
    <w:rsid w:val="007F530F"/>
    <w:rsid w:val="008009B6"/>
    <w:rsid w:val="00806286"/>
    <w:rsid w:val="00806B2E"/>
    <w:rsid w:val="0081062B"/>
    <w:rsid w:val="0081143D"/>
    <w:rsid w:val="0081742C"/>
    <w:rsid w:val="0082447D"/>
    <w:rsid w:val="00824B77"/>
    <w:rsid w:val="00824CD7"/>
    <w:rsid w:val="00825761"/>
    <w:rsid w:val="00825FC4"/>
    <w:rsid w:val="00830B29"/>
    <w:rsid w:val="00834A94"/>
    <w:rsid w:val="00835BCF"/>
    <w:rsid w:val="0083626E"/>
    <w:rsid w:val="008401BA"/>
    <w:rsid w:val="008418EA"/>
    <w:rsid w:val="00844148"/>
    <w:rsid w:val="00851ABC"/>
    <w:rsid w:val="008528F2"/>
    <w:rsid w:val="00854555"/>
    <w:rsid w:val="008609F2"/>
    <w:rsid w:val="00863FBF"/>
    <w:rsid w:val="00865BDF"/>
    <w:rsid w:val="008664C7"/>
    <w:rsid w:val="00867804"/>
    <w:rsid w:val="00870787"/>
    <w:rsid w:val="00871040"/>
    <w:rsid w:val="0087748D"/>
    <w:rsid w:val="0088122B"/>
    <w:rsid w:val="00882252"/>
    <w:rsid w:val="00883219"/>
    <w:rsid w:val="008873D1"/>
    <w:rsid w:val="00890CAC"/>
    <w:rsid w:val="00890D40"/>
    <w:rsid w:val="00891246"/>
    <w:rsid w:val="0089371F"/>
    <w:rsid w:val="0089373F"/>
    <w:rsid w:val="008973D6"/>
    <w:rsid w:val="008A0270"/>
    <w:rsid w:val="008A03FA"/>
    <w:rsid w:val="008A1E3D"/>
    <w:rsid w:val="008A332D"/>
    <w:rsid w:val="008A5737"/>
    <w:rsid w:val="008A5B4F"/>
    <w:rsid w:val="008A6EC6"/>
    <w:rsid w:val="008B0AF2"/>
    <w:rsid w:val="008B3109"/>
    <w:rsid w:val="008B349D"/>
    <w:rsid w:val="008B6CB5"/>
    <w:rsid w:val="008C3849"/>
    <w:rsid w:val="008C4F79"/>
    <w:rsid w:val="008D16A0"/>
    <w:rsid w:val="008D32ED"/>
    <w:rsid w:val="008D40E0"/>
    <w:rsid w:val="008D4575"/>
    <w:rsid w:val="008D62EB"/>
    <w:rsid w:val="008D7DCA"/>
    <w:rsid w:val="008E1D31"/>
    <w:rsid w:val="008E2062"/>
    <w:rsid w:val="008E2901"/>
    <w:rsid w:val="008E2971"/>
    <w:rsid w:val="008E3E6E"/>
    <w:rsid w:val="008E426C"/>
    <w:rsid w:val="008F3254"/>
    <w:rsid w:val="008F4129"/>
    <w:rsid w:val="008F4930"/>
    <w:rsid w:val="00900AC6"/>
    <w:rsid w:val="00903CB3"/>
    <w:rsid w:val="00904C6F"/>
    <w:rsid w:val="009067CD"/>
    <w:rsid w:val="00906B4D"/>
    <w:rsid w:val="00912757"/>
    <w:rsid w:val="00912C74"/>
    <w:rsid w:val="009163A4"/>
    <w:rsid w:val="00921835"/>
    <w:rsid w:val="00922B45"/>
    <w:rsid w:val="00923A25"/>
    <w:rsid w:val="00925462"/>
    <w:rsid w:val="009262BA"/>
    <w:rsid w:val="00926B2B"/>
    <w:rsid w:val="00926F6C"/>
    <w:rsid w:val="00930D98"/>
    <w:rsid w:val="0093138A"/>
    <w:rsid w:val="00933C0E"/>
    <w:rsid w:val="00936D39"/>
    <w:rsid w:val="00936F98"/>
    <w:rsid w:val="009464C9"/>
    <w:rsid w:val="009464E2"/>
    <w:rsid w:val="0095020E"/>
    <w:rsid w:val="009515DE"/>
    <w:rsid w:val="00951807"/>
    <w:rsid w:val="00951FFA"/>
    <w:rsid w:val="00955793"/>
    <w:rsid w:val="00956811"/>
    <w:rsid w:val="00957373"/>
    <w:rsid w:val="009601B3"/>
    <w:rsid w:val="00960993"/>
    <w:rsid w:val="00960B79"/>
    <w:rsid w:val="00965D2E"/>
    <w:rsid w:val="009711AD"/>
    <w:rsid w:val="009719BD"/>
    <w:rsid w:val="00975465"/>
    <w:rsid w:val="00975680"/>
    <w:rsid w:val="0097589A"/>
    <w:rsid w:val="00975C78"/>
    <w:rsid w:val="00980556"/>
    <w:rsid w:val="0098270D"/>
    <w:rsid w:val="009835F4"/>
    <w:rsid w:val="009938D4"/>
    <w:rsid w:val="009B023D"/>
    <w:rsid w:val="009B055C"/>
    <w:rsid w:val="009B156B"/>
    <w:rsid w:val="009B21D4"/>
    <w:rsid w:val="009B35CD"/>
    <w:rsid w:val="009B4664"/>
    <w:rsid w:val="009B4E5E"/>
    <w:rsid w:val="009B4F60"/>
    <w:rsid w:val="009B5DAD"/>
    <w:rsid w:val="009B783C"/>
    <w:rsid w:val="009C03EA"/>
    <w:rsid w:val="009C0681"/>
    <w:rsid w:val="009C2102"/>
    <w:rsid w:val="009C26AC"/>
    <w:rsid w:val="009C64C7"/>
    <w:rsid w:val="009C7EA0"/>
    <w:rsid w:val="009D0CAB"/>
    <w:rsid w:val="009D2BAE"/>
    <w:rsid w:val="009D38D8"/>
    <w:rsid w:val="009D3949"/>
    <w:rsid w:val="009D47D1"/>
    <w:rsid w:val="009D4D24"/>
    <w:rsid w:val="009D7B6C"/>
    <w:rsid w:val="009D7DBB"/>
    <w:rsid w:val="009E1841"/>
    <w:rsid w:val="009E2456"/>
    <w:rsid w:val="009E4175"/>
    <w:rsid w:val="009E4F07"/>
    <w:rsid w:val="009E7F7F"/>
    <w:rsid w:val="009F1247"/>
    <w:rsid w:val="009F3009"/>
    <w:rsid w:val="00A03CC7"/>
    <w:rsid w:val="00A06354"/>
    <w:rsid w:val="00A102AD"/>
    <w:rsid w:val="00A143DC"/>
    <w:rsid w:val="00A14589"/>
    <w:rsid w:val="00A17B3A"/>
    <w:rsid w:val="00A22D8C"/>
    <w:rsid w:val="00A23741"/>
    <w:rsid w:val="00A24E5A"/>
    <w:rsid w:val="00A30704"/>
    <w:rsid w:val="00A3415C"/>
    <w:rsid w:val="00A35C0C"/>
    <w:rsid w:val="00A35F14"/>
    <w:rsid w:val="00A404C6"/>
    <w:rsid w:val="00A4201E"/>
    <w:rsid w:val="00A4679E"/>
    <w:rsid w:val="00A46922"/>
    <w:rsid w:val="00A47263"/>
    <w:rsid w:val="00A51509"/>
    <w:rsid w:val="00A51A07"/>
    <w:rsid w:val="00A51E18"/>
    <w:rsid w:val="00A5336D"/>
    <w:rsid w:val="00A53436"/>
    <w:rsid w:val="00A55133"/>
    <w:rsid w:val="00A55C27"/>
    <w:rsid w:val="00A631AC"/>
    <w:rsid w:val="00A64B0C"/>
    <w:rsid w:val="00A65A5F"/>
    <w:rsid w:val="00A65C4B"/>
    <w:rsid w:val="00A666FF"/>
    <w:rsid w:val="00A66A19"/>
    <w:rsid w:val="00A671C4"/>
    <w:rsid w:val="00A672E5"/>
    <w:rsid w:val="00A720D2"/>
    <w:rsid w:val="00A72E78"/>
    <w:rsid w:val="00A73669"/>
    <w:rsid w:val="00A739CA"/>
    <w:rsid w:val="00A73F01"/>
    <w:rsid w:val="00A75220"/>
    <w:rsid w:val="00A75D77"/>
    <w:rsid w:val="00A760D4"/>
    <w:rsid w:val="00A7660C"/>
    <w:rsid w:val="00A76F70"/>
    <w:rsid w:val="00A76F9A"/>
    <w:rsid w:val="00A816BC"/>
    <w:rsid w:val="00A81A04"/>
    <w:rsid w:val="00A8629D"/>
    <w:rsid w:val="00A86D24"/>
    <w:rsid w:val="00A871BE"/>
    <w:rsid w:val="00A87B16"/>
    <w:rsid w:val="00A91006"/>
    <w:rsid w:val="00A91101"/>
    <w:rsid w:val="00A93723"/>
    <w:rsid w:val="00A94727"/>
    <w:rsid w:val="00A97A4A"/>
    <w:rsid w:val="00A97C31"/>
    <w:rsid w:val="00A97F6B"/>
    <w:rsid w:val="00AA0E77"/>
    <w:rsid w:val="00AA1718"/>
    <w:rsid w:val="00AA37F8"/>
    <w:rsid w:val="00AB1CEF"/>
    <w:rsid w:val="00AB3110"/>
    <w:rsid w:val="00AB3BC0"/>
    <w:rsid w:val="00AB7584"/>
    <w:rsid w:val="00AC2775"/>
    <w:rsid w:val="00AC4211"/>
    <w:rsid w:val="00AC5BD3"/>
    <w:rsid w:val="00AD0C60"/>
    <w:rsid w:val="00AD5A81"/>
    <w:rsid w:val="00AE1B58"/>
    <w:rsid w:val="00AE1E23"/>
    <w:rsid w:val="00AE4BBA"/>
    <w:rsid w:val="00AE6E56"/>
    <w:rsid w:val="00AF1B29"/>
    <w:rsid w:val="00AF3222"/>
    <w:rsid w:val="00AF611E"/>
    <w:rsid w:val="00AF781E"/>
    <w:rsid w:val="00B00632"/>
    <w:rsid w:val="00B00686"/>
    <w:rsid w:val="00B01B53"/>
    <w:rsid w:val="00B038D3"/>
    <w:rsid w:val="00B04C45"/>
    <w:rsid w:val="00B04D4F"/>
    <w:rsid w:val="00B05421"/>
    <w:rsid w:val="00B06509"/>
    <w:rsid w:val="00B12B7F"/>
    <w:rsid w:val="00B12E1E"/>
    <w:rsid w:val="00B210E9"/>
    <w:rsid w:val="00B213E9"/>
    <w:rsid w:val="00B24CE2"/>
    <w:rsid w:val="00B2539E"/>
    <w:rsid w:val="00B25B45"/>
    <w:rsid w:val="00B25C0F"/>
    <w:rsid w:val="00B27440"/>
    <w:rsid w:val="00B30A0A"/>
    <w:rsid w:val="00B30D6D"/>
    <w:rsid w:val="00B35DBA"/>
    <w:rsid w:val="00B3751A"/>
    <w:rsid w:val="00B40CF8"/>
    <w:rsid w:val="00B41D91"/>
    <w:rsid w:val="00B4245D"/>
    <w:rsid w:val="00B42757"/>
    <w:rsid w:val="00B427BE"/>
    <w:rsid w:val="00B42931"/>
    <w:rsid w:val="00B42954"/>
    <w:rsid w:val="00B431BC"/>
    <w:rsid w:val="00B4570A"/>
    <w:rsid w:val="00B52020"/>
    <w:rsid w:val="00B54866"/>
    <w:rsid w:val="00B5573A"/>
    <w:rsid w:val="00B607C4"/>
    <w:rsid w:val="00B63420"/>
    <w:rsid w:val="00B6355E"/>
    <w:rsid w:val="00B64C03"/>
    <w:rsid w:val="00B656FE"/>
    <w:rsid w:val="00B6699E"/>
    <w:rsid w:val="00B673B1"/>
    <w:rsid w:val="00B70B92"/>
    <w:rsid w:val="00B74737"/>
    <w:rsid w:val="00B74E87"/>
    <w:rsid w:val="00B767A2"/>
    <w:rsid w:val="00B8030F"/>
    <w:rsid w:val="00B805A7"/>
    <w:rsid w:val="00B810B9"/>
    <w:rsid w:val="00B828F5"/>
    <w:rsid w:val="00B82C5F"/>
    <w:rsid w:val="00B877CC"/>
    <w:rsid w:val="00B91AF3"/>
    <w:rsid w:val="00B940A6"/>
    <w:rsid w:val="00B96E7C"/>
    <w:rsid w:val="00BA1BE6"/>
    <w:rsid w:val="00BA2BD2"/>
    <w:rsid w:val="00BA33A1"/>
    <w:rsid w:val="00BA7680"/>
    <w:rsid w:val="00BB12E5"/>
    <w:rsid w:val="00BB148F"/>
    <w:rsid w:val="00BB2843"/>
    <w:rsid w:val="00BB56CC"/>
    <w:rsid w:val="00BB6340"/>
    <w:rsid w:val="00BB6A0F"/>
    <w:rsid w:val="00BC1DD1"/>
    <w:rsid w:val="00BC1E65"/>
    <w:rsid w:val="00BC4B57"/>
    <w:rsid w:val="00BC5B48"/>
    <w:rsid w:val="00BC6656"/>
    <w:rsid w:val="00BD0664"/>
    <w:rsid w:val="00BD1597"/>
    <w:rsid w:val="00BD3EEA"/>
    <w:rsid w:val="00BE4158"/>
    <w:rsid w:val="00BE622F"/>
    <w:rsid w:val="00BF4340"/>
    <w:rsid w:val="00BF471F"/>
    <w:rsid w:val="00BF6D53"/>
    <w:rsid w:val="00BF721B"/>
    <w:rsid w:val="00BF7DC1"/>
    <w:rsid w:val="00C00D0B"/>
    <w:rsid w:val="00C035B9"/>
    <w:rsid w:val="00C03933"/>
    <w:rsid w:val="00C03E30"/>
    <w:rsid w:val="00C07981"/>
    <w:rsid w:val="00C10813"/>
    <w:rsid w:val="00C10DDD"/>
    <w:rsid w:val="00C11031"/>
    <w:rsid w:val="00C15BF3"/>
    <w:rsid w:val="00C16007"/>
    <w:rsid w:val="00C16EC9"/>
    <w:rsid w:val="00C17754"/>
    <w:rsid w:val="00C20190"/>
    <w:rsid w:val="00C209E6"/>
    <w:rsid w:val="00C217A6"/>
    <w:rsid w:val="00C23675"/>
    <w:rsid w:val="00C2607B"/>
    <w:rsid w:val="00C26BCC"/>
    <w:rsid w:val="00C274A1"/>
    <w:rsid w:val="00C27D52"/>
    <w:rsid w:val="00C27FA6"/>
    <w:rsid w:val="00C320FE"/>
    <w:rsid w:val="00C330AB"/>
    <w:rsid w:val="00C338D1"/>
    <w:rsid w:val="00C37D3C"/>
    <w:rsid w:val="00C40137"/>
    <w:rsid w:val="00C41648"/>
    <w:rsid w:val="00C45C8F"/>
    <w:rsid w:val="00C514F2"/>
    <w:rsid w:val="00C53A9E"/>
    <w:rsid w:val="00C61488"/>
    <w:rsid w:val="00C618A3"/>
    <w:rsid w:val="00C63C25"/>
    <w:rsid w:val="00C64477"/>
    <w:rsid w:val="00C6590A"/>
    <w:rsid w:val="00C65B83"/>
    <w:rsid w:val="00C66F06"/>
    <w:rsid w:val="00C727FC"/>
    <w:rsid w:val="00C72A5C"/>
    <w:rsid w:val="00C752AE"/>
    <w:rsid w:val="00C7798E"/>
    <w:rsid w:val="00C81469"/>
    <w:rsid w:val="00C839A5"/>
    <w:rsid w:val="00C85A71"/>
    <w:rsid w:val="00C86650"/>
    <w:rsid w:val="00C92F3E"/>
    <w:rsid w:val="00C93E04"/>
    <w:rsid w:val="00C9447A"/>
    <w:rsid w:val="00C95639"/>
    <w:rsid w:val="00C95850"/>
    <w:rsid w:val="00C95A71"/>
    <w:rsid w:val="00CA00B3"/>
    <w:rsid w:val="00CA058C"/>
    <w:rsid w:val="00CA1021"/>
    <w:rsid w:val="00CA13B5"/>
    <w:rsid w:val="00CA247C"/>
    <w:rsid w:val="00CA27F2"/>
    <w:rsid w:val="00CA3018"/>
    <w:rsid w:val="00CA79A5"/>
    <w:rsid w:val="00CB3CCE"/>
    <w:rsid w:val="00CD13C6"/>
    <w:rsid w:val="00CD179C"/>
    <w:rsid w:val="00CD17BF"/>
    <w:rsid w:val="00CD1C1E"/>
    <w:rsid w:val="00CD213D"/>
    <w:rsid w:val="00CD3F86"/>
    <w:rsid w:val="00CD68DB"/>
    <w:rsid w:val="00CD737E"/>
    <w:rsid w:val="00CE081B"/>
    <w:rsid w:val="00CE1689"/>
    <w:rsid w:val="00CE184F"/>
    <w:rsid w:val="00CE2DB6"/>
    <w:rsid w:val="00CE3635"/>
    <w:rsid w:val="00CE5DA0"/>
    <w:rsid w:val="00CE6A2B"/>
    <w:rsid w:val="00CE7F5B"/>
    <w:rsid w:val="00CF0B75"/>
    <w:rsid w:val="00CF1B0F"/>
    <w:rsid w:val="00CF28A4"/>
    <w:rsid w:val="00CF396B"/>
    <w:rsid w:val="00D01469"/>
    <w:rsid w:val="00D02742"/>
    <w:rsid w:val="00D03995"/>
    <w:rsid w:val="00D03BAD"/>
    <w:rsid w:val="00D04FE3"/>
    <w:rsid w:val="00D05744"/>
    <w:rsid w:val="00D11554"/>
    <w:rsid w:val="00D12AA4"/>
    <w:rsid w:val="00D139ED"/>
    <w:rsid w:val="00D15C5F"/>
    <w:rsid w:val="00D162A3"/>
    <w:rsid w:val="00D16DA6"/>
    <w:rsid w:val="00D17B03"/>
    <w:rsid w:val="00D222DE"/>
    <w:rsid w:val="00D2329E"/>
    <w:rsid w:val="00D2406E"/>
    <w:rsid w:val="00D3015E"/>
    <w:rsid w:val="00D3134A"/>
    <w:rsid w:val="00D34025"/>
    <w:rsid w:val="00D37054"/>
    <w:rsid w:val="00D37A71"/>
    <w:rsid w:val="00D40E91"/>
    <w:rsid w:val="00D41DE9"/>
    <w:rsid w:val="00D43227"/>
    <w:rsid w:val="00D441D2"/>
    <w:rsid w:val="00D464E6"/>
    <w:rsid w:val="00D477ED"/>
    <w:rsid w:val="00D50F0C"/>
    <w:rsid w:val="00D54752"/>
    <w:rsid w:val="00D558AA"/>
    <w:rsid w:val="00D617FF"/>
    <w:rsid w:val="00D6548E"/>
    <w:rsid w:val="00D65828"/>
    <w:rsid w:val="00D659F2"/>
    <w:rsid w:val="00D71CEA"/>
    <w:rsid w:val="00D725AE"/>
    <w:rsid w:val="00D731B1"/>
    <w:rsid w:val="00D73CAD"/>
    <w:rsid w:val="00D74A15"/>
    <w:rsid w:val="00D82162"/>
    <w:rsid w:val="00D8467A"/>
    <w:rsid w:val="00D87685"/>
    <w:rsid w:val="00D9130D"/>
    <w:rsid w:val="00D92D05"/>
    <w:rsid w:val="00D93E25"/>
    <w:rsid w:val="00D95AFB"/>
    <w:rsid w:val="00D96782"/>
    <w:rsid w:val="00D96F6A"/>
    <w:rsid w:val="00DA0924"/>
    <w:rsid w:val="00DA2943"/>
    <w:rsid w:val="00DA4FA4"/>
    <w:rsid w:val="00DA4FA6"/>
    <w:rsid w:val="00DA54CA"/>
    <w:rsid w:val="00DA583D"/>
    <w:rsid w:val="00DA5AE8"/>
    <w:rsid w:val="00DB11F0"/>
    <w:rsid w:val="00DB4433"/>
    <w:rsid w:val="00DB454A"/>
    <w:rsid w:val="00DB7BD7"/>
    <w:rsid w:val="00DC201A"/>
    <w:rsid w:val="00DC2DB0"/>
    <w:rsid w:val="00DC44C0"/>
    <w:rsid w:val="00DC54E2"/>
    <w:rsid w:val="00DC5EF5"/>
    <w:rsid w:val="00DD0D20"/>
    <w:rsid w:val="00DD66DF"/>
    <w:rsid w:val="00DE5B36"/>
    <w:rsid w:val="00DE6E12"/>
    <w:rsid w:val="00DE7409"/>
    <w:rsid w:val="00DF0954"/>
    <w:rsid w:val="00DF2347"/>
    <w:rsid w:val="00DF2449"/>
    <w:rsid w:val="00DF64B8"/>
    <w:rsid w:val="00DF67FF"/>
    <w:rsid w:val="00DF6991"/>
    <w:rsid w:val="00DF6F8B"/>
    <w:rsid w:val="00DF7045"/>
    <w:rsid w:val="00E019EC"/>
    <w:rsid w:val="00E05385"/>
    <w:rsid w:val="00E06BA0"/>
    <w:rsid w:val="00E11A1F"/>
    <w:rsid w:val="00E1614B"/>
    <w:rsid w:val="00E22073"/>
    <w:rsid w:val="00E234ED"/>
    <w:rsid w:val="00E237FC"/>
    <w:rsid w:val="00E243ED"/>
    <w:rsid w:val="00E24477"/>
    <w:rsid w:val="00E24B4A"/>
    <w:rsid w:val="00E25B4B"/>
    <w:rsid w:val="00E318B5"/>
    <w:rsid w:val="00E32375"/>
    <w:rsid w:val="00E32FCA"/>
    <w:rsid w:val="00E33890"/>
    <w:rsid w:val="00E35194"/>
    <w:rsid w:val="00E36D21"/>
    <w:rsid w:val="00E41139"/>
    <w:rsid w:val="00E41D0C"/>
    <w:rsid w:val="00E423C5"/>
    <w:rsid w:val="00E46FB2"/>
    <w:rsid w:val="00E5009E"/>
    <w:rsid w:val="00E51D54"/>
    <w:rsid w:val="00E5279C"/>
    <w:rsid w:val="00E5318E"/>
    <w:rsid w:val="00E5398C"/>
    <w:rsid w:val="00E57855"/>
    <w:rsid w:val="00E615B5"/>
    <w:rsid w:val="00E619F5"/>
    <w:rsid w:val="00E7017B"/>
    <w:rsid w:val="00E742C1"/>
    <w:rsid w:val="00E7604C"/>
    <w:rsid w:val="00E8020B"/>
    <w:rsid w:val="00E804A4"/>
    <w:rsid w:val="00E8289C"/>
    <w:rsid w:val="00E85108"/>
    <w:rsid w:val="00E90A1C"/>
    <w:rsid w:val="00E90B76"/>
    <w:rsid w:val="00E90C23"/>
    <w:rsid w:val="00E92F52"/>
    <w:rsid w:val="00E966E1"/>
    <w:rsid w:val="00E977B4"/>
    <w:rsid w:val="00EA2CDF"/>
    <w:rsid w:val="00EB1DA9"/>
    <w:rsid w:val="00EB3BB5"/>
    <w:rsid w:val="00EB7FE2"/>
    <w:rsid w:val="00EC113A"/>
    <w:rsid w:val="00EC17C4"/>
    <w:rsid w:val="00EC30CA"/>
    <w:rsid w:val="00EC4550"/>
    <w:rsid w:val="00ED06A9"/>
    <w:rsid w:val="00ED1367"/>
    <w:rsid w:val="00ED1D08"/>
    <w:rsid w:val="00ED573B"/>
    <w:rsid w:val="00ED645B"/>
    <w:rsid w:val="00ED6D04"/>
    <w:rsid w:val="00ED7C1E"/>
    <w:rsid w:val="00EE2CF2"/>
    <w:rsid w:val="00EE3DAB"/>
    <w:rsid w:val="00EE6BCA"/>
    <w:rsid w:val="00EF34C3"/>
    <w:rsid w:val="00EF4704"/>
    <w:rsid w:val="00EF57C9"/>
    <w:rsid w:val="00F06FDA"/>
    <w:rsid w:val="00F070F3"/>
    <w:rsid w:val="00F13969"/>
    <w:rsid w:val="00F13A2D"/>
    <w:rsid w:val="00F2130F"/>
    <w:rsid w:val="00F2282A"/>
    <w:rsid w:val="00F2535E"/>
    <w:rsid w:val="00F25B36"/>
    <w:rsid w:val="00F26747"/>
    <w:rsid w:val="00F26847"/>
    <w:rsid w:val="00F26A3B"/>
    <w:rsid w:val="00F26B1F"/>
    <w:rsid w:val="00F27DB2"/>
    <w:rsid w:val="00F36F63"/>
    <w:rsid w:val="00F41B6F"/>
    <w:rsid w:val="00F42310"/>
    <w:rsid w:val="00F42AB9"/>
    <w:rsid w:val="00F43DDE"/>
    <w:rsid w:val="00F44228"/>
    <w:rsid w:val="00F44C14"/>
    <w:rsid w:val="00F44C92"/>
    <w:rsid w:val="00F4633D"/>
    <w:rsid w:val="00F46392"/>
    <w:rsid w:val="00F47BC1"/>
    <w:rsid w:val="00F47EE9"/>
    <w:rsid w:val="00F54372"/>
    <w:rsid w:val="00F54AA8"/>
    <w:rsid w:val="00F571B0"/>
    <w:rsid w:val="00F579E2"/>
    <w:rsid w:val="00F60366"/>
    <w:rsid w:val="00F60F41"/>
    <w:rsid w:val="00F633C5"/>
    <w:rsid w:val="00F65216"/>
    <w:rsid w:val="00F676D8"/>
    <w:rsid w:val="00F71C20"/>
    <w:rsid w:val="00F72568"/>
    <w:rsid w:val="00F74928"/>
    <w:rsid w:val="00F7540A"/>
    <w:rsid w:val="00F768E3"/>
    <w:rsid w:val="00F769EF"/>
    <w:rsid w:val="00F832FC"/>
    <w:rsid w:val="00F83770"/>
    <w:rsid w:val="00F846E3"/>
    <w:rsid w:val="00F90B90"/>
    <w:rsid w:val="00F91399"/>
    <w:rsid w:val="00F9143A"/>
    <w:rsid w:val="00F93127"/>
    <w:rsid w:val="00F9379E"/>
    <w:rsid w:val="00F942A7"/>
    <w:rsid w:val="00F96691"/>
    <w:rsid w:val="00F967F8"/>
    <w:rsid w:val="00F96E44"/>
    <w:rsid w:val="00FA0A17"/>
    <w:rsid w:val="00FA1FDF"/>
    <w:rsid w:val="00FA2D67"/>
    <w:rsid w:val="00FA586A"/>
    <w:rsid w:val="00FA6B10"/>
    <w:rsid w:val="00FA772C"/>
    <w:rsid w:val="00FB0820"/>
    <w:rsid w:val="00FB191A"/>
    <w:rsid w:val="00FB2A60"/>
    <w:rsid w:val="00FB7E86"/>
    <w:rsid w:val="00FC29F5"/>
    <w:rsid w:val="00FC3D1E"/>
    <w:rsid w:val="00FC41FB"/>
    <w:rsid w:val="00FC4BB9"/>
    <w:rsid w:val="00FC50BF"/>
    <w:rsid w:val="00FC5DE3"/>
    <w:rsid w:val="00FD2C1F"/>
    <w:rsid w:val="00FD445F"/>
    <w:rsid w:val="00FD69F5"/>
    <w:rsid w:val="00FE0943"/>
    <w:rsid w:val="00FE0A9B"/>
    <w:rsid w:val="00FE2AB3"/>
    <w:rsid w:val="00FE52B3"/>
    <w:rsid w:val="00FF11B1"/>
    <w:rsid w:val="00FF1ECB"/>
    <w:rsid w:val="00FF1F15"/>
    <w:rsid w:val="00FF4558"/>
    <w:rsid w:val="00FF618E"/>
    <w:rsid w:val="00FF6631"/>
    <w:rsid w:val="00FF7F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C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4"/>
    <w:qFormat/>
    <w:pPr>
      <w:spacing w:line="240" w:lineRule="exact"/>
    </w:pPr>
    <w:rPr>
      <w:rFonts w:ascii="Verdana" w:hAnsi="Verdana"/>
      <w:color w:val="000000"/>
      <w:sz w:val="18"/>
      <w:szCs w:val="18"/>
    </w:rPr>
  </w:style>
  <w:style w:type="paragraph" w:styleId="Kop1">
    <w:name w:val="heading 1"/>
    <w:basedOn w:val="Standaard"/>
    <w:next w:val="Standaard"/>
    <w:qFormat/>
    <w:rsid w:val="000F6211"/>
    <w:pPr>
      <w:numPr>
        <w:numId w:val="2"/>
      </w:numPr>
      <w:tabs>
        <w:tab w:val="left" w:pos="0"/>
      </w:tabs>
      <w:spacing w:after="720" w:line="300" w:lineRule="exact"/>
      <w:ind w:left="-1120"/>
      <w:outlineLvl w:val="0"/>
    </w:pPr>
    <w:rPr>
      <w:b/>
      <w:color w:val="114E69"/>
      <w:sz w:val="24"/>
      <w:szCs w:val="24"/>
    </w:rPr>
  </w:style>
  <w:style w:type="paragraph" w:styleId="Kop2">
    <w:name w:val="heading 2"/>
    <w:basedOn w:val="Standaard"/>
    <w:next w:val="Standaard"/>
    <w:uiPriority w:val="1"/>
    <w:qFormat/>
    <w:rsid w:val="00344EA2"/>
    <w:pPr>
      <w:numPr>
        <w:ilvl w:val="1"/>
        <w:numId w:val="2"/>
      </w:numPr>
      <w:tabs>
        <w:tab w:val="left" w:pos="0"/>
      </w:tabs>
      <w:spacing w:before="240"/>
      <w:ind w:left="-1120"/>
      <w:outlineLvl w:val="1"/>
    </w:pPr>
    <w:rPr>
      <w:b/>
      <w:color w:val="114E69"/>
    </w:rPr>
  </w:style>
  <w:style w:type="paragraph" w:styleId="Kop3">
    <w:name w:val="heading 3"/>
    <w:basedOn w:val="Standaard"/>
    <w:next w:val="Standaard"/>
    <w:uiPriority w:val="2"/>
    <w:qFormat/>
    <w:pPr>
      <w:numPr>
        <w:ilvl w:val="2"/>
        <w:numId w:val="2"/>
      </w:numPr>
      <w:tabs>
        <w:tab w:val="left" w:pos="0"/>
      </w:tabs>
      <w:spacing w:before="240"/>
      <w:ind w:left="-1120"/>
      <w:outlineLvl w:val="2"/>
    </w:pPr>
    <w:rPr>
      <w:i/>
    </w:rPr>
  </w:style>
  <w:style w:type="paragraph" w:styleId="Kop4">
    <w:name w:val="heading 4"/>
    <w:basedOn w:val="Standaard"/>
    <w:next w:val="Standaard"/>
    <w:uiPriority w:val="3"/>
    <w:qFormat/>
    <w:pPr>
      <w:numPr>
        <w:ilvl w:val="3"/>
        <w:numId w:val="2"/>
      </w:numPr>
      <w:tabs>
        <w:tab w:val="left" w:pos="0"/>
      </w:tabs>
      <w:spacing w:before="240"/>
      <w:ind w:left="-112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numbering" w:customStyle="1" w:styleId="Genummerdelijst">
    <w:name w:val="Genummerde lijst"/>
    <w:pPr>
      <w:numPr>
        <w:numId w:val="1"/>
      </w:numPr>
    </w:pPr>
  </w:style>
  <w:style w:type="paragraph" w:styleId="Inhopg1">
    <w:name w:val="toc 1"/>
    <w:uiPriority w:val="39"/>
    <w:pPr>
      <w:tabs>
        <w:tab w:val="left" w:pos="0"/>
      </w:tabs>
      <w:spacing w:before="240" w:line="240" w:lineRule="exact"/>
      <w:ind w:hanging="1120"/>
    </w:pPr>
    <w:rPr>
      <w:rFonts w:ascii="Verdana" w:hAnsi="Verdana"/>
      <w:b/>
      <w:sz w:val="18"/>
      <w:szCs w:val="18"/>
    </w:rPr>
  </w:style>
  <w:style w:type="paragraph" w:styleId="Inhopg2">
    <w:name w:val="toc 2"/>
    <w:uiPriority w:val="39"/>
    <w:pPr>
      <w:spacing w:line="240" w:lineRule="exact"/>
      <w:ind w:hanging="1120"/>
    </w:pPr>
    <w:rPr>
      <w:rFonts w:ascii="Verdana" w:hAnsi="Verdana"/>
      <w:sz w:val="18"/>
      <w:szCs w:val="18"/>
    </w:rPr>
  </w:style>
  <w:style w:type="paragraph" w:styleId="Inhopg3">
    <w:name w:val="toc 3"/>
    <w:uiPriority w:val="39"/>
    <w:pPr>
      <w:spacing w:line="240" w:lineRule="exact"/>
      <w:ind w:hanging="1120"/>
    </w:pPr>
    <w:rPr>
      <w:rFonts w:ascii="Verdana" w:hAnsi="Verdana"/>
      <w:sz w:val="18"/>
      <w:szCs w:val="18"/>
    </w:rPr>
  </w:style>
  <w:style w:type="paragraph" w:styleId="Inhopg4">
    <w:name w:val="toc 4"/>
    <w:uiPriority w:val="39"/>
    <w:pPr>
      <w:spacing w:line="240" w:lineRule="exact"/>
      <w:ind w:hanging="1120"/>
    </w:pPr>
    <w:rPr>
      <w:rFonts w:ascii="Verdana" w:hAnsi="Verdana"/>
      <w:color w:val="000000"/>
      <w:sz w:val="18"/>
      <w:szCs w:val="18"/>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zondernummer">
    <w:name w:val="Kop zonder nummer"/>
    <w:basedOn w:val="Standaard"/>
    <w:next w:val="Standaard"/>
    <w:pPr>
      <w:tabs>
        <w:tab w:val="left" w:pos="0"/>
      </w:tabs>
      <w:spacing w:after="700" w:line="300" w:lineRule="atLeast"/>
      <w:ind w:left="-1120"/>
    </w:pPr>
    <w:rPr>
      <w:sz w:val="24"/>
      <w:szCs w:val="24"/>
    </w:rPr>
  </w:style>
  <w:style w:type="paragraph" w:customStyle="1" w:styleId="Kop-Inhoudsopgave">
    <w:name w:val="Kop-Inhoudsopgave"/>
    <w:basedOn w:val="Standaard"/>
    <w:next w:val="Standaard"/>
    <w:pPr>
      <w:spacing w:after="700" w:line="300" w:lineRule="atLeast"/>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Standaard"/>
    <w:next w:val="Standaard"/>
    <w:pPr>
      <w:numPr>
        <w:numId w:val="3"/>
      </w:numPr>
    </w:pPr>
  </w:style>
  <w:style w:type="paragraph" w:customStyle="1" w:styleId="Lijstniveau2">
    <w:name w:val="Lijst niveau 2"/>
    <w:basedOn w:val="Standaard"/>
    <w:next w:val="Standaard"/>
    <w:rsid w:val="003B1B4E"/>
    <w:pPr>
      <w:numPr>
        <w:ilvl w:val="1"/>
        <w:numId w:val="3"/>
      </w:numPr>
    </w:pPr>
    <w:rPr>
      <w:sz w:val="24"/>
    </w:rPr>
  </w:style>
  <w:style w:type="paragraph" w:customStyle="1" w:styleId="Lijstniveau3">
    <w:name w:val="Lijst niveau 3"/>
    <w:basedOn w:val="Standaard"/>
    <w:next w:val="Standaard"/>
    <w:pPr>
      <w:numPr>
        <w:ilvl w:val="2"/>
        <w:numId w:val="3"/>
      </w:numPr>
    </w:pPr>
  </w:style>
  <w:style w:type="paragraph" w:styleId="Ondertitel">
    <w:name w:val="Subtitle"/>
    <w:basedOn w:val="Standaard"/>
    <w:next w:val="Standaard"/>
    <w:uiPriority w:val="8"/>
    <w:qFormat/>
    <w:pPr>
      <w:spacing w:line="320" w:lineRule="atLeast"/>
    </w:pPr>
    <w:rPr>
      <w:sz w:val="24"/>
      <w:szCs w:val="24"/>
    </w:rPr>
  </w:style>
  <w:style w:type="paragraph" w:customStyle="1" w:styleId="Referentiegegevens">
    <w:name w:val="Referentiegegevens"/>
    <w:basedOn w:val="Standaard"/>
    <w:next w:val="Standaard"/>
    <w:uiPriority w:val="9"/>
    <w:qFormat/>
    <w:pPr>
      <w:spacing w:line="180" w:lineRule="exact"/>
    </w:pPr>
    <w:rPr>
      <w:sz w:val="13"/>
      <w:szCs w:val="13"/>
    </w:rPr>
  </w:style>
  <w:style w:type="paragraph" w:customStyle="1" w:styleId="Referentiegegevensbold">
    <w:name w:val="Referentiegegevens bold"/>
    <w:basedOn w:val="Standaard"/>
    <w:next w:val="Standaard"/>
    <w:uiPriority w:val="10"/>
    <w:qFormat/>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ubricering">
    <w:name w:val="Rubricering"/>
    <w:basedOn w:val="Standaard"/>
    <w:next w:val="Standaard"/>
    <w:uiPriority w:val="11"/>
    <w:qFormat/>
    <w:pPr>
      <w:spacing w:line="180" w:lineRule="exact"/>
    </w:pPr>
    <w:rPr>
      <w:b/>
      <w:caps/>
      <w:sz w:val="13"/>
      <w:szCs w:val="13"/>
    </w:rPr>
  </w:style>
  <w:style w:type="paragraph" w:customStyle="1" w:styleId="Standaardcursief">
    <w:name w:val="Standaard cursief"/>
    <w:basedOn w:val="Standaard"/>
    <w:next w:val="Standaard"/>
    <w:uiPriority w:val="5"/>
    <w:qFormat/>
    <w:rPr>
      <w:i/>
    </w:rPr>
  </w:style>
  <w:style w:type="paragraph" w:customStyle="1" w:styleId="Standaardvet">
    <w:name w:val="Standaard vet"/>
    <w:basedOn w:val="Standaard"/>
    <w:next w:val="Standaard"/>
    <w:uiPriority w:val="6"/>
    <w:qFormat/>
    <w:rPr>
      <w:b/>
    </w:r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uiPriority w:val="7"/>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EB1DA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customStyle="1" w:styleId="StandaardSlotzin">
    <w:name w:val="Standaard_Slotzin"/>
    <w:basedOn w:val="Standaard"/>
    <w:next w:val="Standaard"/>
    <w:rsid w:val="000E262E"/>
    <w:pPr>
      <w:spacing w:before="240"/>
    </w:p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Voetnoottekst Nibud"/>
    <w:basedOn w:val="Standaard"/>
    <w:link w:val="VoetnoottekstChar"/>
    <w:uiPriority w:val="99"/>
    <w:unhideWhenUsed/>
    <w:qFormat/>
    <w:rsid w:val="000E262E"/>
    <w:pPr>
      <w:spacing w:line="240" w:lineRule="auto"/>
    </w:pPr>
    <w:rPr>
      <w:sz w:val="20"/>
      <w:szCs w:val="20"/>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Voetnoottekst Nibud Char"/>
    <w:basedOn w:val="Standaardalinea-lettertype"/>
    <w:link w:val="Voetnoottekst"/>
    <w:uiPriority w:val="99"/>
    <w:rsid w:val="000E262E"/>
    <w:rPr>
      <w:rFonts w:ascii="Verdana" w:hAnsi="Verdana"/>
      <w:color w:val="00000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0E262E"/>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0E262E"/>
    <w:pPr>
      <w:autoSpaceDE w:val="0"/>
      <w:spacing w:after="160"/>
      <w:jc w:val="both"/>
      <w:textAlignment w:val="auto"/>
    </w:pPr>
    <w:rPr>
      <w:rFonts w:ascii="Times New Roman" w:hAnsi="Times New Roman"/>
      <w:color w:val="auto"/>
      <w:sz w:val="20"/>
      <w:szCs w:val="20"/>
      <w:vertAlign w:val="superscript"/>
    </w:rPr>
  </w:style>
  <w:style w:type="paragraph" w:customStyle="1" w:styleId="paragraph">
    <w:name w:val="paragraph"/>
    <w:basedOn w:val="Standaard"/>
    <w:rsid w:val="00523BD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523BDD"/>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523BDD"/>
    <w:rPr>
      <w:sz w:val="16"/>
      <w:szCs w:val="16"/>
    </w:rPr>
  </w:style>
  <w:style w:type="paragraph" w:styleId="Tekstopmerking">
    <w:name w:val="annotation text"/>
    <w:basedOn w:val="Standaard"/>
    <w:link w:val="TekstopmerkingChar"/>
    <w:uiPriority w:val="99"/>
    <w:unhideWhenUsed/>
    <w:rsid w:val="00523BDD"/>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23BDD"/>
    <w:rPr>
      <w:rFonts w:asciiTheme="minorHAnsi" w:eastAsiaTheme="minorHAnsi" w:hAnsiTheme="minorHAnsi" w:cstheme="minorBidi"/>
      <w:kern w:val="2"/>
      <w:lang w:eastAsia="en-US"/>
      <w14:ligatures w14:val="standardContextual"/>
    </w:rPr>
  </w:style>
  <w:style w:type="character" w:styleId="Onopgelostemelding">
    <w:name w:val="Unresolved Mention"/>
    <w:basedOn w:val="Standaardalinea-lettertype"/>
    <w:uiPriority w:val="99"/>
    <w:semiHidden/>
    <w:unhideWhenUsed/>
    <w:rsid w:val="00C72A5C"/>
    <w:rPr>
      <w:color w:val="605E5C"/>
      <w:shd w:val="clear" w:color="auto" w:fill="E1DFDD"/>
    </w:rPr>
  </w:style>
  <w:style w:type="paragraph" w:styleId="Revisie">
    <w:name w:val="Revision"/>
    <w:hidden/>
    <w:uiPriority w:val="99"/>
    <w:semiHidden/>
    <w:rsid w:val="00F13969"/>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F1396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F13969"/>
    <w:rPr>
      <w:rFonts w:ascii="Verdana" w:eastAsiaTheme="minorHAnsi" w:hAnsi="Verdana" w:cstheme="minorBidi"/>
      <w:b/>
      <w:bCs/>
      <w:color w:val="000000"/>
      <w:kern w:val="2"/>
      <w:lang w:eastAsia="en-US"/>
      <w14:ligatures w14:val="standardContextual"/>
    </w:rPr>
  </w:style>
  <w:style w:type="paragraph" w:styleId="Koptekst">
    <w:name w:val="header"/>
    <w:basedOn w:val="Standaard"/>
    <w:link w:val="KoptekstChar"/>
    <w:uiPriority w:val="99"/>
    <w:unhideWhenUsed/>
    <w:rsid w:val="005A44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A44C5"/>
    <w:rPr>
      <w:rFonts w:ascii="Verdana" w:hAnsi="Verdana"/>
      <w:color w:val="000000"/>
      <w:sz w:val="18"/>
      <w:szCs w:val="18"/>
    </w:rPr>
  </w:style>
  <w:style w:type="paragraph" w:styleId="Voettekst">
    <w:name w:val="footer"/>
    <w:basedOn w:val="Standaard"/>
    <w:link w:val="VoettekstChar"/>
    <w:uiPriority w:val="99"/>
    <w:unhideWhenUsed/>
    <w:rsid w:val="005A44C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A44C5"/>
    <w:rPr>
      <w:rFonts w:ascii="Verdana" w:hAnsi="Verdana"/>
      <w:color w:val="000000"/>
      <w:sz w:val="18"/>
      <w:szCs w:val="18"/>
    </w:rPr>
  </w:style>
  <w:style w:type="paragraph" w:customStyle="1" w:styleId="Default">
    <w:name w:val="Default"/>
    <w:rsid w:val="005A44C5"/>
    <w:pPr>
      <w:autoSpaceDE w:val="0"/>
      <w:adjustRightInd w:val="0"/>
      <w:textAlignment w:val="auto"/>
    </w:pPr>
    <w:rPr>
      <w:rFonts w:ascii="Verdana" w:eastAsia="Times New Roman" w:hAnsi="Verdana" w:cs="Verdana"/>
      <w:color w:val="000000"/>
      <w:sz w:val="24"/>
      <w:szCs w:val="24"/>
    </w:rPr>
  </w:style>
  <w:style w:type="paragraph" w:styleId="Kopvaninhoudsopgave">
    <w:name w:val="TOC Heading"/>
    <w:basedOn w:val="Kop1"/>
    <w:next w:val="Standaard"/>
    <w:uiPriority w:val="39"/>
    <w:unhideWhenUsed/>
    <w:qFormat/>
    <w:rsid w:val="00B673B1"/>
    <w:pPr>
      <w:keepNext/>
      <w:keepLines/>
      <w:numPr>
        <w:numId w:val="0"/>
      </w:numPr>
      <w:tabs>
        <w:tab w:val="clear" w:pos="0"/>
      </w:tabs>
      <w:autoSpaceDN/>
      <w:spacing w:before="240" w:after="0" w:line="259" w:lineRule="auto"/>
      <w:textAlignment w:val="auto"/>
      <w:outlineLvl w:val="9"/>
    </w:pPr>
    <w:rPr>
      <w:rFonts w:asciiTheme="majorHAnsi" w:eastAsiaTheme="majorEastAsia" w:hAnsiTheme="majorHAnsi" w:cstheme="majorBidi"/>
      <w:color w:val="0F4761" w:themeColor="accent1" w:themeShade="BF"/>
      <w:sz w:val="32"/>
      <w:szCs w:val="32"/>
    </w:rPr>
  </w:style>
  <w:style w:type="paragraph" w:customStyle="1" w:styleId="pf0">
    <w:name w:val="pf0"/>
    <w:basedOn w:val="Standaard"/>
    <w:rsid w:val="00C66F0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Eindnoottekst">
    <w:name w:val="endnote text"/>
    <w:basedOn w:val="Standaard"/>
    <w:link w:val="EindnoottekstChar"/>
    <w:uiPriority w:val="99"/>
    <w:semiHidden/>
    <w:unhideWhenUsed/>
    <w:rsid w:val="00F44C92"/>
    <w:pPr>
      <w:autoSpaceDN/>
      <w:spacing w:line="240" w:lineRule="auto"/>
      <w:textAlignment w:val="auto"/>
    </w:pPr>
    <w:rPr>
      <w:rFonts w:ascii="Calibri" w:eastAsiaTheme="minorHAnsi" w:hAnsi="Calibri" w:cs="Calibri"/>
      <w:color w:val="auto"/>
      <w:sz w:val="20"/>
      <w:szCs w:val="20"/>
    </w:rPr>
  </w:style>
  <w:style w:type="character" w:customStyle="1" w:styleId="EindnoottekstChar">
    <w:name w:val="Eindnoottekst Char"/>
    <w:basedOn w:val="Standaardalinea-lettertype"/>
    <w:link w:val="Eindnoottekst"/>
    <w:uiPriority w:val="99"/>
    <w:semiHidden/>
    <w:rsid w:val="00F44C92"/>
    <w:rPr>
      <w:rFonts w:ascii="Calibri" w:eastAsiaTheme="minorHAnsi" w:hAnsi="Calibri" w:cs="Calibri"/>
    </w:rPr>
  </w:style>
  <w:style w:type="character" w:styleId="Eindnootmarkering">
    <w:name w:val="endnote reference"/>
    <w:basedOn w:val="Standaardalinea-lettertype"/>
    <w:uiPriority w:val="99"/>
    <w:semiHidden/>
    <w:unhideWhenUsed/>
    <w:rsid w:val="00F44C92"/>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6E0F59"/>
    <w:rPr>
      <w:rFonts w:asciiTheme="minorHAnsi" w:eastAsiaTheme="minorHAnsi" w:hAnsiTheme="minorHAnsi" w:cstheme="minorBidi"/>
      <w:kern w:val="2"/>
      <w:sz w:val="22"/>
      <w:szCs w:val="22"/>
      <w:lang w:eastAsia="en-US"/>
      <w14:ligatures w14:val="standardContextual"/>
    </w:rPr>
  </w:style>
  <w:style w:type="character" w:customStyle="1" w:styleId="VoetnoottekstChar1">
    <w:name w:val="Voetnoottekst Char1"/>
    <w:aliases w:val="Voetnoottekst Char Char Char Char Char Char1,Voetnoottekst Char Char1 Char2,Voetnoottekst Char Char1 Char Char1,Voetnoottekst Char1 Char Char Char Char1,Voetnoottekst Char2 Char2,Voetnoottekst Char2 Char Char1"/>
    <w:basedOn w:val="Standaardalinea-lettertype"/>
    <w:uiPriority w:val="99"/>
    <w:rsid w:val="006E0F59"/>
    <w:rPr>
      <w:sz w:val="20"/>
      <w:szCs w:val="20"/>
      <w:lang w:val="en-US"/>
    </w:rPr>
  </w:style>
  <w:style w:type="character" w:styleId="GevolgdeHyperlink">
    <w:name w:val="FollowedHyperlink"/>
    <w:basedOn w:val="Standaardalinea-lettertype"/>
    <w:uiPriority w:val="99"/>
    <w:semiHidden/>
    <w:unhideWhenUsed/>
    <w:rsid w:val="00B40CF8"/>
    <w:rPr>
      <w:color w:val="96607D" w:themeColor="followedHyperlink"/>
      <w:u w:val="single"/>
    </w:rPr>
  </w:style>
  <w:style w:type="paragraph" w:styleId="Normaalweb">
    <w:name w:val="Normal (Web)"/>
    <w:basedOn w:val="Standaard"/>
    <w:uiPriority w:val="99"/>
    <w:semiHidden/>
    <w:unhideWhenUsed/>
    <w:rsid w:val="00930D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5466">
      <w:bodyDiv w:val="1"/>
      <w:marLeft w:val="0"/>
      <w:marRight w:val="0"/>
      <w:marTop w:val="0"/>
      <w:marBottom w:val="0"/>
      <w:divBdr>
        <w:top w:val="none" w:sz="0" w:space="0" w:color="auto"/>
        <w:left w:val="none" w:sz="0" w:space="0" w:color="auto"/>
        <w:bottom w:val="none" w:sz="0" w:space="0" w:color="auto"/>
        <w:right w:val="none" w:sz="0" w:space="0" w:color="auto"/>
      </w:divBdr>
    </w:div>
    <w:div w:id="90854649">
      <w:bodyDiv w:val="1"/>
      <w:marLeft w:val="0"/>
      <w:marRight w:val="0"/>
      <w:marTop w:val="0"/>
      <w:marBottom w:val="0"/>
      <w:divBdr>
        <w:top w:val="none" w:sz="0" w:space="0" w:color="auto"/>
        <w:left w:val="none" w:sz="0" w:space="0" w:color="auto"/>
        <w:bottom w:val="none" w:sz="0" w:space="0" w:color="auto"/>
        <w:right w:val="none" w:sz="0" w:space="0" w:color="auto"/>
      </w:divBdr>
    </w:div>
    <w:div w:id="104930971">
      <w:bodyDiv w:val="1"/>
      <w:marLeft w:val="0"/>
      <w:marRight w:val="0"/>
      <w:marTop w:val="0"/>
      <w:marBottom w:val="0"/>
      <w:divBdr>
        <w:top w:val="none" w:sz="0" w:space="0" w:color="auto"/>
        <w:left w:val="none" w:sz="0" w:space="0" w:color="auto"/>
        <w:bottom w:val="none" w:sz="0" w:space="0" w:color="auto"/>
        <w:right w:val="none" w:sz="0" w:space="0" w:color="auto"/>
      </w:divBdr>
    </w:div>
    <w:div w:id="107049149">
      <w:bodyDiv w:val="1"/>
      <w:marLeft w:val="0"/>
      <w:marRight w:val="0"/>
      <w:marTop w:val="0"/>
      <w:marBottom w:val="0"/>
      <w:divBdr>
        <w:top w:val="none" w:sz="0" w:space="0" w:color="auto"/>
        <w:left w:val="none" w:sz="0" w:space="0" w:color="auto"/>
        <w:bottom w:val="none" w:sz="0" w:space="0" w:color="auto"/>
        <w:right w:val="none" w:sz="0" w:space="0" w:color="auto"/>
      </w:divBdr>
    </w:div>
    <w:div w:id="190649878">
      <w:bodyDiv w:val="1"/>
      <w:marLeft w:val="0"/>
      <w:marRight w:val="0"/>
      <w:marTop w:val="0"/>
      <w:marBottom w:val="0"/>
      <w:divBdr>
        <w:top w:val="none" w:sz="0" w:space="0" w:color="auto"/>
        <w:left w:val="none" w:sz="0" w:space="0" w:color="auto"/>
        <w:bottom w:val="none" w:sz="0" w:space="0" w:color="auto"/>
        <w:right w:val="none" w:sz="0" w:space="0" w:color="auto"/>
      </w:divBdr>
    </w:div>
    <w:div w:id="218059671">
      <w:bodyDiv w:val="1"/>
      <w:marLeft w:val="0"/>
      <w:marRight w:val="0"/>
      <w:marTop w:val="0"/>
      <w:marBottom w:val="0"/>
      <w:divBdr>
        <w:top w:val="none" w:sz="0" w:space="0" w:color="auto"/>
        <w:left w:val="none" w:sz="0" w:space="0" w:color="auto"/>
        <w:bottom w:val="none" w:sz="0" w:space="0" w:color="auto"/>
        <w:right w:val="none" w:sz="0" w:space="0" w:color="auto"/>
      </w:divBdr>
    </w:div>
    <w:div w:id="236479369">
      <w:bodyDiv w:val="1"/>
      <w:marLeft w:val="0"/>
      <w:marRight w:val="0"/>
      <w:marTop w:val="0"/>
      <w:marBottom w:val="0"/>
      <w:divBdr>
        <w:top w:val="none" w:sz="0" w:space="0" w:color="auto"/>
        <w:left w:val="none" w:sz="0" w:space="0" w:color="auto"/>
        <w:bottom w:val="none" w:sz="0" w:space="0" w:color="auto"/>
        <w:right w:val="none" w:sz="0" w:space="0" w:color="auto"/>
      </w:divBdr>
    </w:div>
    <w:div w:id="293174374">
      <w:bodyDiv w:val="1"/>
      <w:marLeft w:val="0"/>
      <w:marRight w:val="0"/>
      <w:marTop w:val="0"/>
      <w:marBottom w:val="0"/>
      <w:divBdr>
        <w:top w:val="none" w:sz="0" w:space="0" w:color="auto"/>
        <w:left w:val="none" w:sz="0" w:space="0" w:color="auto"/>
        <w:bottom w:val="none" w:sz="0" w:space="0" w:color="auto"/>
        <w:right w:val="none" w:sz="0" w:space="0" w:color="auto"/>
      </w:divBdr>
      <w:divsChild>
        <w:div w:id="1264917363">
          <w:marLeft w:val="360"/>
          <w:marRight w:val="0"/>
          <w:marTop w:val="200"/>
          <w:marBottom w:val="0"/>
          <w:divBdr>
            <w:top w:val="none" w:sz="0" w:space="0" w:color="auto"/>
            <w:left w:val="none" w:sz="0" w:space="0" w:color="auto"/>
            <w:bottom w:val="none" w:sz="0" w:space="0" w:color="auto"/>
            <w:right w:val="none" w:sz="0" w:space="0" w:color="auto"/>
          </w:divBdr>
        </w:div>
      </w:divsChild>
    </w:div>
    <w:div w:id="293682643">
      <w:bodyDiv w:val="1"/>
      <w:marLeft w:val="0"/>
      <w:marRight w:val="0"/>
      <w:marTop w:val="0"/>
      <w:marBottom w:val="0"/>
      <w:divBdr>
        <w:top w:val="none" w:sz="0" w:space="0" w:color="auto"/>
        <w:left w:val="none" w:sz="0" w:space="0" w:color="auto"/>
        <w:bottom w:val="none" w:sz="0" w:space="0" w:color="auto"/>
        <w:right w:val="none" w:sz="0" w:space="0" w:color="auto"/>
      </w:divBdr>
    </w:div>
    <w:div w:id="317731981">
      <w:bodyDiv w:val="1"/>
      <w:marLeft w:val="0"/>
      <w:marRight w:val="0"/>
      <w:marTop w:val="0"/>
      <w:marBottom w:val="0"/>
      <w:divBdr>
        <w:top w:val="none" w:sz="0" w:space="0" w:color="auto"/>
        <w:left w:val="none" w:sz="0" w:space="0" w:color="auto"/>
        <w:bottom w:val="none" w:sz="0" w:space="0" w:color="auto"/>
        <w:right w:val="none" w:sz="0" w:space="0" w:color="auto"/>
      </w:divBdr>
    </w:div>
    <w:div w:id="383674066">
      <w:bodyDiv w:val="1"/>
      <w:marLeft w:val="0"/>
      <w:marRight w:val="0"/>
      <w:marTop w:val="0"/>
      <w:marBottom w:val="0"/>
      <w:divBdr>
        <w:top w:val="none" w:sz="0" w:space="0" w:color="auto"/>
        <w:left w:val="none" w:sz="0" w:space="0" w:color="auto"/>
        <w:bottom w:val="none" w:sz="0" w:space="0" w:color="auto"/>
        <w:right w:val="none" w:sz="0" w:space="0" w:color="auto"/>
      </w:divBdr>
    </w:div>
    <w:div w:id="392001884">
      <w:bodyDiv w:val="1"/>
      <w:marLeft w:val="0"/>
      <w:marRight w:val="0"/>
      <w:marTop w:val="0"/>
      <w:marBottom w:val="0"/>
      <w:divBdr>
        <w:top w:val="none" w:sz="0" w:space="0" w:color="auto"/>
        <w:left w:val="none" w:sz="0" w:space="0" w:color="auto"/>
        <w:bottom w:val="none" w:sz="0" w:space="0" w:color="auto"/>
        <w:right w:val="none" w:sz="0" w:space="0" w:color="auto"/>
      </w:divBdr>
    </w:div>
    <w:div w:id="411511095">
      <w:bodyDiv w:val="1"/>
      <w:marLeft w:val="0"/>
      <w:marRight w:val="0"/>
      <w:marTop w:val="0"/>
      <w:marBottom w:val="0"/>
      <w:divBdr>
        <w:top w:val="none" w:sz="0" w:space="0" w:color="auto"/>
        <w:left w:val="none" w:sz="0" w:space="0" w:color="auto"/>
        <w:bottom w:val="none" w:sz="0" w:space="0" w:color="auto"/>
        <w:right w:val="none" w:sz="0" w:space="0" w:color="auto"/>
      </w:divBdr>
    </w:div>
    <w:div w:id="417560960">
      <w:bodyDiv w:val="1"/>
      <w:marLeft w:val="0"/>
      <w:marRight w:val="0"/>
      <w:marTop w:val="0"/>
      <w:marBottom w:val="0"/>
      <w:divBdr>
        <w:top w:val="none" w:sz="0" w:space="0" w:color="auto"/>
        <w:left w:val="none" w:sz="0" w:space="0" w:color="auto"/>
        <w:bottom w:val="none" w:sz="0" w:space="0" w:color="auto"/>
        <w:right w:val="none" w:sz="0" w:space="0" w:color="auto"/>
      </w:divBdr>
    </w:div>
    <w:div w:id="466969751">
      <w:bodyDiv w:val="1"/>
      <w:marLeft w:val="0"/>
      <w:marRight w:val="0"/>
      <w:marTop w:val="0"/>
      <w:marBottom w:val="0"/>
      <w:divBdr>
        <w:top w:val="none" w:sz="0" w:space="0" w:color="auto"/>
        <w:left w:val="none" w:sz="0" w:space="0" w:color="auto"/>
        <w:bottom w:val="none" w:sz="0" w:space="0" w:color="auto"/>
        <w:right w:val="none" w:sz="0" w:space="0" w:color="auto"/>
      </w:divBdr>
      <w:divsChild>
        <w:div w:id="1869902721">
          <w:marLeft w:val="360"/>
          <w:marRight w:val="0"/>
          <w:marTop w:val="200"/>
          <w:marBottom w:val="0"/>
          <w:divBdr>
            <w:top w:val="none" w:sz="0" w:space="0" w:color="auto"/>
            <w:left w:val="none" w:sz="0" w:space="0" w:color="auto"/>
            <w:bottom w:val="none" w:sz="0" w:space="0" w:color="auto"/>
            <w:right w:val="none" w:sz="0" w:space="0" w:color="auto"/>
          </w:divBdr>
        </w:div>
        <w:div w:id="1166170880">
          <w:marLeft w:val="360"/>
          <w:marRight w:val="0"/>
          <w:marTop w:val="200"/>
          <w:marBottom w:val="0"/>
          <w:divBdr>
            <w:top w:val="none" w:sz="0" w:space="0" w:color="auto"/>
            <w:left w:val="none" w:sz="0" w:space="0" w:color="auto"/>
            <w:bottom w:val="none" w:sz="0" w:space="0" w:color="auto"/>
            <w:right w:val="none" w:sz="0" w:space="0" w:color="auto"/>
          </w:divBdr>
        </w:div>
        <w:div w:id="969671299">
          <w:marLeft w:val="360"/>
          <w:marRight w:val="0"/>
          <w:marTop w:val="200"/>
          <w:marBottom w:val="0"/>
          <w:divBdr>
            <w:top w:val="none" w:sz="0" w:space="0" w:color="auto"/>
            <w:left w:val="none" w:sz="0" w:space="0" w:color="auto"/>
            <w:bottom w:val="none" w:sz="0" w:space="0" w:color="auto"/>
            <w:right w:val="none" w:sz="0" w:space="0" w:color="auto"/>
          </w:divBdr>
        </w:div>
        <w:div w:id="326326237">
          <w:marLeft w:val="360"/>
          <w:marRight w:val="0"/>
          <w:marTop w:val="200"/>
          <w:marBottom w:val="0"/>
          <w:divBdr>
            <w:top w:val="none" w:sz="0" w:space="0" w:color="auto"/>
            <w:left w:val="none" w:sz="0" w:space="0" w:color="auto"/>
            <w:bottom w:val="none" w:sz="0" w:space="0" w:color="auto"/>
            <w:right w:val="none" w:sz="0" w:space="0" w:color="auto"/>
          </w:divBdr>
        </w:div>
        <w:div w:id="1315187178">
          <w:marLeft w:val="1080"/>
          <w:marRight w:val="0"/>
          <w:marTop w:val="100"/>
          <w:marBottom w:val="0"/>
          <w:divBdr>
            <w:top w:val="none" w:sz="0" w:space="0" w:color="auto"/>
            <w:left w:val="none" w:sz="0" w:space="0" w:color="auto"/>
            <w:bottom w:val="none" w:sz="0" w:space="0" w:color="auto"/>
            <w:right w:val="none" w:sz="0" w:space="0" w:color="auto"/>
          </w:divBdr>
        </w:div>
        <w:div w:id="1425881147">
          <w:marLeft w:val="1080"/>
          <w:marRight w:val="0"/>
          <w:marTop w:val="100"/>
          <w:marBottom w:val="0"/>
          <w:divBdr>
            <w:top w:val="none" w:sz="0" w:space="0" w:color="auto"/>
            <w:left w:val="none" w:sz="0" w:space="0" w:color="auto"/>
            <w:bottom w:val="none" w:sz="0" w:space="0" w:color="auto"/>
            <w:right w:val="none" w:sz="0" w:space="0" w:color="auto"/>
          </w:divBdr>
        </w:div>
        <w:div w:id="145365307">
          <w:marLeft w:val="360"/>
          <w:marRight w:val="0"/>
          <w:marTop w:val="200"/>
          <w:marBottom w:val="0"/>
          <w:divBdr>
            <w:top w:val="none" w:sz="0" w:space="0" w:color="auto"/>
            <w:left w:val="none" w:sz="0" w:space="0" w:color="auto"/>
            <w:bottom w:val="none" w:sz="0" w:space="0" w:color="auto"/>
            <w:right w:val="none" w:sz="0" w:space="0" w:color="auto"/>
          </w:divBdr>
        </w:div>
        <w:div w:id="585656018">
          <w:marLeft w:val="1080"/>
          <w:marRight w:val="0"/>
          <w:marTop w:val="100"/>
          <w:marBottom w:val="0"/>
          <w:divBdr>
            <w:top w:val="none" w:sz="0" w:space="0" w:color="auto"/>
            <w:left w:val="none" w:sz="0" w:space="0" w:color="auto"/>
            <w:bottom w:val="none" w:sz="0" w:space="0" w:color="auto"/>
            <w:right w:val="none" w:sz="0" w:space="0" w:color="auto"/>
          </w:divBdr>
        </w:div>
      </w:divsChild>
    </w:div>
    <w:div w:id="497113614">
      <w:bodyDiv w:val="1"/>
      <w:marLeft w:val="0"/>
      <w:marRight w:val="0"/>
      <w:marTop w:val="0"/>
      <w:marBottom w:val="0"/>
      <w:divBdr>
        <w:top w:val="none" w:sz="0" w:space="0" w:color="auto"/>
        <w:left w:val="none" w:sz="0" w:space="0" w:color="auto"/>
        <w:bottom w:val="none" w:sz="0" w:space="0" w:color="auto"/>
        <w:right w:val="none" w:sz="0" w:space="0" w:color="auto"/>
      </w:divBdr>
    </w:div>
    <w:div w:id="514148081">
      <w:bodyDiv w:val="1"/>
      <w:marLeft w:val="0"/>
      <w:marRight w:val="0"/>
      <w:marTop w:val="0"/>
      <w:marBottom w:val="0"/>
      <w:divBdr>
        <w:top w:val="none" w:sz="0" w:space="0" w:color="auto"/>
        <w:left w:val="none" w:sz="0" w:space="0" w:color="auto"/>
        <w:bottom w:val="none" w:sz="0" w:space="0" w:color="auto"/>
        <w:right w:val="none" w:sz="0" w:space="0" w:color="auto"/>
      </w:divBdr>
    </w:div>
    <w:div w:id="594441623">
      <w:bodyDiv w:val="1"/>
      <w:marLeft w:val="0"/>
      <w:marRight w:val="0"/>
      <w:marTop w:val="0"/>
      <w:marBottom w:val="0"/>
      <w:divBdr>
        <w:top w:val="none" w:sz="0" w:space="0" w:color="auto"/>
        <w:left w:val="none" w:sz="0" w:space="0" w:color="auto"/>
        <w:bottom w:val="none" w:sz="0" w:space="0" w:color="auto"/>
        <w:right w:val="none" w:sz="0" w:space="0" w:color="auto"/>
      </w:divBdr>
    </w:div>
    <w:div w:id="664551023">
      <w:bodyDiv w:val="1"/>
      <w:marLeft w:val="0"/>
      <w:marRight w:val="0"/>
      <w:marTop w:val="0"/>
      <w:marBottom w:val="0"/>
      <w:divBdr>
        <w:top w:val="none" w:sz="0" w:space="0" w:color="auto"/>
        <w:left w:val="none" w:sz="0" w:space="0" w:color="auto"/>
        <w:bottom w:val="none" w:sz="0" w:space="0" w:color="auto"/>
        <w:right w:val="none" w:sz="0" w:space="0" w:color="auto"/>
      </w:divBdr>
      <w:divsChild>
        <w:div w:id="1456676333">
          <w:marLeft w:val="0"/>
          <w:marRight w:val="0"/>
          <w:marTop w:val="150"/>
          <w:marBottom w:val="300"/>
          <w:divBdr>
            <w:top w:val="none" w:sz="0" w:space="0" w:color="auto"/>
            <w:left w:val="none" w:sz="0" w:space="0" w:color="auto"/>
            <w:bottom w:val="none" w:sz="0" w:space="0" w:color="E8EBEF"/>
            <w:right w:val="none" w:sz="0" w:space="0" w:color="auto"/>
          </w:divBdr>
        </w:div>
        <w:div w:id="1433092418">
          <w:marLeft w:val="-225"/>
          <w:marRight w:val="-225"/>
          <w:marTop w:val="0"/>
          <w:marBottom w:val="900"/>
          <w:divBdr>
            <w:top w:val="none" w:sz="0" w:space="0" w:color="auto"/>
            <w:left w:val="none" w:sz="0" w:space="0" w:color="auto"/>
            <w:bottom w:val="none" w:sz="0" w:space="0" w:color="auto"/>
            <w:right w:val="none" w:sz="0" w:space="0" w:color="auto"/>
          </w:divBdr>
          <w:divsChild>
            <w:div w:id="533539355">
              <w:marLeft w:val="0"/>
              <w:marRight w:val="0"/>
              <w:marTop w:val="0"/>
              <w:marBottom w:val="600"/>
              <w:divBdr>
                <w:top w:val="none" w:sz="0" w:space="0" w:color="auto"/>
                <w:left w:val="none" w:sz="0" w:space="0" w:color="auto"/>
                <w:bottom w:val="none" w:sz="0" w:space="0" w:color="auto"/>
                <w:right w:val="none" w:sz="0" w:space="0" w:color="auto"/>
              </w:divBdr>
              <w:divsChild>
                <w:div w:id="1253514243">
                  <w:marLeft w:val="0"/>
                  <w:marRight w:val="0"/>
                  <w:marTop w:val="0"/>
                  <w:marBottom w:val="0"/>
                  <w:divBdr>
                    <w:top w:val="none" w:sz="0" w:space="0" w:color="auto"/>
                    <w:left w:val="none" w:sz="0" w:space="0" w:color="auto"/>
                    <w:bottom w:val="none" w:sz="0" w:space="0" w:color="auto"/>
                    <w:right w:val="none" w:sz="0" w:space="0" w:color="auto"/>
                  </w:divBdr>
                  <w:divsChild>
                    <w:div w:id="7483854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29621152">
      <w:bodyDiv w:val="1"/>
      <w:marLeft w:val="0"/>
      <w:marRight w:val="0"/>
      <w:marTop w:val="0"/>
      <w:marBottom w:val="0"/>
      <w:divBdr>
        <w:top w:val="none" w:sz="0" w:space="0" w:color="auto"/>
        <w:left w:val="none" w:sz="0" w:space="0" w:color="auto"/>
        <w:bottom w:val="none" w:sz="0" w:space="0" w:color="auto"/>
        <w:right w:val="none" w:sz="0" w:space="0" w:color="auto"/>
      </w:divBdr>
    </w:div>
    <w:div w:id="734353600">
      <w:bodyDiv w:val="1"/>
      <w:marLeft w:val="0"/>
      <w:marRight w:val="0"/>
      <w:marTop w:val="0"/>
      <w:marBottom w:val="0"/>
      <w:divBdr>
        <w:top w:val="none" w:sz="0" w:space="0" w:color="auto"/>
        <w:left w:val="none" w:sz="0" w:space="0" w:color="auto"/>
        <w:bottom w:val="none" w:sz="0" w:space="0" w:color="auto"/>
        <w:right w:val="none" w:sz="0" w:space="0" w:color="auto"/>
      </w:divBdr>
    </w:div>
    <w:div w:id="740757550">
      <w:bodyDiv w:val="1"/>
      <w:marLeft w:val="0"/>
      <w:marRight w:val="0"/>
      <w:marTop w:val="0"/>
      <w:marBottom w:val="0"/>
      <w:divBdr>
        <w:top w:val="none" w:sz="0" w:space="0" w:color="auto"/>
        <w:left w:val="none" w:sz="0" w:space="0" w:color="auto"/>
        <w:bottom w:val="none" w:sz="0" w:space="0" w:color="auto"/>
        <w:right w:val="none" w:sz="0" w:space="0" w:color="auto"/>
      </w:divBdr>
    </w:div>
    <w:div w:id="747307171">
      <w:bodyDiv w:val="1"/>
      <w:marLeft w:val="0"/>
      <w:marRight w:val="0"/>
      <w:marTop w:val="0"/>
      <w:marBottom w:val="0"/>
      <w:divBdr>
        <w:top w:val="none" w:sz="0" w:space="0" w:color="auto"/>
        <w:left w:val="none" w:sz="0" w:space="0" w:color="auto"/>
        <w:bottom w:val="none" w:sz="0" w:space="0" w:color="auto"/>
        <w:right w:val="none" w:sz="0" w:space="0" w:color="auto"/>
      </w:divBdr>
    </w:div>
    <w:div w:id="779036336">
      <w:bodyDiv w:val="1"/>
      <w:marLeft w:val="0"/>
      <w:marRight w:val="0"/>
      <w:marTop w:val="0"/>
      <w:marBottom w:val="0"/>
      <w:divBdr>
        <w:top w:val="none" w:sz="0" w:space="0" w:color="auto"/>
        <w:left w:val="none" w:sz="0" w:space="0" w:color="auto"/>
        <w:bottom w:val="none" w:sz="0" w:space="0" w:color="auto"/>
        <w:right w:val="none" w:sz="0" w:space="0" w:color="auto"/>
      </w:divBdr>
    </w:div>
    <w:div w:id="834304355">
      <w:bodyDiv w:val="1"/>
      <w:marLeft w:val="0"/>
      <w:marRight w:val="0"/>
      <w:marTop w:val="0"/>
      <w:marBottom w:val="0"/>
      <w:divBdr>
        <w:top w:val="none" w:sz="0" w:space="0" w:color="auto"/>
        <w:left w:val="none" w:sz="0" w:space="0" w:color="auto"/>
        <w:bottom w:val="none" w:sz="0" w:space="0" w:color="auto"/>
        <w:right w:val="none" w:sz="0" w:space="0" w:color="auto"/>
      </w:divBdr>
    </w:div>
    <w:div w:id="953639494">
      <w:bodyDiv w:val="1"/>
      <w:marLeft w:val="0"/>
      <w:marRight w:val="0"/>
      <w:marTop w:val="0"/>
      <w:marBottom w:val="0"/>
      <w:divBdr>
        <w:top w:val="none" w:sz="0" w:space="0" w:color="auto"/>
        <w:left w:val="none" w:sz="0" w:space="0" w:color="auto"/>
        <w:bottom w:val="none" w:sz="0" w:space="0" w:color="auto"/>
        <w:right w:val="none" w:sz="0" w:space="0" w:color="auto"/>
      </w:divBdr>
    </w:div>
    <w:div w:id="977878139">
      <w:bodyDiv w:val="1"/>
      <w:marLeft w:val="0"/>
      <w:marRight w:val="0"/>
      <w:marTop w:val="0"/>
      <w:marBottom w:val="0"/>
      <w:divBdr>
        <w:top w:val="none" w:sz="0" w:space="0" w:color="auto"/>
        <w:left w:val="none" w:sz="0" w:space="0" w:color="auto"/>
        <w:bottom w:val="none" w:sz="0" w:space="0" w:color="auto"/>
        <w:right w:val="none" w:sz="0" w:space="0" w:color="auto"/>
      </w:divBdr>
    </w:div>
    <w:div w:id="981158646">
      <w:bodyDiv w:val="1"/>
      <w:marLeft w:val="0"/>
      <w:marRight w:val="0"/>
      <w:marTop w:val="0"/>
      <w:marBottom w:val="0"/>
      <w:divBdr>
        <w:top w:val="none" w:sz="0" w:space="0" w:color="auto"/>
        <w:left w:val="none" w:sz="0" w:space="0" w:color="auto"/>
        <w:bottom w:val="none" w:sz="0" w:space="0" w:color="auto"/>
        <w:right w:val="none" w:sz="0" w:space="0" w:color="auto"/>
      </w:divBdr>
      <w:divsChild>
        <w:div w:id="743139284">
          <w:marLeft w:val="446"/>
          <w:marRight w:val="0"/>
          <w:marTop w:val="0"/>
          <w:marBottom w:val="0"/>
          <w:divBdr>
            <w:top w:val="none" w:sz="0" w:space="0" w:color="auto"/>
            <w:left w:val="none" w:sz="0" w:space="0" w:color="auto"/>
            <w:bottom w:val="none" w:sz="0" w:space="0" w:color="auto"/>
            <w:right w:val="none" w:sz="0" w:space="0" w:color="auto"/>
          </w:divBdr>
        </w:div>
        <w:div w:id="2137677972">
          <w:marLeft w:val="446"/>
          <w:marRight w:val="0"/>
          <w:marTop w:val="0"/>
          <w:marBottom w:val="0"/>
          <w:divBdr>
            <w:top w:val="none" w:sz="0" w:space="0" w:color="auto"/>
            <w:left w:val="none" w:sz="0" w:space="0" w:color="auto"/>
            <w:bottom w:val="none" w:sz="0" w:space="0" w:color="auto"/>
            <w:right w:val="none" w:sz="0" w:space="0" w:color="auto"/>
          </w:divBdr>
        </w:div>
      </w:divsChild>
    </w:div>
    <w:div w:id="1009606066">
      <w:bodyDiv w:val="1"/>
      <w:marLeft w:val="0"/>
      <w:marRight w:val="0"/>
      <w:marTop w:val="0"/>
      <w:marBottom w:val="0"/>
      <w:divBdr>
        <w:top w:val="none" w:sz="0" w:space="0" w:color="auto"/>
        <w:left w:val="none" w:sz="0" w:space="0" w:color="auto"/>
        <w:bottom w:val="none" w:sz="0" w:space="0" w:color="auto"/>
        <w:right w:val="none" w:sz="0" w:space="0" w:color="auto"/>
      </w:divBdr>
    </w:div>
    <w:div w:id="1022827626">
      <w:bodyDiv w:val="1"/>
      <w:marLeft w:val="0"/>
      <w:marRight w:val="0"/>
      <w:marTop w:val="0"/>
      <w:marBottom w:val="0"/>
      <w:divBdr>
        <w:top w:val="none" w:sz="0" w:space="0" w:color="auto"/>
        <w:left w:val="none" w:sz="0" w:space="0" w:color="auto"/>
        <w:bottom w:val="none" w:sz="0" w:space="0" w:color="auto"/>
        <w:right w:val="none" w:sz="0" w:space="0" w:color="auto"/>
      </w:divBdr>
      <w:divsChild>
        <w:div w:id="479659296">
          <w:marLeft w:val="0"/>
          <w:marRight w:val="0"/>
          <w:marTop w:val="150"/>
          <w:marBottom w:val="300"/>
          <w:divBdr>
            <w:top w:val="none" w:sz="0" w:space="0" w:color="auto"/>
            <w:left w:val="none" w:sz="0" w:space="0" w:color="auto"/>
            <w:bottom w:val="none" w:sz="0" w:space="0" w:color="E8EBEF"/>
            <w:right w:val="none" w:sz="0" w:space="0" w:color="auto"/>
          </w:divBdr>
        </w:div>
        <w:div w:id="646513662">
          <w:marLeft w:val="-225"/>
          <w:marRight w:val="-225"/>
          <w:marTop w:val="0"/>
          <w:marBottom w:val="900"/>
          <w:divBdr>
            <w:top w:val="none" w:sz="0" w:space="0" w:color="auto"/>
            <w:left w:val="none" w:sz="0" w:space="0" w:color="auto"/>
            <w:bottom w:val="none" w:sz="0" w:space="0" w:color="auto"/>
            <w:right w:val="none" w:sz="0" w:space="0" w:color="auto"/>
          </w:divBdr>
          <w:divsChild>
            <w:div w:id="641277588">
              <w:marLeft w:val="0"/>
              <w:marRight w:val="0"/>
              <w:marTop w:val="0"/>
              <w:marBottom w:val="600"/>
              <w:divBdr>
                <w:top w:val="none" w:sz="0" w:space="0" w:color="auto"/>
                <w:left w:val="none" w:sz="0" w:space="0" w:color="auto"/>
                <w:bottom w:val="none" w:sz="0" w:space="0" w:color="auto"/>
                <w:right w:val="none" w:sz="0" w:space="0" w:color="auto"/>
              </w:divBdr>
              <w:divsChild>
                <w:div w:id="1664502540">
                  <w:marLeft w:val="0"/>
                  <w:marRight w:val="0"/>
                  <w:marTop w:val="0"/>
                  <w:marBottom w:val="0"/>
                  <w:divBdr>
                    <w:top w:val="none" w:sz="0" w:space="0" w:color="auto"/>
                    <w:left w:val="none" w:sz="0" w:space="0" w:color="auto"/>
                    <w:bottom w:val="none" w:sz="0" w:space="0" w:color="auto"/>
                    <w:right w:val="none" w:sz="0" w:space="0" w:color="auto"/>
                  </w:divBdr>
                  <w:divsChild>
                    <w:div w:id="6121301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60129373">
      <w:bodyDiv w:val="1"/>
      <w:marLeft w:val="0"/>
      <w:marRight w:val="0"/>
      <w:marTop w:val="0"/>
      <w:marBottom w:val="0"/>
      <w:divBdr>
        <w:top w:val="none" w:sz="0" w:space="0" w:color="auto"/>
        <w:left w:val="none" w:sz="0" w:space="0" w:color="auto"/>
        <w:bottom w:val="none" w:sz="0" w:space="0" w:color="auto"/>
        <w:right w:val="none" w:sz="0" w:space="0" w:color="auto"/>
      </w:divBdr>
    </w:div>
    <w:div w:id="1103188516">
      <w:bodyDiv w:val="1"/>
      <w:marLeft w:val="0"/>
      <w:marRight w:val="0"/>
      <w:marTop w:val="0"/>
      <w:marBottom w:val="0"/>
      <w:divBdr>
        <w:top w:val="none" w:sz="0" w:space="0" w:color="auto"/>
        <w:left w:val="none" w:sz="0" w:space="0" w:color="auto"/>
        <w:bottom w:val="none" w:sz="0" w:space="0" w:color="auto"/>
        <w:right w:val="none" w:sz="0" w:space="0" w:color="auto"/>
      </w:divBdr>
    </w:div>
    <w:div w:id="1108038189">
      <w:bodyDiv w:val="1"/>
      <w:marLeft w:val="0"/>
      <w:marRight w:val="0"/>
      <w:marTop w:val="0"/>
      <w:marBottom w:val="0"/>
      <w:divBdr>
        <w:top w:val="none" w:sz="0" w:space="0" w:color="auto"/>
        <w:left w:val="none" w:sz="0" w:space="0" w:color="auto"/>
        <w:bottom w:val="none" w:sz="0" w:space="0" w:color="auto"/>
        <w:right w:val="none" w:sz="0" w:space="0" w:color="auto"/>
      </w:divBdr>
    </w:div>
    <w:div w:id="1143501814">
      <w:bodyDiv w:val="1"/>
      <w:marLeft w:val="0"/>
      <w:marRight w:val="0"/>
      <w:marTop w:val="0"/>
      <w:marBottom w:val="0"/>
      <w:divBdr>
        <w:top w:val="none" w:sz="0" w:space="0" w:color="auto"/>
        <w:left w:val="none" w:sz="0" w:space="0" w:color="auto"/>
        <w:bottom w:val="none" w:sz="0" w:space="0" w:color="auto"/>
        <w:right w:val="none" w:sz="0" w:space="0" w:color="auto"/>
      </w:divBdr>
    </w:div>
    <w:div w:id="1178886969">
      <w:bodyDiv w:val="1"/>
      <w:marLeft w:val="0"/>
      <w:marRight w:val="0"/>
      <w:marTop w:val="0"/>
      <w:marBottom w:val="0"/>
      <w:divBdr>
        <w:top w:val="none" w:sz="0" w:space="0" w:color="auto"/>
        <w:left w:val="none" w:sz="0" w:space="0" w:color="auto"/>
        <w:bottom w:val="none" w:sz="0" w:space="0" w:color="auto"/>
        <w:right w:val="none" w:sz="0" w:space="0" w:color="auto"/>
      </w:divBdr>
    </w:div>
    <w:div w:id="1216358753">
      <w:bodyDiv w:val="1"/>
      <w:marLeft w:val="0"/>
      <w:marRight w:val="0"/>
      <w:marTop w:val="0"/>
      <w:marBottom w:val="0"/>
      <w:divBdr>
        <w:top w:val="none" w:sz="0" w:space="0" w:color="auto"/>
        <w:left w:val="none" w:sz="0" w:space="0" w:color="auto"/>
        <w:bottom w:val="none" w:sz="0" w:space="0" w:color="auto"/>
        <w:right w:val="none" w:sz="0" w:space="0" w:color="auto"/>
      </w:divBdr>
    </w:div>
    <w:div w:id="1234388436">
      <w:bodyDiv w:val="1"/>
      <w:marLeft w:val="0"/>
      <w:marRight w:val="0"/>
      <w:marTop w:val="0"/>
      <w:marBottom w:val="0"/>
      <w:divBdr>
        <w:top w:val="none" w:sz="0" w:space="0" w:color="auto"/>
        <w:left w:val="none" w:sz="0" w:space="0" w:color="auto"/>
        <w:bottom w:val="none" w:sz="0" w:space="0" w:color="auto"/>
        <w:right w:val="none" w:sz="0" w:space="0" w:color="auto"/>
      </w:divBdr>
      <w:divsChild>
        <w:div w:id="1304962497">
          <w:marLeft w:val="274"/>
          <w:marRight w:val="0"/>
          <w:marTop w:val="0"/>
          <w:marBottom w:val="0"/>
          <w:divBdr>
            <w:top w:val="none" w:sz="0" w:space="0" w:color="auto"/>
            <w:left w:val="none" w:sz="0" w:space="0" w:color="auto"/>
            <w:bottom w:val="none" w:sz="0" w:space="0" w:color="auto"/>
            <w:right w:val="none" w:sz="0" w:space="0" w:color="auto"/>
          </w:divBdr>
        </w:div>
        <w:div w:id="1890266114">
          <w:marLeft w:val="274"/>
          <w:marRight w:val="0"/>
          <w:marTop w:val="0"/>
          <w:marBottom w:val="0"/>
          <w:divBdr>
            <w:top w:val="none" w:sz="0" w:space="0" w:color="auto"/>
            <w:left w:val="none" w:sz="0" w:space="0" w:color="auto"/>
            <w:bottom w:val="none" w:sz="0" w:space="0" w:color="auto"/>
            <w:right w:val="none" w:sz="0" w:space="0" w:color="auto"/>
          </w:divBdr>
        </w:div>
        <w:div w:id="762921917">
          <w:marLeft w:val="274"/>
          <w:marRight w:val="0"/>
          <w:marTop w:val="0"/>
          <w:marBottom w:val="0"/>
          <w:divBdr>
            <w:top w:val="none" w:sz="0" w:space="0" w:color="auto"/>
            <w:left w:val="none" w:sz="0" w:space="0" w:color="auto"/>
            <w:bottom w:val="none" w:sz="0" w:space="0" w:color="auto"/>
            <w:right w:val="none" w:sz="0" w:space="0" w:color="auto"/>
          </w:divBdr>
        </w:div>
      </w:divsChild>
    </w:div>
    <w:div w:id="1244530189">
      <w:bodyDiv w:val="1"/>
      <w:marLeft w:val="0"/>
      <w:marRight w:val="0"/>
      <w:marTop w:val="0"/>
      <w:marBottom w:val="0"/>
      <w:divBdr>
        <w:top w:val="none" w:sz="0" w:space="0" w:color="auto"/>
        <w:left w:val="none" w:sz="0" w:space="0" w:color="auto"/>
        <w:bottom w:val="none" w:sz="0" w:space="0" w:color="auto"/>
        <w:right w:val="none" w:sz="0" w:space="0" w:color="auto"/>
      </w:divBdr>
    </w:div>
    <w:div w:id="1288270502">
      <w:bodyDiv w:val="1"/>
      <w:marLeft w:val="0"/>
      <w:marRight w:val="0"/>
      <w:marTop w:val="0"/>
      <w:marBottom w:val="0"/>
      <w:divBdr>
        <w:top w:val="none" w:sz="0" w:space="0" w:color="auto"/>
        <w:left w:val="none" w:sz="0" w:space="0" w:color="auto"/>
        <w:bottom w:val="none" w:sz="0" w:space="0" w:color="auto"/>
        <w:right w:val="none" w:sz="0" w:space="0" w:color="auto"/>
      </w:divBdr>
      <w:divsChild>
        <w:div w:id="1589266900">
          <w:marLeft w:val="360"/>
          <w:marRight w:val="0"/>
          <w:marTop w:val="200"/>
          <w:marBottom w:val="0"/>
          <w:divBdr>
            <w:top w:val="none" w:sz="0" w:space="0" w:color="auto"/>
            <w:left w:val="none" w:sz="0" w:space="0" w:color="auto"/>
            <w:bottom w:val="none" w:sz="0" w:space="0" w:color="auto"/>
            <w:right w:val="none" w:sz="0" w:space="0" w:color="auto"/>
          </w:divBdr>
        </w:div>
        <w:div w:id="1102609274">
          <w:marLeft w:val="360"/>
          <w:marRight w:val="0"/>
          <w:marTop w:val="200"/>
          <w:marBottom w:val="0"/>
          <w:divBdr>
            <w:top w:val="none" w:sz="0" w:space="0" w:color="auto"/>
            <w:left w:val="none" w:sz="0" w:space="0" w:color="auto"/>
            <w:bottom w:val="none" w:sz="0" w:space="0" w:color="auto"/>
            <w:right w:val="none" w:sz="0" w:space="0" w:color="auto"/>
          </w:divBdr>
        </w:div>
        <w:div w:id="334692928">
          <w:marLeft w:val="360"/>
          <w:marRight w:val="0"/>
          <w:marTop w:val="200"/>
          <w:marBottom w:val="0"/>
          <w:divBdr>
            <w:top w:val="none" w:sz="0" w:space="0" w:color="auto"/>
            <w:left w:val="none" w:sz="0" w:space="0" w:color="auto"/>
            <w:bottom w:val="none" w:sz="0" w:space="0" w:color="auto"/>
            <w:right w:val="none" w:sz="0" w:space="0" w:color="auto"/>
          </w:divBdr>
        </w:div>
      </w:divsChild>
    </w:div>
    <w:div w:id="1320227416">
      <w:bodyDiv w:val="1"/>
      <w:marLeft w:val="0"/>
      <w:marRight w:val="0"/>
      <w:marTop w:val="0"/>
      <w:marBottom w:val="0"/>
      <w:divBdr>
        <w:top w:val="none" w:sz="0" w:space="0" w:color="auto"/>
        <w:left w:val="none" w:sz="0" w:space="0" w:color="auto"/>
        <w:bottom w:val="none" w:sz="0" w:space="0" w:color="auto"/>
        <w:right w:val="none" w:sz="0" w:space="0" w:color="auto"/>
      </w:divBdr>
    </w:div>
    <w:div w:id="1406605751">
      <w:bodyDiv w:val="1"/>
      <w:marLeft w:val="0"/>
      <w:marRight w:val="0"/>
      <w:marTop w:val="0"/>
      <w:marBottom w:val="0"/>
      <w:divBdr>
        <w:top w:val="none" w:sz="0" w:space="0" w:color="auto"/>
        <w:left w:val="none" w:sz="0" w:space="0" w:color="auto"/>
        <w:bottom w:val="none" w:sz="0" w:space="0" w:color="auto"/>
        <w:right w:val="none" w:sz="0" w:space="0" w:color="auto"/>
      </w:divBdr>
    </w:div>
    <w:div w:id="1435634899">
      <w:bodyDiv w:val="1"/>
      <w:marLeft w:val="0"/>
      <w:marRight w:val="0"/>
      <w:marTop w:val="0"/>
      <w:marBottom w:val="0"/>
      <w:divBdr>
        <w:top w:val="none" w:sz="0" w:space="0" w:color="auto"/>
        <w:left w:val="none" w:sz="0" w:space="0" w:color="auto"/>
        <w:bottom w:val="none" w:sz="0" w:space="0" w:color="auto"/>
        <w:right w:val="none" w:sz="0" w:space="0" w:color="auto"/>
      </w:divBdr>
    </w:div>
    <w:div w:id="1439375298">
      <w:bodyDiv w:val="1"/>
      <w:marLeft w:val="0"/>
      <w:marRight w:val="0"/>
      <w:marTop w:val="0"/>
      <w:marBottom w:val="0"/>
      <w:divBdr>
        <w:top w:val="none" w:sz="0" w:space="0" w:color="auto"/>
        <w:left w:val="none" w:sz="0" w:space="0" w:color="auto"/>
        <w:bottom w:val="none" w:sz="0" w:space="0" w:color="auto"/>
        <w:right w:val="none" w:sz="0" w:space="0" w:color="auto"/>
      </w:divBdr>
    </w:div>
    <w:div w:id="1451900587">
      <w:bodyDiv w:val="1"/>
      <w:marLeft w:val="0"/>
      <w:marRight w:val="0"/>
      <w:marTop w:val="0"/>
      <w:marBottom w:val="0"/>
      <w:divBdr>
        <w:top w:val="none" w:sz="0" w:space="0" w:color="auto"/>
        <w:left w:val="none" w:sz="0" w:space="0" w:color="auto"/>
        <w:bottom w:val="none" w:sz="0" w:space="0" w:color="auto"/>
        <w:right w:val="none" w:sz="0" w:space="0" w:color="auto"/>
      </w:divBdr>
    </w:div>
    <w:div w:id="1488937905">
      <w:bodyDiv w:val="1"/>
      <w:marLeft w:val="0"/>
      <w:marRight w:val="0"/>
      <w:marTop w:val="0"/>
      <w:marBottom w:val="0"/>
      <w:divBdr>
        <w:top w:val="none" w:sz="0" w:space="0" w:color="auto"/>
        <w:left w:val="none" w:sz="0" w:space="0" w:color="auto"/>
        <w:bottom w:val="none" w:sz="0" w:space="0" w:color="auto"/>
        <w:right w:val="none" w:sz="0" w:space="0" w:color="auto"/>
      </w:divBdr>
    </w:div>
    <w:div w:id="1490098907">
      <w:bodyDiv w:val="1"/>
      <w:marLeft w:val="0"/>
      <w:marRight w:val="0"/>
      <w:marTop w:val="0"/>
      <w:marBottom w:val="0"/>
      <w:divBdr>
        <w:top w:val="none" w:sz="0" w:space="0" w:color="auto"/>
        <w:left w:val="none" w:sz="0" w:space="0" w:color="auto"/>
        <w:bottom w:val="none" w:sz="0" w:space="0" w:color="auto"/>
        <w:right w:val="none" w:sz="0" w:space="0" w:color="auto"/>
      </w:divBdr>
    </w:div>
    <w:div w:id="1492673875">
      <w:bodyDiv w:val="1"/>
      <w:marLeft w:val="0"/>
      <w:marRight w:val="0"/>
      <w:marTop w:val="0"/>
      <w:marBottom w:val="0"/>
      <w:divBdr>
        <w:top w:val="none" w:sz="0" w:space="0" w:color="auto"/>
        <w:left w:val="none" w:sz="0" w:space="0" w:color="auto"/>
        <w:bottom w:val="none" w:sz="0" w:space="0" w:color="auto"/>
        <w:right w:val="none" w:sz="0" w:space="0" w:color="auto"/>
      </w:divBdr>
    </w:div>
    <w:div w:id="1554736191">
      <w:bodyDiv w:val="1"/>
      <w:marLeft w:val="0"/>
      <w:marRight w:val="0"/>
      <w:marTop w:val="0"/>
      <w:marBottom w:val="0"/>
      <w:divBdr>
        <w:top w:val="none" w:sz="0" w:space="0" w:color="auto"/>
        <w:left w:val="none" w:sz="0" w:space="0" w:color="auto"/>
        <w:bottom w:val="none" w:sz="0" w:space="0" w:color="auto"/>
        <w:right w:val="none" w:sz="0" w:space="0" w:color="auto"/>
      </w:divBdr>
    </w:div>
    <w:div w:id="1616979935">
      <w:bodyDiv w:val="1"/>
      <w:marLeft w:val="0"/>
      <w:marRight w:val="0"/>
      <w:marTop w:val="0"/>
      <w:marBottom w:val="0"/>
      <w:divBdr>
        <w:top w:val="none" w:sz="0" w:space="0" w:color="auto"/>
        <w:left w:val="none" w:sz="0" w:space="0" w:color="auto"/>
        <w:bottom w:val="none" w:sz="0" w:space="0" w:color="auto"/>
        <w:right w:val="none" w:sz="0" w:space="0" w:color="auto"/>
      </w:divBdr>
    </w:div>
    <w:div w:id="1703826533">
      <w:bodyDiv w:val="1"/>
      <w:marLeft w:val="0"/>
      <w:marRight w:val="0"/>
      <w:marTop w:val="0"/>
      <w:marBottom w:val="0"/>
      <w:divBdr>
        <w:top w:val="none" w:sz="0" w:space="0" w:color="auto"/>
        <w:left w:val="none" w:sz="0" w:space="0" w:color="auto"/>
        <w:bottom w:val="none" w:sz="0" w:space="0" w:color="auto"/>
        <w:right w:val="none" w:sz="0" w:space="0" w:color="auto"/>
      </w:divBdr>
    </w:div>
    <w:div w:id="1730568135">
      <w:bodyDiv w:val="1"/>
      <w:marLeft w:val="0"/>
      <w:marRight w:val="0"/>
      <w:marTop w:val="0"/>
      <w:marBottom w:val="0"/>
      <w:divBdr>
        <w:top w:val="none" w:sz="0" w:space="0" w:color="auto"/>
        <w:left w:val="none" w:sz="0" w:space="0" w:color="auto"/>
        <w:bottom w:val="none" w:sz="0" w:space="0" w:color="auto"/>
        <w:right w:val="none" w:sz="0" w:space="0" w:color="auto"/>
      </w:divBdr>
    </w:div>
    <w:div w:id="1731415559">
      <w:bodyDiv w:val="1"/>
      <w:marLeft w:val="0"/>
      <w:marRight w:val="0"/>
      <w:marTop w:val="0"/>
      <w:marBottom w:val="0"/>
      <w:divBdr>
        <w:top w:val="none" w:sz="0" w:space="0" w:color="auto"/>
        <w:left w:val="none" w:sz="0" w:space="0" w:color="auto"/>
        <w:bottom w:val="none" w:sz="0" w:space="0" w:color="auto"/>
        <w:right w:val="none" w:sz="0" w:space="0" w:color="auto"/>
      </w:divBdr>
    </w:div>
    <w:div w:id="1754356893">
      <w:bodyDiv w:val="1"/>
      <w:marLeft w:val="0"/>
      <w:marRight w:val="0"/>
      <w:marTop w:val="0"/>
      <w:marBottom w:val="0"/>
      <w:divBdr>
        <w:top w:val="none" w:sz="0" w:space="0" w:color="auto"/>
        <w:left w:val="none" w:sz="0" w:space="0" w:color="auto"/>
        <w:bottom w:val="none" w:sz="0" w:space="0" w:color="auto"/>
        <w:right w:val="none" w:sz="0" w:space="0" w:color="auto"/>
      </w:divBdr>
    </w:div>
    <w:div w:id="1834687933">
      <w:bodyDiv w:val="1"/>
      <w:marLeft w:val="0"/>
      <w:marRight w:val="0"/>
      <w:marTop w:val="0"/>
      <w:marBottom w:val="0"/>
      <w:divBdr>
        <w:top w:val="none" w:sz="0" w:space="0" w:color="auto"/>
        <w:left w:val="none" w:sz="0" w:space="0" w:color="auto"/>
        <w:bottom w:val="none" w:sz="0" w:space="0" w:color="auto"/>
        <w:right w:val="none" w:sz="0" w:space="0" w:color="auto"/>
      </w:divBdr>
    </w:div>
    <w:div w:id="1857382807">
      <w:bodyDiv w:val="1"/>
      <w:marLeft w:val="0"/>
      <w:marRight w:val="0"/>
      <w:marTop w:val="0"/>
      <w:marBottom w:val="0"/>
      <w:divBdr>
        <w:top w:val="none" w:sz="0" w:space="0" w:color="auto"/>
        <w:left w:val="none" w:sz="0" w:space="0" w:color="auto"/>
        <w:bottom w:val="none" w:sz="0" w:space="0" w:color="auto"/>
        <w:right w:val="none" w:sz="0" w:space="0" w:color="auto"/>
      </w:divBdr>
    </w:div>
    <w:div w:id="1893466515">
      <w:bodyDiv w:val="1"/>
      <w:marLeft w:val="0"/>
      <w:marRight w:val="0"/>
      <w:marTop w:val="0"/>
      <w:marBottom w:val="0"/>
      <w:divBdr>
        <w:top w:val="none" w:sz="0" w:space="0" w:color="auto"/>
        <w:left w:val="none" w:sz="0" w:space="0" w:color="auto"/>
        <w:bottom w:val="none" w:sz="0" w:space="0" w:color="auto"/>
        <w:right w:val="none" w:sz="0" w:space="0" w:color="auto"/>
      </w:divBdr>
    </w:div>
    <w:div w:id="1930844922">
      <w:bodyDiv w:val="1"/>
      <w:marLeft w:val="0"/>
      <w:marRight w:val="0"/>
      <w:marTop w:val="0"/>
      <w:marBottom w:val="0"/>
      <w:divBdr>
        <w:top w:val="none" w:sz="0" w:space="0" w:color="auto"/>
        <w:left w:val="none" w:sz="0" w:space="0" w:color="auto"/>
        <w:bottom w:val="none" w:sz="0" w:space="0" w:color="auto"/>
        <w:right w:val="none" w:sz="0" w:space="0" w:color="auto"/>
      </w:divBdr>
      <w:divsChild>
        <w:div w:id="587889903">
          <w:marLeft w:val="446"/>
          <w:marRight w:val="0"/>
          <w:marTop w:val="0"/>
          <w:marBottom w:val="0"/>
          <w:divBdr>
            <w:top w:val="none" w:sz="0" w:space="0" w:color="auto"/>
            <w:left w:val="none" w:sz="0" w:space="0" w:color="auto"/>
            <w:bottom w:val="none" w:sz="0" w:space="0" w:color="auto"/>
            <w:right w:val="none" w:sz="0" w:space="0" w:color="auto"/>
          </w:divBdr>
        </w:div>
        <w:div w:id="1654720314">
          <w:marLeft w:val="446"/>
          <w:marRight w:val="0"/>
          <w:marTop w:val="0"/>
          <w:marBottom w:val="0"/>
          <w:divBdr>
            <w:top w:val="none" w:sz="0" w:space="0" w:color="auto"/>
            <w:left w:val="none" w:sz="0" w:space="0" w:color="auto"/>
            <w:bottom w:val="none" w:sz="0" w:space="0" w:color="auto"/>
            <w:right w:val="none" w:sz="0" w:space="0" w:color="auto"/>
          </w:divBdr>
        </w:div>
        <w:div w:id="61216039">
          <w:marLeft w:val="446"/>
          <w:marRight w:val="0"/>
          <w:marTop w:val="0"/>
          <w:marBottom w:val="0"/>
          <w:divBdr>
            <w:top w:val="none" w:sz="0" w:space="0" w:color="auto"/>
            <w:left w:val="none" w:sz="0" w:space="0" w:color="auto"/>
            <w:bottom w:val="none" w:sz="0" w:space="0" w:color="auto"/>
            <w:right w:val="none" w:sz="0" w:space="0" w:color="auto"/>
          </w:divBdr>
        </w:div>
        <w:div w:id="300890574">
          <w:marLeft w:val="446"/>
          <w:marRight w:val="0"/>
          <w:marTop w:val="0"/>
          <w:marBottom w:val="0"/>
          <w:divBdr>
            <w:top w:val="none" w:sz="0" w:space="0" w:color="auto"/>
            <w:left w:val="none" w:sz="0" w:space="0" w:color="auto"/>
            <w:bottom w:val="none" w:sz="0" w:space="0" w:color="auto"/>
            <w:right w:val="none" w:sz="0" w:space="0" w:color="auto"/>
          </w:divBdr>
        </w:div>
        <w:div w:id="568418604">
          <w:marLeft w:val="446"/>
          <w:marRight w:val="0"/>
          <w:marTop w:val="0"/>
          <w:marBottom w:val="0"/>
          <w:divBdr>
            <w:top w:val="none" w:sz="0" w:space="0" w:color="auto"/>
            <w:left w:val="none" w:sz="0" w:space="0" w:color="auto"/>
            <w:bottom w:val="none" w:sz="0" w:space="0" w:color="auto"/>
            <w:right w:val="none" w:sz="0" w:space="0" w:color="auto"/>
          </w:divBdr>
        </w:div>
      </w:divsChild>
    </w:div>
    <w:div w:id="1965381996">
      <w:bodyDiv w:val="1"/>
      <w:marLeft w:val="0"/>
      <w:marRight w:val="0"/>
      <w:marTop w:val="0"/>
      <w:marBottom w:val="0"/>
      <w:divBdr>
        <w:top w:val="none" w:sz="0" w:space="0" w:color="auto"/>
        <w:left w:val="none" w:sz="0" w:space="0" w:color="auto"/>
        <w:bottom w:val="none" w:sz="0" w:space="0" w:color="auto"/>
        <w:right w:val="none" w:sz="0" w:space="0" w:color="auto"/>
      </w:divBdr>
      <w:divsChild>
        <w:div w:id="28072179">
          <w:marLeft w:val="446"/>
          <w:marRight w:val="0"/>
          <w:marTop w:val="0"/>
          <w:marBottom w:val="0"/>
          <w:divBdr>
            <w:top w:val="none" w:sz="0" w:space="0" w:color="auto"/>
            <w:left w:val="none" w:sz="0" w:space="0" w:color="auto"/>
            <w:bottom w:val="none" w:sz="0" w:space="0" w:color="auto"/>
            <w:right w:val="none" w:sz="0" w:space="0" w:color="auto"/>
          </w:divBdr>
        </w:div>
        <w:div w:id="1864245549">
          <w:marLeft w:val="446"/>
          <w:marRight w:val="0"/>
          <w:marTop w:val="0"/>
          <w:marBottom w:val="0"/>
          <w:divBdr>
            <w:top w:val="none" w:sz="0" w:space="0" w:color="auto"/>
            <w:left w:val="none" w:sz="0" w:space="0" w:color="auto"/>
            <w:bottom w:val="none" w:sz="0" w:space="0" w:color="auto"/>
            <w:right w:val="none" w:sz="0" w:space="0" w:color="auto"/>
          </w:divBdr>
        </w:div>
        <w:div w:id="211430229">
          <w:marLeft w:val="446"/>
          <w:marRight w:val="0"/>
          <w:marTop w:val="0"/>
          <w:marBottom w:val="0"/>
          <w:divBdr>
            <w:top w:val="none" w:sz="0" w:space="0" w:color="auto"/>
            <w:left w:val="none" w:sz="0" w:space="0" w:color="auto"/>
            <w:bottom w:val="none" w:sz="0" w:space="0" w:color="auto"/>
            <w:right w:val="none" w:sz="0" w:space="0" w:color="auto"/>
          </w:divBdr>
        </w:div>
        <w:div w:id="294677726">
          <w:marLeft w:val="446"/>
          <w:marRight w:val="0"/>
          <w:marTop w:val="0"/>
          <w:marBottom w:val="0"/>
          <w:divBdr>
            <w:top w:val="none" w:sz="0" w:space="0" w:color="auto"/>
            <w:left w:val="none" w:sz="0" w:space="0" w:color="auto"/>
            <w:bottom w:val="none" w:sz="0" w:space="0" w:color="auto"/>
            <w:right w:val="none" w:sz="0" w:space="0" w:color="auto"/>
          </w:divBdr>
        </w:div>
        <w:div w:id="1201866752">
          <w:marLeft w:val="446"/>
          <w:marRight w:val="0"/>
          <w:marTop w:val="0"/>
          <w:marBottom w:val="0"/>
          <w:divBdr>
            <w:top w:val="none" w:sz="0" w:space="0" w:color="auto"/>
            <w:left w:val="none" w:sz="0" w:space="0" w:color="auto"/>
            <w:bottom w:val="none" w:sz="0" w:space="0" w:color="auto"/>
            <w:right w:val="none" w:sz="0" w:space="0" w:color="auto"/>
          </w:divBdr>
        </w:div>
      </w:divsChild>
    </w:div>
    <w:div w:id="2022971179">
      <w:bodyDiv w:val="1"/>
      <w:marLeft w:val="0"/>
      <w:marRight w:val="0"/>
      <w:marTop w:val="0"/>
      <w:marBottom w:val="0"/>
      <w:divBdr>
        <w:top w:val="none" w:sz="0" w:space="0" w:color="auto"/>
        <w:left w:val="none" w:sz="0" w:space="0" w:color="auto"/>
        <w:bottom w:val="none" w:sz="0" w:space="0" w:color="auto"/>
        <w:right w:val="none" w:sz="0" w:space="0" w:color="auto"/>
      </w:divBdr>
      <w:divsChild>
        <w:div w:id="976451322">
          <w:marLeft w:val="360"/>
          <w:marRight w:val="0"/>
          <w:marTop w:val="200"/>
          <w:marBottom w:val="0"/>
          <w:divBdr>
            <w:top w:val="none" w:sz="0" w:space="0" w:color="auto"/>
            <w:left w:val="none" w:sz="0" w:space="0" w:color="auto"/>
            <w:bottom w:val="none" w:sz="0" w:space="0" w:color="auto"/>
            <w:right w:val="none" w:sz="0" w:space="0" w:color="auto"/>
          </w:divBdr>
        </w:div>
      </w:divsChild>
    </w:div>
    <w:div w:id="2027365492">
      <w:bodyDiv w:val="1"/>
      <w:marLeft w:val="0"/>
      <w:marRight w:val="0"/>
      <w:marTop w:val="0"/>
      <w:marBottom w:val="0"/>
      <w:divBdr>
        <w:top w:val="none" w:sz="0" w:space="0" w:color="auto"/>
        <w:left w:val="none" w:sz="0" w:space="0" w:color="auto"/>
        <w:bottom w:val="none" w:sz="0" w:space="0" w:color="auto"/>
        <w:right w:val="none" w:sz="0" w:space="0" w:color="auto"/>
      </w:divBdr>
    </w:div>
    <w:div w:id="2030795486">
      <w:bodyDiv w:val="1"/>
      <w:marLeft w:val="0"/>
      <w:marRight w:val="0"/>
      <w:marTop w:val="0"/>
      <w:marBottom w:val="0"/>
      <w:divBdr>
        <w:top w:val="none" w:sz="0" w:space="0" w:color="auto"/>
        <w:left w:val="none" w:sz="0" w:space="0" w:color="auto"/>
        <w:bottom w:val="none" w:sz="0" w:space="0" w:color="auto"/>
        <w:right w:val="none" w:sz="0" w:space="0" w:color="auto"/>
      </w:divBdr>
    </w:div>
    <w:div w:id="2038965847">
      <w:bodyDiv w:val="1"/>
      <w:marLeft w:val="0"/>
      <w:marRight w:val="0"/>
      <w:marTop w:val="0"/>
      <w:marBottom w:val="0"/>
      <w:divBdr>
        <w:top w:val="none" w:sz="0" w:space="0" w:color="auto"/>
        <w:left w:val="none" w:sz="0" w:space="0" w:color="auto"/>
        <w:bottom w:val="none" w:sz="0" w:space="0" w:color="auto"/>
        <w:right w:val="none" w:sz="0" w:space="0" w:color="auto"/>
      </w:divBdr>
      <w:divsChild>
        <w:div w:id="206260338">
          <w:marLeft w:val="360"/>
          <w:marRight w:val="0"/>
          <w:marTop w:val="200"/>
          <w:marBottom w:val="0"/>
          <w:divBdr>
            <w:top w:val="none" w:sz="0" w:space="0" w:color="auto"/>
            <w:left w:val="none" w:sz="0" w:space="0" w:color="auto"/>
            <w:bottom w:val="none" w:sz="0" w:space="0" w:color="auto"/>
            <w:right w:val="none" w:sz="0" w:space="0" w:color="auto"/>
          </w:divBdr>
        </w:div>
        <w:div w:id="1978798625">
          <w:marLeft w:val="360"/>
          <w:marRight w:val="0"/>
          <w:marTop w:val="200"/>
          <w:marBottom w:val="0"/>
          <w:divBdr>
            <w:top w:val="none" w:sz="0" w:space="0" w:color="auto"/>
            <w:left w:val="none" w:sz="0" w:space="0" w:color="auto"/>
            <w:bottom w:val="none" w:sz="0" w:space="0" w:color="auto"/>
            <w:right w:val="none" w:sz="0" w:space="0" w:color="auto"/>
          </w:divBdr>
        </w:div>
        <w:div w:id="1425766800">
          <w:marLeft w:val="360"/>
          <w:marRight w:val="0"/>
          <w:marTop w:val="200"/>
          <w:marBottom w:val="0"/>
          <w:divBdr>
            <w:top w:val="none" w:sz="0" w:space="0" w:color="auto"/>
            <w:left w:val="none" w:sz="0" w:space="0" w:color="auto"/>
            <w:bottom w:val="none" w:sz="0" w:space="0" w:color="auto"/>
            <w:right w:val="none" w:sz="0" w:space="0" w:color="auto"/>
          </w:divBdr>
        </w:div>
        <w:div w:id="87048408">
          <w:marLeft w:val="360"/>
          <w:marRight w:val="0"/>
          <w:marTop w:val="200"/>
          <w:marBottom w:val="0"/>
          <w:divBdr>
            <w:top w:val="none" w:sz="0" w:space="0" w:color="auto"/>
            <w:left w:val="none" w:sz="0" w:space="0" w:color="auto"/>
            <w:bottom w:val="none" w:sz="0" w:space="0" w:color="auto"/>
            <w:right w:val="none" w:sz="0" w:space="0" w:color="auto"/>
          </w:divBdr>
        </w:div>
        <w:div w:id="1710107385">
          <w:marLeft w:val="360"/>
          <w:marRight w:val="0"/>
          <w:marTop w:val="200"/>
          <w:marBottom w:val="0"/>
          <w:divBdr>
            <w:top w:val="none" w:sz="0" w:space="0" w:color="auto"/>
            <w:left w:val="none" w:sz="0" w:space="0" w:color="auto"/>
            <w:bottom w:val="none" w:sz="0" w:space="0" w:color="auto"/>
            <w:right w:val="none" w:sz="0" w:space="0" w:color="auto"/>
          </w:divBdr>
        </w:div>
        <w:div w:id="1495804394">
          <w:marLeft w:val="360"/>
          <w:marRight w:val="0"/>
          <w:marTop w:val="200"/>
          <w:marBottom w:val="0"/>
          <w:divBdr>
            <w:top w:val="none" w:sz="0" w:space="0" w:color="auto"/>
            <w:left w:val="none" w:sz="0" w:space="0" w:color="auto"/>
            <w:bottom w:val="none" w:sz="0" w:space="0" w:color="auto"/>
            <w:right w:val="none" w:sz="0" w:space="0" w:color="auto"/>
          </w:divBdr>
        </w:div>
        <w:div w:id="1024553801">
          <w:marLeft w:val="360"/>
          <w:marRight w:val="0"/>
          <w:marTop w:val="200"/>
          <w:marBottom w:val="0"/>
          <w:divBdr>
            <w:top w:val="none" w:sz="0" w:space="0" w:color="auto"/>
            <w:left w:val="none" w:sz="0" w:space="0" w:color="auto"/>
            <w:bottom w:val="none" w:sz="0" w:space="0" w:color="auto"/>
            <w:right w:val="none" w:sz="0" w:space="0" w:color="auto"/>
          </w:divBdr>
        </w:div>
        <w:div w:id="456533461">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9"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s://eur-lex.europa.eu/legal-content/NL/TXT/PDF/?uri=CELEX:32009L0138&amp;from=ET" TargetMode="External" Id="rId10" /><Relationship Type="http://schemas.openxmlformats.org/officeDocument/2006/relationships/styles" Target="styles.xml" Id="rId4" /><Relationship Type="http://schemas.openxmlformats.org/officeDocument/2006/relationships/hyperlink" Target="https://www.vecozo.nl/diensten/controle-op-verzekeringsgegevens/"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pack://file%3a,,root,SECUREAPPSUPPORT,fileDatabase,files,Schriftelijke%2520ronde%2520mijding%2520mondzorg%2520augustus_00000001.docx/word/footnotes.xml" TargetMode="External"/><Relationship Id="rId13" Type="http://schemas.openxmlformats.org/officeDocument/2006/relationships/hyperlink" Target="pack://file%3a,,root,SECUREAPPSUPPORT,fileDatabase,files,Schriftelijke%2520ronde%2520mijding%2520mondzorg%2520augustus_00000001.docx/word/webSettings.xml" TargetMode="External"/><Relationship Id="rId3" Type="http://schemas.openxmlformats.org/officeDocument/2006/relationships/hyperlink" Target="pack://file%3a,,root,SECUREAPPSUPPORT,fileDatabase,files,Schriftelijke%2520ronde%2520mijding%2520mondzorg%2520augustus_00000001.docx/customXml/item2.xml" TargetMode="External"/><Relationship Id="rId7" Type="http://schemas.openxmlformats.org/officeDocument/2006/relationships/hyperlink" Target="http://www.bsenf.nl" TargetMode="External"/><Relationship Id="rId12" Type="http://schemas.openxmlformats.org/officeDocument/2006/relationships/hyperlink" Target="pack://file%3a,,root,SECUREAPPSUPPORT,fileDatabase,files,Schriftelijke%2520ronde%2520mijding%2520mondzorg%2520augustus_00000001.docx/word/header1.xml" TargetMode="External"/><Relationship Id="rId2" Type="http://schemas.openxmlformats.org/officeDocument/2006/relationships/hyperlink" Target="https://opendata.cbs.nl/" TargetMode="External"/><Relationship Id="rId1" Type="http://schemas.openxmlformats.org/officeDocument/2006/relationships/hyperlink" Target="https://www.cbs.nl/nl-nl/maatwerk/2025/33/contacten-met-de-tandarts-2024" TargetMode="External"/><Relationship Id="rId6" Type="http://schemas.openxmlformats.org/officeDocument/2006/relationships/hyperlink" Target="http://www.bsenf.nl" TargetMode="External"/><Relationship Id="rId11" Type="http://schemas.openxmlformats.org/officeDocument/2006/relationships/hyperlink" Target="https://eur-lex.europa.eu/legal-content/NL/TXT/PDF/?uri=CELEX:32009L0138&amp;from=ET" TargetMode="External"/><Relationship Id="rId5" Type="http://schemas.openxmlformats.org/officeDocument/2006/relationships/hyperlink" Target="pack://file%3a,,root,SECUREAPPSUPPORT,fileDatabase,files,Schriftelijke%2520ronde%2520mijding%2520mondzorg%2520augustus_00000001.docx/word/styles.xml" TargetMode="External"/><Relationship Id="rId10" Type="http://schemas.openxmlformats.org/officeDocument/2006/relationships/hyperlink" Target="https://www.vecozo.nl/diensten/controle-op-verzekeringsgegevens/" TargetMode="External"/><Relationship Id="rId4" Type="http://schemas.openxmlformats.org/officeDocument/2006/relationships/hyperlink" Target="pack://file%3a,,root,SECUREAPPSUPPORT,fileDatabase,files,Schriftelijke%2520ronde%2520mijding%2520mondzorg%2520augustus_00000001.docx/word/numbering.xml" TargetMode="External"/><Relationship Id="rId9" Type="http://schemas.openxmlformats.org/officeDocument/2006/relationships/hyperlink" Target="https://open.overheid.nl/documenten/8f4ca878-1136-4924-bda4-b03364e81ff3/fil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26</ap:Pages>
  <ap:Words>9148</ap:Words>
  <ap:Characters>50319</ap:Characters>
  <ap:DocSecurity>0</ap:DocSecurity>
  <ap:Lines>419</ap:Lines>
  <ap:Paragraphs>118</ap:Paragraphs>
  <ap:ScaleCrop>false</ap:ScaleCrop>
  <ap:LinksUpToDate>false</ap:LinksUpToDate>
  <ap:CharactersWithSpaces>59349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2025-12-10T12:21:00.0000000Z</dcterms:created>
  <dcterms:modified xsi:type="dcterms:W3CDTF">2025-12-10T12:21:00.0000000Z</dcterms:modified>
  <dc:description>------------------------</dc:description>
  <version/>
  <category/>
</coreProperties>
</file>