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66D" w:rsidRDefault="006B6AF8" w14:paraId="68EED245" w14:textId="48E8A096">
      <w:pPr>
        <w:pStyle w:val="Salutation"/>
      </w:pPr>
      <w:bookmarkStart w:name="_GoBack" w:id="0"/>
      <w:bookmarkEnd w:id="0"/>
      <w:r>
        <w:t>Geachte voorzitter,</w:t>
      </w:r>
    </w:p>
    <w:p w:rsidR="006B6AF8" w:rsidP="006B6AF8" w:rsidRDefault="006B6AF8" w14:paraId="7850925F" w14:textId="725A3E33">
      <w:r w:rsidRPr="00805E70">
        <w:t xml:space="preserve">Op </w:t>
      </w:r>
      <w:r w:rsidR="00292039">
        <w:t>25</w:t>
      </w:r>
      <w:r>
        <w:t xml:space="preserve"> </w:t>
      </w:r>
      <w:r w:rsidR="00292039">
        <w:t xml:space="preserve">april </w:t>
      </w:r>
      <w:r w:rsidRPr="00805E70">
        <w:t xml:space="preserve">jl. </w:t>
      </w:r>
      <w:r>
        <w:t>is</w:t>
      </w:r>
      <w:r w:rsidRPr="00805E70">
        <w:t xml:space="preserve"> de Tweede Kamer voor het laatst </w:t>
      </w:r>
      <w:r w:rsidR="00CC335A">
        <w:t xml:space="preserve">per brief </w:t>
      </w:r>
      <w:r w:rsidRPr="00805E70">
        <w:t xml:space="preserve">geïnformeerd over de voortgang van de implementatie </w:t>
      </w:r>
      <w:r>
        <w:t xml:space="preserve">in Nederland </w:t>
      </w:r>
      <w:r w:rsidRPr="00805E70">
        <w:t xml:space="preserve">van de herziene </w:t>
      </w:r>
      <w:r>
        <w:t xml:space="preserve">Europese </w:t>
      </w:r>
      <w:r w:rsidRPr="00805E70">
        <w:t xml:space="preserve">richtlijn hernieuwbare energie </w:t>
      </w:r>
      <w:r w:rsidRPr="00805E70" w:rsidR="00F83A94">
        <w:t xml:space="preserve">voor vervoer </w:t>
      </w:r>
      <w:r w:rsidRPr="00805E70">
        <w:t>(</w:t>
      </w:r>
      <w:r>
        <w:t xml:space="preserve">derde Renewable Energy Directive: </w:t>
      </w:r>
      <w:r w:rsidRPr="00805E70">
        <w:t xml:space="preserve">RED-III). </w:t>
      </w:r>
      <w:r w:rsidR="006D6833">
        <w:t xml:space="preserve">Deze wordt geïmplementeerd in de </w:t>
      </w:r>
      <w:r w:rsidRPr="00CB7898" w:rsidR="00B75C7C">
        <w:t>sinds 2011</w:t>
      </w:r>
      <w:r w:rsidRPr="00CB7898" w:rsidR="006D6833">
        <w:t xml:space="preserve"> bestaande </w:t>
      </w:r>
      <w:r w:rsidRPr="00CB7898" w:rsidR="00E05122">
        <w:t xml:space="preserve">systematiek </w:t>
      </w:r>
      <w:r w:rsidR="001950D1">
        <w:t xml:space="preserve">jaarverplichting </w:t>
      </w:r>
      <w:r w:rsidRPr="00CB7898" w:rsidR="00E05122">
        <w:t>Hernieuwbare Energie voor Vervoer</w:t>
      </w:r>
      <w:r w:rsidR="001950D1">
        <w:t xml:space="preserve">; </w:t>
      </w:r>
      <w:r w:rsidRPr="00CB7898" w:rsidR="00E05122">
        <w:t xml:space="preserve">vanaf 2026 </w:t>
      </w:r>
      <w:r w:rsidR="001950D1">
        <w:t xml:space="preserve">omgedoopt tot </w:t>
      </w:r>
      <w:r w:rsidRPr="00CB7898" w:rsidR="00E05122">
        <w:t xml:space="preserve">de </w:t>
      </w:r>
      <w:r w:rsidRPr="00CB7898" w:rsidR="006D6833">
        <w:t>Brandstoftransitie</w:t>
      </w:r>
      <w:r w:rsidR="001950D1">
        <w:softHyphen/>
      </w:r>
      <w:r w:rsidRPr="00CB7898" w:rsidR="006D6833">
        <w:t>verplichting.</w:t>
      </w:r>
      <w:r w:rsidR="00E05122">
        <w:t xml:space="preserve"> </w:t>
      </w:r>
    </w:p>
    <w:p w:rsidR="006D6833" w:rsidP="006B6AF8" w:rsidRDefault="006D6833" w14:paraId="79A557D1" w14:textId="77777777"/>
    <w:p w:rsidR="00371720" w:rsidP="006B6AF8" w:rsidRDefault="006D6833" w14:paraId="1A7759B4" w14:textId="0ADA8229">
      <w:r>
        <w:t xml:space="preserve">De Wijzigingswet milieubeheer </w:t>
      </w:r>
      <w:r w:rsidR="00A44DC8">
        <w:t xml:space="preserve">en het Wijzigingsbesluit energie vervoer zijn op 29 september jl. behandeld in de </w:t>
      </w:r>
      <w:r w:rsidR="003B309E">
        <w:t xml:space="preserve">Tweede Kamer, </w:t>
      </w:r>
      <w:r w:rsidR="00A56EE8">
        <w:t xml:space="preserve">waarna de Wijzigingswet op 2 oktober door de Tweede Kamer is aangenomen. </w:t>
      </w:r>
      <w:r w:rsidR="003803D7">
        <w:t xml:space="preserve">Het Besluit energie vervoer is ook besproken. </w:t>
      </w:r>
      <w:r w:rsidR="00125ED3">
        <w:t>Het B</w:t>
      </w:r>
      <w:r w:rsidR="003803D7">
        <w:t xml:space="preserve">esluit </w:t>
      </w:r>
      <w:r w:rsidR="00125ED3">
        <w:t xml:space="preserve">energie vervoer </w:t>
      </w:r>
      <w:r w:rsidR="003803D7">
        <w:t xml:space="preserve">is inmiddels ter voorhang aangeboden aan de Raad van State. </w:t>
      </w:r>
    </w:p>
    <w:p w:rsidR="00371720" w:rsidP="006B6AF8" w:rsidRDefault="00371720" w14:paraId="292480D4" w14:textId="77777777"/>
    <w:p w:rsidR="006D6833" w:rsidP="00371720" w:rsidRDefault="003803D7" w14:paraId="09A0911E" w14:textId="10352C82">
      <w:r>
        <w:t xml:space="preserve">In het vervolg van </w:t>
      </w:r>
      <w:r w:rsidR="00772AA6">
        <w:t xml:space="preserve">deze brief </w:t>
      </w:r>
      <w:r>
        <w:t xml:space="preserve">ga ik in op </w:t>
      </w:r>
      <w:r w:rsidR="00177796">
        <w:t xml:space="preserve">(1) </w:t>
      </w:r>
      <w:r>
        <w:t xml:space="preserve">de </w:t>
      </w:r>
      <w:r w:rsidR="00371720">
        <w:t>veranderingen in het subdoel voor hernieuwbare brandstoffen van niet-biologische oorsprong</w:t>
      </w:r>
      <w:r w:rsidR="00177796">
        <w:t xml:space="preserve">, </w:t>
      </w:r>
      <w:r w:rsidR="00506A4E">
        <w:t xml:space="preserve">en </w:t>
      </w:r>
      <w:r w:rsidR="00177796">
        <w:t xml:space="preserve">(2) </w:t>
      </w:r>
      <w:r w:rsidR="00506A4E">
        <w:t>e</w:t>
      </w:r>
      <w:r w:rsidR="00177796">
        <w:t xml:space="preserve">en tijdelijke mitigerende maatregel in verband met onduidelijkheid over </w:t>
      </w:r>
      <w:r w:rsidR="00DE4C6C">
        <w:t xml:space="preserve">de ingangsdatum van de </w:t>
      </w:r>
      <w:r w:rsidR="00177796">
        <w:t>Belgische RED-III-implementatie</w:t>
      </w:r>
      <w:r w:rsidR="00371720">
        <w:t xml:space="preserve">. </w:t>
      </w:r>
      <w:r w:rsidR="00177796">
        <w:t>Ik sluit af met (</w:t>
      </w:r>
      <w:r w:rsidR="00506A4E">
        <w:t>3</w:t>
      </w:r>
      <w:r w:rsidR="00177796">
        <w:t>) een overzicht van de overige moties en toezeggingen.</w:t>
      </w:r>
    </w:p>
    <w:p w:rsidR="00462AF8" w:rsidP="006B6AF8" w:rsidRDefault="00462AF8" w14:paraId="2DD751A5" w14:textId="77777777"/>
    <w:p w:rsidRPr="00177796" w:rsidR="007209D1" w:rsidP="00177796" w:rsidRDefault="00C66725" w14:paraId="1848DBF1" w14:textId="67A28940">
      <w:pPr>
        <w:pStyle w:val="ListParagraph"/>
        <w:numPr>
          <w:ilvl w:val="0"/>
          <w:numId w:val="23"/>
        </w:numPr>
        <w:rPr>
          <w:b/>
          <w:bCs/>
        </w:rPr>
      </w:pPr>
      <w:r w:rsidRPr="00177796">
        <w:rPr>
          <w:b/>
          <w:bCs/>
        </w:rPr>
        <w:t>Hernieuwbare brandstoffen van niet-biologische oorsprong</w:t>
      </w:r>
    </w:p>
    <w:p w:rsidR="00C313D6" w:rsidP="007209D1" w:rsidRDefault="00C313D6" w14:paraId="6539FE2A" w14:textId="77777777"/>
    <w:p w:rsidR="00720EA5" w:rsidP="007209D1" w:rsidRDefault="003803D7" w14:paraId="6C3DB261" w14:textId="29057026">
      <w:r>
        <w:t>I</w:t>
      </w:r>
      <w:r w:rsidR="00C76717">
        <w:t xml:space="preserve">n reactie op vragen van de Kamer in het </w:t>
      </w:r>
      <w:r w:rsidR="00D279D3">
        <w:t xml:space="preserve">wetgevingsoverleg </w:t>
      </w:r>
      <w:r>
        <w:t xml:space="preserve">heb ik </w:t>
      </w:r>
      <w:r w:rsidR="00C76717">
        <w:t xml:space="preserve">toegezegd (toezegging: </w:t>
      </w:r>
      <w:r w:rsidR="00B57024">
        <w:t>TZ202510-018</w:t>
      </w:r>
      <w:r w:rsidR="00D10AB2">
        <w:t xml:space="preserve"> aan Kamerlid van Groningen (VVD)</w:t>
      </w:r>
      <w:r w:rsidR="00B57024">
        <w:t>)</w:t>
      </w:r>
      <w:r w:rsidR="00C76717">
        <w:t xml:space="preserve"> dat </w:t>
      </w:r>
      <w:r w:rsidR="00B568B4">
        <w:t xml:space="preserve">ik het subdoel voor hernieuwbare brandstoffen van niet-biologische oorsprong </w:t>
      </w:r>
      <w:r w:rsidR="00D73DB7">
        <w:t xml:space="preserve">(RFNBO’s) </w:t>
      </w:r>
      <w:r w:rsidR="00B568B4">
        <w:t xml:space="preserve">voor de sector land </w:t>
      </w:r>
      <w:r w:rsidR="000C5271">
        <w:t xml:space="preserve">in 2030 met 2 </w:t>
      </w:r>
      <w:r w:rsidR="00CC335A">
        <w:t>p</w:t>
      </w:r>
      <w:r w:rsidR="000C5271">
        <w:t xml:space="preserve">etajoule </w:t>
      </w:r>
      <w:r w:rsidR="00C76717">
        <w:t xml:space="preserve">zal </w:t>
      </w:r>
      <w:r w:rsidR="000C5271">
        <w:t xml:space="preserve">verhogen, waarbij deze aanvullende ruimte enkel beschikbaar zal zijn voor </w:t>
      </w:r>
      <w:r w:rsidR="00D73DB7">
        <w:t xml:space="preserve">credits afkomstig uit directe inzet van RFNBO’s in de mobiliteit. Op deze wijze </w:t>
      </w:r>
      <w:r w:rsidR="00001A8A">
        <w:t xml:space="preserve">wordt investeringszekerheid geboden voor waterstofvoertuigen en </w:t>
      </w:r>
      <w:r w:rsidR="00D279D3">
        <w:t xml:space="preserve">de bijbehorende </w:t>
      </w:r>
      <w:r w:rsidR="00001A8A">
        <w:t>tankinfrastructuur</w:t>
      </w:r>
      <w:r w:rsidR="00B05DEF">
        <w:t>.</w:t>
      </w:r>
      <w:r w:rsidR="00001A8A">
        <w:t xml:space="preserve"> </w:t>
      </w:r>
    </w:p>
    <w:p w:rsidR="00720EA5" w:rsidP="007209D1" w:rsidRDefault="00720EA5" w14:paraId="5DF6AE56" w14:textId="77777777"/>
    <w:p w:rsidR="00C76717" w:rsidP="007209D1" w:rsidRDefault="0029465B" w14:paraId="549B8169" w14:textId="4552A2BB">
      <w:r>
        <w:t xml:space="preserve">Om de benodigde </w:t>
      </w:r>
      <w:r w:rsidR="00232E09">
        <w:t xml:space="preserve">afzetcapaciteit op te bouwen, </w:t>
      </w:r>
      <w:r w:rsidR="00720EA5">
        <w:t>kies</w:t>
      </w:r>
      <w:r w:rsidR="0098761B">
        <w:t xml:space="preserve"> ik </w:t>
      </w:r>
      <w:r w:rsidR="00C76717">
        <w:t xml:space="preserve">in de vormgeving </w:t>
      </w:r>
      <w:r w:rsidR="00720EA5">
        <w:t xml:space="preserve">voor een </w:t>
      </w:r>
      <w:r w:rsidR="0098761B">
        <w:t xml:space="preserve">geleidelijk ingroeipad </w:t>
      </w:r>
      <w:r w:rsidR="00F2060C">
        <w:t>vanaf het jaar 2027, zoals hieronder weergegeven</w:t>
      </w:r>
      <w:r w:rsidR="0088283A">
        <w:t xml:space="preserve"> (zie tabel 1)</w:t>
      </w:r>
      <w:r w:rsidR="00A14120">
        <w:t xml:space="preserve">. Om te voorkomen dat </w:t>
      </w:r>
      <w:r w:rsidR="00720EA5">
        <w:t xml:space="preserve">dit </w:t>
      </w:r>
      <w:r w:rsidR="00A14120">
        <w:t xml:space="preserve">ten koste gaat van ruimte voor andere hernieuwbare energiedragers, </w:t>
      </w:r>
      <w:r w:rsidR="00C0770B">
        <w:t xml:space="preserve">wordt </w:t>
      </w:r>
      <w:r w:rsidR="0015738E">
        <w:t xml:space="preserve">deze </w:t>
      </w:r>
      <w:r w:rsidR="00C0770B">
        <w:t xml:space="preserve">aanvullende ruimte opgeteld bij </w:t>
      </w:r>
      <w:r w:rsidR="0015738E">
        <w:t>de algehele verplichting</w:t>
      </w:r>
      <w:r w:rsidR="00C0770B">
        <w:t xml:space="preserve"> voor de sector land</w:t>
      </w:r>
      <w:r w:rsidR="0088283A">
        <w:t xml:space="preserve"> (zie tabel 2)</w:t>
      </w:r>
      <w:r w:rsidR="0015738E">
        <w:t>.</w:t>
      </w:r>
    </w:p>
    <w:p w:rsidR="007C6BC2" w:rsidP="007209D1" w:rsidRDefault="007C6BC2" w14:paraId="023349CD" w14:textId="77777777"/>
    <w:p w:rsidR="00EC539A" w:rsidP="007209D1" w:rsidRDefault="00EC539A" w14:paraId="7366D99A" w14:textId="4C7D6909">
      <w:r>
        <w:t xml:space="preserve">Deze </w:t>
      </w:r>
      <w:r w:rsidR="00B57024">
        <w:t xml:space="preserve">verhoging van het RFNBO-subdoel </w:t>
      </w:r>
      <w:r w:rsidR="003803D7">
        <w:t xml:space="preserve">is </w:t>
      </w:r>
      <w:r>
        <w:t xml:space="preserve">opgenomen in het Besluit energie vervoer. Het reserveren van deze aanvullende ruimte voor directe inzet </w:t>
      </w:r>
      <w:r w:rsidR="00792A52">
        <w:t xml:space="preserve">zal worden opgenomen </w:t>
      </w:r>
      <w:r>
        <w:t>in de Regeling energie vervoer</w:t>
      </w:r>
      <w:r w:rsidR="00792A52">
        <w:t xml:space="preserve">, volgens de verhouding in tabel 1. </w:t>
      </w:r>
    </w:p>
    <w:p w:rsidRPr="00F06A2C" w:rsidR="00FC3980" w:rsidP="007209D1" w:rsidRDefault="00FC3980" w14:paraId="322B92E8" w14:textId="26B2FD06">
      <w:pPr>
        <w:rPr>
          <w:b/>
          <w:bCs/>
        </w:rPr>
      </w:pPr>
    </w:p>
    <w:tbl>
      <w:tblPr>
        <w:tblW w:w="0" w:type="auto"/>
        <w:tblLayout w:type="fixed"/>
        <w:tblCellMar>
          <w:left w:w="0" w:type="dxa"/>
          <w:right w:w="0" w:type="dxa"/>
        </w:tblCellMar>
        <w:tblLook w:val="04A0" w:firstRow="1" w:lastRow="0" w:firstColumn="1" w:lastColumn="0" w:noHBand="0" w:noVBand="1"/>
      </w:tblPr>
      <w:tblGrid>
        <w:gridCol w:w="2400"/>
        <w:gridCol w:w="1014"/>
        <w:gridCol w:w="1014"/>
        <w:gridCol w:w="1014"/>
        <w:gridCol w:w="1014"/>
        <w:gridCol w:w="1014"/>
      </w:tblGrid>
      <w:tr w:rsidRPr="006C7604" w:rsidR="00FC3980" w:rsidTr="00D279D3" w14:paraId="0F8C1AB6" w14:textId="77777777">
        <w:trPr>
          <w:trHeight w:val="366"/>
        </w:trPr>
        <w:tc>
          <w:tcPr>
            <w:tcW w:w="2400"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6C7604" w:rsidR="006C7604" w:rsidP="00CA5ADC" w:rsidRDefault="006C7604" w14:paraId="158F1455" w14:textId="77777777">
            <w:pPr>
              <w:rPr>
                <w:b/>
                <w:bCs/>
                <w:sz w:val="14"/>
                <w:szCs w:val="14"/>
              </w:rPr>
            </w:pP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6C7604" w:rsidR="006C7604" w:rsidP="00CA5ADC" w:rsidRDefault="006C7604" w14:paraId="2D0BC8D0" w14:textId="77777777">
            <w:pPr>
              <w:rPr>
                <w:b/>
                <w:bCs/>
                <w:sz w:val="14"/>
                <w:szCs w:val="14"/>
              </w:rPr>
            </w:pPr>
            <w:r w:rsidRPr="006C7604">
              <w:rPr>
                <w:b/>
                <w:bCs/>
                <w:sz w:val="14"/>
                <w:szCs w:val="14"/>
              </w:rPr>
              <w:t>2026</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6C7604" w:rsidR="006C7604" w:rsidP="00CA5ADC" w:rsidRDefault="006C7604" w14:paraId="3823956D" w14:textId="77777777">
            <w:pPr>
              <w:rPr>
                <w:b/>
                <w:bCs/>
                <w:sz w:val="14"/>
                <w:szCs w:val="14"/>
              </w:rPr>
            </w:pPr>
            <w:r w:rsidRPr="006C7604">
              <w:rPr>
                <w:b/>
                <w:bCs/>
                <w:sz w:val="14"/>
                <w:szCs w:val="14"/>
              </w:rPr>
              <w:t>2027</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6C7604" w:rsidR="006C7604" w:rsidP="00CA5ADC" w:rsidRDefault="006C7604" w14:paraId="48284379" w14:textId="77777777">
            <w:pPr>
              <w:rPr>
                <w:b/>
                <w:bCs/>
                <w:sz w:val="14"/>
                <w:szCs w:val="14"/>
              </w:rPr>
            </w:pPr>
            <w:r w:rsidRPr="006C7604">
              <w:rPr>
                <w:b/>
                <w:bCs/>
                <w:sz w:val="14"/>
                <w:szCs w:val="14"/>
              </w:rPr>
              <w:t>2028</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6C7604" w:rsidR="006C7604" w:rsidP="00CA5ADC" w:rsidRDefault="006C7604" w14:paraId="4BB160BB" w14:textId="77777777">
            <w:pPr>
              <w:rPr>
                <w:b/>
                <w:bCs/>
                <w:sz w:val="14"/>
                <w:szCs w:val="14"/>
              </w:rPr>
            </w:pPr>
            <w:r w:rsidRPr="006C7604">
              <w:rPr>
                <w:b/>
                <w:bCs/>
                <w:sz w:val="14"/>
                <w:szCs w:val="14"/>
              </w:rPr>
              <w:t>2029</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6C7604" w:rsidR="006C7604" w:rsidP="00CA5ADC" w:rsidRDefault="006C7604" w14:paraId="6ED8D5B9" w14:textId="77777777">
            <w:pPr>
              <w:rPr>
                <w:b/>
                <w:bCs/>
                <w:sz w:val="14"/>
                <w:szCs w:val="14"/>
              </w:rPr>
            </w:pPr>
            <w:r w:rsidRPr="006C7604">
              <w:rPr>
                <w:b/>
                <w:bCs/>
                <w:sz w:val="14"/>
                <w:szCs w:val="14"/>
              </w:rPr>
              <w:t>2030</w:t>
            </w:r>
          </w:p>
        </w:tc>
      </w:tr>
      <w:tr w:rsidRPr="006C7604" w:rsidR="00B57024" w:rsidTr="00D279D3" w14:paraId="3746BF81" w14:textId="77777777">
        <w:trPr>
          <w:trHeight w:val="366"/>
        </w:trPr>
        <w:tc>
          <w:tcPr>
            <w:tcW w:w="2400" w:type="dxa"/>
            <w:tcBorders>
              <w:top w:val="nil"/>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hideMark/>
          </w:tcPr>
          <w:p w:rsidRPr="00B57024" w:rsidR="00B57024" w:rsidP="00061001" w:rsidRDefault="00B57024" w14:paraId="63436FF4" w14:textId="452F1145">
            <w:pPr>
              <w:spacing w:after="160" w:line="259" w:lineRule="auto"/>
              <w:rPr>
                <w:b/>
                <w:bCs/>
                <w:sz w:val="14"/>
                <w:szCs w:val="14"/>
              </w:rPr>
            </w:pPr>
            <w:r w:rsidRPr="00B57024">
              <w:rPr>
                <w:b/>
                <w:bCs/>
                <w:sz w:val="14"/>
                <w:szCs w:val="14"/>
              </w:rPr>
              <w:t>Aanvullende ruimte</w:t>
            </w:r>
            <w:r>
              <w:rPr>
                <w:b/>
                <w:bCs/>
                <w:sz w:val="14"/>
                <w:szCs w:val="14"/>
              </w:rPr>
              <w:t xml:space="preserve"> voor RFNBO subverplichting sector land, specifiek</w:t>
            </w:r>
            <w:r w:rsidRPr="00B57024">
              <w:rPr>
                <w:b/>
                <w:bCs/>
                <w:sz w:val="14"/>
                <w:szCs w:val="14"/>
              </w:rPr>
              <w:t xml:space="preserve"> voor RFNBO directe inzet</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CC1611" w:rsidR="00B57024" w:rsidP="00061001" w:rsidRDefault="00B57024" w14:paraId="2D2ABDC8" w14:textId="77777777">
            <w:pPr>
              <w:spacing w:after="160" w:line="259" w:lineRule="auto"/>
              <w:rPr>
                <w:sz w:val="14"/>
                <w:szCs w:val="14"/>
              </w:rPr>
            </w:pPr>
            <w:r w:rsidRPr="00CC1611">
              <w:rPr>
                <w:sz w:val="14"/>
                <w:szCs w:val="14"/>
              </w:rPr>
              <w:t>0,00%</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CC1611" w:rsidR="00B57024" w:rsidP="00061001" w:rsidRDefault="00B57024" w14:paraId="5BBF68D6" w14:textId="6B5889C3">
            <w:pPr>
              <w:spacing w:after="160" w:line="259" w:lineRule="auto"/>
              <w:rPr>
                <w:sz w:val="14"/>
                <w:szCs w:val="14"/>
              </w:rPr>
            </w:pPr>
            <w:r w:rsidRPr="00CC1611">
              <w:rPr>
                <w:sz w:val="14"/>
                <w:szCs w:val="14"/>
              </w:rPr>
              <w:t>0,0</w:t>
            </w:r>
            <w:r w:rsidR="00FF4348">
              <w:rPr>
                <w:sz w:val="14"/>
                <w:szCs w:val="14"/>
              </w:rPr>
              <w:t>2</w:t>
            </w:r>
            <w:r w:rsidRPr="00CC1611">
              <w:rPr>
                <w:sz w:val="14"/>
                <w:szCs w:val="14"/>
              </w:rPr>
              <w:t>%</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CC1611" w:rsidR="00B57024" w:rsidP="00061001" w:rsidRDefault="00B57024" w14:paraId="5925C902" w14:textId="77777777">
            <w:pPr>
              <w:spacing w:after="160" w:line="259" w:lineRule="auto"/>
              <w:rPr>
                <w:sz w:val="14"/>
                <w:szCs w:val="14"/>
              </w:rPr>
            </w:pPr>
            <w:r w:rsidRPr="00CC1611">
              <w:rPr>
                <w:sz w:val="14"/>
                <w:szCs w:val="14"/>
              </w:rPr>
              <w:t>0,10%</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CC1611" w:rsidR="00B57024" w:rsidP="00061001" w:rsidRDefault="00B57024" w14:paraId="199D47D1" w14:textId="014E6489">
            <w:pPr>
              <w:spacing w:after="160" w:line="259" w:lineRule="auto"/>
              <w:rPr>
                <w:sz w:val="14"/>
                <w:szCs w:val="14"/>
              </w:rPr>
            </w:pPr>
            <w:r w:rsidRPr="00CC1611">
              <w:rPr>
                <w:sz w:val="14"/>
                <w:szCs w:val="14"/>
              </w:rPr>
              <w:t>0,</w:t>
            </w:r>
            <w:r w:rsidR="0039770B">
              <w:rPr>
                <w:sz w:val="14"/>
                <w:szCs w:val="14"/>
              </w:rPr>
              <w:t>2</w:t>
            </w:r>
            <w:r w:rsidR="00FF4348">
              <w:rPr>
                <w:sz w:val="14"/>
                <w:szCs w:val="14"/>
              </w:rPr>
              <w:t>3</w:t>
            </w:r>
            <w:r w:rsidRPr="00CC1611">
              <w:rPr>
                <w:sz w:val="14"/>
                <w:szCs w:val="14"/>
              </w:rPr>
              <w:t>%</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CC1611" w:rsidR="00B57024" w:rsidP="00061001" w:rsidRDefault="00B57024" w14:paraId="41D8DA98" w14:textId="77777777">
            <w:pPr>
              <w:spacing w:after="160" w:line="259" w:lineRule="auto"/>
              <w:rPr>
                <w:sz w:val="14"/>
                <w:szCs w:val="14"/>
              </w:rPr>
            </w:pPr>
            <w:r w:rsidRPr="00CC1611">
              <w:rPr>
                <w:sz w:val="14"/>
                <w:szCs w:val="14"/>
              </w:rPr>
              <w:t>0,38%</w:t>
            </w:r>
          </w:p>
        </w:tc>
      </w:tr>
      <w:tr w:rsidRPr="006C7604" w:rsidR="00FC3980" w:rsidTr="00D279D3" w14:paraId="3341BB8F" w14:textId="77777777">
        <w:trPr>
          <w:trHeight w:val="366"/>
        </w:trPr>
        <w:tc>
          <w:tcPr>
            <w:tcW w:w="2400"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hideMark/>
          </w:tcPr>
          <w:p w:rsidRPr="00CC1611" w:rsidR="006C7604" w:rsidP="00CA5ADC" w:rsidRDefault="00B57024" w14:paraId="0CE97F61" w14:textId="39B664F3">
            <w:pPr>
              <w:spacing w:after="160" w:line="259" w:lineRule="auto"/>
              <w:rPr>
                <w:b/>
                <w:bCs/>
                <w:sz w:val="14"/>
                <w:szCs w:val="14"/>
              </w:rPr>
            </w:pPr>
            <w:r>
              <w:rPr>
                <w:b/>
                <w:bCs/>
                <w:sz w:val="14"/>
                <w:szCs w:val="14"/>
              </w:rPr>
              <w:t xml:space="preserve">Totale </w:t>
            </w:r>
            <w:r w:rsidRPr="00CC1611" w:rsidR="006C7604">
              <w:rPr>
                <w:b/>
                <w:bCs/>
                <w:sz w:val="14"/>
                <w:szCs w:val="14"/>
              </w:rPr>
              <w:t>RFNBO</w:t>
            </w:r>
            <w:r>
              <w:rPr>
                <w:b/>
                <w:bCs/>
                <w:sz w:val="14"/>
                <w:szCs w:val="14"/>
              </w:rPr>
              <w:t xml:space="preserve"> subverplichting </w:t>
            </w:r>
            <w:r w:rsidRPr="006C7604" w:rsidR="006C7604">
              <w:rPr>
                <w:b/>
                <w:bCs/>
                <w:sz w:val="14"/>
                <w:szCs w:val="14"/>
              </w:rPr>
              <w:t>sector land</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00D279D3" w:rsidP="00D279D3" w:rsidRDefault="006C7604" w14:paraId="4C93C53F" w14:textId="77777777">
            <w:pPr>
              <w:rPr>
                <w:sz w:val="14"/>
                <w:szCs w:val="14"/>
              </w:rPr>
            </w:pPr>
            <w:r w:rsidRPr="00CC1611">
              <w:rPr>
                <w:sz w:val="14"/>
                <w:szCs w:val="14"/>
              </w:rPr>
              <w:t>0,05%</w:t>
            </w:r>
          </w:p>
          <w:p w:rsidRPr="00CC1611" w:rsidR="00B57024" w:rsidP="00CA5ADC" w:rsidRDefault="00B57024" w14:paraId="74C855BF" w14:textId="77777777">
            <w:pPr>
              <w:spacing w:after="160" w:line="259" w:lineRule="auto"/>
              <w:rPr>
                <w:sz w:val="14"/>
                <w:szCs w:val="14"/>
              </w:rPr>
            </w:pP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006C7604" w:rsidP="00CA5ADC" w:rsidRDefault="006C7604" w14:paraId="448E725A" w14:textId="63C66CD3">
            <w:pPr>
              <w:rPr>
                <w:sz w:val="14"/>
                <w:szCs w:val="14"/>
              </w:rPr>
            </w:pPr>
            <w:r w:rsidRPr="00CC1611">
              <w:rPr>
                <w:sz w:val="14"/>
                <w:szCs w:val="14"/>
              </w:rPr>
              <w:t>0,</w:t>
            </w:r>
            <w:r w:rsidR="00FF4348">
              <w:rPr>
                <w:sz w:val="14"/>
                <w:szCs w:val="14"/>
              </w:rPr>
              <w:t>1%</w:t>
            </w:r>
            <w:r w:rsidRPr="00CC1611">
              <w:rPr>
                <w:sz w:val="14"/>
                <w:szCs w:val="14"/>
              </w:rPr>
              <w:t xml:space="preserve"> </w:t>
            </w:r>
          </w:p>
          <w:p w:rsidRPr="006C7604" w:rsidR="00B57024" w:rsidP="00CA5ADC" w:rsidRDefault="00B57024" w14:paraId="070F5943" w14:textId="77777777">
            <w:pPr>
              <w:rPr>
                <w:sz w:val="14"/>
                <w:szCs w:val="14"/>
              </w:rPr>
            </w:pPr>
          </w:p>
          <w:p w:rsidRPr="00CC1611" w:rsidR="006C7604" w:rsidP="00CA5ADC" w:rsidRDefault="006C7604" w14:paraId="27C5CB2D" w14:textId="77777777">
            <w:pPr>
              <w:spacing w:after="160" w:line="259" w:lineRule="auto"/>
              <w:rPr>
                <w:sz w:val="14"/>
                <w:szCs w:val="14"/>
              </w:rPr>
            </w:pPr>
            <w:r w:rsidRPr="00CC1611">
              <w:rPr>
                <w:sz w:val="14"/>
                <w:szCs w:val="14"/>
              </w:rPr>
              <w:t>(was 0,06%)</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006C7604" w:rsidP="00CA5ADC" w:rsidRDefault="006C7604" w14:paraId="6A104713" w14:textId="77777777">
            <w:pPr>
              <w:rPr>
                <w:sz w:val="14"/>
                <w:szCs w:val="14"/>
              </w:rPr>
            </w:pPr>
            <w:r w:rsidRPr="00CC1611">
              <w:rPr>
                <w:sz w:val="14"/>
                <w:szCs w:val="14"/>
              </w:rPr>
              <w:t xml:space="preserve">0,46% </w:t>
            </w:r>
          </w:p>
          <w:p w:rsidRPr="006C7604" w:rsidR="00B57024" w:rsidP="00CA5ADC" w:rsidRDefault="00B57024" w14:paraId="7137AFB7" w14:textId="77777777">
            <w:pPr>
              <w:rPr>
                <w:sz w:val="14"/>
                <w:szCs w:val="14"/>
              </w:rPr>
            </w:pPr>
          </w:p>
          <w:p w:rsidRPr="00CC1611" w:rsidR="006C7604" w:rsidP="00CA5ADC" w:rsidRDefault="006C7604" w14:paraId="0D8399EB" w14:textId="77777777">
            <w:pPr>
              <w:spacing w:after="160" w:line="259" w:lineRule="auto"/>
              <w:rPr>
                <w:sz w:val="14"/>
                <w:szCs w:val="14"/>
              </w:rPr>
            </w:pPr>
            <w:r w:rsidRPr="00CC1611">
              <w:rPr>
                <w:sz w:val="14"/>
                <w:szCs w:val="14"/>
              </w:rPr>
              <w:t>(was 0,36%)</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00B57024" w:rsidP="00CA5ADC" w:rsidRDefault="00FF4348" w14:paraId="0963D612" w14:textId="27CB117E">
            <w:pPr>
              <w:rPr>
                <w:sz w:val="14"/>
                <w:szCs w:val="14"/>
              </w:rPr>
            </w:pPr>
            <w:r>
              <w:rPr>
                <w:sz w:val="14"/>
                <w:szCs w:val="14"/>
              </w:rPr>
              <w:t>0</w:t>
            </w:r>
            <w:r w:rsidR="0039770B">
              <w:rPr>
                <w:sz w:val="14"/>
                <w:szCs w:val="14"/>
              </w:rPr>
              <w:t>,</w:t>
            </w:r>
            <w:r>
              <w:rPr>
                <w:sz w:val="14"/>
                <w:szCs w:val="14"/>
              </w:rPr>
              <w:t>96</w:t>
            </w:r>
            <w:r w:rsidRPr="00CC1611" w:rsidR="006C7604">
              <w:rPr>
                <w:sz w:val="14"/>
                <w:szCs w:val="14"/>
              </w:rPr>
              <w:t xml:space="preserve">% </w:t>
            </w:r>
          </w:p>
          <w:p w:rsidRPr="006C7604" w:rsidR="00B57024" w:rsidP="00CA5ADC" w:rsidRDefault="00B57024" w14:paraId="3A4EAE6C" w14:textId="77777777">
            <w:pPr>
              <w:rPr>
                <w:sz w:val="14"/>
                <w:szCs w:val="14"/>
              </w:rPr>
            </w:pPr>
          </w:p>
          <w:p w:rsidRPr="00CC1611" w:rsidR="006C7604" w:rsidP="00CA5ADC" w:rsidRDefault="006C7604" w14:paraId="041513F2" w14:textId="77777777">
            <w:pPr>
              <w:spacing w:after="160" w:line="259" w:lineRule="auto"/>
              <w:rPr>
                <w:sz w:val="14"/>
                <w:szCs w:val="14"/>
              </w:rPr>
            </w:pPr>
            <w:r w:rsidRPr="00CC1611">
              <w:rPr>
                <w:sz w:val="14"/>
                <w:szCs w:val="14"/>
              </w:rPr>
              <w:t>(was</w:t>
            </w:r>
            <w:r w:rsidRPr="006C7604">
              <w:rPr>
                <w:sz w:val="14"/>
                <w:szCs w:val="14"/>
              </w:rPr>
              <w:t xml:space="preserve"> </w:t>
            </w:r>
            <w:r w:rsidRPr="00CC1611">
              <w:rPr>
                <w:sz w:val="14"/>
                <w:szCs w:val="14"/>
              </w:rPr>
              <w:t>0,77%)</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00B57024" w:rsidP="00B57024" w:rsidRDefault="006C7604" w14:paraId="6C57C430" w14:textId="77777777">
            <w:pPr>
              <w:spacing w:after="160" w:line="259" w:lineRule="auto"/>
              <w:rPr>
                <w:sz w:val="14"/>
                <w:szCs w:val="14"/>
              </w:rPr>
            </w:pPr>
            <w:r w:rsidRPr="00CC1611">
              <w:rPr>
                <w:sz w:val="14"/>
                <w:szCs w:val="14"/>
              </w:rPr>
              <w:t xml:space="preserve">1,45% </w:t>
            </w:r>
          </w:p>
          <w:p w:rsidRPr="00CC1611" w:rsidR="006C7604" w:rsidP="00B57024" w:rsidRDefault="006C7604" w14:paraId="37AAEC8D" w14:textId="5F4B71C0">
            <w:pPr>
              <w:spacing w:after="160" w:line="259" w:lineRule="auto"/>
              <w:rPr>
                <w:sz w:val="14"/>
                <w:szCs w:val="14"/>
              </w:rPr>
            </w:pPr>
            <w:r w:rsidRPr="00CC1611">
              <w:rPr>
                <w:sz w:val="14"/>
                <w:szCs w:val="14"/>
              </w:rPr>
              <w:t>(was 1,07%)</w:t>
            </w:r>
          </w:p>
        </w:tc>
      </w:tr>
    </w:tbl>
    <w:p w:rsidRPr="00533E71" w:rsidR="006C7604" w:rsidP="006C7604" w:rsidRDefault="00A14120" w14:paraId="3BA3690C" w14:textId="59B4D7AA">
      <w:pPr>
        <w:spacing w:after="160" w:line="259" w:lineRule="auto"/>
        <w:rPr>
          <w:i/>
          <w:iCs/>
          <w:sz w:val="10"/>
          <w:szCs w:val="10"/>
        </w:rPr>
      </w:pPr>
      <w:r w:rsidRPr="00533E71">
        <w:rPr>
          <w:i/>
          <w:iCs/>
          <w:sz w:val="14"/>
          <w:szCs w:val="14"/>
        </w:rPr>
        <w:t>Tabel 1: aangepaste RFNBO-subverplichting sector land</w:t>
      </w:r>
    </w:p>
    <w:p w:rsidRPr="00CC1611" w:rsidR="00F06A2C" w:rsidP="006C7604" w:rsidRDefault="00F06A2C" w14:paraId="34EAED56" w14:textId="7041F16F">
      <w:pPr>
        <w:spacing w:after="160" w:line="259" w:lineRule="auto"/>
        <w:rPr>
          <w:b/>
          <w:bCs/>
          <w:sz w:val="14"/>
          <w:szCs w:val="14"/>
        </w:rPr>
      </w:pPr>
    </w:p>
    <w:tbl>
      <w:tblPr>
        <w:tblW w:w="0" w:type="auto"/>
        <w:tblCellMar>
          <w:left w:w="0" w:type="dxa"/>
          <w:right w:w="0" w:type="dxa"/>
        </w:tblCellMar>
        <w:tblLook w:val="04A0" w:firstRow="1" w:lastRow="0" w:firstColumn="1" w:lastColumn="0" w:noHBand="0" w:noVBand="1"/>
      </w:tblPr>
      <w:tblGrid>
        <w:gridCol w:w="1250"/>
        <w:gridCol w:w="609"/>
        <w:gridCol w:w="1057"/>
        <w:gridCol w:w="1057"/>
        <w:gridCol w:w="1057"/>
        <w:gridCol w:w="1057"/>
      </w:tblGrid>
      <w:tr w:rsidRPr="006C7604" w:rsidR="006C7604" w:rsidTr="00FC3980" w14:paraId="281085F6" w14:textId="77777777">
        <w:trPr>
          <w:trHeight w:val="366"/>
        </w:trPr>
        <w:tc>
          <w:tcPr>
            <w:tcW w:w="0" w:type="auto"/>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0701C7D5" w14:textId="77777777">
            <w:pPr>
              <w:spacing w:after="160" w:line="259" w:lineRule="auto"/>
              <w:rPr>
                <w:b/>
                <w:bCs/>
                <w:sz w:val="14"/>
                <w:szCs w:val="14"/>
              </w:rPr>
            </w:pPr>
            <w:r w:rsidRPr="00CC1611">
              <w:rPr>
                <w:b/>
                <w:bCs/>
                <w:sz w:val="14"/>
                <w:szCs w:val="14"/>
              </w:rPr>
              <w:t>Land</w:t>
            </w:r>
            <w:r w:rsidRPr="00CC1611">
              <w:rPr>
                <w:sz w:val="14"/>
                <w:szCs w:val="14"/>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6A5BE67B" w14:textId="77777777">
            <w:pPr>
              <w:spacing w:after="160" w:line="259" w:lineRule="auto"/>
              <w:rPr>
                <w:b/>
                <w:bCs/>
                <w:sz w:val="14"/>
                <w:szCs w:val="14"/>
              </w:rPr>
            </w:pPr>
            <w:r w:rsidRPr="00CC1611">
              <w:rPr>
                <w:b/>
                <w:bCs/>
                <w:sz w:val="14"/>
                <w:szCs w:val="14"/>
              </w:rPr>
              <w:t>2026</w:t>
            </w:r>
            <w:r w:rsidRPr="00CC1611">
              <w:rPr>
                <w:sz w:val="14"/>
                <w:szCs w:val="14"/>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62A5EE0C" w14:textId="77777777">
            <w:pPr>
              <w:spacing w:after="160" w:line="259" w:lineRule="auto"/>
              <w:rPr>
                <w:b/>
                <w:bCs/>
                <w:sz w:val="14"/>
                <w:szCs w:val="14"/>
              </w:rPr>
            </w:pPr>
            <w:r w:rsidRPr="00CC1611">
              <w:rPr>
                <w:b/>
                <w:bCs/>
                <w:sz w:val="14"/>
                <w:szCs w:val="14"/>
              </w:rPr>
              <w:t>2027</w:t>
            </w:r>
            <w:r w:rsidRPr="00CC1611">
              <w:rPr>
                <w:sz w:val="14"/>
                <w:szCs w:val="14"/>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12AA3BBF" w14:textId="77777777">
            <w:pPr>
              <w:spacing w:after="160" w:line="259" w:lineRule="auto"/>
              <w:rPr>
                <w:b/>
                <w:bCs/>
                <w:sz w:val="14"/>
                <w:szCs w:val="14"/>
              </w:rPr>
            </w:pPr>
            <w:r w:rsidRPr="00CC1611">
              <w:rPr>
                <w:b/>
                <w:bCs/>
                <w:sz w:val="14"/>
                <w:szCs w:val="14"/>
              </w:rPr>
              <w:t>2028</w:t>
            </w:r>
            <w:r w:rsidRPr="00CC1611">
              <w:rPr>
                <w:sz w:val="14"/>
                <w:szCs w:val="14"/>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27C2CBC1" w14:textId="77777777">
            <w:pPr>
              <w:spacing w:after="160" w:line="259" w:lineRule="auto"/>
              <w:rPr>
                <w:b/>
                <w:bCs/>
                <w:sz w:val="14"/>
                <w:szCs w:val="14"/>
              </w:rPr>
            </w:pPr>
            <w:r w:rsidRPr="00CC1611">
              <w:rPr>
                <w:b/>
                <w:bCs/>
                <w:sz w:val="14"/>
                <w:szCs w:val="14"/>
              </w:rPr>
              <w:t>2029</w:t>
            </w:r>
            <w:r w:rsidRPr="00CC1611">
              <w:rPr>
                <w:sz w:val="14"/>
                <w:szCs w:val="14"/>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770F7BE2" w14:textId="77777777">
            <w:pPr>
              <w:spacing w:after="160" w:line="259" w:lineRule="auto"/>
              <w:rPr>
                <w:b/>
                <w:bCs/>
                <w:sz w:val="14"/>
                <w:szCs w:val="14"/>
              </w:rPr>
            </w:pPr>
            <w:r w:rsidRPr="00CC1611">
              <w:rPr>
                <w:b/>
                <w:bCs/>
                <w:sz w:val="14"/>
                <w:szCs w:val="14"/>
              </w:rPr>
              <w:t>2030</w:t>
            </w:r>
            <w:r w:rsidRPr="00CC1611">
              <w:rPr>
                <w:sz w:val="14"/>
                <w:szCs w:val="14"/>
              </w:rPr>
              <w:t> </w:t>
            </w:r>
          </w:p>
        </w:tc>
      </w:tr>
      <w:tr w:rsidRPr="006C7604" w:rsidR="006C7604" w:rsidTr="00FC3980" w14:paraId="22FB647F" w14:textId="77777777">
        <w:trPr>
          <w:trHeight w:val="366"/>
        </w:trPr>
        <w:tc>
          <w:tcPr>
            <w:tcW w:w="0" w:type="auto"/>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1CF007C2" w14:textId="77777777">
            <w:pPr>
              <w:spacing w:after="160" w:line="259" w:lineRule="auto"/>
              <w:rPr>
                <w:sz w:val="14"/>
                <w:szCs w:val="14"/>
              </w:rPr>
            </w:pPr>
            <w:r w:rsidRPr="00CC1611">
              <w:rPr>
                <w:sz w:val="14"/>
                <w:szCs w:val="14"/>
              </w:rPr>
              <w:t>Sectorspecifiek </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3F666BB4" w14:textId="77777777">
            <w:pPr>
              <w:spacing w:after="160" w:line="259" w:lineRule="auto"/>
              <w:rPr>
                <w:sz w:val="14"/>
                <w:szCs w:val="14"/>
              </w:rPr>
            </w:pPr>
            <w:r w:rsidRPr="00CC1611">
              <w:rPr>
                <w:sz w:val="14"/>
                <w:szCs w:val="14"/>
              </w:rPr>
              <w:t>14,4%</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573EA424" w14:textId="65D2A680">
            <w:pPr>
              <w:spacing w:after="160" w:line="259" w:lineRule="auto"/>
              <w:rPr>
                <w:sz w:val="14"/>
                <w:szCs w:val="14"/>
              </w:rPr>
            </w:pPr>
            <w:r w:rsidRPr="00CC1611">
              <w:rPr>
                <w:sz w:val="14"/>
                <w:szCs w:val="14"/>
              </w:rPr>
              <w:t>16,</w:t>
            </w:r>
            <w:r w:rsidR="00FF4348">
              <w:rPr>
                <w:sz w:val="14"/>
                <w:szCs w:val="14"/>
              </w:rPr>
              <w:t>5</w:t>
            </w:r>
            <w:r w:rsidRPr="00CC1611">
              <w:rPr>
                <w:sz w:val="14"/>
                <w:szCs w:val="14"/>
              </w:rPr>
              <w:t>%</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192BEB6C" w14:textId="77777777">
            <w:pPr>
              <w:spacing w:after="160" w:line="259" w:lineRule="auto"/>
              <w:rPr>
                <w:sz w:val="14"/>
                <w:szCs w:val="14"/>
              </w:rPr>
            </w:pPr>
            <w:r w:rsidRPr="00CC1611">
              <w:rPr>
                <w:sz w:val="14"/>
                <w:szCs w:val="14"/>
              </w:rPr>
              <w:t>22,9%</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44F348C1" w14:textId="77777777">
            <w:pPr>
              <w:spacing w:after="160" w:line="259" w:lineRule="auto"/>
              <w:rPr>
                <w:sz w:val="14"/>
                <w:szCs w:val="14"/>
              </w:rPr>
            </w:pPr>
            <w:r w:rsidRPr="00CC1611">
              <w:rPr>
                <w:sz w:val="14"/>
                <w:szCs w:val="14"/>
              </w:rPr>
              <w:t>25,0%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443AE8A2" w14:textId="77777777">
            <w:pPr>
              <w:spacing w:after="160" w:line="259" w:lineRule="auto"/>
              <w:rPr>
                <w:sz w:val="14"/>
                <w:szCs w:val="14"/>
              </w:rPr>
            </w:pPr>
            <w:r w:rsidRPr="00CC1611">
              <w:rPr>
                <w:sz w:val="14"/>
                <w:szCs w:val="14"/>
              </w:rPr>
              <w:t>27,5%</w:t>
            </w:r>
          </w:p>
        </w:tc>
      </w:tr>
      <w:tr w:rsidRPr="006C7604" w:rsidR="006C7604" w:rsidTr="00FC3980" w14:paraId="13F08F3C" w14:textId="77777777">
        <w:trPr>
          <w:trHeight w:val="366"/>
        </w:trPr>
        <w:tc>
          <w:tcPr>
            <w:tcW w:w="0" w:type="auto"/>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214B2738" w14:textId="77777777">
            <w:pPr>
              <w:spacing w:after="160" w:line="259" w:lineRule="auto"/>
              <w:rPr>
                <w:sz w:val="14"/>
                <w:szCs w:val="14"/>
              </w:rPr>
            </w:pPr>
            <w:r w:rsidRPr="00CC1611">
              <w:rPr>
                <w:sz w:val="14"/>
                <w:szCs w:val="14"/>
              </w:rPr>
              <w:t>Vrije ruimte </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5B2C42F8" w14:textId="77777777">
            <w:pPr>
              <w:spacing w:after="160" w:line="259" w:lineRule="auto"/>
              <w:rPr>
                <w:sz w:val="14"/>
                <w:szCs w:val="14"/>
              </w:rPr>
            </w:pPr>
            <w:r w:rsidRPr="00CC1611">
              <w:rPr>
                <w:sz w:val="14"/>
                <w:szCs w:val="14"/>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4C1203B4" w14:textId="77777777">
            <w:pPr>
              <w:spacing w:after="160" w:line="259" w:lineRule="auto"/>
              <w:rPr>
                <w:sz w:val="14"/>
                <w:szCs w:val="14"/>
              </w:rPr>
            </w:pPr>
            <w:r w:rsidRPr="00CC1611">
              <w:rPr>
                <w:sz w:val="14"/>
                <w:szCs w:val="14"/>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6A24E189" w14:textId="77777777">
            <w:pPr>
              <w:spacing w:after="160" w:line="259" w:lineRule="auto"/>
              <w:rPr>
                <w:sz w:val="14"/>
                <w:szCs w:val="14"/>
              </w:rPr>
            </w:pPr>
            <w:r w:rsidRPr="00CC1611">
              <w:rPr>
                <w:sz w:val="14"/>
                <w:szCs w:val="14"/>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23ED3A1C" w14:textId="77777777">
            <w:pPr>
              <w:spacing w:after="160" w:line="259" w:lineRule="auto"/>
              <w:rPr>
                <w:sz w:val="14"/>
                <w:szCs w:val="14"/>
              </w:rPr>
            </w:pPr>
            <w:r w:rsidRPr="00CC1611">
              <w:rPr>
                <w:sz w:val="14"/>
                <w:szCs w:val="14"/>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CC1611" w:rsidR="006C7604" w:rsidP="00CA5ADC" w:rsidRDefault="006C7604" w14:paraId="5EDB08E1" w14:textId="77777777">
            <w:pPr>
              <w:spacing w:after="160" w:line="259" w:lineRule="auto"/>
              <w:rPr>
                <w:sz w:val="14"/>
                <w:szCs w:val="14"/>
              </w:rPr>
            </w:pPr>
            <w:r w:rsidRPr="00CC1611">
              <w:rPr>
                <w:sz w:val="14"/>
                <w:szCs w:val="14"/>
              </w:rPr>
              <w:t>0%</w:t>
            </w:r>
          </w:p>
        </w:tc>
      </w:tr>
      <w:tr w:rsidRPr="006C7604" w:rsidR="006C7604" w:rsidTr="00FC3980" w14:paraId="6E194FC7" w14:textId="77777777">
        <w:trPr>
          <w:trHeight w:val="366"/>
        </w:trPr>
        <w:tc>
          <w:tcPr>
            <w:tcW w:w="0" w:type="auto"/>
            <w:tcBorders>
              <w:top w:val="nil"/>
              <w:left w:val="single" w:color="auto" w:sz="8" w:space="0"/>
              <w:bottom w:val="single" w:color="auto" w:sz="8" w:space="0"/>
              <w:right w:val="single" w:color="auto" w:sz="8" w:space="0"/>
            </w:tcBorders>
            <w:shd w:val="clear" w:color="auto" w:fill="FFE599"/>
            <w:tcMar>
              <w:top w:w="0" w:type="dxa"/>
              <w:left w:w="70" w:type="dxa"/>
              <w:bottom w:w="0" w:type="dxa"/>
              <w:right w:w="70" w:type="dxa"/>
            </w:tcMar>
            <w:vAlign w:val="center"/>
            <w:hideMark/>
          </w:tcPr>
          <w:p w:rsidRPr="00CC1611" w:rsidR="006C7604" w:rsidP="00CA5ADC" w:rsidRDefault="006C7604" w14:paraId="0EB3AF11" w14:textId="77777777">
            <w:pPr>
              <w:spacing w:after="160" w:line="259" w:lineRule="auto"/>
              <w:rPr>
                <w:sz w:val="14"/>
                <w:szCs w:val="14"/>
              </w:rPr>
            </w:pPr>
            <w:r w:rsidRPr="00CC1611">
              <w:rPr>
                <w:sz w:val="14"/>
                <w:szCs w:val="14"/>
              </w:rPr>
              <w:t>Totaal </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CC1611" w:rsidR="0039770B" w:rsidP="00CA5ADC" w:rsidRDefault="006C7604" w14:paraId="1E4FD07B" w14:textId="37E275C4">
            <w:pPr>
              <w:spacing w:after="160" w:line="259" w:lineRule="auto"/>
              <w:rPr>
                <w:sz w:val="14"/>
                <w:szCs w:val="14"/>
              </w:rPr>
            </w:pPr>
            <w:r w:rsidRPr="00CC1611">
              <w:rPr>
                <w:sz w:val="14"/>
                <w:szCs w:val="14"/>
              </w:rPr>
              <w:t>14,4%</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CC1611" w:rsidR="00FF4348" w:rsidP="00FF4348" w:rsidRDefault="006C7604" w14:paraId="00A53E2B" w14:textId="113CF7EA">
            <w:pPr>
              <w:spacing w:after="160" w:line="259" w:lineRule="auto"/>
              <w:rPr>
                <w:sz w:val="14"/>
                <w:szCs w:val="14"/>
              </w:rPr>
            </w:pPr>
            <w:r w:rsidRPr="00CC1611">
              <w:rPr>
                <w:sz w:val="14"/>
                <w:szCs w:val="14"/>
              </w:rPr>
              <w:t>16,</w:t>
            </w:r>
            <w:r w:rsidR="00FF4348">
              <w:rPr>
                <w:sz w:val="14"/>
                <w:szCs w:val="14"/>
              </w:rPr>
              <w:t>5</w:t>
            </w:r>
            <w:r w:rsidRPr="00CC1611">
              <w:rPr>
                <w:sz w:val="14"/>
                <w:szCs w:val="14"/>
              </w:rPr>
              <w:t>%</w:t>
            </w:r>
            <w:r w:rsidR="00FF4348">
              <w:rPr>
                <w:sz w:val="14"/>
                <w:szCs w:val="14"/>
              </w:rPr>
              <w:br/>
              <w:t>(was 16,4%)</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6C7604" w:rsidR="006C7604" w:rsidP="00CA5ADC" w:rsidRDefault="006C7604" w14:paraId="5E4EBAFB" w14:textId="77777777">
            <w:pPr>
              <w:rPr>
                <w:sz w:val="14"/>
                <w:szCs w:val="14"/>
              </w:rPr>
            </w:pPr>
            <w:r w:rsidRPr="00CC1611">
              <w:rPr>
                <w:sz w:val="14"/>
                <w:szCs w:val="14"/>
              </w:rPr>
              <w:t xml:space="preserve">22,9% </w:t>
            </w:r>
          </w:p>
          <w:p w:rsidRPr="00CC1611" w:rsidR="006C7604" w:rsidP="00CA5ADC" w:rsidRDefault="006C7604" w14:paraId="0D681457" w14:textId="77777777">
            <w:pPr>
              <w:spacing w:after="160" w:line="259" w:lineRule="auto"/>
              <w:rPr>
                <w:sz w:val="14"/>
                <w:szCs w:val="14"/>
              </w:rPr>
            </w:pPr>
            <w:r w:rsidRPr="00CC1611">
              <w:rPr>
                <w:sz w:val="14"/>
                <w:szCs w:val="14"/>
              </w:rPr>
              <w:t>(was 22,8%)</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6C7604" w:rsidR="006C7604" w:rsidP="00CA5ADC" w:rsidRDefault="006C7604" w14:paraId="6CE114C9" w14:textId="77777777">
            <w:pPr>
              <w:rPr>
                <w:sz w:val="14"/>
                <w:szCs w:val="14"/>
              </w:rPr>
            </w:pPr>
            <w:r w:rsidRPr="00CC1611">
              <w:rPr>
                <w:sz w:val="14"/>
                <w:szCs w:val="14"/>
              </w:rPr>
              <w:t xml:space="preserve">25,0% </w:t>
            </w:r>
          </w:p>
          <w:p w:rsidRPr="00CC1611" w:rsidR="006C7604" w:rsidP="00CA5ADC" w:rsidRDefault="006C7604" w14:paraId="11E7524B" w14:textId="77777777">
            <w:pPr>
              <w:spacing w:after="160" w:line="259" w:lineRule="auto"/>
              <w:rPr>
                <w:sz w:val="14"/>
                <w:szCs w:val="14"/>
              </w:rPr>
            </w:pPr>
            <w:r w:rsidRPr="00CC1611">
              <w:rPr>
                <w:sz w:val="14"/>
                <w:szCs w:val="14"/>
              </w:rPr>
              <w:t>(was 24,8%)</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6C7604" w:rsidR="006C7604" w:rsidP="00CA5ADC" w:rsidRDefault="006C7604" w14:paraId="724CB0AE" w14:textId="77777777">
            <w:pPr>
              <w:rPr>
                <w:sz w:val="14"/>
                <w:szCs w:val="14"/>
              </w:rPr>
            </w:pPr>
            <w:r w:rsidRPr="00CC1611">
              <w:rPr>
                <w:sz w:val="14"/>
                <w:szCs w:val="14"/>
              </w:rPr>
              <w:t xml:space="preserve">27,5% </w:t>
            </w:r>
          </w:p>
          <w:p w:rsidRPr="00CC1611" w:rsidR="006C7604" w:rsidP="00CA5ADC" w:rsidRDefault="006C7604" w14:paraId="0322EE36" w14:textId="77777777">
            <w:pPr>
              <w:spacing w:after="160" w:line="259" w:lineRule="auto"/>
              <w:rPr>
                <w:sz w:val="14"/>
                <w:szCs w:val="14"/>
              </w:rPr>
            </w:pPr>
            <w:r w:rsidRPr="00CC1611">
              <w:rPr>
                <w:sz w:val="14"/>
                <w:szCs w:val="14"/>
              </w:rPr>
              <w:t>(was 27,1%)</w:t>
            </w:r>
          </w:p>
        </w:tc>
      </w:tr>
    </w:tbl>
    <w:p w:rsidRPr="00533E71" w:rsidR="00513C73" w:rsidP="007209D1" w:rsidRDefault="00A14120" w14:paraId="0C179335" w14:textId="5AF5A94E">
      <w:pPr>
        <w:rPr>
          <w:i/>
          <w:iCs/>
          <w:sz w:val="14"/>
          <w:szCs w:val="14"/>
        </w:rPr>
      </w:pPr>
      <w:r w:rsidRPr="00533E71">
        <w:rPr>
          <w:i/>
          <w:iCs/>
          <w:sz w:val="14"/>
          <w:szCs w:val="14"/>
        </w:rPr>
        <w:t>Tabel 2: aangepaste verplichting sector land, n.a.v. verhogen RFNBO-subdoel</w:t>
      </w:r>
    </w:p>
    <w:p w:rsidR="00A14120" w:rsidP="007209D1" w:rsidRDefault="00A14120" w14:paraId="35E01B8A" w14:textId="77777777"/>
    <w:p w:rsidR="00125ED3" w:rsidP="00177796" w:rsidRDefault="00177796" w14:paraId="57AD21CE" w14:textId="297FCC56">
      <w:pPr>
        <w:pStyle w:val="ListParagraph"/>
        <w:numPr>
          <w:ilvl w:val="0"/>
          <w:numId w:val="23"/>
        </w:numPr>
        <w:rPr>
          <w:b/>
          <w:bCs/>
        </w:rPr>
      </w:pPr>
      <w:r>
        <w:rPr>
          <w:b/>
          <w:bCs/>
        </w:rPr>
        <w:t xml:space="preserve">Tijdelijke mitigerende maatregel vanwege onzekerheid </w:t>
      </w:r>
      <w:r w:rsidR="00DE4C6C">
        <w:rPr>
          <w:b/>
          <w:bCs/>
        </w:rPr>
        <w:t xml:space="preserve">ingangsdatum </w:t>
      </w:r>
      <w:r>
        <w:rPr>
          <w:b/>
          <w:bCs/>
        </w:rPr>
        <w:t>Belgische implementatie</w:t>
      </w:r>
    </w:p>
    <w:p w:rsidR="00177796" w:rsidP="00177796" w:rsidRDefault="00D0378B" w14:paraId="64188058" w14:textId="4605ED82">
      <w:r>
        <w:t xml:space="preserve">Nederland heeft een MoU met België om gelijkaardige hernieuwbare brandstofverplichtingen op te leggen aan brandstofleveringen aan zee- en binnenvaart. </w:t>
      </w:r>
      <w:r w:rsidR="00177796">
        <w:t xml:space="preserve">Het RED-III wet- en regelgeving proces is in België nog niet afgerond. Daarmee bestaat er onzekerheid over de invoeringsdatum en de aard van implementatie </w:t>
      </w:r>
      <w:r w:rsidR="00C24EE3">
        <w:t>aldaar</w:t>
      </w:r>
      <w:r w:rsidR="00177796">
        <w:t xml:space="preserve">. We hebben contact gehad met de belanghebbende brandstofleveranciers en hernieuwbare brandstofproducenten. Terwijl sommigen zich zorgen maken over een ongelijk speelveld met België in 2026, geven anderen aan dat deze zorgen minder belangrijk zijn dat het belang van het consistent doorzetten van de aangekondigde verplichtingen en zo de hernieuwbare brandstofinzet in Nederland stapsgewijs te doen groeien. </w:t>
      </w:r>
      <w:r w:rsidRPr="00C110AD" w:rsidR="00C110AD">
        <w:t>Ik neem daarom een gerichte mitigerende maatregel in 2026 die aan de ene kant een ongelijk speelveld voor brandstofleveranciers moet tegengaan, en aan de andere kant geen onnodige belemmering moet vormen voor de productie hernieuwbare brandstoffen.</w:t>
      </w:r>
    </w:p>
    <w:p w:rsidR="00177796" w:rsidP="00177796" w:rsidRDefault="00177796" w14:paraId="1B008B75" w14:textId="77777777">
      <w:r>
        <w:t xml:space="preserve"> </w:t>
      </w:r>
    </w:p>
    <w:p w:rsidR="00177796" w:rsidP="00177796" w:rsidRDefault="00177796" w14:paraId="32367190" w14:textId="68972FAE">
      <w:r>
        <w:t>De brandstoftransitieverplichtingen in de zee- en binnenvaartsectoren in 2026 worden verlaagd. Binnenvaartbrandstofleveranciers moeten 2,5% CO2-ketenemissiereductie (was 3,8%) realiseren, waarvan 0,5% mag worden ingevuld met ERE’s uit een andere sector. Hierdoor wordt 1,5 PJ hernieuwbare energie geleverd, in plaats van 2,1 PJ. Op deze manier wordt 0,15 Mton CO2 gereduceerd, in plaats van 0,2 Mton. Zeevaartbrandstofleveranciers moeten in 2026 2,9% CO2-ketenemissie reduceren (was 3,6</w:t>
      </w:r>
      <w:r w:rsidR="00FD5D84">
        <w:t>%</w:t>
      </w:r>
      <w:r>
        <w:t>), waarvan 0,9% mag worden ingevuld met ERE’s uit een andere sector. Hierdoor wordt 14 PJ hernieuwbare energie geleverd, in plaats van 18,5PJ. Op deze manier wordt 1,15 Mton CO2 gereduceerd, in plaats van 1,5 Mton. Vanaf 2027 gelden de verplichtingen zoals ze eerder zijn aangekondigd. In lijn met de motie Van Groningen monitor ik jaarlijks hoe de verplichting in de omringende landen zich ontwikkelt en welk effect dit heeft op het gelijke speelveld voor zowel brandstofleveranciers als producenten van hernieuwbare brandstoffen.</w:t>
      </w:r>
    </w:p>
    <w:p w:rsidR="00177796" w:rsidP="00177796" w:rsidRDefault="00177796" w14:paraId="7E6C7BAE" w14:textId="77777777"/>
    <w:p w:rsidR="00177796" w:rsidP="00177796" w:rsidRDefault="00177796" w14:paraId="62788122" w14:textId="0CA7446B">
      <w:r>
        <w:t>In de bij deze brief gevoegde versie van het Besluit energie vervoer dat aan de Raad van State is aangeboden, zijn de hoogtes van de verplichtingen voor brandstofleveringen aan zee- en binnenvaart in 2026 nog niet aangepast.</w:t>
      </w:r>
    </w:p>
    <w:p w:rsidRPr="00177796" w:rsidR="00177796" w:rsidP="00177796" w:rsidRDefault="00177796" w14:paraId="520C52E2" w14:textId="77777777">
      <w:pPr>
        <w:spacing w:line="240" w:lineRule="exact"/>
      </w:pPr>
    </w:p>
    <w:p w:rsidRPr="00177796" w:rsidR="00125ED3" w:rsidP="00177796" w:rsidRDefault="00125ED3" w14:paraId="43A0991F" w14:textId="32A42188">
      <w:pPr>
        <w:pStyle w:val="ListParagraph"/>
        <w:numPr>
          <w:ilvl w:val="0"/>
          <w:numId w:val="23"/>
        </w:numPr>
        <w:rPr>
          <w:b/>
          <w:bCs/>
        </w:rPr>
      </w:pPr>
      <w:r w:rsidRPr="00177796">
        <w:rPr>
          <w:b/>
          <w:bCs/>
        </w:rPr>
        <w:t>Overige toezeggingen en moties</w:t>
      </w:r>
    </w:p>
    <w:p w:rsidR="00C313D6" w:rsidP="00125ED3" w:rsidRDefault="00C313D6" w14:paraId="1893CD19" w14:textId="77777777"/>
    <w:p w:rsidR="00125ED3" w:rsidP="00125ED3" w:rsidRDefault="00125ED3" w14:paraId="66CDE8DD" w14:textId="0A173BD1">
      <w:r>
        <w:t xml:space="preserve">In de volgende voortgangsbrief kom ik terug op </w:t>
      </w:r>
      <w:r w:rsidR="00C313D6">
        <w:t xml:space="preserve">de voortgang ten aanzien van </w:t>
      </w:r>
      <w:r>
        <w:t>andere toezeggingen</w:t>
      </w:r>
      <w:r w:rsidR="00C313D6">
        <w:t xml:space="preserve"> en aangenomen moties</w:t>
      </w:r>
      <w:r>
        <w:t>:</w:t>
      </w:r>
    </w:p>
    <w:p w:rsidR="00C313D6" w:rsidP="00C313D6" w:rsidRDefault="00125ED3" w14:paraId="30DDEB3D" w14:textId="77777777">
      <w:pPr>
        <w:pStyle w:val="ListParagraph"/>
        <w:numPr>
          <w:ilvl w:val="0"/>
          <w:numId w:val="22"/>
        </w:numPr>
      </w:pPr>
      <w:r>
        <w:t xml:space="preserve">de reeds lopende verkenning naar het doortrekken van de brandstoftransitieverplichting na 2030 (cf. </w:t>
      </w:r>
      <w:r w:rsidRPr="00915254">
        <w:t>de motie van Kamerlid Veltman</w:t>
      </w:r>
      <w:r>
        <w:t xml:space="preserve">; </w:t>
      </w:r>
      <w:r w:rsidRPr="00915254">
        <w:t>Kamerstukken II, 2025/26, 36766-12</w:t>
      </w:r>
      <w:r>
        <w:t>)</w:t>
      </w:r>
    </w:p>
    <w:p w:rsidR="00C313D6" w:rsidP="00C313D6" w:rsidRDefault="00125ED3" w14:paraId="16169FF5" w14:textId="717A02AF">
      <w:pPr>
        <w:pStyle w:val="ListParagraph"/>
        <w:numPr>
          <w:ilvl w:val="0"/>
          <w:numId w:val="22"/>
        </w:numPr>
      </w:pPr>
      <w:r>
        <w:t>de toegezegde verkenning in Europees verband of de limiet op Annex IX-B grondstoffen verhoogd kan worden (toezegging: TZ202510-020</w:t>
      </w:r>
      <w:r w:rsidR="00D10AB2">
        <w:t xml:space="preserve"> aan Kamerleden Pierik (BBB) en van Groningen (VVD)</w:t>
      </w:r>
      <w:r>
        <w:t>)</w:t>
      </w:r>
    </w:p>
    <w:p w:rsidR="00C313D6" w:rsidP="00C313D6" w:rsidRDefault="00125ED3" w14:paraId="7F7E3CDC" w14:textId="77777777">
      <w:pPr>
        <w:pStyle w:val="ListParagraph"/>
        <w:numPr>
          <w:ilvl w:val="0"/>
          <w:numId w:val="22"/>
        </w:numPr>
      </w:pPr>
      <w:r>
        <w:t>d</w:t>
      </w:r>
      <w:r w:rsidRPr="00371720">
        <w:t xml:space="preserve">e </w:t>
      </w:r>
      <w:r w:rsidR="00C313D6">
        <w:t xml:space="preserve">geldende </w:t>
      </w:r>
      <w:r w:rsidRPr="00371720">
        <w:t xml:space="preserve">Europese regels </w:t>
      </w:r>
      <w:r>
        <w:t xml:space="preserve">voor </w:t>
      </w:r>
      <w:r w:rsidRPr="00371720">
        <w:t>het toepassen van een massabalanssystematiek voor bio-LNG</w:t>
      </w:r>
      <w:r>
        <w:t xml:space="preserve"> (cf. </w:t>
      </w:r>
      <w:r w:rsidRPr="00915254">
        <w:t>de motie van Kamerlid Veltman</w:t>
      </w:r>
      <w:r>
        <w:t xml:space="preserve">; </w:t>
      </w:r>
      <w:r w:rsidRPr="00915254">
        <w:t>Kamerstukken II, 2025/26, 36766-1</w:t>
      </w:r>
      <w:r>
        <w:t>7)</w:t>
      </w:r>
    </w:p>
    <w:p w:rsidR="00C313D6" w:rsidP="000F5BBD" w:rsidRDefault="00C313D6" w14:paraId="6145AC1C" w14:textId="1B5E7F64">
      <w:pPr>
        <w:pStyle w:val="ListParagraph"/>
        <w:numPr>
          <w:ilvl w:val="0"/>
          <w:numId w:val="22"/>
        </w:numPr>
      </w:pPr>
      <w:r>
        <w:t xml:space="preserve">het gesprek met </w:t>
      </w:r>
      <w:r w:rsidR="003803D7">
        <w:t xml:space="preserve">de Minister van Klimaat en Groene Groei over haar beeld van de wenselijkheid en noodzaak van het eventueel </w:t>
      </w:r>
      <w:r w:rsidRPr="00D279D3" w:rsidR="003803D7">
        <w:t>verder verhogen van het RFNBO-subdoel tot 11 of 12 PJ voor alle sectoren gezamenlijk</w:t>
      </w:r>
      <w:r>
        <w:t xml:space="preserve"> (toezegging TZ202510-020</w:t>
      </w:r>
      <w:r w:rsidR="00D10AB2">
        <w:t xml:space="preserve"> aan Kamerlid van Groningen (VVD)</w:t>
      </w:r>
      <w:r>
        <w:t>).</w:t>
      </w:r>
    </w:p>
    <w:p w:rsidR="005404E1" w:rsidP="005404E1" w:rsidRDefault="005404E1" w14:paraId="465B57B8" w14:textId="77777777"/>
    <w:p w:rsidR="005404E1" w:rsidP="005404E1" w:rsidRDefault="005404E1" w14:paraId="3825024D" w14:textId="77777777"/>
    <w:p w:rsidR="005404E1" w:rsidP="005404E1" w:rsidRDefault="005404E1" w14:paraId="769EAD9A" w14:textId="77777777"/>
    <w:p w:rsidR="00EE766D" w:rsidRDefault="00542546" w14:paraId="12FB266B" w14:textId="762414FA">
      <w:pPr>
        <w:pStyle w:val="Slotzin"/>
      </w:pPr>
      <w:r>
        <w:t>H</w:t>
      </w:r>
      <w:r w:rsidR="006B6AF8">
        <w:t>oogachtend,</w:t>
      </w:r>
    </w:p>
    <w:p w:rsidR="00EE766D" w:rsidRDefault="006B6AF8" w14:paraId="47FD9AE8" w14:textId="77777777">
      <w:pPr>
        <w:pStyle w:val="OndertekeningArea1"/>
      </w:pPr>
      <w:r>
        <w:t>DE STAATSSECRETARIS VAN INFRASTRUCTUUR EN WATERSTAAT – OPENBAAR VERVOER EN MILIEU,</w:t>
      </w:r>
    </w:p>
    <w:p w:rsidR="00EE766D" w:rsidRDefault="00EE766D" w14:paraId="672C8D6C" w14:textId="77777777"/>
    <w:p w:rsidR="00EE766D" w:rsidRDefault="00EE766D" w14:paraId="333A4B97" w14:textId="77777777"/>
    <w:p w:rsidR="00EE766D" w:rsidRDefault="00EE766D" w14:paraId="5E72B426" w14:textId="77777777"/>
    <w:p w:rsidR="00EE766D" w:rsidRDefault="00EE766D" w14:paraId="7175FCE7" w14:textId="77777777"/>
    <w:p w:rsidR="00D166AA" w:rsidRDefault="00D166AA" w14:paraId="4A4883CF" w14:textId="77777777"/>
    <w:p w:rsidR="00EE766D" w:rsidRDefault="00D166AA" w14:paraId="567427B9" w14:textId="261651FB">
      <w:r>
        <w:t>A</w:t>
      </w:r>
      <w:r w:rsidR="00542546">
        <w:t>.</w:t>
      </w:r>
      <w:r>
        <w:t>A.</w:t>
      </w:r>
      <w:r w:rsidR="00542546">
        <w:t xml:space="preserve"> </w:t>
      </w:r>
      <w:r w:rsidR="00463965">
        <w:t xml:space="preserve">(Thierry) </w:t>
      </w:r>
      <w:r w:rsidR="00542546">
        <w:t>Aartsen</w:t>
      </w:r>
    </w:p>
    <w:sectPr w:rsidR="00EE766D">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11B3D" w14:textId="77777777" w:rsidR="00A96DDF" w:rsidRDefault="00A96DDF">
      <w:pPr>
        <w:spacing w:line="240" w:lineRule="auto"/>
      </w:pPr>
      <w:r>
        <w:separator/>
      </w:r>
    </w:p>
  </w:endnote>
  <w:endnote w:type="continuationSeparator" w:id="0">
    <w:p w14:paraId="020DD9AE" w14:textId="77777777" w:rsidR="00A96DDF" w:rsidRDefault="00A96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2CE6" w14:textId="46712716" w:rsidR="00F80165" w:rsidRDefault="00F80165">
    <w:pPr>
      <w:pStyle w:val="Footer"/>
    </w:pPr>
    <w:r>
      <w:rPr>
        <w:noProof/>
        <w:lang w:val="en-GB" w:eastAsia="en-GB"/>
      </w:rPr>
      <mc:AlternateContent>
        <mc:Choice Requires="wps">
          <w:drawing>
            <wp:anchor distT="0" distB="0" distL="0" distR="0" simplePos="0" relativeHeight="251665920" behindDoc="0" locked="0" layoutInCell="1" allowOverlap="1" wp14:anchorId="7DF5430A" wp14:editId="274573AB">
              <wp:simplePos x="635" y="635"/>
              <wp:positionH relativeFrom="page">
                <wp:align>left</wp:align>
              </wp:positionH>
              <wp:positionV relativeFrom="page">
                <wp:align>bottom</wp:align>
              </wp:positionV>
              <wp:extent cx="986155" cy="345440"/>
              <wp:effectExtent l="0" t="0" r="4445" b="0"/>
              <wp:wrapNone/>
              <wp:docPr id="1733693580"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FD95232" w14:textId="3F33077B" w:rsidR="00F80165" w:rsidRPr="00F80165" w:rsidRDefault="00F80165" w:rsidP="00F80165">
                          <w:pPr>
                            <w:rPr>
                              <w:rFonts w:ascii="Calibri" w:eastAsia="Calibri" w:hAnsi="Calibri" w:cs="Calibri"/>
                              <w:noProof/>
                              <w:sz w:val="20"/>
                              <w:szCs w:val="20"/>
                            </w:rPr>
                          </w:pPr>
                          <w:r w:rsidRPr="00F8016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F5430A"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CGHpmxegIAALsEAAAOAAAA&#10;AAAAAAAAAAAAAC4CAABkcnMvZTJvRG9jLnhtbFBLAQItABQABgAIAAAAIQBHzAyJ2gAAAAQBAAAP&#10;AAAAAAAAAAAAAAAAANQEAABkcnMvZG93bnJldi54bWxQSwUGAAAAAAQABADzAAAA2wUAAAAA&#10;" filled="f" stroked="f">
              <v:textbox style="mso-fit-shape-to-text:t" inset="20pt,0,0,15pt">
                <w:txbxContent>
                  <w:p w14:paraId="2FD95232" w14:textId="3F33077B" w:rsidR="00F80165" w:rsidRPr="00F80165" w:rsidRDefault="00F80165" w:rsidP="00F80165">
                    <w:pPr>
                      <w:rPr>
                        <w:rFonts w:ascii="Calibri" w:eastAsia="Calibri" w:hAnsi="Calibri" w:cs="Calibri"/>
                        <w:noProof/>
                        <w:sz w:val="20"/>
                        <w:szCs w:val="20"/>
                      </w:rPr>
                    </w:pPr>
                    <w:r w:rsidRPr="00F80165">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AB16E" w14:textId="73CA1AC3" w:rsidR="00F80165" w:rsidRDefault="00F80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37BA" w14:textId="7B164E6A" w:rsidR="00F80165" w:rsidRDefault="00F80165">
    <w:pPr>
      <w:pStyle w:val="Footer"/>
    </w:pPr>
    <w:r>
      <w:rPr>
        <w:noProof/>
        <w:lang w:val="en-GB" w:eastAsia="en-GB"/>
      </w:rPr>
      <mc:AlternateContent>
        <mc:Choice Requires="wps">
          <w:drawing>
            <wp:anchor distT="0" distB="0" distL="0" distR="0" simplePos="0" relativeHeight="251664896" behindDoc="0" locked="0" layoutInCell="1" allowOverlap="1" wp14:anchorId="21CB3677" wp14:editId="600017AA">
              <wp:simplePos x="1009650" y="10553700"/>
              <wp:positionH relativeFrom="page">
                <wp:align>left</wp:align>
              </wp:positionH>
              <wp:positionV relativeFrom="page">
                <wp:align>bottom</wp:align>
              </wp:positionV>
              <wp:extent cx="986155" cy="345440"/>
              <wp:effectExtent l="0" t="0" r="4445" b="0"/>
              <wp:wrapNone/>
              <wp:docPr id="1948230158"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4CA8AF7" w14:textId="6F255D57" w:rsidR="00F80165" w:rsidRPr="00F80165" w:rsidRDefault="00F80165" w:rsidP="00F80165">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CB3677"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rKurwegIAALwEAAAOAAAA&#10;AAAAAAAAAAAAAC4CAABkcnMvZTJvRG9jLnhtbFBLAQItABQABgAIAAAAIQBHzAyJ2gAAAAQBAAAP&#10;AAAAAAAAAAAAAAAAANQEAABkcnMvZG93bnJldi54bWxQSwUGAAAAAAQABADzAAAA2wUAAAAA&#10;" filled="f" stroked="f">
              <v:textbox style="mso-fit-shape-to-text:t" inset="20pt,0,0,15pt">
                <w:txbxContent>
                  <w:p w14:paraId="14CA8AF7" w14:textId="6F255D57" w:rsidR="00F80165" w:rsidRPr="00F80165" w:rsidRDefault="00F80165" w:rsidP="00F80165">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BC2DB" w14:textId="77777777" w:rsidR="00A96DDF" w:rsidRDefault="00A96DDF">
      <w:pPr>
        <w:spacing w:line="240" w:lineRule="auto"/>
      </w:pPr>
      <w:r>
        <w:separator/>
      </w:r>
    </w:p>
  </w:footnote>
  <w:footnote w:type="continuationSeparator" w:id="0">
    <w:p w14:paraId="67B992F7" w14:textId="77777777" w:rsidR="00A96DDF" w:rsidRDefault="00A96D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4D8E" w14:textId="77777777" w:rsidR="001C1654" w:rsidRDefault="001C1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48445" w14:textId="77777777" w:rsidR="00EE766D" w:rsidRDefault="006B6AF8">
    <w:pPr>
      <w:pStyle w:val="MarginlessContainer"/>
    </w:pPr>
    <w:r>
      <w:rPr>
        <w:noProof/>
        <w:lang w:val="en-GB" w:eastAsia="en-GB"/>
      </w:rPr>
      <mc:AlternateContent>
        <mc:Choice Requires="wps">
          <w:drawing>
            <wp:anchor distT="0" distB="0" distL="0" distR="0" simplePos="0" relativeHeight="251651584" behindDoc="0" locked="1" layoutInCell="1" allowOverlap="1" wp14:anchorId="45865540" wp14:editId="4D814A4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D61998E" w14:textId="77777777" w:rsidR="00EE766D" w:rsidRDefault="006B6AF8">
                          <w:pPr>
                            <w:pStyle w:val="AfzendgegevensKop0"/>
                          </w:pPr>
                          <w:r>
                            <w:t>Ministerie van Infrastructuur en Waterstaat</w:t>
                          </w:r>
                        </w:p>
                        <w:p w14:paraId="1C88FCB4" w14:textId="77777777" w:rsidR="008278FF" w:rsidRDefault="008278FF" w:rsidP="008278FF"/>
                        <w:p w14:paraId="5E3EE846" w14:textId="77777777" w:rsidR="008278FF" w:rsidRPr="008278FF" w:rsidRDefault="008278FF" w:rsidP="008278FF">
                          <w:pPr>
                            <w:rPr>
                              <w:b/>
                              <w:sz w:val="13"/>
                              <w:szCs w:val="13"/>
                            </w:rPr>
                          </w:pPr>
                          <w:r w:rsidRPr="008278FF">
                            <w:rPr>
                              <w:b/>
                              <w:sz w:val="13"/>
                              <w:szCs w:val="13"/>
                            </w:rPr>
                            <w:t>Kenmerk</w:t>
                          </w:r>
                        </w:p>
                        <w:p w14:paraId="2E61BFF0" w14:textId="77777777" w:rsidR="008278FF" w:rsidRPr="008278FF" w:rsidRDefault="008278FF" w:rsidP="008278FF">
                          <w:pPr>
                            <w:rPr>
                              <w:bCs/>
                              <w:sz w:val="13"/>
                              <w:szCs w:val="13"/>
                            </w:rPr>
                          </w:pPr>
                          <w:r w:rsidRPr="008278FF">
                            <w:rPr>
                              <w:bCs/>
                              <w:sz w:val="13"/>
                              <w:szCs w:val="13"/>
                            </w:rPr>
                            <w:t>IENW/BSK-2025/267254</w:t>
                          </w:r>
                        </w:p>
                        <w:p w14:paraId="6B0C9F0F" w14:textId="77777777" w:rsidR="008278FF" w:rsidRPr="008278FF" w:rsidRDefault="008278FF" w:rsidP="008278FF"/>
                      </w:txbxContent>
                    </wps:txbx>
                    <wps:bodyPr vert="horz" wrap="square" lIns="0" tIns="0" rIns="0" bIns="0" anchor="t" anchorCtr="0"/>
                  </wps:wsp>
                </a:graphicData>
              </a:graphic>
            </wp:anchor>
          </w:drawing>
        </mc:Choice>
        <mc:Fallback>
          <w:pict>
            <v:shapetype w14:anchorId="4586554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1D61998E" w14:textId="77777777" w:rsidR="00EE766D" w:rsidRDefault="006B6AF8">
                    <w:pPr>
                      <w:pStyle w:val="AfzendgegevensKop0"/>
                    </w:pPr>
                    <w:r>
                      <w:t>Ministerie van Infrastructuur en Waterstaat</w:t>
                    </w:r>
                  </w:p>
                  <w:p w14:paraId="1C88FCB4" w14:textId="77777777" w:rsidR="008278FF" w:rsidRDefault="008278FF" w:rsidP="008278FF"/>
                  <w:p w14:paraId="5E3EE846" w14:textId="77777777" w:rsidR="008278FF" w:rsidRPr="008278FF" w:rsidRDefault="008278FF" w:rsidP="008278FF">
                    <w:pPr>
                      <w:rPr>
                        <w:b/>
                        <w:sz w:val="13"/>
                        <w:szCs w:val="13"/>
                      </w:rPr>
                    </w:pPr>
                    <w:r w:rsidRPr="008278FF">
                      <w:rPr>
                        <w:b/>
                        <w:sz w:val="13"/>
                        <w:szCs w:val="13"/>
                      </w:rPr>
                      <w:t>Kenmerk</w:t>
                    </w:r>
                  </w:p>
                  <w:p w14:paraId="2E61BFF0" w14:textId="77777777" w:rsidR="008278FF" w:rsidRPr="008278FF" w:rsidRDefault="008278FF" w:rsidP="008278FF">
                    <w:pPr>
                      <w:rPr>
                        <w:bCs/>
                        <w:sz w:val="13"/>
                        <w:szCs w:val="13"/>
                      </w:rPr>
                    </w:pPr>
                    <w:r w:rsidRPr="008278FF">
                      <w:rPr>
                        <w:bCs/>
                        <w:sz w:val="13"/>
                        <w:szCs w:val="13"/>
                      </w:rPr>
                      <w:t>IENW/BSK-2025/267254</w:t>
                    </w:r>
                  </w:p>
                  <w:p w14:paraId="6B0C9F0F" w14:textId="77777777" w:rsidR="008278FF" w:rsidRPr="008278FF" w:rsidRDefault="008278FF" w:rsidP="008278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40C1B79" wp14:editId="0F86F74F">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878FC3" w14:textId="6D0BEEAA" w:rsidR="00EE766D" w:rsidRDefault="006B6AF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40C1B7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47878FC3" w14:textId="6D0BEEAA" w:rsidR="00EE766D" w:rsidRDefault="006B6AF8">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7CA3909" wp14:editId="33FAF5F9">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547EF0" w14:textId="77777777" w:rsidR="006B6AF8" w:rsidRDefault="006B6AF8"/>
                      </w:txbxContent>
                    </wps:txbx>
                    <wps:bodyPr vert="horz" wrap="square" lIns="0" tIns="0" rIns="0" bIns="0" anchor="t" anchorCtr="0"/>
                  </wps:wsp>
                </a:graphicData>
              </a:graphic>
            </wp:anchor>
          </w:drawing>
        </mc:Choice>
        <mc:Fallback>
          <w:pict>
            <v:shape w14:anchorId="47CA390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6547EF0" w14:textId="77777777" w:rsidR="006B6AF8" w:rsidRDefault="006B6A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DBB13EB" wp14:editId="4CF7FCA1">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5859CE" w14:textId="77777777" w:rsidR="006B6AF8" w:rsidRDefault="006B6AF8"/>
                      </w:txbxContent>
                    </wps:txbx>
                    <wps:bodyPr vert="horz" wrap="square" lIns="0" tIns="0" rIns="0" bIns="0" anchor="t" anchorCtr="0"/>
                  </wps:wsp>
                </a:graphicData>
              </a:graphic>
            </wp:anchor>
          </w:drawing>
        </mc:Choice>
        <mc:Fallback>
          <w:pict>
            <v:shape w14:anchorId="3DBB13EB"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35859CE" w14:textId="77777777" w:rsidR="006B6AF8" w:rsidRDefault="006B6AF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4813" w14:textId="77777777" w:rsidR="00EE766D" w:rsidRDefault="006B6AF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0A399A8" wp14:editId="7F4AB4D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8C1B3A3" w14:textId="77777777" w:rsidR="006B6AF8" w:rsidRDefault="006B6AF8"/>
                      </w:txbxContent>
                    </wps:txbx>
                    <wps:bodyPr vert="horz" wrap="square" lIns="0" tIns="0" rIns="0" bIns="0" anchor="t" anchorCtr="0"/>
                  </wps:wsp>
                </a:graphicData>
              </a:graphic>
            </wp:anchor>
          </w:drawing>
        </mc:Choice>
        <mc:Fallback>
          <w:pict>
            <v:shapetype w14:anchorId="60A399A8" id="_x0000_t202" coordsize="21600,21600" o:spt="202" path="m,l,21600r21600,l21600,xe">
              <v:stroke joinstyle="miter"/>
              <v:path gradientshapeok="t" o:connecttype="rect"/>
            </v:shapetype>
            <v:shape id="Rubricering onder"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" filled="f" stroked="f">
              <v:textbox inset="0,0,0,0">
                <w:txbxContent>
                  <w:p w14:paraId="68C1B3A3" w14:textId="77777777" w:rsidR="006B6AF8" w:rsidRDefault="006B6A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007C09E" wp14:editId="74754FA0">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2C70E10" w14:textId="6D47D43E" w:rsidR="00EE766D" w:rsidRDefault="006B6AF8">
                          <w:pPr>
                            <w:pStyle w:val="Referentiegegevens"/>
                          </w:pPr>
                          <w:r>
                            <w:t xml:space="preserve">Pagina </w:t>
                          </w:r>
                          <w:r>
                            <w:fldChar w:fldCharType="begin"/>
                          </w:r>
                          <w:r>
                            <w:instrText>PAGE</w:instrText>
                          </w:r>
                          <w:r>
                            <w:fldChar w:fldCharType="separate"/>
                          </w:r>
                          <w:r w:rsidR="00C778B6">
                            <w:rPr>
                              <w:noProof/>
                            </w:rPr>
                            <w:t>1</w:t>
                          </w:r>
                          <w:r>
                            <w:fldChar w:fldCharType="end"/>
                          </w:r>
                          <w:r>
                            <w:t xml:space="preserve"> van </w:t>
                          </w:r>
                          <w:r>
                            <w:fldChar w:fldCharType="begin"/>
                          </w:r>
                          <w:r>
                            <w:instrText>NUMPAGES</w:instrText>
                          </w:r>
                          <w:r>
                            <w:fldChar w:fldCharType="separate"/>
                          </w:r>
                          <w:r w:rsidR="00C778B6">
                            <w:rPr>
                              <w:noProof/>
                            </w:rPr>
                            <w:t>1</w:t>
                          </w:r>
                          <w:r>
                            <w:fldChar w:fldCharType="end"/>
                          </w:r>
                        </w:p>
                      </w:txbxContent>
                    </wps:txbx>
                    <wps:bodyPr vert="horz" wrap="square" lIns="0" tIns="0" rIns="0" bIns="0" anchor="t" anchorCtr="0"/>
                  </wps:wsp>
                </a:graphicData>
              </a:graphic>
            </wp:anchor>
          </w:drawing>
        </mc:Choice>
        <mc:Fallback>
          <w:pict>
            <v:shape w14:anchorId="7007C09E" id="Paginanummer_2"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CUAC/asBAAA9AwAADgAAAAAAAAAAAAAAAAAuAgAAZHJzL2Uyb0RvYy54bWxQ&#10;SwECLQAUAAYACAAAACEAWk66ieEAAAAOAQAADwAAAAAAAAAAAAAAAAAFBAAAZHJzL2Rvd25yZXYu&#10;eG1sUEsFBgAAAAAEAAQA8wAAABMFAAAAAA==&#10;" filled="f" stroked="f">
              <v:textbox inset="0,0,0,0">
                <w:txbxContent>
                  <w:p w14:paraId="52C70E10" w14:textId="6D47D43E" w:rsidR="00EE766D" w:rsidRDefault="006B6AF8">
                    <w:pPr>
                      <w:pStyle w:val="Referentiegegevens"/>
                    </w:pPr>
                    <w:r>
                      <w:t xml:space="preserve">Pagina </w:t>
                    </w:r>
                    <w:r>
                      <w:fldChar w:fldCharType="begin"/>
                    </w:r>
                    <w:r>
                      <w:instrText>PAGE</w:instrText>
                    </w:r>
                    <w:r>
                      <w:fldChar w:fldCharType="separate"/>
                    </w:r>
                    <w:r w:rsidR="00C778B6">
                      <w:rPr>
                        <w:noProof/>
                      </w:rPr>
                      <w:t>1</w:t>
                    </w:r>
                    <w:r>
                      <w:fldChar w:fldCharType="end"/>
                    </w:r>
                    <w:r>
                      <w:t xml:space="preserve"> van </w:t>
                    </w:r>
                    <w:r>
                      <w:fldChar w:fldCharType="begin"/>
                    </w:r>
                    <w:r>
                      <w:instrText>NUMPAGES</w:instrText>
                    </w:r>
                    <w:r>
                      <w:fldChar w:fldCharType="separate"/>
                    </w:r>
                    <w:r w:rsidR="00C778B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37CB26C" wp14:editId="71D5B877">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F7815C" w14:textId="77777777" w:rsidR="00EE766D" w:rsidRDefault="006B6AF8">
                          <w:pPr>
                            <w:pStyle w:val="AfzendgegevensKop0"/>
                          </w:pPr>
                          <w:r>
                            <w:t>Ministerie van Infrastructuur en Waterstaat</w:t>
                          </w:r>
                        </w:p>
                        <w:p w14:paraId="0D2A72C7" w14:textId="77777777" w:rsidR="00EE766D" w:rsidRDefault="00EE766D">
                          <w:pPr>
                            <w:pStyle w:val="WitregelW1"/>
                          </w:pPr>
                        </w:p>
                        <w:p w14:paraId="3081F34B" w14:textId="77777777" w:rsidR="00EE766D" w:rsidRDefault="006B6AF8">
                          <w:pPr>
                            <w:pStyle w:val="Afzendgegevens"/>
                          </w:pPr>
                          <w:r>
                            <w:t>Rijnstraat 8</w:t>
                          </w:r>
                        </w:p>
                        <w:p w14:paraId="045F442A" w14:textId="77777777" w:rsidR="00EE766D" w:rsidRPr="006B6AF8" w:rsidRDefault="006B6AF8">
                          <w:pPr>
                            <w:pStyle w:val="Afzendgegevens"/>
                            <w:rPr>
                              <w:lang w:val="de-DE"/>
                            </w:rPr>
                          </w:pPr>
                          <w:r w:rsidRPr="006B6AF8">
                            <w:rPr>
                              <w:lang w:val="de-DE"/>
                            </w:rPr>
                            <w:t>2515 XP  Den Haag</w:t>
                          </w:r>
                        </w:p>
                        <w:p w14:paraId="55C6B069" w14:textId="77777777" w:rsidR="00EE766D" w:rsidRPr="006B6AF8" w:rsidRDefault="006B6AF8">
                          <w:pPr>
                            <w:pStyle w:val="Afzendgegevens"/>
                            <w:rPr>
                              <w:lang w:val="de-DE"/>
                            </w:rPr>
                          </w:pPr>
                          <w:r w:rsidRPr="006B6AF8">
                            <w:rPr>
                              <w:lang w:val="de-DE"/>
                            </w:rPr>
                            <w:t>Postbus 20901</w:t>
                          </w:r>
                        </w:p>
                        <w:p w14:paraId="426A8BFA" w14:textId="77777777" w:rsidR="00EE766D" w:rsidRPr="006B6AF8" w:rsidRDefault="006B6AF8">
                          <w:pPr>
                            <w:pStyle w:val="Afzendgegevens"/>
                            <w:rPr>
                              <w:lang w:val="de-DE"/>
                            </w:rPr>
                          </w:pPr>
                          <w:r w:rsidRPr="006B6AF8">
                            <w:rPr>
                              <w:lang w:val="de-DE"/>
                            </w:rPr>
                            <w:t>2500 EX Den Haag</w:t>
                          </w:r>
                        </w:p>
                        <w:p w14:paraId="0C88DBE0" w14:textId="77777777" w:rsidR="00EE766D" w:rsidRPr="006B6AF8" w:rsidRDefault="00EE766D">
                          <w:pPr>
                            <w:pStyle w:val="WitregelW1"/>
                            <w:rPr>
                              <w:lang w:val="de-DE"/>
                            </w:rPr>
                          </w:pPr>
                        </w:p>
                        <w:p w14:paraId="7967E2FC" w14:textId="77777777" w:rsidR="00EE766D" w:rsidRPr="006B6AF8" w:rsidRDefault="006B6AF8">
                          <w:pPr>
                            <w:pStyle w:val="Afzendgegevens"/>
                            <w:rPr>
                              <w:lang w:val="de-DE"/>
                            </w:rPr>
                          </w:pPr>
                          <w:r w:rsidRPr="006B6AF8">
                            <w:rPr>
                              <w:lang w:val="de-DE"/>
                            </w:rPr>
                            <w:t>T   070-456 0000</w:t>
                          </w:r>
                        </w:p>
                        <w:p w14:paraId="217BC9BF" w14:textId="77777777" w:rsidR="00EE766D" w:rsidRDefault="006B6AF8">
                          <w:pPr>
                            <w:pStyle w:val="Afzendgegevens"/>
                          </w:pPr>
                          <w:r>
                            <w:t>F   070-456 1111</w:t>
                          </w:r>
                        </w:p>
                        <w:p w14:paraId="24F762F4" w14:textId="77777777" w:rsidR="00EE766D" w:rsidRDefault="00EE766D">
                          <w:pPr>
                            <w:pStyle w:val="WitregelW2"/>
                          </w:pPr>
                        </w:p>
                        <w:p w14:paraId="527918D6" w14:textId="46AB1444" w:rsidR="008278FF" w:rsidRPr="008278FF" w:rsidRDefault="008278FF" w:rsidP="008278FF">
                          <w:pPr>
                            <w:rPr>
                              <w:b/>
                              <w:sz w:val="13"/>
                              <w:szCs w:val="13"/>
                            </w:rPr>
                          </w:pPr>
                          <w:r w:rsidRPr="008278FF">
                            <w:rPr>
                              <w:b/>
                              <w:sz w:val="13"/>
                              <w:szCs w:val="13"/>
                            </w:rPr>
                            <w:t>Kenmerk</w:t>
                          </w:r>
                        </w:p>
                        <w:p w14:paraId="170CB9E6" w14:textId="0FB901E7" w:rsidR="008278FF" w:rsidRPr="008278FF" w:rsidRDefault="008278FF" w:rsidP="008278FF">
                          <w:pPr>
                            <w:rPr>
                              <w:bCs/>
                              <w:sz w:val="13"/>
                              <w:szCs w:val="13"/>
                            </w:rPr>
                          </w:pPr>
                          <w:r w:rsidRPr="008278FF">
                            <w:rPr>
                              <w:bCs/>
                              <w:sz w:val="13"/>
                              <w:szCs w:val="13"/>
                            </w:rPr>
                            <w:t>IENW/BSK-2025/267254</w:t>
                          </w:r>
                        </w:p>
                        <w:p w14:paraId="2CB8FCBB" w14:textId="77777777" w:rsidR="008278FF" w:rsidRPr="008278FF" w:rsidRDefault="008278FF" w:rsidP="008278FF"/>
                        <w:p w14:paraId="419BF7D1" w14:textId="77777777" w:rsidR="00EE766D" w:rsidRDefault="006B6AF8">
                          <w:pPr>
                            <w:pStyle w:val="Referentiegegevenskop"/>
                          </w:pPr>
                          <w:r>
                            <w:t>Bijlage(n)</w:t>
                          </w:r>
                        </w:p>
                        <w:p w14:paraId="177EEA37" w14:textId="272ED206" w:rsidR="00EE766D" w:rsidRDefault="001C1654">
                          <w:pPr>
                            <w:pStyle w:val="Referentiegegevens"/>
                          </w:pPr>
                          <w:r>
                            <w:t>3</w:t>
                          </w:r>
                        </w:p>
                      </w:txbxContent>
                    </wps:txbx>
                    <wps:bodyPr vert="horz" wrap="square" lIns="0" tIns="0" rIns="0" bIns="0" anchor="t" anchorCtr="0"/>
                  </wps:wsp>
                </a:graphicData>
              </a:graphic>
            </wp:anchor>
          </w:drawing>
        </mc:Choice>
        <mc:Fallback>
          <w:pict>
            <v:shape w14:anchorId="537CB26C" id="Colofon_2"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ap60qQEAADkDAAAOAAAAAAAAAAAAAAAAAC4CAABkcnMvZTJvRG9jLnhtbFBL&#10;AQItABQABgAIAAAAIQAjtp0b4gAAAA0BAAAPAAAAAAAAAAAAAAAAAAMEAABkcnMvZG93bnJldi54&#10;bWxQSwUGAAAAAAQABADzAAAAEgUAAAAA&#10;" filled="f" stroked="f">
              <v:textbox inset="0,0,0,0">
                <w:txbxContent>
                  <w:p w14:paraId="17F7815C" w14:textId="77777777" w:rsidR="00EE766D" w:rsidRDefault="006B6AF8">
                    <w:pPr>
                      <w:pStyle w:val="AfzendgegevensKop0"/>
                    </w:pPr>
                    <w:r>
                      <w:t>Ministerie van Infrastructuur en Waterstaat</w:t>
                    </w:r>
                  </w:p>
                  <w:p w14:paraId="0D2A72C7" w14:textId="77777777" w:rsidR="00EE766D" w:rsidRDefault="00EE766D">
                    <w:pPr>
                      <w:pStyle w:val="WitregelW1"/>
                    </w:pPr>
                  </w:p>
                  <w:p w14:paraId="3081F34B" w14:textId="77777777" w:rsidR="00EE766D" w:rsidRDefault="006B6AF8">
                    <w:pPr>
                      <w:pStyle w:val="Afzendgegevens"/>
                    </w:pPr>
                    <w:r>
                      <w:t>Rijnstraat 8</w:t>
                    </w:r>
                  </w:p>
                  <w:p w14:paraId="045F442A" w14:textId="77777777" w:rsidR="00EE766D" w:rsidRPr="006B6AF8" w:rsidRDefault="006B6AF8">
                    <w:pPr>
                      <w:pStyle w:val="Afzendgegevens"/>
                      <w:rPr>
                        <w:lang w:val="de-DE"/>
                      </w:rPr>
                    </w:pPr>
                    <w:r w:rsidRPr="006B6AF8">
                      <w:rPr>
                        <w:lang w:val="de-DE"/>
                      </w:rPr>
                      <w:t>2515 XP  Den Haag</w:t>
                    </w:r>
                  </w:p>
                  <w:p w14:paraId="55C6B069" w14:textId="77777777" w:rsidR="00EE766D" w:rsidRPr="006B6AF8" w:rsidRDefault="006B6AF8">
                    <w:pPr>
                      <w:pStyle w:val="Afzendgegevens"/>
                      <w:rPr>
                        <w:lang w:val="de-DE"/>
                      </w:rPr>
                    </w:pPr>
                    <w:r w:rsidRPr="006B6AF8">
                      <w:rPr>
                        <w:lang w:val="de-DE"/>
                      </w:rPr>
                      <w:t>Postbus 20901</w:t>
                    </w:r>
                  </w:p>
                  <w:p w14:paraId="426A8BFA" w14:textId="77777777" w:rsidR="00EE766D" w:rsidRPr="006B6AF8" w:rsidRDefault="006B6AF8">
                    <w:pPr>
                      <w:pStyle w:val="Afzendgegevens"/>
                      <w:rPr>
                        <w:lang w:val="de-DE"/>
                      </w:rPr>
                    </w:pPr>
                    <w:r w:rsidRPr="006B6AF8">
                      <w:rPr>
                        <w:lang w:val="de-DE"/>
                      </w:rPr>
                      <w:t>2500 EX Den Haag</w:t>
                    </w:r>
                  </w:p>
                  <w:p w14:paraId="0C88DBE0" w14:textId="77777777" w:rsidR="00EE766D" w:rsidRPr="006B6AF8" w:rsidRDefault="00EE766D">
                    <w:pPr>
                      <w:pStyle w:val="WitregelW1"/>
                      <w:rPr>
                        <w:lang w:val="de-DE"/>
                      </w:rPr>
                    </w:pPr>
                  </w:p>
                  <w:p w14:paraId="7967E2FC" w14:textId="77777777" w:rsidR="00EE766D" w:rsidRPr="006B6AF8" w:rsidRDefault="006B6AF8">
                    <w:pPr>
                      <w:pStyle w:val="Afzendgegevens"/>
                      <w:rPr>
                        <w:lang w:val="de-DE"/>
                      </w:rPr>
                    </w:pPr>
                    <w:r w:rsidRPr="006B6AF8">
                      <w:rPr>
                        <w:lang w:val="de-DE"/>
                      </w:rPr>
                      <w:t>T   070-456 0000</w:t>
                    </w:r>
                  </w:p>
                  <w:p w14:paraId="217BC9BF" w14:textId="77777777" w:rsidR="00EE766D" w:rsidRDefault="006B6AF8">
                    <w:pPr>
                      <w:pStyle w:val="Afzendgegevens"/>
                    </w:pPr>
                    <w:r>
                      <w:t>F   070-456 1111</w:t>
                    </w:r>
                  </w:p>
                  <w:p w14:paraId="24F762F4" w14:textId="77777777" w:rsidR="00EE766D" w:rsidRDefault="00EE766D">
                    <w:pPr>
                      <w:pStyle w:val="WitregelW2"/>
                    </w:pPr>
                  </w:p>
                  <w:p w14:paraId="527918D6" w14:textId="46AB1444" w:rsidR="008278FF" w:rsidRPr="008278FF" w:rsidRDefault="008278FF" w:rsidP="008278FF">
                    <w:pPr>
                      <w:rPr>
                        <w:b/>
                        <w:sz w:val="13"/>
                        <w:szCs w:val="13"/>
                      </w:rPr>
                    </w:pPr>
                    <w:r w:rsidRPr="008278FF">
                      <w:rPr>
                        <w:b/>
                        <w:sz w:val="13"/>
                        <w:szCs w:val="13"/>
                      </w:rPr>
                      <w:t>Kenmerk</w:t>
                    </w:r>
                  </w:p>
                  <w:p w14:paraId="170CB9E6" w14:textId="0FB901E7" w:rsidR="008278FF" w:rsidRPr="008278FF" w:rsidRDefault="008278FF" w:rsidP="008278FF">
                    <w:pPr>
                      <w:rPr>
                        <w:bCs/>
                        <w:sz w:val="13"/>
                        <w:szCs w:val="13"/>
                      </w:rPr>
                    </w:pPr>
                    <w:r w:rsidRPr="008278FF">
                      <w:rPr>
                        <w:bCs/>
                        <w:sz w:val="13"/>
                        <w:szCs w:val="13"/>
                      </w:rPr>
                      <w:t>IENW/BSK-2025/267254</w:t>
                    </w:r>
                  </w:p>
                  <w:p w14:paraId="2CB8FCBB" w14:textId="77777777" w:rsidR="008278FF" w:rsidRPr="008278FF" w:rsidRDefault="008278FF" w:rsidP="008278FF"/>
                  <w:p w14:paraId="419BF7D1" w14:textId="77777777" w:rsidR="00EE766D" w:rsidRDefault="006B6AF8">
                    <w:pPr>
                      <w:pStyle w:val="Referentiegegevenskop"/>
                    </w:pPr>
                    <w:r>
                      <w:t>Bijlage(n)</w:t>
                    </w:r>
                  </w:p>
                  <w:p w14:paraId="177EEA37" w14:textId="272ED206" w:rsidR="00EE766D" w:rsidRDefault="001C1654">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F12A844" wp14:editId="79CDF61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B977BC" w14:textId="77777777" w:rsidR="00EE766D" w:rsidRDefault="006B6AF8">
                          <w:pPr>
                            <w:pStyle w:val="MarginlessContainer"/>
                          </w:pPr>
                          <w:r>
                            <w:rPr>
                              <w:noProof/>
                              <w:lang w:val="en-GB" w:eastAsia="en-GB"/>
                            </w:rPr>
                            <w:drawing>
                              <wp:inline distT="0" distB="0" distL="0" distR="0" wp14:anchorId="4252CA90" wp14:editId="7D31CDD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12A844" id="lint_2"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EnicmqAEAADUDAAAOAAAAAAAAAAAAAAAAAC4CAABkcnMvZTJvRG9jLnhtbFBLAQItABQA&#10;BgAIAAAAIQAGoydU3QAAAAgBAAAPAAAAAAAAAAAAAAAAAAIEAABkcnMvZG93bnJldi54bWxQSwUG&#10;AAAAAAQABADzAAAADAUAAAAA&#10;" filled="f" stroked="f">
              <v:textbox inset="0,0,0,0">
                <w:txbxContent>
                  <w:p w14:paraId="49B977BC" w14:textId="77777777" w:rsidR="00EE766D" w:rsidRDefault="006B6AF8">
                    <w:pPr>
                      <w:pStyle w:val="MarginlessContainer"/>
                    </w:pPr>
                    <w:r>
                      <w:rPr>
                        <w:noProof/>
                        <w:lang w:val="en-GB" w:eastAsia="en-GB"/>
                      </w:rPr>
                      <w:drawing>
                        <wp:inline distT="0" distB="0" distL="0" distR="0" wp14:anchorId="4252CA90" wp14:editId="7D31CDD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D65E14F" wp14:editId="78818CB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31238F" w14:textId="77777777" w:rsidR="00EE766D" w:rsidRDefault="006B6AF8">
                          <w:pPr>
                            <w:pStyle w:val="MarginlessContainer"/>
                          </w:pPr>
                          <w:r>
                            <w:rPr>
                              <w:noProof/>
                              <w:lang w:val="en-GB" w:eastAsia="en-GB"/>
                            </w:rPr>
                            <w:drawing>
                              <wp:inline distT="0" distB="0" distL="0" distR="0" wp14:anchorId="7AB21DD8" wp14:editId="1E2FF3F6">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65E14F" id="Woordmerk_2"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9lGhWrQEAADsDAAAOAAAAAAAAAAAAAAAAAC4CAABkcnMvZTJvRG9jLnhtbFBL&#10;AQItABQABgAIAAAAIQBYw2c/3gAAAAgBAAAPAAAAAAAAAAAAAAAAAAcEAABkcnMvZG93bnJldi54&#10;bWxQSwUGAAAAAAQABADzAAAAEgUAAAAA&#10;" filled="f" stroked="f">
              <v:textbox inset="0,0,0,0">
                <w:txbxContent>
                  <w:p w14:paraId="2931238F" w14:textId="77777777" w:rsidR="00EE766D" w:rsidRDefault="006B6AF8">
                    <w:pPr>
                      <w:pStyle w:val="MarginlessContainer"/>
                    </w:pPr>
                    <w:r>
                      <w:rPr>
                        <w:noProof/>
                        <w:lang w:val="en-GB" w:eastAsia="en-GB"/>
                      </w:rPr>
                      <w:drawing>
                        <wp:inline distT="0" distB="0" distL="0" distR="0" wp14:anchorId="7AB21DD8" wp14:editId="1E2FF3F6">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CFFE315" wp14:editId="1FB762B0">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797686F" w14:textId="77777777" w:rsidR="00EE766D" w:rsidRDefault="006B6AF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CFFE315" id="Retourregel_2"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" filled="f" stroked="f">
              <v:textbox inset="0,0,0,0">
                <w:txbxContent>
                  <w:p w14:paraId="4797686F" w14:textId="77777777" w:rsidR="00EE766D" w:rsidRDefault="006B6AF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951CD68" wp14:editId="3241F5F5">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6373B3" w14:textId="77777777" w:rsidR="00EE766D" w:rsidRDefault="006B6AF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951CD68" id="Toezendgegevens_2"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D9qtCmsQEAAEIDAAAOAAAAAAAAAAAAAAAAAC4CAABkcnMvZTJvRG9j&#10;LnhtbFBLAQItABQABgAIAAAAIQCW7QUW4AAAAAsBAAAPAAAAAAAAAAAAAAAAAAsEAABkcnMvZG93&#10;bnJldi54bWxQSwUGAAAAAAQABADzAAAAGAUAAAAA&#10;" filled="f" stroked="f">
              <v:textbox inset="0,0,0,0">
                <w:txbxContent>
                  <w:p w14:paraId="6D6373B3" w14:textId="77777777" w:rsidR="00EE766D" w:rsidRDefault="006B6AF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85966A" wp14:editId="4AE83540">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E766D" w14:paraId="103962C9" w14:textId="77777777">
                            <w:trPr>
                              <w:trHeight w:val="200"/>
                            </w:trPr>
                            <w:tc>
                              <w:tcPr>
                                <w:tcW w:w="1140" w:type="dxa"/>
                              </w:tcPr>
                              <w:p w14:paraId="7C322E51" w14:textId="77777777" w:rsidR="00EE766D" w:rsidRDefault="00EE766D"/>
                            </w:tc>
                            <w:tc>
                              <w:tcPr>
                                <w:tcW w:w="5400" w:type="dxa"/>
                              </w:tcPr>
                              <w:p w14:paraId="2C27DC41" w14:textId="77777777" w:rsidR="00EE766D" w:rsidRDefault="00EE766D"/>
                            </w:tc>
                          </w:tr>
                          <w:tr w:rsidR="00EE766D" w14:paraId="40A2D476" w14:textId="77777777">
                            <w:trPr>
                              <w:trHeight w:val="240"/>
                            </w:trPr>
                            <w:tc>
                              <w:tcPr>
                                <w:tcW w:w="1140" w:type="dxa"/>
                              </w:tcPr>
                              <w:p w14:paraId="048F8334" w14:textId="77777777" w:rsidR="00EE766D" w:rsidRDefault="006B6AF8">
                                <w:r>
                                  <w:t>Datum</w:t>
                                </w:r>
                              </w:p>
                            </w:tc>
                            <w:tc>
                              <w:tcPr>
                                <w:tcW w:w="5400" w:type="dxa"/>
                              </w:tcPr>
                              <w:p w14:paraId="10A90EA0" w14:textId="260150A2" w:rsidR="00EE766D" w:rsidRDefault="001C1654">
                                <w:r>
                                  <w:t>10 december 2025</w:t>
                                </w:r>
                              </w:p>
                            </w:tc>
                          </w:tr>
                          <w:tr w:rsidR="00EE766D" w14:paraId="182BDB3C" w14:textId="77777777">
                            <w:trPr>
                              <w:trHeight w:val="240"/>
                            </w:trPr>
                            <w:tc>
                              <w:tcPr>
                                <w:tcW w:w="1140" w:type="dxa"/>
                              </w:tcPr>
                              <w:p w14:paraId="41BD7F85" w14:textId="77777777" w:rsidR="00EE766D" w:rsidRDefault="006B6AF8">
                                <w:r>
                                  <w:t>Betreft</w:t>
                                </w:r>
                              </w:p>
                            </w:tc>
                            <w:tc>
                              <w:tcPr>
                                <w:tcW w:w="5400" w:type="dxa"/>
                              </w:tcPr>
                              <w:p w14:paraId="1DD1E431" w14:textId="1B7F1738" w:rsidR="00EE766D" w:rsidRDefault="00292039">
                                <w:r>
                                  <w:t xml:space="preserve">Vijfde </w:t>
                                </w:r>
                                <w:r w:rsidR="006B6AF8">
                                  <w:t>voortgangsbrief implementatie RED-III vervoer</w:t>
                                </w:r>
                              </w:p>
                            </w:tc>
                          </w:tr>
                          <w:tr w:rsidR="00EE766D" w14:paraId="3EE4250A" w14:textId="77777777">
                            <w:trPr>
                              <w:trHeight w:val="200"/>
                            </w:trPr>
                            <w:tc>
                              <w:tcPr>
                                <w:tcW w:w="1140" w:type="dxa"/>
                              </w:tcPr>
                              <w:p w14:paraId="65863F72" w14:textId="77777777" w:rsidR="00EE766D" w:rsidRDefault="00EE766D"/>
                            </w:tc>
                            <w:tc>
                              <w:tcPr>
                                <w:tcW w:w="5400" w:type="dxa"/>
                              </w:tcPr>
                              <w:p w14:paraId="6A3CF086" w14:textId="77777777" w:rsidR="00EE766D" w:rsidRDefault="00EE766D"/>
                            </w:tc>
                          </w:tr>
                        </w:tbl>
                        <w:p w14:paraId="516DBABC" w14:textId="77777777" w:rsidR="006B6AF8" w:rsidRDefault="006B6AF8"/>
                      </w:txbxContent>
                    </wps:txbx>
                    <wps:bodyPr vert="horz" wrap="square" lIns="0" tIns="0" rIns="0" bIns="0" anchor="t" anchorCtr="0"/>
                  </wps:wsp>
                </a:graphicData>
              </a:graphic>
            </wp:anchor>
          </w:drawing>
        </mc:Choice>
        <mc:Fallback>
          <w:pict>
            <v:shape w14:anchorId="2785966A" id="Documentgegevens"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" filled="f" stroked="f">
              <v:textbox inset="0,0,0,0">
                <w:txbxContent>
                  <w:tbl>
                    <w:tblPr>
                      <w:tblW w:w="0" w:type="auto"/>
                      <w:tblLayout w:type="fixed"/>
                      <w:tblLook w:val="07E0" w:firstRow="1" w:lastRow="1" w:firstColumn="1" w:lastColumn="1" w:noHBand="1" w:noVBand="1"/>
                    </w:tblPr>
                    <w:tblGrid>
                      <w:gridCol w:w="1140"/>
                      <w:gridCol w:w="5400"/>
                    </w:tblGrid>
                    <w:tr w:rsidR="00EE766D" w14:paraId="103962C9" w14:textId="77777777">
                      <w:trPr>
                        <w:trHeight w:val="200"/>
                      </w:trPr>
                      <w:tc>
                        <w:tcPr>
                          <w:tcW w:w="1140" w:type="dxa"/>
                        </w:tcPr>
                        <w:p w14:paraId="7C322E51" w14:textId="77777777" w:rsidR="00EE766D" w:rsidRDefault="00EE766D"/>
                      </w:tc>
                      <w:tc>
                        <w:tcPr>
                          <w:tcW w:w="5400" w:type="dxa"/>
                        </w:tcPr>
                        <w:p w14:paraId="2C27DC41" w14:textId="77777777" w:rsidR="00EE766D" w:rsidRDefault="00EE766D"/>
                      </w:tc>
                    </w:tr>
                    <w:tr w:rsidR="00EE766D" w14:paraId="40A2D476" w14:textId="77777777">
                      <w:trPr>
                        <w:trHeight w:val="240"/>
                      </w:trPr>
                      <w:tc>
                        <w:tcPr>
                          <w:tcW w:w="1140" w:type="dxa"/>
                        </w:tcPr>
                        <w:p w14:paraId="048F8334" w14:textId="77777777" w:rsidR="00EE766D" w:rsidRDefault="006B6AF8">
                          <w:r>
                            <w:t>Datum</w:t>
                          </w:r>
                        </w:p>
                      </w:tc>
                      <w:tc>
                        <w:tcPr>
                          <w:tcW w:w="5400" w:type="dxa"/>
                        </w:tcPr>
                        <w:p w14:paraId="10A90EA0" w14:textId="260150A2" w:rsidR="00EE766D" w:rsidRDefault="001C1654">
                          <w:r>
                            <w:t>10 december 2025</w:t>
                          </w:r>
                        </w:p>
                      </w:tc>
                    </w:tr>
                    <w:tr w:rsidR="00EE766D" w14:paraId="182BDB3C" w14:textId="77777777">
                      <w:trPr>
                        <w:trHeight w:val="240"/>
                      </w:trPr>
                      <w:tc>
                        <w:tcPr>
                          <w:tcW w:w="1140" w:type="dxa"/>
                        </w:tcPr>
                        <w:p w14:paraId="41BD7F85" w14:textId="77777777" w:rsidR="00EE766D" w:rsidRDefault="006B6AF8">
                          <w:r>
                            <w:t>Betreft</w:t>
                          </w:r>
                        </w:p>
                      </w:tc>
                      <w:tc>
                        <w:tcPr>
                          <w:tcW w:w="5400" w:type="dxa"/>
                        </w:tcPr>
                        <w:p w14:paraId="1DD1E431" w14:textId="1B7F1738" w:rsidR="00EE766D" w:rsidRDefault="00292039">
                          <w:r>
                            <w:t xml:space="preserve">Vijfde </w:t>
                          </w:r>
                          <w:r w:rsidR="006B6AF8">
                            <w:t>voortgangsbrief implementatie RED-III vervoer</w:t>
                          </w:r>
                        </w:p>
                      </w:tc>
                    </w:tr>
                    <w:tr w:rsidR="00EE766D" w14:paraId="3EE4250A" w14:textId="77777777">
                      <w:trPr>
                        <w:trHeight w:val="200"/>
                      </w:trPr>
                      <w:tc>
                        <w:tcPr>
                          <w:tcW w:w="1140" w:type="dxa"/>
                        </w:tcPr>
                        <w:p w14:paraId="65863F72" w14:textId="77777777" w:rsidR="00EE766D" w:rsidRDefault="00EE766D"/>
                      </w:tc>
                      <w:tc>
                        <w:tcPr>
                          <w:tcW w:w="5400" w:type="dxa"/>
                        </w:tcPr>
                        <w:p w14:paraId="6A3CF086" w14:textId="77777777" w:rsidR="00EE766D" w:rsidRDefault="00EE766D"/>
                      </w:tc>
                    </w:tr>
                  </w:tbl>
                  <w:p w14:paraId="516DBABC" w14:textId="77777777" w:rsidR="006B6AF8" w:rsidRDefault="006B6A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4FC2CC" wp14:editId="13F0F13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07FDD7" w14:textId="77777777" w:rsidR="006B6AF8" w:rsidRDefault="006B6AF8"/>
                      </w:txbxContent>
                    </wps:txbx>
                    <wps:bodyPr vert="horz" wrap="square" lIns="0" tIns="0" rIns="0" bIns="0" anchor="t" anchorCtr="0"/>
                  </wps:wsp>
                </a:graphicData>
              </a:graphic>
            </wp:anchor>
          </w:drawing>
        </mc:Choice>
        <mc:Fallback>
          <w:pict>
            <v:shape w14:anchorId="494FC2CC" id="Merking"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39zOvqYBAAA4AwAADgAAAAAAAAAAAAAAAAAuAgAAZHJzL2Uyb0RvYy54bWxQSwECLQAU&#10;AAYACAAAACEAPPsda+AAAAALAQAADwAAAAAAAAAAAAAAAAAABAAAZHJzL2Rvd25yZXYueG1sUEsF&#10;BgAAAAAEAAQA8wAAAA0FAAAAAA==&#10;" filled="f" stroked="f">
              <v:textbox inset="0,0,0,0">
                <w:txbxContent>
                  <w:p w14:paraId="4B07FDD7" w14:textId="77777777" w:rsidR="006B6AF8" w:rsidRDefault="006B6AF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BFE407"/>
    <w:multiLevelType w:val="multilevel"/>
    <w:tmpl w:val="FA36D22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1599DB"/>
    <w:multiLevelType w:val="multilevel"/>
    <w:tmpl w:val="806407F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247BC8"/>
    <w:multiLevelType w:val="multilevel"/>
    <w:tmpl w:val="108CB33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C990EC"/>
    <w:multiLevelType w:val="multilevel"/>
    <w:tmpl w:val="4F78487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7785DA1"/>
    <w:multiLevelType w:val="multilevel"/>
    <w:tmpl w:val="1E4BBCF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B9E836"/>
    <w:multiLevelType w:val="multilevel"/>
    <w:tmpl w:val="420E57C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C65CA35"/>
    <w:multiLevelType w:val="multilevel"/>
    <w:tmpl w:val="6888274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E532890"/>
    <w:multiLevelType w:val="multilevel"/>
    <w:tmpl w:val="6A22678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D4D3BD"/>
    <w:multiLevelType w:val="multilevel"/>
    <w:tmpl w:val="E22C4E0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C13BDF6"/>
    <w:multiLevelType w:val="multilevel"/>
    <w:tmpl w:val="B94E723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19C142"/>
    <w:multiLevelType w:val="multilevel"/>
    <w:tmpl w:val="93137D0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1815773"/>
    <w:multiLevelType w:val="multilevel"/>
    <w:tmpl w:val="AF0199D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63E7B6F"/>
    <w:multiLevelType w:val="multilevel"/>
    <w:tmpl w:val="5F56E11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CFC793"/>
    <w:multiLevelType w:val="multilevel"/>
    <w:tmpl w:val="5C85E88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6F2875E"/>
    <w:multiLevelType w:val="multilevel"/>
    <w:tmpl w:val="F1B8484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E4FE9FC"/>
    <w:multiLevelType w:val="multilevel"/>
    <w:tmpl w:val="B256C8D8"/>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337B3D"/>
    <w:multiLevelType w:val="multilevel"/>
    <w:tmpl w:val="D81563B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DBAD4C"/>
    <w:multiLevelType w:val="multilevel"/>
    <w:tmpl w:val="C6DEFB6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476F70"/>
    <w:multiLevelType w:val="hybridMultilevel"/>
    <w:tmpl w:val="F52E8C66"/>
    <w:lvl w:ilvl="0" w:tplc="BA140CE2">
      <w:start w:val="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3B16E71"/>
    <w:multiLevelType w:val="multilevel"/>
    <w:tmpl w:val="588169E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761B93"/>
    <w:multiLevelType w:val="multilevel"/>
    <w:tmpl w:val="ED48302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994FEB"/>
    <w:multiLevelType w:val="hybridMultilevel"/>
    <w:tmpl w:val="B8BEE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D1C1205"/>
    <w:multiLevelType w:val="hybridMultilevel"/>
    <w:tmpl w:val="D4E61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D11F05A"/>
    <w:multiLevelType w:val="multilevel"/>
    <w:tmpl w:val="D251305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7"/>
  </w:num>
  <w:num w:numId="4">
    <w:abstractNumId w:val="2"/>
  </w:num>
  <w:num w:numId="5">
    <w:abstractNumId w:val="1"/>
  </w:num>
  <w:num w:numId="6">
    <w:abstractNumId w:val="14"/>
  </w:num>
  <w:num w:numId="7">
    <w:abstractNumId w:val="15"/>
  </w:num>
  <w:num w:numId="8">
    <w:abstractNumId w:val="11"/>
  </w:num>
  <w:num w:numId="9">
    <w:abstractNumId w:val="8"/>
  </w:num>
  <w:num w:numId="10">
    <w:abstractNumId w:val="12"/>
  </w:num>
  <w:num w:numId="11">
    <w:abstractNumId w:val="6"/>
  </w:num>
  <w:num w:numId="12">
    <w:abstractNumId w:val="13"/>
  </w:num>
  <w:num w:numId="13">
    <w:abstractNumId w:val="16"/>
  </w:num>
  <w:num w:numId="14">
    <w:abstractNumId w:val="20"/>
  </w:num>
  <w:num w:numId="15">
    <w:abstractNumId w:val="0"/>
  </w:num>
  <w:num w:numId="16">
    <w:abstractNumId w:val="23"/>
  </w:num>
  <w:num w:numId="17">
    <w:abstractNumId w:val="5"/>
  </w:num>
  <w:num w:numId="18">
    <w:abstractNumId w:val="9"/>
  </w:num>
  <w:num w:numId="19">
    <w:abstractNumId w:val="7"/>
  </w:num>
  <w:num w:numId="20">
    <w:abstractNumId w:val="19"/>
  </w:num>
  <w:num w:numId="21">
    <w:abstractNumId w:val="4"/>
  </w:num>
  <w:num w:numId="22">
    <w:abstractNumId w:val="22"/>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F8"/>
    <w:rsid w:val="00001A8A"/>
    <w:rsid w:val="00013AE0"/>
    <w:rsid w:val="00033B2C"/>
    <w:rsid w:val="00053A65"/>
    <w:rsid w:val="000B0157"/>
    <w:rsid w:val="000B2D1A"/>
    <w:rsid w:val="000B4701"/>
    <w:rsid w:val="000C5271"/>
    <w:rsid w:val="000F5BBD"/>
    <w:rsid w:val="00111D47"/>
    <w:rsid w:val="00116F1F"/>
    <w:rsid w:val="00125ED3"/>
    <w:rsid w:val="001440D7"/>
    <w:rsid w:val="0015738E"/>
    <w:rsid w:val="00177796"/>
    <w:rsid w:val="001950D1"/>
    <w:rsid w:val="00197F66"/>
    <w:rsid w:val="001B0C1D"/>
    <w:rsid w:val="001B3058"/>
    <w:rsid w:val="001C1654"/>
    <w:rsid w:val="001C5897"/>
    <w:rsid w:val="001D0FF4"/>
    <w:rsid w:val="00232E09"/>
    <w:rsid w:val="00246CAC"/>
    <w:rsid w:val="002671E5"/>
    <w:rsid w:val="0027443D"/>
    <w:rsid w:val="00292039"/>
    <w:rsid w:val="0029465B"/>
    <w:rsid w:val="002B210A"/>
    <w:rsid w:val="002B66C7"/>
    <w:rsid w:val="002C3C90"/>
    <w:rsid w:val="002C73DD"/>
    <w:rsid w:val="002F3505"/>
    <w:rsid w:val="00332243"/>
    <w:rsid w:val="00340321"/>
    <w:rsid w:val="00346716"/>
    <w:rsid w:val="0035079B"/>
    <w:rsid w:val="00371720"/>
    <w:rsid w:val="00373CDF"/>
    <w:rsid w:val="003803D7"/>
    <w:rsid w:val="0039770B"/>
    <w:rsid w:val="00397BD2"/>
    <w:rsid w:val="003B309E"/>
    <w:rsid w:val="003B461A"/>
    <w:rsid w:val="003C0643"/>
    <w:rsid w:val="003C2086"/>
    <w:rsid w:val="003D68F1"/>
    <w:rsid w:val="003E4142"/>
    <w:rsid w:val="003E65E2"/>
    <w:rsid w:val="003E713B"/>
    <w:rsid w:val="003F0679"/>
    <w:rsid w:val="003F2CBC"/>
    <w:rsid w:val="003F7E44"/>
    <w:rsid w:val="00414404"/>
    <w:rsid w:val="00460632"/>
    <w:rsid w:val="00462AF8"/>
    <w:rsid w:val="00463965"/>
    <w:rsid w:val="0049283F"/>
    <w:rsid w:val="004C4E62"/>
    <w:rsid w:val="004D1B3F"/>
    <w:rsid w:val="004E1926"/>
    <w:rsid w:val="004F3905"/>
    <w:rsid w:val="00505215"/>
    <w:rsid w:val="00506A4E"/>
    <w:rsid w:val="00513C73"/>
    <w:rsid w:val="0051453D"/>
    <w:rsid w:val="00533E71"/>
    <w:rsid w:val="005404E1"/>
    <w:rsid w:val="00542546"/>
    <w:rsid w:val="00572883"/>
    <w:rsid w:val="00572BBA"/>
    <w:rsid w:val="00583A88"/>
    <w:rsid w:val="00583F7D"/>
    <w:rsid w:val="00587058"/>
    <w:rsid w:val="005A4D6E"/>
    <w:rsid w:val="005C14EB"/>
    <w:rsid w:val="005D5F32"/>
    <w:rsid w:val="005E3603"/>
    <w:rsid w:val="005E4636"/>
    <w:rsid w:val="0062735C"/>
    <w:rsid w:val="00642A09"/>
    <w:rsid w:val="006533C4"/>
    <w:rsid w:val="006558DA"/>
    <w:rsid w:val="0066454B"/>
    <w:rsid w:val="00672190"/>
    <w:rsid w:val="00693908"/>
    <w:rsid w:val="006B15C1"/>
    <w:rsid w:val="006B4F4B"/>
    <w:rsid w:val="006B6AF8"/>
    <w:rsid w:val="006C7604"/>
    <w:rsid w:val="006D6833"/>
    <w:rsid w:val="006E2E25"/>
    <w:rsid w:val="006E3C9E"/>
    <w:rsid w:val="006F1748"/>
    <w:rsid w:val="0070194F"/>
    <w:rsid w:val="00706F8F"/>
    <w:rsid w:val="007209D1"/>
    <w:rsid w:val="00720EA5"/>
    <w:rsid w:val="00764328"/>
    <w:rsid w:val="0076768D"/>
    <w:rsid w:val="00772AA6"/>
    <w:rsid w:val="00773495"/>
    <w:rsid w:val="007821F9"/>
    <w:rsid w:val="0078671F"/>
    <w:rsid w:val="00792A52"/>
    <w:rsid w:val="007B0ED5"/>
    <w:rsid w:val="007B25EF"/>
    <w:rsid w:val="007C6BC2"/>
    <w:rsid w:val="007D59FD"/>
    <w:rsid w:val="008278FF"/>
    <w:rsid w:val="00846B78"/>
    <w:rsid w:val="00864B39"/>
    <w:rsid w:val="0088283A"/>
    <w:rsid w:val="008909E7"/>
    <w:rsid w:val="00896E83"/>
    <w:rsid w:val="008E04BD"/>
    <w:rsid w:val="008E1041"/>
    <w:rsid w:val="008E699B"/>
    <w:rsid w:val="00915254"/>
    <w:rsid w:val="00922106"/>
    <w:rsid w:val="00934637"/>
    <w:rsid w:val="00934A6E"/>
    <w:rsid w:val="009402CC"/>
    <w:rsid w:val="0094100D"/>
    <w:rsid w:val="0094348E"/>
    <w:rsid w:val="00951494"/>
    <w:rsid w:val="00974645"/>
    <w:rsid w:val="0098761B"/>
    <w:rsid w:val="00995D0D"/>
    <w:rsid w:val="009A37A6"/>
    <w:rsid w:val="009B30E9"/>
    <w:rsid w:val="009B6846"/>
    <w:rsid w:val="009C02F9"/>
    <w:rsid w:val="009C4239"/>
    <w:rsid w:val="009C46E9"/>
    <w:rsid w:val="009D0293"/>
    <w:rsid w:val="009E707A"/>
    <w:rsid w:val="00A14120"/>
    <w:rsid w:val="00A14EB2"/>
    <w:rsid w:val="00A15605"/>
    <w:rsid w:val="00A44DC8"/>
    <w:rsid w:val="00A4535B"/>
    <w:rsid w:val="00A56EE8"/>
    <w:rsid w:val="00A70CD3"/>
    <w:rsid w:val="00A81EE6"/>
    <w:rsid w:val="00A83384"/>
    <w:rsid w:val="00A86E77"/>
    <w:rsid w:val="00A96DDF"/>
    <w:rsid w:val="00AF50A7"/>
    <w:rsid w:val="00B05DEF"/>
    <w:rsid w:val="00B350B7"/>
    <w:rsid w:val="00B519EA"/>
    <w:rsid w:val="00B568B4"/>
    <w:rsid w:val="00B57024"/>
    <w:rsid w:val="00B75C7C"/>
    <w:rsid w:val="00B858BA"/>
    <w:rsid w:val="00B91E0C"/>
    <w:rsid w:val="00B95E6F"/>
    <w:rsid w:val="00BA4E5C"/>
    <w:rsid w:val="00BD2680"/>
    <w:rsid w:val="00BE12A7"/>
    <w:rsid w:val="00BE74CB"/>
    <w:rsid w:val="00C0770B"/>
    <w:rsid w:val="00C10A36"/>
    <w:rsid w:val="00C110AD"/>
    <w:rsid w:val="00C24EE3"/>
    <w:rsid w:val="00C313D6"/>
    <w:rsid w:val="00C57091"/>
    <w:rsid w:val="00C5738E"/>
    <w:rsid w:val="00C650B1"/>
    <w:rsid w:val="00C66725"/>
    <w:rsid w:val="00C76717"/>
    <w:rsid w:val="00C778B6"/>
    <w:rsid w:val="00C8503B"/>
    <w:rsid w:val="00C85A8E"/>
    <w:rsid w:val="00CB7898"/>
    <w:rsid w:val="00CC335A"/>
    <w:rsid w:val="00D0378B"/>
    <w:rsid w:val="00D10AB2"/>
    <w:rsid w:val="00D166AA"/>
    <w:rsid w:val="00D1745F"/>
    <w:rsid w:val="00D17C3A"/>
    <w:rsid w:val="00D262BA"/>
    <w:rsid w:val="00D279D3"/>
    <w:rsid w:val="00D4199B"/>
    <w:rsid w:val="00D614E6"/>
    <w:rsid w:val="00D67E43"/>
    <w:rsid w:val="00D73DB7"/>
    <w:rsid w:val="00DB5604"/>
    <w:rsid w:val="00DD761F"/>
    <w:rsid w:val="00DE11A7"/>
    <w:rsid w:val="00DE43F6"/>
    <w:rsid w:val="00DE4C6C"/>
    <w:rsid w:val="00DF0F8D"/>
    <w:rsid w:val="00E05122"/>
    <w:rsid w:val="00E207B0"/>
    <w:rsid w:val="00E23E87"/>
    <w:rsid w:val="00E33EB7"/>
    <w:rsid w:val="00E51A3A"/>
    <w:rsid w:val="00E818A7"/>
    <w:rsid w:val="00EC2D62"/>
    <w:rsid w:val="00EC539A"/>
    <w:rsid w:val="00EE766D"/>
    <w:rsid w:val="00EF0E34"/>
    <w:rsid w:val="00EF2DDD"/>
    <w:rsid w:val="00F06A2C"/>
    <w:rsid w:val="00F15530"/>
    <w:rsid w:val="00F2060C"/>
    <w:rsid w:val="00F22918"/>
    <w:rsid w:val="00F600A9"/>
    <w:rsid w:val="00F62CC4"/>
    <w:rsid w:val="00F76126"/>
    <w:rsid w:val="00F80165"/>
    <w:rsid w:val="00F82E4D"/>
    <w:rsid w:val="00F83A94"/>
    <w:rsid w:val="00FA73CA"/>
    <w:rsid w:val="00FC3980"/>
    <w:rsid w:val="00FD1A61"/>
    <w:rsid w:val="00FD5508"/>
    <w:rsid w:val="00FD5D84"/>
    <w:rsid w:val="00FF4348"/>
    <w:rsid w:val="00FF61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B6AF8"/>
    <w:pPr>
      <w:tabs>
        <w:tab w:val="center" w:pos="4536"/>
        <w:tab w:val="right" w:pos="9072"/>
      </w:tabs>
      <w:spacing w:line="240" w:lineRule="auto"/>
    </w:pPr>
  </w:style>
  <w:style w:type="character" w:customStyle="1" w:styleId="HeaderChar">
    <w:name w:val="Header Char"/>
    <w:basedOn w:val="DefaultParagraphFont"/>
    <w:link w:val="Header"/>
    <w:uiPriority w:val="99"/>
    <w:rsid w:val="006B6AF8"/>
    <w:rPr>
      <w:rFonts w:ascii="Verdana" w:hAnsi="Verdana"/>
      <w:color w:val="000000"/>
      <w:sz w:val="18"/>
      <w:szCs w:val="18"/>
    </w:rPr>
  </w:style>
  <w:style w:type="paragraph" w:styleId="Footer">
    <w:name w:val="footer"/>
    <w:basedOn w:val="Normal"/>
    <w:link w:val="FooterChar"/>
    <w:uiPriority w:val="99"/>
    <w:unhideWhenUsed/>
    <w:rsid w:val="006B6AF8"/>
    <w:pPr>
      <w:tabs>
        <w:tab w:val="center" w:pos="4536"/>
        <w:tab w:val="right" w:pos="9072"/>
      </w:tabs>
      <w:spacing w:line="240" w:lineRule="auto"/>
    </w:pPr>
  </w:style>
  <w:style w:type="character" w:customStyle="1" w:styleId="FooterChar">
    <w:name w:val="Footer Char"/>
    <w:basedOn w:val="DefaultParagraphFont"/>
    <w:link w:val="Footer"/>
    <w:uiPriority w:val="99"/>
    <w:rsid w:val="006B6AF8"/>
    <w:rPr>
      <w:rFonts w:ascii="Verdana" w:hAnsi="Verdana"/>
      <w:color w:val="000000"/>
      <w:sz w:val="18"/>
      <w:szCs w:val="18"/>
    </w:rPr>
  </w:style>
  <w:style w:type="paragraph" w:styleId="Revision">
    <w:name w:val="Revision"/>
    <w:hidden/>
    <w:uiPriority w:val="99"/>
    <w:semiHidden/>
    <w:rsid w:val="003E414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82E4D"/>
    <w:rPr>
      <w:sz w:val="16"/>
      <w:szCs w:val="16"/>
    </w:rPr>
  </w:style>
  <w:style w:type="paragraph" w:styleId="CommentText">
    <w:name w:val="annotation text"/>
    <w:basedOn w:val="Normal"/>
    <w:link w:val="CommentTextChar"/>
    <w:uiPriority w:val="99"/>
    <w:unhideWhenUsed/>
    <w:rsid w:val="00F82E4D"/>
    <w:pPr>
      <w:spacing w:line="240" w:lineRule="auto"/>
    </w:pPr>
    <w:rPr>
      <w:sz w:val="20"/>
      <w:szCs w:val="20"/>
    </w:rPr>
  </w:style>
  <w:style w:type="character" w:customStyle="1" w:styleId="CommentTextChar">
    <w:name w:val="Comment Text Char"/>
    <w:basedOn w:val="DefaultParagraphFont"/>
    <w:link w:val="CommentText"/>
    <w:uiPriority w:val="99"/>
    <w:rsid w:val="00F82E4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82E4D"/>
    <w:rPr>
      <w:b/>
      <w:bCs/>
    </w:rPr>
  </w:style>
  <w:style w:type="character" w:customStyle="1" w:styleId="CommentSubjectChar">
    <w:name w:val="Comment Subject Char"/>
    <w:basedOn w:val="CommentTextChar"/>
    <w:link w:val="CommentSubject"/>
    <w:uiPriority w:val="99"/>
    <w:semiHidden/>
    <w:rsid w:val="00F82E4D"/>
    <w:rPr>
      <w:rFonts w:ascii="Verdana" w:hAnsi="Verdana"/>
      <w:b/>
      <w:bCs/>
      <w:color w:val="000000"/>
    </w:rPr>
  </w:style>
  <w:style w:type="paragraph" w:styleId="FootnoteText">
    <w:name w:val="footnote text"/>
    <w:basedOn w:val="Normal"/>
    <w:link w:val="FootnoteTextChar"/>
    <w:uiPriority w:val="99"/>
    <w:semiHidden/>
    <w:unhideWhenUsed/>
    <w:rsid w:val="00125ED3"/>
    <w:pPr>
      <w:spacing w:line="240" w:lineRule="auto"/>
    </w:pPr>
    <w:rPr>
      <w:sz w:val="20"/>
      <w:szCs w:val="20"/>
    </w:rPr>
  </w:style>
  <w:style w:type="character" w:customStyle="1" w:styleId="FootnoteTextChar">
    <w:name w:val="Footnote Text Char"/>
    <w:basedOn w:val="DefaultParagraphFont"/>
    <w:link w:val="FootnoteText"/>
    <w:uiPriority w:val="99"/>
    <w:semiHidden/>
    <w:rsid w:val="00125ED3"/>
    <w:rPr>
      <w:rFonts w:ascii="Verdana" w:hAnsi="Verdana"/>
      <w:color w:val="000000"/>
    </w:rPr>
  </w:style>
  <w:style w:type="character" w:styleId="FootnoteReference">
    <w:name w:val="footnote reference"/>
    <w:basedOn w:val="DefaultParagraphFont"/>
    <w:uiPriority w:val="99"/>
    <w:semiHidden/>
    <w:unhideWhenUsed/>
    <w:rsid w:val="00125ED3"/>
    <w:rPr>
      <w:vertAlign w:val="superscript"/>
    </w:rPr>
  </w:style>
  <w:style w:type="paragraph" w:styleId="ListParagraph">
    <w:name w:val="List Paragraph"/>
    <w:basedOn w:val="Normal"/>
    <w:uiPriority w:val="34"/>
    <w:qFormat/>
    <w:rsid w:val="00C31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5710">
      <w:bodyDiv w:val="1"/>
      <w:marLeft w:val="0"/>
      <w:marRight w:val="0"/>
      <w:marTop w:val="0"/>
      <w:marBottom w:val="0"/>
      <w:divBdr>
        <w:top w:val="none" w:sz="0" w:space="0" w:color="auto"/>
        <w:left w:val="none" w:sz="0" w:space="0" w:color="auto"/>
        <w:bottom w:val="none" w:sz="0" w:space="0" w:color="auto"/>
        <w:right w:val="none" w:sz="0" w:space="0" w:color="auto"/>
      </w:divBdr>
    </w:div>
    <w:div w:id="1188182772">
      <w:bodyDiv w:val="1"/>
      <w:marLeft w:val="0"/>
      <w:marRight w:val="0"/>
      <w:marTop w:val="0"/>
      <w:marBottom w:val="0"/>
      <w:divBdr>
        <w:top w:val="none" w:sz="0" w:space="0" w:color="auto"/>
        <w:left w:val="none" w:sz="0" w:space="0" w:color="auto"/>
        <w:bottom w:val="none" w:sz="0" w:space="0" w:color="auto"/>
        <w:right w:val="none" w:sz="0" w:space="0" w:color="auto"/>
      </w:divBdr>
    </w:div>
    <w:div w:id="1692994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webSetting" Target="webSettings0.xml" Id="rId23"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939</ap:Words>
  <ap:Characters>5353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2025-12-10T14:11:00.0000000Z</dcterms:created>
  <dcterms:modified xsi:type="dcterms:W3CDTF">2025-12-10T14:11:00.0000000Z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741fa20e,6756108c,7a10b696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0x0101006C10984634D504478580DFAC5DEB7DEA</vt:lpwstr>
  </property>
</Properties>
</file>