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118" w:rsidP="00BA398B" w:rsidRDefault="004164E3" w14:paraId="352A402F" w14:textId="7AF1022C">
      <w:bookmarkStart w:name="_Hlk215067928" w:id="0"/>
      <w:bookmarkStart w:name="_GoBack" w:id="1"/>
      <w:bookmarkEnd w:id="1"/>
      <w:r>
        <w:t>Geachte voorzitter,</w:t>
      </w:r>
    </w:p>
    <w:p w:rsidR="004164E3" w:rsidP="00BA398B" w:rsidRDefault="004164E3" w14:paraId="19E3BD1D" w14:textId="77777777"/>
    <w:p w:rsidR="00876FF0" w:rsidP="00BA398B" w:rsidRDefault="00876FF0" w14:paraId="27D0F279" w14:textId="523444B1">
      <w:r w:rsidRPr="004F0598">
        <w:t xml:space="preserve">Hierbij ontvangt u het rapport </w:t>
      </w:r>
      <w:r w:rsidRPr="00A443DD">
        <w:t>‘Drinkwaterkwaliteit 202</w:t>
      </w:r>
      <w:r>
        <w:t>4</w:t>
      </w:r>
      <w:r w:rsidRPr="00A443DD">
        <w:t>’</w:t>
      </w:r>
      <w:r w:rsidR="000F6522">
        <w:t xml:space="preserve"> en de resultaten van de beoordeling</w:t>
      </w:r>
      <w:r w:rsidR="00652ACF">
        <w:t xml:space="preserve"> van de</w:t>
      </w:r>
      <w:r w:rsidR="000F6522">
        <w:t xml:space="preserve"> bedrijfsverslagen drinkwaterbedrijven 2024</w:t>
      </w:r>
      <w:r w:rsidRPr="004F0598">
        <w:t xml:space="preserve">. </w:t>
      </w:r>
      <w:r w:rsidRPr="004F0598" w:rsidR="000F6522">
        <w:t>Met deze rapportage</w:t>
      </w:r>
      <w:r w:rsidR="000F6522">
        <w:t>s</w:t>
      </w:r>
      <w:r w:rsidRPr="004F0598" w:rsidR="000F6522">
        <w:t xml:space="preserve"> geeft de</w:t>
      </w:r>
      <w:r w:rsidR="00CD284D">
        <w:t xml:space="preserve"> Inspectie Leefomgeving en Transport</w:t>
      </w:r>
      <w:r w:rsidRPr="004F0598" w:rsidR="000F6522">
        <w:t xml:space="preserve"> </w:t>
      </w:r>
      <w:r w:rsidR="00CD284D">
        <w:t>(</w:t>
      </w:r>
      <w:r w:rsidRPr="004F0598" w:rsidR="000F6522">
        <w:t>ILT</w:t>
      </w:r>
      <w:r w:rsidR="00CD284D">
        <w:t>)</w:t>
      </w:r>
      <w:r w:rsidRPr="004F0598" w:rsidR="000F6522">
        <w:t xml:space="preserve"> invulling aan haar wettelijke taak om jaarlijks verslag te doen van de kwaliteit van het Nederlandse drinkwater</w:t>
      </w:r>
      <w:r w:rsidR="000F6522">
        <w:t>, de totstandkoming van de drinkwatertarieven en de bedrijfsverslagen van de drinkwaterbedrijven</w:t>
      </w:r>
      <w:r w:rsidRPr="004F0598" w:rsidR="000F6522">
        <w:t xml:space="preserve">. </w:t>
      </w:r>
      <w:r w:rsidRPr="004F0598">
        <w:t xml:space="preserve"> </w:t>
      </w:r>
    </w:p>
    <w:p w:rsidR="00BA398B" w:rsidP="00BA398B" w:rsidRDefault="00BA398B" w14:paraId="1AFBA593" w14:textId="77777777"/>
    <w:p w:rsidR="00652ACF" w:rsidP="00BA398B" w:rsidRDefault="00566FEB" w14:paraId="6C753CC9" w14:textId="4DDDB61B">
      <w:r w:rsidRPr="00FC67AD">
        <w:t>Schoon</w:t>
      </w:r>
      <w:r w:rsidR="00652ACF">
        <w:t xml:space="preserve">, </w:t>
      </w:r>
      <w:r w:rsidRPr="00FC67AD">
        <w:t xml:space="preserve">veilig </w:t>
      </w:r>
      <w:r w:rsidR="00652ACF">
        <w:t xml:space="preserve">en betaalbaar </w:t>
      </w:r>
      <w:r w:rsidRPr="00FC67AD">
        <w:t xml:space="preserve">drinkwater is van vitaal belang voor een gezonde samenleving. </w:t>
      </w:r>
      <w:r w:rsidRPr="00652ACF" w:rsidR="00652ACF">
        <w:t xml:space="preserve">Verontreinigd drinkwater </w:t>
      </w:r>
      <w:r w:rsidR="00652ACF">
        <w:t>kan immers</w:t>
      </w:r>
      <w:r w:rsidRPr="00652ACF" w:rsidR="00652ACF">
        <w:t xml:space="preserve"> </w:t>
      </w:r>
      <w:r w:rsidR="00652ACF">
        <w:t xml:space="preserve">zorgen </w:t>
      </w:r>
      <w:r w:rsidRPr="00652ACF" w:rsidR="00652ACF">
        <w:t xml:space="preserve">voor fysieke gezondheids- en milieuschade. Een verkeerde tariefstelling voor drinkwater kan economische schade opleveren. Uitval van levering van drinkwater kan tot maatschappelijke onrust, gezondheidsschade en bij langdurige uitval </w:t>
      </w:r>
      <w:r w:rsidR="00CD284D">
        <w:t xml:space="preserve">tot </w:t>
      </w:r>
      <w:r w:rsidRPr="00652ACF" w:rsidR="00652ACF">
        <w:t>maatschappelijke ontwrichting leiden.</w:t>
      </w:r>
    </w:p>
    <w:p w:rsidR="00652ACF" w:rsidP="00BA398B" w:rsidRDefault="00652ACF" w14:paraId="576FF586" w14:textId="77777777"/>
    <w:p w:rsidR="00566FEB" w:rsidP="00BA398B" w:rsidRDefault="00566FEB" w14:paraId="69EC5AC4" w14:textId="2D4AE159">
      <w:r w:rsidRPr="00FC67AD">
        <w:t>In Nederland gelden daarom strenge kwaliteitseisen waaraan drinkwater moet voldoen. Al jarenlang zetten de drinkwaterbedrijven zich in om drinkwater te leveren dat aan deze eisen voldoet. De ILT ziet erop toe dat deze kwaliteit wordt gewaarborgd.</w:t>
      </w:r>
    </w:p>
    <w:p w:rsidR="00566FEB" w:rsidP="00BA398B" w:rsidRDefault="00566FEB" w14:paraId="2B62FBFA" w14:textId="77777777"/>
    <w:p w:rsidR="0069261D" w:rsidP="0069261D" w:rsidRDefault="0069261D" w14:paraId="7888A3BC" w14:textId="77777777">
      <w:pPr>
        <w:pStyle w:val="Heading1"/>
        <w:spacing w:before="0"/>
      </w:pPr>
      <w:r>
        <w:t>Rapport Drinkwaterkwaliteit 2024</w:t>
      </w:r>
    </w:p>
    <w:p w:rsidR="00566FEB" w:rsidP="00BA398B" w:rsidRDefault="00566FEB" w14:paraId="0F697972" w14:textId="36CA60AE">
      <w:r w:rsidRPr="00FC67AD">
        <w:t xml:space="preserve">Hoewel de kwaliteit van drinkwater in Nederland nog hoog is, wordt het steeds complexer om dit niveau te behouden. Vervuiling van de bronnen, klimaatverandering en verouderde infrastructuur zetten de drinkwatervoorziening onder druk. Het </w:t>
      </w:r>
      <w:r>
        <w:t>waarborgen</w:t>
      </w:r>
      <w:r w:rsidRPr="00FC67AD">
        <w:t xml:space="preserve"> van </w:t>
      </w:r>
      <w:r>
        <w:t xml:space="preserve">genoeg, </w:t>
      </w:r>
      <w:r w:rsidRPr="00FC67AD">
        <w:t xml:space="preserve">schoon en veilig drinkwater vraagt daarom blijvende inspanningen van zowel drinkwaterbedrijven als </w:t>
      </w:r>
      <w:r>
        <w:t>de overheid</w:t>
      </w:r>
      <w:r w:rsidRPr="00FC67AD">
        <w:t xml:space="preserve">. Drinkwaterbedrijven moeten in toenemende mate investeren in de hele keten van winning, zuivering en distributie, terwijl </w:t>
      </w:r>
      <w:r>
        <w:t>verschillende onderdelen van de overheid hu</w:t>
      </w:r>
      <w:r w:rsidRPr="00FC67AD">
        <w:t>n rol moeten nemen als het gaat om de bescherming en beschikbaarheid van de drinkwaterbronnen.</w:t>
      </w:r>
      <w:r w:rsidR="0069261D">
        <w:t xml:space="preserve"> Voor het volledige oordeel van de ILT aangaande de drinkwaterkwaliteit </w:t>
      </w:r>
      <w:r w:rsidR="00CD284D">
        <w:t>wordt verwezen</w:t>
      </w:r>
      <w:r w:rsidR="0069261D">
        <w:t xml:space="preserve"> u naar bijgaande rapportage. </w:t>
      </w:r>
    </w:p>
    <w:p w:rsidR="00876FF0" w:rsidP="00BA398B" w:rsidRDefault="00876FF0" w14:paraId="2EFC72CD" w14:textId="77777777"/>
    <w:p w:rsidRPr="007F0ECB" w:rsidR="007F0ECB" w:rsidP="00BA398B" w:rsidRDefault="007F0ECB" w14:paraId="0949812F" w14:textId="77777777">
      <w:pPr>
        <w:rPr>
          <w:b/>
          <w:bCs/>
        </w:rPr>
      </w:pPr>
      <w:r w:rsidRPr="007F0ECB">
        <w:rPr>
          <w:b/>
          <w:bCs/>
        </w:rPr>
        <w:t>Resultaten beoordeling bedrijfsverslagen drinkwaterbedrijven</w:t>
      </w:r>
    </w:p>
    <w:p w:rsidRPr="00CC58D0" w:rsidR="00566FEB" w:rsidP="00BA398B" w:rsidRDefault="00566FEB" w14:paraId="3ED69453" w14:textId="2452296F">
      <w:r w:rsidRPr="00CC58D0">
        <w:t>De</w:t>
      </w:r>
      <w:r w:rsidR="00CD284D">
        <w:t xml:space="preserve"> </w:t>
      </w:r>
      <w:r w:rsidRPr="00CC58D0">
        <w:t xml:space="preserve">ILT houdt in het kader van de doelmatigheid van de drinkwaterbedrijven toezicht op de totstandkoming van de drinkwatertarieven en op de </w:t>
      </w:r>
      <w:r w:rsidRPr="00CC58D0">
        <w:lastRenderedPageBreak/>
        <w:t>bedrijfsverslagen van de drinkwaterbedrijven. De bedrijfsverslagen geven inzicht in de kostenopbouw van de drinkwatertarieven en het gerealiseerde bedrijfsresultaat over de wettelijke drinkwateractiviteiten. Binnen dit kader informeer ik u over de toetsing van de bedrijfsverslagen over 202</w:t>
      </w:r>
      <w:r>
        <w:t>4</w:t>
      </w:r>
      <w:r w:rsidRPr="00CC58D0">
        <w:t>.</w:t>
      </w:r>
    </w:p>
    <w:p w:rsidRPr="00CC58D0" w:rsidR="00505D2D" w:rsidP="00BA398B" w:rsidRDefault="00505D2D" w14:paraId="41E4D189" w14:textId="77777777"/>
    <w:p w:rsidRPr="00CC58D0" w:rsidR="00566FEB" w:rsidP="00BA398B" w:rsidRDefault="00566FEB" w14:paraId="617260E4" w14:textId="77777777">
      <w:pPr>
        <w:rPr>
          <w:i/>
        </w:rPr>
      </w:pPr>
      <w:r w:rsidRPr="00CC58D0">
        <w:rPr>
          <w:i/>
        </w:rPr>
        <w:t>Beoordeling bedrijfsverslagen 202</w:t>
      </w:r>
      <w:r>
        <w:rPr>
          <w:i/>
        </w:rPr>
        <w:t>4</w:t>
      </w:r>
    </w:p>
    <w:p w:rsidRPr="00CC58D0" w:rsidR="00566FEB" w:rsidP="00BA398B" w:rsidRDefault="00566FEB" w14:paraId="7BFC0854" w14:textId="532B96D7">
      <w:r w:rsidRPr="00CC58D0">
        <w:t xml:space="preserve">De bedrijfsverslagen zijn in het kader van artikel 12 van de Drinkwaterwet aan </w:t>
      </w:r>
      <w:r w:rsidR="00CD284D">
        <w:t>het ministerie van IenW</w:t>
      </w:r>
      <w:r w:rsidRPr="00CC58D0">
        <w:t xml:space="preserve"> toegezonden. </w:t>
      </w:r>
      <w:r w:rsidR="00CD284D">
        <w:t>G</w:t>
      </w:r>
      <w:r w:rsidRPr="00CC58D0">
        <w:t>econstateerd</w:t>
      </w:r>
      <w:r w:rsidR="00CD284D">
        <w:t xml:space="preserve"> is</w:t>
      </w:r>
      <w:r w:rsidRPr="00CC58D0">
        <w:t xml:space="preserve"> dat de 10 drinkwaterbedrijven de bedrijfsverslagen tijdig hebben aangeleverd. De bedrijfsverslagen beschikken over een goedkeurende verklaring van een registeraccountant en geven inzicht in de wettelijk vereiste gegevens, waaronder de gerealiseerde vermogenskosten over het jaar 202</w:t>
      </w:r>
      <w:r>
        <w:t>4</w:t>
      </w:r>
      <w:r w:rsidRPr="00CC58D0">
        <w:t>. Daarmee voldoen de bedrijfsverslagen aan alle eisen die de Drinkwaterwet hieraan stelt. De ILT zal de inhoud van de bedrijfsverslagen betrekken bij het toezicht op de drinkwatertarieven van 202</w:t>
      </w:r>
      <w:r>
        <w:t>6</w:t>
      </w:r>
      <w:r w:rsidRPr="00CC58D0">
        <w:t xml:space="preserve">. </w:t>
      </w:r>
    </w:p>
    <w:p w:rsidRPr="00CC58D0" w:rsidR="00566FEB" w:rsidP="00BA398B" w:rsidRDefault="00566FEB" w14:paraId="0ED8883D" w14:textId="77777777"/>
    <w:p w:rsidRPr="00CC58D0" w:rsidR="00566FEB" w:rsidP="00BA398B" w:rsidRDefault="00566FEB" w14:paraId="23EF3A3E" w14:textId="77777777">
      <w:pPr>
        <w:rPr>
          <w:i/>
        </w:rPr>
      </w:pPr>
      <w:r w:rsidRPr="00CC58D0">
        <w:rPr>
          <w:i/>
        </w:rPr>
        <w:t>Gerealiseerde vermogenskosten</w:t>
      </w:r>
    </w:p>
    <w:p w:rsidRPr="00CC58D0" w:rsidR="00566FEB" w:rsidP="00BA398B" w:rsidRDefault="00566FEB" w14:paraId="2B9A2B33" w14:textId="1789291B">
      <w:r w:rsidRPr="00CC58D0">
        <w:t>De gewogen gemiddelde vermogenskostenvoet (WACC</w:t>
      </w:r>
      <w:r w:rsidR="00505D2D">
        <w:t>)</w:t>
      </w:r>
      <w:r w:rsidRPr="00CC58D0">
        <w:t xml:space="preserve"> is voor de kalenderjaren 2022-2024 vastgesteld op 2,95%. Deze vermogenskostenvoet geeft het redelijk rendement op het geïnvesteerd vermogen weer dat als norm geldt voor de Nederlandse drinkwaterbedrijven.</w:t>
      </w:r>
    </w:p>
    <w:p w:rsidRPr="00CC58D0" w:rsidR="00566FEB" w:rsidP="00BA398B" w:rsidRDefault="00566FEB" w14:paraId="547812BA" w14:textId="77777777">
      <w:r w:rsidRPr="00CC58D0">
        <w:t>In 202</w:t>
      </w:r>
      <w:r>
        <w:t>4</w:t>
      </w:r>
      <w:r w:rsidRPr="00CC58D0">
        <w:t xml:space="preserve"> he</w:t>
      </w:r>
      <w:r>
        <w:t>bben</w:t>
      </w:r>
      <w:r w:rsidRPr="00CC58D0">
        <w:t xml:space="preserve"> </w:t>
      </w:r>
      <w:r>
        <w:t xml:space="preserve">vier </w:t>
      </w:r>
      <w:r w:rsidRPr="00CC58D0">
        <w:t>drinkwaterbedrij</w:t>
      </w:r>
      <w:r>
        <w:t>ven</w:t>
      </w:r>
      <w:r w:rsidRPr="00CC58D0">
        <w:t xml:space="preserve"> de wettelijk vastgestelde vermogenskostenvoet overschreden. Deze overschrijding</w:t>
      </w:r>
      <w:r>
        <w:t>en</w:t>
      </w:r>
      <w:r w:rsidRPr="00CC58D0">
        <w:t xml:space="preserve"> dien</w:t>
      </w:r>
      <w:r>
        <w:t>en</w:t>
      </w:r>
      <w:r w:rsidRPr="00CC58D0">
        <w:t xml:space="preserve"> uiterlijk in 202</w:t>
      </w:r>
      <w:r>
        <w:t>6</w:t>
      </w:r>
      <w:r w:rsidRPr="00CC58D0">
        <w:t xml:space="preserve"> te zijn gecompenseerd</w:t>
      </w:r>
      <w:r>
        <w:t>, de ILT ziet hierop toe.</w:t>
      </w:r>
    </w:p>
    <w:p w:rsidRPr="00CC58D0" w:rsidR="00566FEB" w:rsidP="00BA398B" w:rsidRDefault="00566FEB" w14:paraId="69E54534" w14:textId="77777777">
      <w:r w:rsidRPr="00CC58D0">
        <w:t>Het gewogen gemiddelde van de gerealiseerde vermogenskosten voor de gehele drinkwatersector bedraagt 2,</w:t>
      </w:r>
      <w:r>
        <w:t>72</w:t>
      </w:r>
      <w:r w:rsidRPr="00CC58D0">
        <w:t>% in 202</w:t>
      </w:r>
      <w:r>
        <w:t>4</w:t>
      </w:r>
      <w:r w:rsidRPr="00CC58D0">
        <w:t xml:space="preserve"> </w:t>
      </w:r>
      <w:r>
        <w:t>(2,01</w:t>
      </w:r>
      <w:r w:rsidRPr="00CC58D0">
        <w:t>% in 202</w:t>
      </w:r>
      <w:r>
        <w:t>3</w:t>
      </w:r>
      <w:r w:rsidRPr="00CC58D0">
        <w:t xml:space="preserve">). </w:t>
      </w:r>
    </w:p>
    <w:p w:rsidRPr="00CC58D0" w:rsidR="00566FEB" w:rsidP="00BA398B" w:rsidRDefault="00566FEB" w14:paraId="1B9CC1A5" w14:textId="77777777">
      <w:pPr>
        <w:rPr>
          <w:i/>
        </w:rPr>
      </w:pPr>
    </w:p>
    <w:p w:rsidRPr="00CC58D0" w:rsidR="00566FEB" w:rsidP="00BA398B" w:rsidRDefault="00566FEB" w14:paraId="714B1050" w14:textId="77777777">
      <w:pPr>
        <w:rPr>
          <w:i/>
        </w:rPr>
      </w:pPr>
      <w:r w:rsidRPr="00CC58D0">
        <w:rPr>
          <w:i/>
        </w:rPr>
        <w:t xml:space="preserve">Maximaal toegestane eigen vermogen in het totaal vermogen </w:t>
      </w:r>
    </w:p>
    <w:p w:rsidRPr="00CC58D0" w:rsidR="00566FEB" w:rsidP="00BA398B" w:rsidRDefault="00566FEB" w14:paraId="67BDB07E" w14:textId="77777777">
      <w:r w:rsidRPr="00CC58D0">
        <w:t xml:space="preserve">Het maximaal toegestane eigen vermogen in het totale vermogen (solvabiliteit) is voor de kalenderjaren 2022-2024 vastgesteld op 70%. Alle bedrijven voldoen aan deze wettelijke eis. </w:t>
      </w:r>
    </w:p>
    <w:p w:rsidRPr="00CC58D0" w:rsidR="00566FEB" w:rsidP="00BA398B" w:rsidRDefault="00566FEB" w14:paraId="7328AD1C" w14:textId="4AE32980">
      <w:r w:rsidRPr="00CC58D0">
        <w:t>De gewogen gemiddelde solvabiliteit voor de gehele drinkwatersector bedraagt in 202</w:t>
      </w:r>
      <w:r>
        <w:t>4</w:t>
      </w:r>
      <w:r w:rsidRPr="00CC58D0">
        <w:t xml:space="preserve"> </w:t>
      </w:r>
      <w:r>
        <w:t>40,7</w:t>
      </w:r>
      <w:r w:rsidRPr="00CC58D0">
        <w:t>% (</w:t>
      </w:r>
      <w:r w:rsidR="00CD284D">
        <w:t xml:space="preserve">dit was ook </w:t>
      </w:r>
      <w:r>
        <w:t>40,7</w:t>
      </w:r>
      <w:r w:rsidRPr="00CC58D0">
        <w:t>% in 202</w:t>
      </w:r>
      <w:r>
        <w:t>3</w:t>
      </w:r>
      <w:r w:rsidRPr="00CC58D0">
        <w:t>). Waternet is vanwege de afwijkende financiële structuur niet in dit gemiddelde opgenomen.</w:t>
      </w:r>
    </w:p>
    <w:p w:rsidRPr="00CC58D0" w:rsidR="00566FEB" w:rsidP="00BA398B" w:rsidRDefault="00566FEB" w14:paraId="7A85F51E" w14:textId="77777777"/>
    <w:p w:rsidRPr="00CC58D0" w:rsidR="00566FEB" w:rsidP="00BA398B" w:rsidRDefault="00566FEB" w14:paraId="00197A1C" w14:textId="77777777">
      <w:pPr>
        <w:rPr>
          <w:i/>
        </w:rPr>
      </w:pPr>
      <w:r w:rsidRPr="00CC58D0">
        <w:rPr>
          <w:i/>
        </w:rPr>
        <w:t xml:space="preserve">Bevordering goede drinkwatervoorziening in het buitenland </w:t>
      </w:r>
    </w:p>
    <w:p w:rsidRPr="00CC58D0" w:rsidR="00566FEB" w:rsidP="00BA398B" w:rsidRDefault="00566FEB" w14:paraId="6C6E4189" w14:textId="77777777">
      <w:r w:rsidRPr="00CC58D0">
        <w:t>Drinkwaterbedrijven mogen een deel van het rendement inzetten ten behoeve van het stimuleren van de drinkwatervoorziening in het buitenland. De totale (netto) kosten mogen niet meer dan 1% van de gerealiseerde omzet van de drinkwaterlevering bedragen.</w:t>
      </w:r>
    </w:p>
    <w:p w:rsidRPr="00CC58D0" w:rsidR="00566FEB" w:rsidP="00BA398B" w:rsidRDefault="00566FEB" w14:paraId="5CD51BE8" w14:textId="77777777">
      <w:r w:rsidRPr="00CC58D0">
        <w:t>Geen van de drinkwaterbedrijven overschreed de wettelijke norm van 1%. Het gemiddelde kostenpercentage van de drinkwaterbedrijven over 202</w:t>
      </w:r>
      <w:r>
        <w:t>4</w:t>
      </w:r>
      <w:r w:rsidRPr="00CC58D0">
        <w:t xml:space="preserve"> is 0,</w:t>
      </w:r>
      <w:r>
        <w:t>42</w:t>
      </w:r>
      <w:r w:rsidRPr="00CC58D0">
        <w:t xml:space="preserve">%. Dit is een lichte </w:t>
      </w:r>
      <w:r>
        <w:t>daling</w:t>
      </w:r>
      <w:r w:rsidRPr="00CC58D0">
        <w:t xml:space="preserve"> ten opzichte van 202</w:t>
      </w:r>
      <w:r>
        <w:t>3</w:t>
      </w:r>
      <w:r w:rsidRPr="00CC58D0">
        <w:t xml:space="preserve"> (0,</w:t>
      </w:r>
      <w:r>
        <w:t>47</w:t>
      </w:r>
      <w:r w:rsidRPr="00CC58D0">
        <w:t xml:space="preserve">%). </w:t>
      </w:r>
    </w:p>
    <w:p w:rsidRPr="00CC58D0" w:rsidR="00566FEB" w:rsidP="00BA398B" w:rsidRDefault="00566FEB" w14:paraId="6B0A44CF" w14:textId="77777777">
      <w:r w:rsidRPr="00CC58D0">
        <w:t>De totale netto kosten ingezet door de drinkwaterbedrijven voor drinkwaterprojecten in het buitenland in 202</w:t>
      </w:r>
      <w:r>
        <w:t>4</w:t>
      </w:r>
      <w:r w:rsidRPr="00CC58D0">
        <w:t xml:space="preserve"> zijn € </w:t>
      </w:r>
      <w:r>
        <w:t>7</w:t>
      </w:r>
      <w:r w:rsidRPr="00CC58D0">
        <w:t>,</w:t>
      </w:r>
      <w:r>
        <w:t>9</w:t>
      </w:r>
      <w:r w:rsidRPr="00CC58D0">
        <w:t xml:space="preserve"> miljoen (€ 8,1 miljoen in 202</w:t>
      </w:r>
      <w:r>
        <w:t>3</w:t>
      </w:r>
      <w:r w:rsidRPr="00CC58D0">
        <w:t xml:space="preserve">).  </w:t>
      </w:r>
    </w:p>
    <w:p w:rsidRPr="00CC58D0" w:rsidR="00566FEB" w:rsidP="00BA398B" w:rsidRDefault="00566FEB" w14:paraId="03FEAFD1" w14:textId="77777777">
      <w:pPr>
        <w:rPr>
          <w:i/>
        </w:rPr>
      </w:pPr>
    </w:p>
    <w:p w:rsidRPr="00CC58D0" w:rsidR="00566FEB" w:rsidP="00BA398B" w:rsidRDefault="00566FEB" w14:paraId="5CAB86B8" w14:textId="77777777">
      <w:pPr>
        <w:rPr>
          <w:i/>
        </w:rPr>
      </w:pPr>
      <w:r w:rsidRPr="00CC58D0">
        <w:rPr>
          <w:i/>
        </w:rPr>
        <w:t>Rendement niet-wettelijke activiteiten</w:t>
      </w:r>
    </w:p>
    <w:p w:rsidRPr="00CC58D0" w:rsidR="00566FEB" w:rsidP="00BA398B" w:rsidRDefault="00566FEB" w14:paraId="3B5C179C" w14:textId="77777777">
      <w:pPr>
        <w:pStyle w:val="OndertekeningArea1"/>
        <w:spacing w:before="0"/>
      </w:pPr>
      <w:r w:rsidRPr="00CC58D0">
        <w:t xml:space="preserve">Drinkwaterbedrijven kunnen, naast de activiteiten in het kader van de openbare drinkwatervoorziening, ook niet-wettelijke (economische) activiteiten uitvoeren. Deze activiteiten zijn gebonden aan een aantal wettelijke eisen. Zo mag er onder andere geen sprake zijn van kruissubsidiëring en moet de financiële administratie gescheiden zijn van de wettelijke activiteiten. </w:t>
      </w:r>
    </w:p>
    <w:p w:rsidR="00E05FE9" w:rsidP="00BA398B" w:rsidRDefault="00566FEB" w14:paraId="68D61C5F" w14:textId="77777777">
      <w:pPr>
        <w:pStyle w:val="Slotzin"/>
        <w:spacing w:before="0"/>
      </w:pPr>
      <w:r w:rsidRPr="00CC58D0">
        <w:t xml:space="preserve">Het gemiddelde gewogen rendement op niet-wettelijke activiteiten voor de sector is </w:t>
      </w:r>
      <w:r>
        <w:t>5,4</w:t>
      </w:r>
      <w:r w:rsidRPr="00CC58D0">
        <w:t>% in 202</w:t>
      </w:r>
      <w:r>
        <w:t>4</w:t>
      </w:r>
      <w:r w:rsidRPr="00CC58D0">
        <w:t xml:space="preserve"> (</w:t>
      </w:r>
      <w:r>
        <w:t>5,9</w:t>
      </w:r>
      <w:r w:rsidRPr="00CC58D0">
        <w:t>% in 202</w:t>
      </w:r>
      <w:r>
        <w:t>3</w:t>
      </w:r>
      <w:r w:rsidRPr="00CC58D0">
        <w:t>).</w:t>
      </w:r>
    </w:p>
    <w:p w:rsidRPr="00E05FE9" w:rsidR="00E05FE9" w:rsidP="00E05FE9" w:rsidRDefault="00E05FE9" w14:paraId="2F78A8B2" w14:textId="77777777"/>
    <w:p w:rsidR="00E05FE9" w:rsidP="00CD284D" w:rsidRDefault="00E05FE9" w14:paraId="78FF7F64" w14:textId="07BBE361">
      <w:r w:rsidRPr="00505D2D">
        <w:t>Als bijlagen bij deze brief ontvangt u het rapport Drinkwaterkwaliteit 202</w:t>
      </w:r>
      <w:r>
        <w:t>4</w:t>
      </w:r>
      <w:r w:rsidRPr="00505D2D">
        <w:t xml:space="preserve"> </w:t>
      </w:r>
      <w:r>
        <w:t xml:space="preserve">en </w:t>
      </w:r>
      <w:r w:rsidRPr="00CC58D0">
        <w:t xml:space="preserve">de bedrijfsverslagen van de 10 </w:t>
      </w:r>
      <w:r w:rsidRPr="00CC58D0">
        <w:rPr>
          <w:color w:val="auto"/>
        </w:rPr>
        <w:t>drinkwaterbedrijven</w:t>
      </w:r>
      <w:r w:rsidRPr="00CC58D0">
        <w:rPr>
          <w:color w:val="FF0000"/>
        </w:rPr>
        <w:t xml:space="preserve"> </w:t>
      </w:r>
      <w:r w:rsidRPr="00CC58D0">
        <w:t>over het jaar 202</w:t>
      </w:r>
      <w:r>
        <w:t>4</w:t>
      </w:r>
      <w:r w:rsidRPr="00CC58D0">
        <w:t>.</w:t>
      </w:r>
    </w:p>
    <w:p w:rsidR="00E05FE9" w:rsidP="00BA398B" w:rsidRDefault="00E05FE9" w14:paraId="7EA12FAF" w14:textId="77777777">
      <w:pPr>
        <w:pStyle w:val="Slotzin"/>
        <w:spacing w:before="0"/>
      </w:pPr>
    </w:p>
    <w:p w:rsidR="00566FEB" w:rsidP="00CD284D" w:rsidRDefault="00566FEB" w14:paraId="07FA92EE" w14:textId="4E0EA57A">
      <w:pPr>
        <w:pStyle w:val="Slotzin"/>
        <w:spacing w:before="0"/>
      </w:pPr>
      <w:r>
        <w:t>Hoogachtend,</w:t>
      </w:r>
    </w:p>
    <w:p w:rsidR="00566FEB" w:rsidP="00BA398B" w:rsidRDefault="00566FEB" w14:paraId="568AB137" w14:textId="77777777">
      <w:pPr>
        <w:pStyle w:val="OndertekeningArea1"/>
        <w:spacing w:before="0"/>
      </w:pPr>
    </w:p>
    <w:p w:rsidR="001A3118" w:rsidP="00BA398B" w:rsidRDefault="001A16F3" w14:paraId="328B6B46" w14:textId="32E356EE">
      <w:pPr>
        <w:pStyle w:val="OndertekeningArea1"/>
        <w:spacing w:before="0"/>
      </w:pPr>
      <w:r>
        <w:t>DE MINISTER VAN INFRASTRUCTUUR EN WATERSTAAT,</w:t>
      </w:r>
    </w:p>
    <w:p w:rsidR="001A3118" w:rsidP="00BA398B" w:rsidRDefault="001A3118" w14:paraId="299F38BE" w14:textId="77777777"/>
    <w:p w:rsidR="001A3118" w:rsidP="00BA398B" w:rsidRDefault="001A3118" w14:paraId="5C50A278" w14:textId="77777777"/>
    <w:p w:rsidR="001A3118" w:rsidP="00BA398B" w:rsidRDefault="001A3118" w14:paraId="1C75C072" w14:textId="77777777"/>
    <w:p w:rsidR="001A3118" w:rsidP="00BA398B" w:rsidRDefault="001A3118" w14:paraId="6C6489A3" w14:textId="77777777"/>
    <w:p w:rsidR="001A3118" w:rsidP="00BA398B" w:rsidRDefault="001A16F3" w14:paraId="68012334" w14:textId="77777777">
      <w:r>
        <w:t>ing. R. (Robert) Tieman</w:t>
      </w:r>
      <w:bookmarkEnd w:id="0"/>
    </w:p>
    <w:sectPr w:rsidR="001A311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AB34D" w14:textId="77777777" w:rsidR="00280165" w:rsidRDefault="00280165">
      <w:pPr>
        <w:spacing w:line="240" w:lineRule="auto"/>
      </w:pPr>
      <w:r>
        <w:separator/>
      </w:r>
    </w:p>
  </w:endnote>
  <w:endnote w:type="continuationSeparator" w:id="0">
    <w:p w14:paraId="26B3C5D1" w14:textId="77777777" w:rsidR="00280165" w:rsidRDefault="00280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D736" w14:textId="77777777" w:rsidR="00D07C48" w:rsidRDefault="00D07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AF46C" w14:textId="77777777" w:rsidR="00D07C48" w:rsidRDefault="00D07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A6CF" w14:textId="77777777" w:rsidR="00D07C48" w:rsidRDefault="00D0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1CD61" w14:textId="77777777" w:rsidR="00280165" w:rsidRDefault="00280165">
      <w:pPr>
        <w:spacing w:line="240" w:lineRule="auto"/>
      </w:pPr>
      <w:r>
        <w:separator/>
      </w:r>
    </w:p>
  </w:footnote>
  <w:footnote w:type="continuationSeparator" w:id="0">
    <w:p w14:paraId="3AAF8A40" w14:textId="77777777" w:rsidR="00280165" w:rsidRDefault="002801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14AC8" w14:textId="77777777" w:rsidR="00D07C48" w:rsidRDefault="00D07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2A08" w14:textId="77777777" w:rsidR="001A3118" w:rsidRDefault="001A16F3">
    <w:r>
      <w:rPr>
        <w:noProof/>
        <w:lang w:val="en-GB" w:eastAsia="en-GB"/>
      </w:rPr>
      <mc:AlternateContent>
        <mc:Choice Requires="wps">
          <w:drawing>
            <wp:anchor distT="0" distB="0" distL="0" distR="0" simplePos="0" relativeHeight="251651584" behindDoc="0" locked="1" layoutInCell="1" allowOverlap="1" wp14:anchorId="492A7E94" wp14:editId="7E46DB7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51537E6" w14:textId="77777777" w:rsidR="001A3118" w:rsidRDefault="001A16F3">
                          <w:pPr>
                            <w:pStyle w:val="AfzendgegevensKop0"/>
                          </w:pPr>
                          <w:r>
                            <w:t>Ministerie van Infrastructuur en Waterstaat</w:t>
                          </w:r>
                        </w:p>
                        <w:p w14:paraId="2334BA6B" w14:textId="77777777" w:rsidR="001A16F3" w:rsidRDefault="001A16F3" w:rsidP="001A16F3"/>
                        <w:p w14:paraId="304F2DA9" w14:textId="77777777" w:rsidR="001A16F3" w:rsidRPr="00230CB7" w:rsidRDefault="001A16F3" w:rsidP="001A16F3">
                          <w:pPr>
                            <w:spacing w:line="276" w:lineRule="auto"/>
                            <w:rPr>
                              <w:b/>
                              <w:bCs/>
                              <w:sz w:val="13"/>
                              <w:szCs w:val="13"/>
                            </w:rPr>
                          </w:pPr>
                          <w:r w:rsidRPr="00230CB7">
                            <w:rPr>
                              <w:b/>
                              <w:bCs/>
                              <w:sz w:val="13"/>
                              <w:szCs w:val="13"/>
                            </w:rPr>
                            <w:t>Ons kenmerk</w:t>
                          </w:r>
                          <w:r w:rsidRPr="00230CB7">
                            <w:rPr>
                              <w:b/>
                              <w:bCs/>
                              <w:sz w:val="13"/>
                              <w:szCs w:val="13"/>
                            </w:rPr>
                            <w:br/>
                          </w:r>
                          <w:r w:rsidRPr="001A16F3">
                            <w:rPr>
                              <w:sz w:val="13"/>
                              <w:szCs w:val="13"/>
                            </w:rPr>
                            <w:t>ILT-2025/54982</w:t>
                          </w:r>
                        </w:p>
                        <w:p w14:paraId="14B9A081" w14:textId="77777777" w:rsidR="001A16F3" w:rsidRPr="001A16F3" w:rsidRDefault="001A16F3" w:rsidP="001A16F3"/>
                      </w:txbxContent>
                    </wps:txbx>
                    <wps:bodyPr vert="horz" wrap="square" lIns="0" tIns="0" rIns="0" bIns="0" anchor="t" anchorCtr="0"/>
                  </wps:wsp>
                </a:graphicData>
              </a:graphic>
            </wp:anchor>
          </w:drawing>
        </mc:Choice>
        <mc:Fallback>
          <w:pict>
            <v:shapetype w14:anchorId="492A7E9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51537E6" w14:textId="77777777" w:rsidR="001A3118" w:rsidRDefault="001A16F3">
                    <w:pPr>
                      <w:pStyle w:val="AfzendgegevensKop0"/>
                    </w:pPr>
                    <w:r>
                      <w:t>Ministerie van Infrastructuur en Waterstaat</w:t>
                    </w:r>
                  </w:p>
                  <w:p w14:paraId="2334BA6B" w14:textId="77777777" w:rsidR="001A16F3" w:rsidRDefault="001A16F3" w:rsidP="001A16F3"/>
                  <w:p w14:paraId="304F2DA9" w14:textId="77777777" w:rsidR="001A16F3" w:rsidRPr="00230CB7" w:rsidRDefault="001A16F3" w:rsidP="001A16F3">
                    <w:pPr>
                      <w:spacing w:line="276" w:lineRule="auto"/>
                      <w:rPr>
                        <w:b/>
                        <w:bCs/>
                        <w:sz w:val="13"/>
                        <w:szCs w:val="13"/>
                      </w:rPr>
                    </w:pPr>
                    <w:r w:rsidRPr="00230CB7">
                      <w:rPr>
                        <w:b/>
                        <w:bCs/>
                        <w:sz w:val="13"/>
                        <w:szCs w:val="13"/>
                      </w:rPr>
                      <w:t>Ons kenmerk</w:t>
                    </w:r>
                    <w:r w:rsidRPr="00230CB7">
                      <w:rPr>
                        <w:b/>
                        <w:bCs/>
                        <w:sz w:val="13"/>
                        <w:szCs w:val="13"/>
                      </w:rPr>
                      <w:br/>
                    </w:r>
                    <w:r w:rsidRPr="001A16F3">
                      <w:rPr>
                        <w:sz w:val="13"/>
                        <w:szCs w:val="13"/>
                      </w:rPr>
                      <w:t>ILT-2025/54982</w:t>
                    </w:r>
                  </w:p>
                  <w:p w14:paraId="14B9A081" w14:textId="77777777" w:rsidR="001A16F3" w:rsidRPr="001A16F3" w:rsidRDefault="001A16F3" w:rsidP="001A16F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F5E4D0D" wp14:editId="5FBEF06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1C7EC6" w14:textId="77777777" w:rsidR="001A3118" w:rsidRDefault="001A16F3">
                          <w:pPr>
                            <w:pStyle w:val="Referentiegegevens"/>
                          </w:pPr>
                          <w:r>
                            <w:t xml:space="preserve">Pagina </w:t>
                          </w:r>
                          <w:r>
                            <w:fldChar w:fldCharType="begin"/>
                          </w:r>
                          <w:r>
                            <w:instrText>PAGE</w:instrText>
                          </w:r>
                          <w:r>
                            <w:fldChar w:fldCharType="separate"/>
                          </w:r>
                          <w:r w:rsidR="004164E3">
                            <w:rPr>
                              <w:noProof/>
                            </w:rPr>
                            <w:t>1</w:t>
                          </w:r>
                          <w:r>
                            <w:fldChar w:fldCharType="end"/>
                          </w:r>
                          <w:r>
                            <w:t xml:space="preserve"> van </w:t>
                          </w:r>
                          <w:r>
                            <w:fldChar w:fldCharType="begin"/>
                          </w:r>
                          <w:r>
                            <w:instrText>NUMPAGES</w:instrText>
                          </w:r>
                          <w:r>
                            <w:fldChar w:fldCharType="separate"/>
                          </w:r>
                          <w:r w:rsidR="004164E3">
                            <w:rPr>
                              <w:noProof/>
                            </w:rPr>
                            <w:t>1</w:t>
                          </w:r>
                          <w:r>
                            <w:fldChar w:fldCharType="end"/>
                          </w:r>
                        </w:p>
                      </w:txbxContent>
                    </wps:txbx>
                    <wps:bodyPr vert="horz" wrap="square" lIns="0" tIns="0" rIns="0" bIns="0" anchor="t" anchorCtr="0"/>
                  </wps:wsp>
                </a:graphicData>
              </a:graphic>
            </wp:anchor>
          </w:drawing>
        </mc:Choice>
        <mc:Fallback>
          <w:pict>
            <v:shape w14:anchorId="7F5E4D0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31C7EC6" w14:textId="77777777" w:rsidR="001A3118" w:rsidRDefault="001A16F3">
                    <w:pPr>
                      <w:pStyle w:val="Referentiegegevens"/>
                    </w:pPr>
                    <w:r>
                      <w:t xml:space="preserve">Pagina </w:t>
                    </w:r>
                    <w:r>
                      <w:fldChar w:fldCharType="begin"/>
                    </w:r>
                    <w:r>
                      <w:instrText>PAGE</w:instrText>
                    </w:r>
                    <w:r>
                      <w:fldChar w:fldCharType="separate"/>
                    </w:r>
                    <w:r w:rsidR="004164E3">
                      <w:rPr>
                        <w:noProof/>
                      </w:rPr>
                      <w:t>1</w:t>
                    </w:r>
                    <w:r>
                      <w:fldChar w:fldCharType="end"/>
                    </w:r>
                    <w:r>
                      <w:t xml:space="preserve"> van </w:t>
                    </w:r>
                    <w:r>
                      <w:fldChar w:fldCharType="begin"/>
                    </w:r>
                    <w:r>
                      <w:instrText>NUMPAGES</w:instrText>
                    </w:r>
                    <w:r>
                      <w:fldChar w:fldCharType="separate"/>
                    </w:r>
                    <w:r w:rsidR="004164E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B1A2D16" wp14:editId="7640744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7ED3D3A" w14:textId="77777777" w:rsidR="00AC34FF" w:rsidRDefault="00AC34FF"/>
                      </w:txbxContent>
                    </wps:txbx>
                    <wps:bodyPr vert="horz" wrap="square" lIns="0" tIns="0" rIns="0" bIns="0" anchor="t" anchorCtr="0"/>
                  </wps:wsp>
                </a:graphicData>
              </a:graphic>
            </wp:anchor>
          </w:drawing>
        </mc:Choice>
        <mc:Fallback>
          <w:pict>
            <v:shape w14:anchorId="3B1A2D1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7ED3D3A" w14:textId="77777777" w:rsidR="00AC34FF" w:rsidRDefault="00AC34F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1B9354A" wp14:editId="593E109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2F2CFAD" w14:textId="77777777" w:rsidR="00AC34FF" w:rsidRDefault="00AC34FF"/>
                      </w:txbxContent>
                    </wps:txbx>
                    <wps:bodyPr vert="horz" wrap="square" lIns="0" tIns="0" rIns="0" bIns="0" anchor="t" anchorCtr="0"/>
                  </wps:wsp>
                </a:graphicData>
              </a:graphic>
            </wp:anchor>
          </w:drawing>
        </mc:Choice>
        <mc:Fallback>
          <w:pict>
            <v:shape w14:anchorId="21B9354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2F2CFAD" w14:textId="77777777" w:rsidR="00AC34FF" w:rsidRDefault="00AC34F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D2C27" w14:textId="77777777" w:rsidR="001A3118" w:rsidRDefault="001A16F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D0FD10B" wp14:editId="22D3587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D245199" w14:textId="77777777" w:rsidR="00AC34FF" w:rsidRDefault="00AC34FF"/>
                      </w:txbxContent>
                    </wps:txbx>
                    <wps:bodyPr vert="horz" wrap="square" lIns="0" tIns="0" rIns="0" bIns="0" anchor="t" anchorCtr="0"/>
                  </wps:wsp>
                </a:graphicData>
              </a:graphic>
            </wp:anchor>
          </w:drawing>
        </mc:Choice>
        <mc:Fallback>
          <w:pict>
            <v:shapetype w14:anchorId="3D0FD10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D245199" w14:textId="77777777" w:rsidR="00AC34FF" w:rsidRDefault="00AC34F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0F54298" wp14:editId="7C087CA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65FACE" w14:textId="7660D4D5" w:rsidR="001A3118" w:rsidRDefault="001A16F3">
                          <w:pPr>
                            <w:pStyle w:val="Referentiegegevens"/>
                          </w:pPr>
                          <w:r>
                            <w:t xml:space="preserve">Pagina </w:t>
                          </w:r>
                          <w:r>
                            <w:fldChar w:fldCharType="begin"/>
                          </w:r>
                          <w:r>
                            <w:instrText>PAGE</w:instrText>
                          </w:r>
                          <w:r>
                            <w:fldChar w:fldCharType="separate"/>
                          </w:r>
                          <w:r w:rsidR="00310AFF">
                            <w:rPr>
                              <w:noProof/>
                            </w:rPr>
                            <w:t>1</w:t>
                          </w:r>
                          <w:r>
                            <w:fldChar w:fldCharType="end"/>
                          </w:r>
                          <w:r>
                            <w:t xml:space="preserve"> van </w:t>
                          </w:r>
                          <w:r>
                            <w:fldChar w:fldCharType="begin"/>
                          </w:r>
                          <w:r>
                            <w:instrText>NUMPAGES</w:instrText>
                          </w:r>
                          <w:r>
                            <w:fldChar w:fldCharType="separate"/>
                          </w:r>
                          <w:r w:rsidR="00310AFF">
                            <w:rPr>
                              <w:noProof/>
                            </w:rPr>
                            <w:t>1</w:t>
                          </w:r>
                          <w:r>
                            <w:fldChar w:fldCharType="end"/>
                          </w:r>
                        </w:p>
                      </w:txbxContent>
                    </wps:txbx>
                    <wps:bodyPr vert="horz" wrap="square" lIns="0" tIns="0" rIns="0" bIns="0" anchor="t" anchorCtr="0"/>
                  </wps:wsp>
                </a:graphicData>
              </a:graphic>
            </wp:anchor>
          </w:drawing>
        </mc:Choice>
        <mc:Fallback>
          <w:pict>
            <v:shape w14:anchorId="20F5429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D65FACE" w14:textId="7660D4D5" w:rsidR="001A3118" w:rsidRDefault="001A16F3">
                    <w:pPr>
                      <w:pStyle w:val="Referentiegegevens"/>
                    </w:pPr>
                    <w:r>
                      <w:t xml:space="preserve">Pagina </w:t>
                    </w:r>
                    <w:r>
                      <w:fldChar w:fldCharType="begin"/>
                    </w:r>
                    <w:r>
                      <w:instrText>PAGE</w:instrText>
                    </w:r>
                    <w:r>
                      <w:fldChar w:fldCharType="separate"/>
                    </w:r>
                    <w:r w:rsidR="00310AFF">
                      <w:rPr>
                        <w:noProof/>
                      </w:rPr>
                      <w:t>1</w:t>
                    </w:r>
                    <w:r>
                      <w:fldChar w:fldCharType="end"/>
                    </w:r>
                    <w:r>
                      <w:t xml:space="preserve"> van </w:t>
                    </w:r>
                    <w:r>
                      <w:fldChar w:fldCharType="begin"/>
                    </w:r>
                    <w:r>
                      <w:instrText>NUMPAGES</w:instrText>
                    </w:r>
                    <w:r>
                      <w:fldChar w:fldCharType="separate"/>
                    </w:r>
                    <w:r w:rsidR="00310AF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CA254A0" wp14:editId="2A956F0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BD25E4" w14:textId="77777777" w:rsidR="001A3118" w:rsidRDefault="001A16F3">
                          <w:pPr>
                            <w:pStyle w:val="AfzendgegevensKop0"/>
                          </w:pPr>
                          <w:r>
                            <w:t>Ministerie van Infrastructuur en Waterstaat</w:t>
                          </w:r>
                        </w:p>
                        <w:p w14:paraId="0B639D4F" w14:textId="77777777" w:rsidR="001A3118" w:rsidRDefault="001A3118">
                          <w:pPr>
                            <w:pStyle w:val="WitregelW1"/>
                          </w:pPr>
                        </w:p>
                        <w:p w14:paraId="07968E62" w14:textId="77777777" w:rsidR="001A3118" w:rsidRDefault="001A16F3">
                          <w:pPr>
                            <w:pStyle w:val="Afzendgegevens"/>
                          </w:pPr>
                          <w:r>
                            <w:t>Rijnstraat 8</w:t>
                          </w:r>
                        </w:p>
                        <w:p w14:paraId="35E0FF4C" w14:textId="77777777" w:rsidR="001A3118" w:rsidRPr="004164E3" w:rsidRDefault="001A16F3">
                          <w:pPr>
                            <w:pStyle w:val="Afzendgegevens"/>
                            <w:rPr>
                              <w:lang w:val="de-DE"/>
                            </w:rPr>
                          </w:pPr>
                          <w:r w:rsidRPr="004164E3">
                            <w:rPr>
                              <w:lang w:val="de-DE"/>
                            </w:rPr>
                            <w:t>2515 XP  Den Haag</w:t>
                          </w:r>
                        </w:p>
                        <w:p w14:paraId="13AEDB35" w14:textId="77777777" w:rsidR="001A3118" w:rsidRPr="004164E3" w:rsidRDefault="001A16F3">
                          <w:pPr>
                            <w:pStyle w:val="Afzendgegevens"/>
                            <w:rPr>
                              <w:lang w:val="de-DE"/>
                            </w:rPr>
                          </w:pPr>
                          <w:r w:rsidRPr="004164E3">
                            <w:rPr>
                              <w:lang w:val="de-DE"/>
                            </w:rPr>
                            <w:t>Postbus 20901</w:t>
                          </w:r>
                        </w:p>
                        <w:p w14:paraId="361C3681" w14:textId="77777777" w:rsidR="001A3118" w:rsidRPr="004164E3" w:rsidRDefault="001A16F3">
                          <w:pPr>
                            <w:pStyle w:val="Afzendgegevens"/>
                            <w:rPr>
                              <w:lang w:val="de-DE"/>
                            </w:rPr>
                          </w:pPr>
                          <w:r w:rsidRPr="004164E3">
                            <w:rPr>
                              <w:lang w:val="de-DE"/>
                            </w:rPr>
                            <w:t>2500 EX Den Haag</w:t>
                          </w:r>
                        </w:p>
                        <w:p w14:paraId="7363B9D1" w14:textId="77777777" w:rsidR="001A3118" w:rsidRPr="004164E3" w:rsidRDefault="001A3118">
                          <w:pPr>
                            <w:pStyle w:val="WitregelW1"/>
                            <w:rPr>
                              <w:lang w:val="de-DE"/>
                            </w:rPr>
                          </w:pPr>
                        </w:p>
                        <w:p w14:paraId="53DC87A7" w14:textId="77777777" w:rsidR="001A3118" w:rsidRPr="00230CB7" w:rsidRDefault="001A16F3">
                          <w:pPr>
                            <w:pStyle w:val="Afzendgegevens"/>
                            <w:rPr>
                              <w:lang w:val="de-DE"/>
                            </w:rPr>
                          </w:pPr>
                          <w:r w:rsidRPr="00230CB7">
                            <w:rPr>
                              <w:lang w:val="de-DE"/>
                            </w:rPr>
                            <w:t>T   070-456 0000</w:t>
                          </w:r>
                        </w:p>
                        <w:p w14:paraId="4E4CEDE7" w14:textId="77777777" w:rsidR="001A3118" w:rsidRPr="00230CB7" w:rsidRDefault="001A16F3">
                          <w:pPr>
                            <w:pStyle w:val="Afzendgegevens"/>
                          </w:pPr>
                          <w:r w:rsidRPr="00230CB7">
                            <w:t>F   070-456 1111</w:t>
                          </w:r>
                        </w:p>
                        <w:p w14:paraId="784FA7C2" w14:textId="77777777" w:rsidR="001A3118" w:rsidRPr="00230CB7" w:rsidRDefault="001A3118">
                          <w:pPr>
                            <w:pStyle w:val="WitregelW2"/>
                            <w:rPr>
                              <w:sz w:val="13"/>
                              <w:szCs w:val="13"/>
                            </w:rPr>
                          </w:pPr>
                        </w:p>
                        <w:p w14:paraId="7FB4B7A8" w14:textId="39E5C005" w:rsidR="00230CB7" w:rsidRPr="00230CB7" w:rsidRDefault="00230CB7" w:rsidP="001A16F3">
                          <w:pPr>
                            <w:spacing w:line="276" w:lineRule="auto"/>
                            <w:rPr>
                              <w:b/>
                              <w:bCs/>
                              <w:sz w:val="13"/>
                              <w:szCs w:val="13"/>
                            </w:rPr>
                          </w:pPr>
                          <w:r w:rsidRPr="00230CB7">
                            <w:rPr>
                              <w:b/>
                              <w:bCs/>
                              <w:sz w:val="13"/>
                              <w:szCs w:val="13"/>
                            </w:rPr>
                            <w:t>Ons kenmerk</w:t>
                          </w:r>
                          <w:r w:rsidRPr="00230CB7">
                            <w:rPr>
                              <w:b/>
                              <w:bCs/>
                              <w:sz w:val="13"/>
                              <w:szCs w:val="13"/>
                            </w:rPr>
                            <w:br/>
                          </w:r>
                          <w:r w:rsidR="001A16F3" w:rsidRPr="001A16F3">
                            <w:rPr>
                              <w:sz w:val="13"/>
                              <w:szCs w:val="13"/>
                            </w:rPr>
                            <w:t>ILT-2025/54982</w:t>
                          </w:r>
                        </w:p>
                        <w:p w14:paraId="41EFEFD9" w14:textId="77777777" w:rsidR="00230CB7" w:rsidRPr="00230CB7" w:rsidRDefault="00230CB7" w:rsidP="00230CB7">
                          <w:pPr>
                            <w:rPr>
                              <w:sz w:val="13"/>
                              <w:szCs w:val="13"/>
                            </w:rPr>
                          </w:pPr>
                        </w:p>
                        <w:p w14:paraId="22E3AC73" w14:textId="77777777" w:rsidR="001A3118" w:rsidRPr="00230CB7" w:rsidRDefault="001A16F3">
                          <w:pPr>
                            <w:pStyle w:val="Referentiegegevenskop"/>
                          </w:pPr>
                          <w:r w:rsidRPr="00230CB7">
                            <w:t>Bijlage(n)</w:t>
                          </w:r>
                        </w:p>
                        <w:p w14:paraId="135B6BB5" w14:textId="13BA7FB8" w:rsidR="001A3118" w:rsidRPr="00230CB7" w:rsidRDefault="00652ACF">
                          <w:pPr>
                            <w:pStyle w:val="Referentiegegevens"/>
                          </w:pPr>
                          <w:r w:rsidRPr="00230CB7">
                            <w:t>1</w:t>
                          </w:r>
                          <w:r w:rsidR="00516B1B">
                            <w:t>1</w:t>
                          </w:r>
                        </w:p>
                      </w:txbxContent>
                    </wps:txbx>
                    <wps:bodyPr vert="horz" wrap="square" lIns="0" tIns="0" rIns="0" bIns="0" anchor="t" anchorCtr="0"/>
                  </wps:wsp>
                </a:graphicData>
              </a:graphic>
            </wp:anchor>
          </w:drawing>
        </mc:Choice>
        <mc:Fallback>
          <w:pict>
            <v:shape w14:anchorId="6CA254A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8BD25E4" w14:textId="77777777" w:rsidR="001A3118" w:rsidRDefault="001A16F3">
                    <w:pPr>
                      <w:pStyle w:val="AfzendgegevensKop0"/>
                    </w:pPr>
                    <w:r>
                      <w:t>Ministerie van Infrastructuur en Waterstaat</w:t>
                    </w:r>
                  </w:p>
                  <w:p w14:paraId="0B639D4F" w14:textId="77777777" w:rsidR="001A3118" w:rsidRDefault="001A3118">
                    <w:pPr>
                      <w:pStyle w:val="WitregelW1"/>
                    </w:pPr>
                  </w:p>
                  <w:p w14:paraId="07968E62" w14:textId="77777777" w:rsidR="001A3118" w:rsidRDefault="001A16F3">
                    <w:pPr>
                      <w:pStyle w:val="Afzendgegevens"/>
                    </w:pPr>
                    <w:r>
                      <w:t>Rijnstraat 8</w:t>
                    </w:r>
                  </w:p>
                  <w:p w14:paraId="35E0FF4C" w14:textId="77777777" w:rsidR="001A3118" w:rsidRPr="004164E3" w:rsidRDefault="001A16F3">
                    <w:pPr>
                      <w:pStyle w:val="Afzendgegevens"/>
                      <w:rPr>
                        <w:lang w:val="de-DE"/>
                      </w:rPr>
                    </w:pPr>
                    <w:r w:rsidRPr="004164E3">
                      <w:rPr>
                        <w:lang w:val="de-DE"/>
                      </w:rPr>
                      <w:t>2515 XP  Den Haag</w:t>
                    </w:r>
                  </w:p>
                  <w:p w14:paraId="13AEDB35" w14:textId="77777777" w:rsidR="001A3118" w:rsidRPr="004164E3" w:rsidRDefault="001A16F3">
                    <w:pPr>
                      <w:pStyle w:val="Afzendgegevens"/>
                      <w:rPr>
                        <w:lang w:val="de-DE"/>
                      </w:rPr>
                    </w:pPr>
                    <w:r w:rsidRPr="004164E3">
                      <w:rPr>
                        <w:lang w:val="de-DE"/>
                      </w:rPr>
                      <w:t>Postbus 20901</w:t>
                    </w:r>
                  </w:p>
                  <w:p w14:paraId="361C3681" w14:textId="77777777" w:rsidR="001A3118" w:rsidRPr="004164E3" w:rsidRDefault="001A16F3">
                    <w:pPr>
                      <w:pStyle w:val="Afzendgegevens"/>
                      <w:rPr>
                        <w:lang w:val="de-DE"/>
                      </w:rPr>
                    </w:pPr>
                    <w:r w:rsidRPr="004164E3">
                      <w:rPr>
                        <w:lang w:val="de-DE"/>
                      </w:rPr>
                      <w:t>2500 EX Den Haag</w:t>
                    </w:r>
                  </w:p>
                  <w:p w14:paraId="7363B9D1" w14:textId="77777777" w:rsidR="001A3118" w:rsidRPr="004164E3" w:rsidRDefault="001A3118">
                    <w:pPr>
                      <w:pStyle w:val="WitregelW1"/>
                      <w:rPr>
                        <w:lang w:val="de-DE"/>
                      </w:rPr>
                    </w:pPr>
                  </w:p>
                  <w:p w14:paraId="53DC87A7" w14:textId="77777777" w:rsidR="001A3118" w:rsidRPr="00230CB7" w:rsidRDefault="001A16F3">
                    <w:pPr>
                      <w:pStyle w:val="Afzendgegevens"/>
                      <w:rPr>
                        <w:lang w:val="de-DE"/>
                      </w:rPr>
                    </w:pPr>
                    <w:r w:rsidRPr="00230CB7">
                      <w:rPr>
                        <w:lang w:val="de-DE"/>
                      </w:rPr>
                      <w:t>T   070-456 0000</w:t>
                    </w:r>
                  </w:p>
                  <w:p w14:paraId="4E4CEDE7" w14:textId="77777777" w:rsidR="001A3118" w:rsidRPr="00230CB7" w:rsidRDefault="001A16F3">
                    <w:pPr>
                      <w:pStyle w:val="Afzendgegevens"/>
                    </w:pPr>
                    <w:r w:rsidRPr="00230CB7">
                      <w:t>F   070-456 1111</w:t>
                    </w:r>
                  </w:p>
                  <w:p w14:paraId="784FA7C2" w14:textId="77777777" w:rsidR="001A3118" w:rsidRPr="00230CB7" w:rsidRDefault="001A3118">
                    <w:pPr>
                      <w:pStyle w:val="WitregelW2"/>
                      <w:rPr>
                        <w:sz w:val="13"/>
                        <w:szCs w:val="13"/>
                      </w:rPr>
                    </w:pPr>
                  </w:p>
                  <w:p w14:paraId="7FB4B7A8" w14:textId="39E5C005" w:rsidR="00230CB7" w:rsidRPr="00230CB7" w:rsidRDefault="00230CB7" w:rsidP="001A16F3">
                    <w:pPr>
                      <w:spacing w:line="276" w:lineRule="auto"/>
                      <w:rPr>
                        <w:b/>
                        <w:bCs/>
                        <w:sz w:val="13"/>
                        <w:szCs w:val="13"/>
                      </w:rPr>
                    </w:pPr>
                    <w:r w:rsidRPr="00230CB7">
                      <w:rPr>
                        <w:b/>
                        <w:bCs/>
                        <w:sz w:val="13"/>
                        <w:szCs w:val="13"/>
                      </w:rPr>
                      <w:t>Ons kenmerk</w:t>
                    </w:r>
                    <w:r w:rsidRPr="00230CB7">
                      <w:rPr>
                        <w:b/>
                        <w:bCs/>
                        <w:sz w:val="13"/>
                        <w:szCs w:val="13"/>
                      </w:rPr>
                      <w:br/>
                    </w:r>
                    <w:r w:rsidR="001A16F3" w:rsidRPr="001A16F3">
                      <w:rPr>
                        <w:sz w:val="13"/>
                        <w:szCs w:val="13"/>
                      </w:rPr>
                      <w:t>ILT-2025/54982</w:t>
                    </w:r>
                  </w:p>
                  <w:p w14:paraId="41EFEFD9" w14:textId="77777777" w:rsidR="00230CB7" w:rsidRPr="00230CB7" w:rsidRDefault="00230CB7" w:rsidP="00230CB7">
                    <w:pPr>
                      <w:rPr>
                        <w:sz w:val="13"/>
                        <w:szCs w:val="13"/>
                      </w:rPr>
                    </w:pPr>
                  </w:p>
                  <w:p w14:paraId="22E3AC73" w14:textId="77777777" w:rsidR="001A3118" w:rsidRPr="00230CB7" w:rsidRDefault="001A16F3">
                    <w:pPr>
                      <w:pStyle w:val="Referentiegegevenskop"/>
                    </w:pPr>
                    <w:r w:rsidRPr="00230CB7">
                      <w:t>Bijlage(n)</w:t>
                    </w:r>
                  </w:p>
                  <w:p w14:paraId="135B6BB5" w14:textId="13BA7FB8" w:rsidR="001A3118" w:rsidRPr="00230CB7" w:rsidRDefault="00652ACF">
                    <w:pPr>
                      <w:pStyle w:val="Referentiegegevens"/>
                    </w:pPr>
                    <w:r w:rsidRPr="00230CB7">
                      <w:t>1</w:t>
                    </w:r>
                    <w:r w:rsidR="00516B1B">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1D1C8A5" wp14:editId="280B3F0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6F03B40" w14:textId="77777777" w:rsidR="001A3118" w:rsidRDefault="001A16F3">
                          <w:pPr>
                            <w:spacing w:line="240" w:lineRule="auto"/>
                          </w:pPr>
                          <w:r>
                            <w:rPr>
                              <w:noProof/>
                              <w:lang w:val="en-GB" w:eastAsia="en-GB"/>
                            </w:rPr>
                            <w:drawing>
                              <wp:inline distT="0" distB="0" distL="0" distR="0" wp14:anchorId="4D39C041" wp14:editId="3B91561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D1C8A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6F03B40" w14:textId="77777777" w:rsidR="001A3118" w:rsidRDefault="001A16F3">
                    <w:pPr>
                      <w:spacing w:line="240" w:lineRule="auto"/>
                    </w:pPr>
                    <w:r>
                      <w:rPr>
                        <w:noProof/>
                        <w:lang w:val="en-GB" w:eastAsia="en-GB"/>
                      </w:rPr>
                      <w:drawing>
                        <wp:inline distT="0" distB="0" distL="0" distR="0" wp14:anchorId="4D39C041" wp14:editId="3B91561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27CD3C4" wp14:editId="19D4EE3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8311FA" w14:textId="77777777" w:rsidR="001A3118" w:rsidRDefault="001A16F3">
                          <w:pPr>
                            <w:spacing w:line="240" w:lineRule="auto"/>
                          </w:pPr>
                          <w:r>
                            <w:rPr>
                              <w:noProof/>
                              <w:lang w:val="en-GB" w:eastAsia="en-GB"/>
                            </w:rPr>
                            <w:drawing>
                              <wp:inline distT="0" distB="0" distL="0" distR="0" wp14:anchorId="51A11124" wp14:editId="2B1B68E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7CD3C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E8311FA" w14:textId="77777777" w:rsidR="001A3118" w:rsidRDefault="001A16F3">
                    <w:pPr>
                      <w:spacing w:line="240" w:lineRule="auto"/>
                    </w:pPr>
                    <w:r>
                      <w:rPr>
                        <w:noProof/>
                        <w:lang w:val="en-GB" w:eastAsia="en-GB"/>
                      </w:rPr>
                      <w:drawing>
                        <wp:inline distT="0" distB="0" distL="0" distR="0" wp14:anchorId="51A11124" wp14:editId="2B1B68E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8C31F3A" wp14:editId="1091C1D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E26D285" w14:textId="77777777" w:rsidR="001A3118" w:rsidRDefault="001A16F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8C31F3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E26D285" w14:textId="77777777" w:rsidR="001A3118" w:rsidRDefault="001A16F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2C66A23" wp14:editId="50E2A56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7CE7316" w14:textId="77777777" w:rsidR="001A3118" w:rsidRDefault="001A16F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2C66A2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7CE7316" w14:textId="77777777" w:rsidR="001A3118" w:rsidRDefault="001A16F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1F0D882" wp14:editId="2FAEB68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A3118" w14:paraId="76D83DFB" w14:textId="77777777">
                            <w:trPr>
                              <w:trHeight w:val="200"/>
                            </w:trPr>
                            <w:tc>
                              <w:tcPr>
                                <w:tcW w:w="1140" w:type="dxa"/>
                              </w:tcPr>
                              <w:p w14:paraId="24BFF17B" w14:textId="77777777" w:rsidR="001A3118" w:rsidRDefault="001A3118"/>
                            </w:tc>
                            <w:tc>
                              <w:tcPr>
                                <w:tcW w:w="5400" w:type="dxa"/>
                              </w:tcPr>
                              <w:p w14:paraId="729FC868" w14:textId="77777777" w:rsidR="001A3118" w:rsidRDefault="001A3118"/>
                            </w:tc>
                          </w:tr>
                          <w:tr w:rsidR="001A3118" w14:paraId="6DD09B48" w14:textId="77777777">
                            <w:trPr>
                              <w:trHeight w:val="240"/>
                            </w:trPr>
                            <w:tc>
                              <w:tcPr>
                                <w:tcW w:w="1140" w:type="dxa"/>
                              </w:tcPr>
                              <w:p w14:paraId="60CEBE4B" w14:textId="77777777" w:rsidR="001A3118" w:rsidRDefault="001A16F3">
                                <w:r>
                                  <w:t>Datum</w:t>
                                </w:r>
                              </w:p>
                            </w:tc>
                            <w:tc>
                              <w:tcPr>
                                <w:tcW w:w="5400" w:type="dxa"/>
                              </w:tcPr>
                              <w:p w14:paraId="766723AD" w14:textId="3CF377CD" w:rsidR="001A3118" w:rsidRDefault="00D07C48">
                                <w:r>
                                  <w:t>10 december 2025</w:t>
                                </w:r>
                              </w:p>
                            </w:tc>
                          </w:tr>
                          <w:tr w:rsidR="001A3118" w14:paraId="28D0A3DC" w14:textId="77777777">
                            <w:trPr>
                              <w:trHeight w:val="240"/>
                            </w:trPr>
                            <w:tc>
                              <w:tcPr>
                                <w:tcW w:w="1140" w:type="dxa"/>
                              </w:tcPr>
                              <w:p w14:paraId="76E207AC" w14:textId="77777777" w:rsidR="001A3118" w:rsidRDefault="001A16F3">
                                <w:r>
                                  <w:t>Betreft</w:t>
                                </w:r>
                              </w:p>
                            </w:tc>
                            <w:tc>
                              <w:tcPr>
                                <w:tcW w:w="5400" w:type="dxa"/>
                              </w:tcPr>
                              <w:tbl>
                                <w:tblPr>
                                  <w:tblW w:w="0" w:type="auto"/>
                                  <w:tblLayout w:type="fixed"/>
                                  <w:tblLook w:val="07E0" w:firstRow="1" w:lastRow="1" w:firstColumn="1" w:lastColumn="1" w:noHBand="1" w:noVBand="1"/>
                                </w:tblPr>
                                <w:tblGrid>
                                  <w:gridCol w:w="5400"/>
                                </w:tblGrid>
                                <w:tr w:rsidR="009D7B7E" w14:paraId="7089EFBC" w14:textId="77777777" w:rsidTr="004A32F2">
                                  <w:trPr>
                                    <w:trHeight w:val="240"/>
                                  </w:trPr>
                                  <w:tc>
                                    <w:tcPr>
                                      <w:tcW w:w="5400" w:type="dxa"/>
                                    </w:tcPr>
                                    <w:p w14:paraId="43E9846C" w14:textId="77777777" w:rsidR="009D7B7E" w:rsidRDefault="009D7B7E" w:rsidP="009D7B7E">
                                      <w:r>
                                        <w:t>Rapport drinkwaterkwaliteit 2024 en beoordeling bedrijfsverslagen drinkwaterbedrijven 2024</w:t>
                                      </w:r>
                                    </w:p>
                                  </w:tc>
                                </w:tr>
                              </w:tbl>
                              <w:p w14:paraId="584D4EB0" w14:textId="5C18F12F" w:rsidR="001A3118" w:rsidRDefault="001A3118"/>
                            </w:tc>
                          </w:tr>
                          <w:tr w:rsidR="001A3118" w14:paraId="5B7C78D4" w14:textId="77777777">
                            <w:trPr>
                              <w:trHeight w:val="200"/>
                            </w:trPr>
                            <w:tc>
                              <w:tcPr>
                                <w:tcW w:w="1140" w:type="dxa"/>
                              </w:tcPr>
                              <w:p w14:paraId="672AF44E" w14:textId="77777777" w:rsidR="001A3118" w:rsidRDefault="001A3118"/>
                            </w:tc>
                            <w:tc>
                              <w:tcPr>
                                <w:tcW w:w="5400" w:type="dxa"/>
                              </w:tcPr>
                              <w:p w14:paraId="75EB35D1" w14:textId="77777777" w:rsidR="001A3118" w:rsidRDefault="001A3118"/>
                            </w:tc>
                          </w:tr>
                        </w:tbl>
                        <w:p w14:paraId="5134380E" w14:textId="77777777" w:rsidR="00AC34FF" w:rsidRDefault="00AC34FF"/>
                      </w:txbxContent>
                    </wps:txbx>
                    <wps:bodyPr vert="horz" wrap="square" lIns="0" tIns="0" rIns="0" bIns="0" anchor="t" anchorCtr="0"/>
                  </wps:wsp>
                </a:graphicData>
              </a:graphic>
            </wp:anchor>
          </w:drawing>
        </mc:Choice>
        <mc:Fallback>
          <w:pict>
            <v:shape w14:anchorId="21F0D88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A3118" w14:paraId="76D83DFB" w14:textId="77777777">
                      <w:trPr>
                        <w:trHeight w:val="200"/>
                      </w:trPr>
                      <w:tc>
                        <w:tcPr>
                          <w:tcW w:w="1140" w:type="dxa"/>
                        </w:tcPr>
                        <w:p w14:paraId="24BFF17B" w14:textId="77777777" w:rsidR="001A3118" w:rsidRDefault="001A3118"/>
                      </w:tc>
                      <w:tc>
                        <w:tcPr>
                          <w:tcW w:w="5400" w:type="dxa"/>
                        </w:tcPr>
                        <w:p w14:paraId="729FC868" w14:textId="77777777" w:rsidR="001A3118" w:rsidRDefault="001A3118"/>
                      </w:tc>
                    </w:tr>
                    <w:tr w:rsidR="001A3118" w14:paraId="6DD09B48" w14:textId="77777777">
                      <w:trPr>
                        <w:trHeight w:val="240"/>
                      </w:trPr>
                      <w:tc>
                        <w:tcPr>
                          <w:tcW w:w="1140" w:type="dxa"/>
                        </w:tcPr>
                        <w:p w14:paraId="60CEBE4B" w14:textId="77777777" w:rsidR="001A3118" w:rsidRDefault="001A16F3">
                          <w:r>
                            <w:t>Datum</w:t>
                          </w:r>
                        </w:p>
                      </w:tc>
                      <w:tc>
                        <w:tcPr>
                          <w:tcW w:w="5400" w:type="dxa"/>
                        </w:tcPr>
                        <w:p w14:paraId="766723AD" w14:textId="3CF377CD" w:rsidR="001A3118" w:rsidRDefault="00D07C48">
                          <w:r>
                            <w:t>10 december 2025</w:t>
                          </w:r>
                        </w:p>
                      </w:tc>
                    </w:tr>
                    <w:tr w:rsidR="001A3118" w14:paraId="28D0A3DC" w14:textId="77777777">
                      <w:trPr>
                        <w:trHeight w:val="240"/>
                      </w:trPr>
                      <w:tc>
                        <w:tcPr>
                          <w:tcW w:w="1140" w:type="dxa"/>
                        </w:tcPr>
                        <w:p w14:paraId="76E207AC" w14:textId="77777777" w:rsidR="001A3118" w:rsidRDefault="001A16F3">
                          <w:r>
                            <w:t>Betreft</w:t>
                          </w:r>
                        </w:p>
                      </w:tc>
                      <w:tc>
                        <w:tcPr>
                          <w:tcW w:w="5400" w:type="dxa"/>
                        </w:tcPr>
                        <w:tbl>
                          <w:tblPr>
                            <w:tblW w:w="0" w:type="auto"/>
                            <w:tblLayout w:type="fixed"/>
                            <w:tblLook w:val="07E0" w:firstRow="1" w:lastRow="1" w:firstColumn="1" w:lastColumn="1" w:noHBand="1" w:noVBand="1"/>
                          </w:tblPr>
                          <w:tblGrid>
                            <w:gridCol w:w="5400"/>
                          </w:tblGrid>
                          <w:tr w:rsidR="009D7B7E" w14:paraId="7089EFBC" w14:textId="77777777" w:rsidTr="004A32F2">
                            <w:trPr>
                              <w:trHeight w:val="240"/>
                            </w:trPr>
                            <w:tc>
                              <w:tcPr>
                                <w:tcW w:w="5400" w:type="dxa"/>
                              </w:tcPr>
                              <w:p w14:paraId="43E9846C" w14:textId="77777777" w:rsidR="009D7B7E" w:rsidRDefault="009D7B7E" w:rsidP="009D7B7E">
                                <w:r>
                                  <w:t>Rapport drinkwaterkwaliteit 2024 en beoordeling bedrijfsverslagen drinkwaterbedrijven 2024</w:t>
                                </w:r>
                              </w:p>
                            </w:tc>
                          </w:tr>
                        </w:tbl>
                        <w:p w14:paraId="584D4EB0" w14:textId="5C18F12F" w:rsidR="001A3118" w:rsidRDefault="001A3118"/>
                      </w:tc>
                    </w:tr>
                    <w:tr w:rsidR="001A3118" w14:paraId="5B7C78D4" w14:textId="77777777">
                      <w:trPr>
                        <w:trHeight w:val="200"/>
                      </w:trPr>
                      <w:tc>
                        <w:tcPr>
                          <w:tcW w:w="1140" w:type="dxa"/>
                        </w:tcPr>
                        <w:p w14:paraId="672AF44E" w14:textId="77777777" w:rsidR="001A3118" w:rsidRDefault="001A3118"/>
                      </w:tc>
                      <w:tc>
                        <w:tcPr>
                          <w:tcW w:w="5400" w:type="dxa"/>
                        </w:tcPr>
                        <w:p w14:paraId="75EB35D1" w14:textId="77777777" w:rsidR="001A3118" w:rsidRDefault="001A3118"/>
                      </w:tc>
                    </w:tr>
                  </w:tbl>
                  <w:p w14:paraId="5134380E" w14:textId="77777777" w:rsidR="00AC34FF" w:rsidRDefault="00AC34F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C9C9DC6" wp14:editId="7F5D9B2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D1EEC13" w14:textId="77777777" w:rsidR="00AC34FF" w:rsidRDefault="00AC34FF"/>
                      </w:txbxContent>
                    </wps:txbx>
                    <wps:bodyPr vert="horz" wrap="square" lIns="0" tIns="0" rIns="0" bIns="0" anchor="t" anchorCtr="0"/>
                  </wps:wsp>
                </a:graphicData>
              </a:graphic>
            </wp:anchor>
          </w:drawing>
        </mc:Choice>
        <mc:Fallback>
          <w:pict>
            <v:shape w14:anchorId="5C9C9DC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D1EEC13" w14:textId="77777777" w:rsidR="00AC34FF" w:rsidRDefault="00AC34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D5BF05"/>
    <w:multiLevelType w:val="multilevel"/>
    <w:tmpl w:val="7ADE337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F4AC52"/>
    <w:multiLevelType w:val="multilevel"/>
    <w:tmpl w:val="D78B1C8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89043B"/>
    <w:multiLevelType w:val="multilevel"/>
    <w:tmpl w:val="F40F7B9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2861A1"/>
    <w:multiLevelType w:val="multilevel"/>
    <w:tmpl w:val="A0AB60C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1E7102"/>
    <w:multiLevelType w:val="multilevel"/>
    <w:tmpl w:val="9BD33FE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5C953F"/>
    <w:multiLevelType w:val="multilevel"/>
    <w:tmpl w:val="F7EE78F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CFBDD7"/>
    <w:multiLevelType w:val="multilevel"/>
    <w:tmpl w:val="2BB4058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4DEF29B"/>
    <w:multiLevelType w:val="multilevel"/>
    <w:tmpl w:val="8C5C65A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C42989A"/>
    <w:multiLevelType w:val="multilevel"/>
    <w:tmpl w:val="F252B44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C077E7"/>
    <w:multiLevelType w:val="multilevel"/>
    <w:tmpl w:val="0EDEEDB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E82E9C"/>
    <w:multiLevelType w:val="multilevel"/>
    <w:tmpl w:val="8D9F2CF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93C98C"/>
    <w:multiLevelType w:val="multilevel"/>
    <w:tmpl w:val="1B4A79A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BA893F"/>
    <w:multiLevelType w:val="multilevel"/>
    <w:tmpl w:val="C680662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B9DA5F"/>
    <w:multiLevelType w:val="multilevel"/>
    <w:tmpl w:val="A61DA30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C9DF74"/>
    <w:multiLevelType w:val="multilevel"/>
    <w:tmpl w:val="78AFE0B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62CE3"/>
    <w:multiLevelType w:val="multilevel"/>
    <w:tmpl w:val="8484F35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0E5903"/>
    <w:multiLevelType w:val="multilevel"/>
    <w:tmpl w:val="780B8F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46027A06"/>
    <w:multiLevelType w:val="multilevel"/>
    <w:tmpl w:val="3AC1140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0D7725"/>
    <w:multiLevelType w:val="multilevel"/>
    <w:tmpl w:val="11E9B2D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35D8DA"/>
    <w:multiLevelType w:val="multilevel"/>
    <w:tmpl w:val="E86BB97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33E349"/>
    <w:multiLevelType w:val="multilevel"/>
    <w:tmpl w:val="D067308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0024CB"/>
    <w:multiLevelType w:val="multilevel"/>
    <w:tmpl w:val="D7669BC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CE4C86"/>
    <w:multiLevelType w:val="multilevel"/>
    <w:tmpl w:val="C12640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5"/>
  </w:num>
  <w:num w:numId="2">
    <w:abstractNumId w:val="9"/>
  </w:num>
  <w:num w:numId="3">
    <w:abstractNumId w:val="4"/>
  </w:num>
  <w:num w:numId="4">
    <w:abstractNumId w:val="11"/>
  </w:num>
  <w:num w:numId="5">
    <w:abstractNumId w:val="22"/>
  </w:num>
  <w:num w:numId="6">
    <w:abstractNumId w:val="15"/>
  </w:num>
  <w:num w:numId="7">
    <w:abstractNumId w:val="7"/>
  </w:num>
  <w:num w:numId="8">
    <w:abstractNumId w:val="8"/>
  </w:num>
  <w:num w:numId="9">
    <w:abstractNumId w:val="18"/>
  </w:num>
  <w:num w:numId="10">
    <w:abstractNumId w:val="12"/>
  </w:num>
  <w:num w:numId="11">
    <w:abstractNumId w:val="21"/>
  </w:num>
  <w:num w:numId="12">
    <w:abstractNumId w:val="16"/>
  </w:num>
  <w:num w:numId="13">
    <w:abstractNumId w:val="1"/>
  </w:num>
  <w:num w:numId="14">
    <w:abstractNumId w:val="10"/>
  </w:num>
  <w:num w:numId="15">
    <w:abstractNumId w:val="13"/>
  </w:num>
  <w:num w:numId="16">
    <w:abstractNumId w:val="0"/>
  </w:num>
  <w:num w:numId="17">
    <w:abstractNumId w:val="17"/>
  </w:num>
  <w:num w:numId="18">
    <w:abstractNumId w:val="3"/>
  </w:num>
  <w:num w:numId="19">
    <w:abstractNumId w:val="6"/>
  </w:num>
  <w:num w:numId="20">
    <w:abstractNumId w:val="2"/>
  </w:num>
  <w:num w:numId="21">
    <w:abstractNumId w:val="19"/>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E3"/>
    <w:rsid w:val="000F6522"/>
    <w:rsid w:val="00172E64"/>
    <w:rsid w:val="001A16F3"/>
    <w:rsid w:val="001A3118"/>
    <w:rsid w:val="001D4119"/>
    <w:rsid w:val="001E64FB"/>
    <w:rsid w:val="00230CB7"/>
    <w:rsid w:val="00240ABA"/>
    <w:rsid w:val="00261696"/>
    <w:rsid w:val="00280165"/>
    <w:rsid w:val="00310AFF"/>
    <w:rsid w:val="003132C7"/>
    <w:rsid w:val="003A4854"/>
    <w:rsid w:val="003C15AC"/>
    <w:rsid w:val="004164E3"/>
    <w:rsid w:val="004B246F"/>
    <w:rsid w:val="004C33E6"/>
    <w:rsid w:val="00505D2D"/>
    <w:rsid w:val="00506870"/>
    <w:rsid w:val="00514B10"/>
    <w:rsid w:val="00516B1B"/>
    <w:rsid w:val="00566FEB"/>
    <w:rsid w:val="005B1605"/>
    <w:rsid w:val="00635531"/>
    <w:rsid w:val="00652ACF"/>
    <w:rsid w:val="00654589"/>
    <w:rsid w:val="0069261D"/>
    <w:rsid w:val="006E4712"/>
    <w:rsid w:val="007F0ECB"/>
    <w:rsid w:val="00876FF0"/>
    <w:rsid w:val="008D7920"/>
    <w:rsid w:val="00931A78"/>
    <w:rsid w:val="00952483"/>
    <w:rsid w:val="009D7B7E"/>
    <w:rsid w:val="00A265C0"/>
    <w:rsid w:val="00AC34FF"/>
    <w:rsid w:val="00AC4149"/>
    <w:rsid w:val="00BA398B"/>
    <w:rsid w:val="00BE1546"/>
    <w:rsid w:val="00BF6039"/>
    <w:rsid w:val="00CD284D"/>
    <w:rsid w:val="00D07C48"/>
    <w:rsid w:val="00E02574"/>
    <w:rsid w:val="00E05FE9"/>
    <w:rsid w:val="00E06306"/>
    <w:rsid w:val="00E170CB"/>
    <w:rsid w:val="00F363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1"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1"/>
    <w:qFormat/>
    <w:rsid w:val="00876FF0"/>
    <w:pPr>
      <w:spacing w:before="240" w:line="240" w:lineRule="exac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164E3"/>
    <w:pPr>
      <w:tabs>
        <w:tab w:val="center" w:pos="4536"/>
        <w:tab w:val="right" w:pos="9072"/>
      </w:tabs>
      <w:spacing w:line="240" w:lineRule="auto"/>
    </w:pPr>
  </w:style>
  <w:style w:type="character" w:customStyle="1" w:styleId="HeaderChar">
    <w:name w:val="Header Char"/>
    <w:basedOn w:val="DefaultParagraphFont"/>
    <w:link w:val="Header"/>
    <w:uiPriority w:val="99"/>
    <w:rsid w:val="004164E3"/>
    <w:rPr>
      <w:rFonts w:ascii="Verdana" w:hAnsi="Verdana"/>
      <w:color w:val="000000"/>
      <w:sz w:val="18"/>
      <w:szCs w:val="18"/>
    </w:rPr>
  </w:style>
  <w:style w:type="paragraph" w:styleId="Footer">
    <w:name w:val="footer"/>
    <w:basedOn w:val="Normal"/>
    <w:link w:val="FooterChar"/>
    <w:uiPriority w:val="99"/>
    <w:unhideWhenUsed/>
    <w:rsid w:val="004164E3"/>
    <w:pPr>
      <w:tabs>
        <w:tab w:val="center" w:pos="4536"/>
        <w:tab w:val="right" w:pos="9072"/>
      </w:tabs>
      <w:spacing w:line="240" w:lineRule="auto"/>
    </w:pPr>
  </w:style>
  <w:style w:type="character" w:customStyle="1" w:styleId="FooterChar">
    <w:name w:val="Footer Char"/>
    <w:basedOn w:val="DefaultParagraphFont"/>
    <w:link w:val="Footer"/>
    <w:uiPriority w:val="99"/>
    <w:rsid w:val="004164E3"/>
    <w:rPr>
      <w:rFonts w:ascii="Verdana" w:hAnsi="Verdana"/>
      <w:color w:val="000000"/>
      <w:sz w:val="18"/>
      <w:szCs w:val="18"/>
    </w:rPr>
  </w:style>
  <w:style w:type="character" w:customStyle="1" w:styleId="Heading1Char">
    <w:name w:val="Heading 1 Char"/>
    <w:basedOn w:val="DefaultParagraphFont"/>
    <w:link w:val="Heading1"/>
    <w:uiPriority w:val="1"/>
    <w:rsid w:val="00876FF0"/>
    <w:rPr>
      <w:rFonts w:ascii="Verdana" w:hAnsi="Verdana"/>
      <w:b/>
      <w:color w:val="000000"/>
      <w:sz w:val="18"/>
      <w:szCs w:val="18"/>
    </w:rPr>
  </w:style>
  <w:style w:type="character" w:styleId="CommentReference">
    <w:name w:val="annotation reference"/>
    <w:basedOn w:val="DefaultParagraphFont"/>
    <w:uiPriority w:val="99"/>
    <w:semiHidden/>
    <w:unhideWhenUsed/>
    <w:rsid w:val="00876FF0"/>
    <w:rPr>
      <w:sz w:val="16"/>
      <w:szCs w:val="16"/>
    </w:rPr>
  </w:style>
  <w:style w:type="paragraph" w:styleId="CommentText">
    <w:name w:val="annotation text"/>
    <w:basedOn w:val="Normal"/>
    <w:link w:val="CommentTextChar"/>
    <w:uiPriority w:val="99"/>
    <w:unhideWhenUsed/>
    <w:rsid w:val="00876FF0"/>
    <w:pPr>
      <w:spacing w:line="240" w:lineRule="auto"/>
    </w:pPr>
    <w:rPr>
      <w:sz w:val="20"/>
      <w:szCs w:val="20"/>
    </w:rPr>
  </w:style>
  <w:style w:type="character" w:customStyle="1" w:styleId="CommentTextChar">
    <w:name w:val="Comment Text Char"/>
    <w:basedOn w:val="DefaultParagraphFont"/>
    <w:link w:val="CommentText"/>
    <w:uiPriority w:val="99"/>
    <w:rsid w:val="00876FF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F0ECB"/>
    <w:rPr>
      <w:b/>
      <w:bCs/>
    </w:rPr>
  </w:style>
  <w:style w:type="character" w:customStyle="1" w:styleId="CommentSubjectChar">
    <w:name w:val="Comment Subject Char"/>
    <w:basedOn w:val="CommentTextChar"/>
    <w:link w:val="CommentSubject"/>
    <w:uiPriority w:val="99"/>
    <w:semiHidden/>
    <w:rsid w:val="007F0ECB"/>
    <w:rPr>
      <w:rFonts w:ascii="Verdana" w:hAnsi="Verdana"/>
      <w:b/>
      <w:bCs/>
      <w:color w:val="000000"/>
    </w:rPr>
  </w:style>
  <w:style w:type="paragraph" w:customStyle="1" w:styleId="SSFnummeringovereenkomstletters">
    <w:name w:val="SSF nummering overeenkomst (letters)"/>
    <w:basedOn w:val="SSFPaginanummering"/>
    <w:next w:val="SSFStandaard"/>
    <w:rsid w:val="00566FEB"/>
    <w:pPr>
      <w:jc w:val="left"/>
    </w:pPr>
  </w:style>
  <w:style w:type="paragraph" w:styleId="Revision">
    <w:name w:val="Revision"/>
    <w:hidden/>
    <w:uiPriority w:val="99"/>
    <w:semiHidden/>
    <w:rsid w:val="00652AC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826</ap:Words>
  <ap:Characters>4710</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Parlement - Rapport drinkwaterkwaliteit 2024</vt:lpstr>
    </vt:vector>
  </ap:TitlesOfParts>
  <ap:LinksUpToDate>false</ap:LinksUpToDate>
  <ap:CharactersWithSpaces>5525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2025-12-10T14:14:00.0000000Z</dcterms:created>
  <dcterms:modified xsi:type="dcterms:W3CDTF">2025-12-10T14:14:00.0000000Z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Rapport drinkwaterkwaliteit 2024</vt:lpwstr>
  </property>
  <property fmtid="{D5CDD505-2E9C-101B-9397-08002B2CF9AE}" pid="5" name="Publicatiedatum">
    <vt:lpwstr/>
  </property>
  <property fmtid="{D5CDD505-2E9C-101B-9397-08002B2CF9AE}" pid="6" name="Verantwoordelijke organisatie">
    <vt:lpwstr>Bestuursadvies (Leefomgeving)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B.K.Z. Chang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