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F1585C" w:rsidTr="00BA060B" w14:paraId="53A69DE4" w14:textId="77777777">
        <w:trPr>
          <w:trHeight w:val="200"/>
        </w:trPr>
        <w:tc>
          <w:tcPr>
            <w:tcW w:w="2440" w:type="dxa"/>
            <w:tcBorders>
              <w:bottom w:val="dotted" w:color="000000" w:sz="6" w:space="0"/>
            </w:tcBorders>
          </w:tcPr>
          <w:p w:rsidR="00F1585C" w:rsidRDefault="00F1585C" w14:paraId="73539F19" w14:textId="77777777"/>
        </w:tc>
        <w:tc>
          <w:tcPr>
            <w:tcW w:w="5240" w:type="dxa"/>
            <w:tcBorders>
              <w:bottom w:val="dotted" w:color="000000" w:sz="6" w:space="0"/>
            </w:tcBorders>
          </w:tcPr>
          <w:p w:rsidR="00F1585C" w:rsidRDefault="00F1585C" w14:paraId="6A0B6ECD" w14:textId="77777777"/>
        </w:tc>
      </w:tr>
      <w:tr w:rsidR="00F1585C" w:rsidTr="00BA060B" w14:paraId="62B69F8F" w14:textId="77777777">
        <w:trPr>
          <w:trHeight w:val="200"/>
        </w:trPr>
        <w:tc>
          <w:tcPr>
            <w:tcW w:w="2440" w:type="dxa"/>
            <w:tcBorders>
              <w:top w:val="dotted" w:color="000000" w:sz="6" w:space="0"/>
            </w:tcBorders>
          </w:tcPr>
          <w:p w:rsidR="00F1585C" w:rsidRDefault="00F1585C" w14:paraId="3A04117D" w14:textId="77777777"/>
        </w:tc>
        <w:tc>
          <w:tcPr>
            <w:tcW w:w="5240" w:type="dxa"/>
            <w:tcBorders>
              <w:top w:val="dotted" w:color="000000" w:sz="6" w:space="0"/>
            </w:tcBorders>
          </w:tcPr>
          <w:p w:rsidR="00F1585C" w:rsidRDefault="00F1585C" w14:paraId="491FC432" w14:textId="77777777"/>
        </w:tc>
      </w:tr>
      <w:tr w:rsidR="00F1585C" w:rsidTr="00BA060B" w14:paraId="2EBF848B" w14:textId="77777777">
        <w:trPr>
          <w:trHeight w:val="240"/>
        </w:trPr>
        <w:tc>
          <w:tcPr>
            <w:tcW w:w="2440" w:type="dxa"/>
          </w:tcPr>
          <w:p w:rsidR="00F1585C" w:rsidRDefault="00A358A8" w14:paraId="13141249" w14:textId="77777777">
            <w:pPr>
              <w:pStyle w:val="Referentiegegevens"/>
            </w:pPr>
            <w:r>
              <w:t>Bijlage nummer</w:t>
            </w:r>
          </w:p>
        </w:tc>
        <w:tc>
          <w:tcPr>
            <w:tcW w:w="5240" w:type="dxa"/>
          </w:tcPr>
          <w:p w:rsidR="00F1585C" w:rsidRDefault="00A358A8" w14:paraId="040E2C20" w14:textId="77777777">
            <w:r>
              <w:t>2</w:t>
            </w:r>
          </w:p>
        </w:tc>
      </w:tr>
      <w:tr w:rsidR="00F1585C" w:rsidTr="00BA060B" w14:paraId="26146CA9" w14:textId="77777777">
        <w:trPr>
          <w:trHeight w:val="240"/>
        </w:trPr>
        <w:tc>
          <w:tcPr>
            <w:tcW w:w="2440" w:type="dxa"/>
          </w:tcPr>
          <w:p w:rsidR="00F1585C" w:rsidRDefault="00A358A8" w14:paraId="044C95D3" w14:textId="77777777">
            <w:pPr>
              <w:pStyle w:val="Referentiegegevens"/>
            </w:pPr>
            <w:r>
              <w:t>Horend bij</w:t>
            </w:r>
          </w:p>
        </w:tc>
        <w:tc>
          <w:tcPr>
            <w:tcW w:w="5240" w:type="dxa"/>
          </w:tcPr>
          <w:p w:rsidR="00F1585C" w:rsidRDefault="00A358A8" w14:paraId="091C8484" w14:textId="77777777">
            <w:r>
              <w:t>Tweede halfjaarbericht politie</w:t>
            </w:r>
          </w:p>
        </w:tc>
      </w:tr>
      <w:tr w:rsidR="00F1585C" w:rsidTr="00BA060B" w14:paraId="62FA2785" w14:textId="77777777">
        <w:trPr>
          <w:trHeight w:val="200"/>
        </w:trPr>
        <w:tc>
          <w:tcPr>
            <w:tcW w:w="2440" w:type="dxa"/>
            <w:tcBorders>
              <w:bottom w:val="dotted" w:color="000000" w:sz="6" w:space="0"/>
            </w:tcBorders>
          </w:tcPr>
          <w:p w:rsidR="00F1585C" w:rsidRDefault="00F1585C" w14:paraId="084F6319" w14:textId="77777777"/>
        </w:tc>
        <w:tc>
          <w:tcPr>
            <w:tcW w:w="5240" w:type="dxa"/>
            <w:tcBorders>
              <w:bottom w:val="dotted" w:color="000000" w:sz="6" w:space="0"/>
            </w:tcBorders>
          </w:tcPr>
          <w:p w:rsidR="00F1585C" w:rsidRDefault="00F1585C" w14:paraId="68997A6A" w14:textId="77777777"/>
        </w:tc>
      </w:tr>
      <w:tr w:rsidR="00F1585C" w:rsidTr="00BA060B" w14:paraId="73C94F77" w14:textId="77777777">
        <w:trPr>
          <w:trHeight w:val="200"/>
        </w:trPr>
        <w:tc>
          <w:tcPr>
            <w:tcW w:w="2440" w:type="dxa"/>
          </w:tcPr>
          <w:p w:rsidR="00F1585C" w:rsidRDefault="00F1585C" w14:paraId="31CB128D" w14:textId="77777777"/>
        </w:tc>
        <w:tc>
          <w:tcPr>
            <w:tcW w:w="5240" w:type="dxa"/>
          </w:tcPr>
          <w:p w:rsidR="00F1585C" w:rsidRDefault="00F1585C" w14:paraId="56938104" w14:textId="77777777"/>
        </w:tc>
      </w:tr>
    </w:tbl>
    <w:p w:rsidR="00F1585C" w:rsidRDefault="00F1585C" w14:paraId="0CFA8058" w14:textId="77777777">
      <w:pPr>
        <w:pStyle w:val="WitregelW1bodytekst"/>
      </w:pPr>
    </w:p>
    <w:p w:rsidR="00F1585C" w:rsidRDefault="00F1585C" w14:paraId="011A6A0B" w14:textId="77777777"/>
    <w:p w:rsidRPr="00BA060B" w:rsidR="00BA060B" w:rsidP="00BA060B" w:rsidRDefault="00BA060B" w14:paraId="05C82560" w14:textId="77777777">
      <w:pPr>
        <w:rPr>
          <w:rFonts w:cstheme="minorHAnsi"/>
          <w:b/>
          <w:bCs/>
        </w:rPr>
      </w:pPr>
      <w:r w:rsidRPr="00BA060B">
        <w:rPr>
          <w:rFonts w:cstheme="minorHAnsi"/>
          <w:b/>
          <w:bCs/>
        </w:rPr>
        <w:t>Stand van zaken Informatievoorziening en ICT</w:t>
      </w:r>
    </w:p>
    <w:p w:rsidRPr="00BA060B" w:rsidR="00BA060B" w:rsidP="00BA060B" w:rsidRDefault="00BA060B" w14:paraId="6A4E9762" w14:textId="77777777">
      <w:pPr>
        <w:rPr>
          <w:rFonts w:cstheme="minorHAnsi"/>
        </w:rPr>
      </w:pPr>
      <w:r w:rsidRPr="00BA060B">
        <w:rPr>
          <w:rFonts w:cstheme="minorHAnsi"/>
        </w:rPr>
        <w:t xml:space="preserve">In onderstaande paragrafen wordt teruggeblikt op de hoofdlijnen van de informatievoorziening (hierna: </w:t>
      </w:r>
      <w:proofErr w:type="gramStart"/>
      <w:r w:rsidRPr="00BA060B">
        <w:rPr>
          <w:rFonts w:cstheme="minorHAnsi"/>
        </w:rPr>
        <w:t>IV)-</w:t>
      </w:r>
      <w:proofErr w:type="gramEnd"/>
      <w:r w:rsidRPr="00BA060B">
        <w:rPr>
          <w:rFonts w:cstheme="minorHAnsi"/>
        </w:rPr>
        <w:t xml:space="preserve">ontwikkelingen bij de politie. Na enkele actualiteiten wordt ingegaan op de onderwerpen IV-vernieuwing, continuïteit en wet open overheid. </w:t>
      </w:r>
    </w:p>
    <w:p w:rsidRPr="00BA060B" w:rsidR="00BA060B" w:rsidP="00BA060B" w:rsidRDefault="00BA060B" w14:paraId="64127DB1" w14:textId="77777777">
      <w:pPr>
        <w:rPr>
          <w:rFonts w:cstheme="minorHAnsi"/>
          <w:b/>
          <w:bCs/>
        </w:rPr>
      </w:pPr>
    </w:p>
    <w:p w:rsidRPr="00BA060B" w:rsidR="00BA060B" w:rsidP="00BA060B" w:rsidRDefault="00BA060B" w14:paraId="346CC924" w14:textId="77777777">
      <w:pPr>
        <w:rPr>
          <w:rFonts w:cstheme="minorHAnsi"/>
        </w:rPr>
      </w:pPr>
      <w:r w:rsidRPr="00BA060B">
        <w:rPr>
          <w:rFonts w:cstheme="minorHAnsi"/>
        </w:rPr>
        <w:t xml:space="preserve">Ook de IV-kolom stond het eerste halfjaar in het teken van de (voorbereidingen voor de) NAVO-top. Er is een veelheid aan maatregelen geïmplementeerd om de weerbaarheid van onze digitale omgeving zo goed als mogelijk vorm te geven. Dit betrof zowel technische, als organisatorische, maatregelen. De politie kijkt met een tevreden gevoel terug op ieders inzet en de gerealiseerde resultaten. </w:t>
      </w:r>
    </w:p>
    <w:p w:rsidRPr="00BA060B" w:rsidR="00BA060B" w:rsidP="00BA060B" w:rsidRDefault="00BA060B" w14:paraId="4C6D3BC0" w14:textId="77777777">
      <w:pPr>
        <w:rPr>
          <w:rFonts w:cstheme="minorHAnsi"/>
        </w:rPr>
      </w:pPr>
      <w:r w:rsidRPr="00BA060B">
        <w:rPr>
          <w:rFonts w:cstheme="minorHAnsi"/>
        </w:rPr>
        <w:t xml:space="preserve">In juli is het Openbaar Ministerie getroffen door een ernstige verstoring en de impact hiervan op de (al dan niet digitale) politieprocessen heeft de politie de afgelopen periode flink beziggehouden. Vanuit de politie is (IV-)ondersteuning geboden aan het Openbaar Ministerie, onder meer door het leveren van werkplekken. </w:t>
      </w:r>
    </w:p>
    <w:p w:rsidRPr="00BA060B" w:rsidR="00BA060B" w:rsidP="00BA060B" w:rsidRDefault="00BA060B" w14:paraId="159A0E24" w14:textId="77777777">
      <w:pPr>
        <w:rPr>
          <w:rFonts w:cstheme="minorHAnsi"/>
        </w:rPr>
      </w:pPr>
      <w:bookmarkStart w:name="_Hlk206063083" w:id="0"/>
    </w:p>
    <w:p w:rsidRPr="00BA060B" w:rsidR="00BA060B" w:rsidP="00BA060B" w:rsidRDefault="00BA060B" w14:paraId="521D494D" w14:textId="72ACE1FC">
      <w:pPr>
        <w:rPr>
          <w:rFonts w:cstheme="minorHAnsi"/>
        </w:rPr>
      </w:pPr>
      <w:r w:rsidRPr="00BA060B">
        <w:rPr>
          <w:rFonts w:cstheme="minorHAnsi"/>
        </w:rPr>
        <w:t xml:space="preserve">In </w:t>
      </w:r>
      <w:r w:rsidR="001F5519">
        <w:rPr>
          <w:rFonts w:cstheme="minorHAnsi"/>
        </w:rPr>
        <w:t xml:space="preserve">het </w:t>
      </w:r>
      <w:r w:rsidRPr="00BA060B">
        <w:rPr>
          <w:rFonts w:cstheme="minorHAnsi"/>
        </w:rPr>
        <w:t>vorige Halfjaarbericht</w:t>
      </w:r>
      <w:r w:rsidR="001F5519">
        <w:rPr>
          <w:rFonts w:cstheme="minorHAnsi"/>
        </w:rPr>
        <w:t xml:space="preserve"> Politie</w:t>
      </w:r>
      <w:r w:rsidR="001F5519">
        <w:rPr>
          <w:rStyle w:val="Voetnootmarkering"/>
          <w:rFonts w:cstheme="minorHAnsi"/>
        </w:rPr>
        <w:footnoteReference w:id="1"/>
      </w:r>
      <w:r w:rsidRPr="00BA060B">
        <w:rPr>
          <w:rFonts w:cstheme="minorHAnsi"/>
        </w:rPr>
        <w:t xml:space="preserve"> is ingegaan op de doorlichting van de informatievoorziening door EY. Er is een programmaorganisatie opgezet om de bevindingen uit de eindrapportage op te pakken. Daarbij wordt zoveel mogelijk aangesloten bij </w:t>
      </w:r>
      <w:proofErr w:type="gramStart"/>
      <w:r w:rsidRPr="00BA060B">
        <w:rPr>
          <w:rFonts w:cstheme="minorHAnsi"/>
        </w:rPr>
        <w:t>reeds</w:t>
      </w:r>
      <w:proofErr w:type="gramEnd"/>
      <w:r w:rsidRPr="00BA060B">
        <w:rPr>
          <w:rFonts w:cstheme="minorHAnsi"/>
        </w:rPr>
        <w:t xml:space="preserve"> lopende verbetertrajecten. De duurzame borging van verbeteringen is binnen dit programma een belangrijke component. Monitoring op realisatie en borging is ingeregeld, zodat de voortgang kan worden bewaakt. </w:t>
      </w:r>
    </w:p>
    <w:p w:rsidRPr="00BA060B" w:rsidR="00BA060B" w:rsidP="00BA060B" w:rsidRDefault="00BA060B" w14:paraId="48920117" w14:textId="77777777">
      <w:pPr>
        <w:rPr>
          <w:rFonts w:cstheme="minorHAnsi"/>
          <w:b/>
          <w:bCs/>
        </w:rPr>
      </w:pPr>
    </w:p>
    <w:p w:rsidRPr="00BA060B" w:rsidR="00BA060B" w:rsidP="00BA060B" w:rsidRDefault="00BA060B" w14:paraId="24409B56" w14:textId="77777777">
      <w:pPr>
        <w:rPr>
          <w:rFonts w:cstheme="minorHAnsi"/>
          <w:b/>
          <w:bCs/>
        </w:rPr>
      </w:pPr>
      <w:r w:rsidRPr="00BA060B">
        <w:rPr>
          <w:rFonts w:cstheme="minorHAnsi"/>
          <w:b/>
          <w:bCs/>
        </w:rPr>
        <w:t>IV-vernieuwing</w:t>
      </w:r>
    </w:p>
    <w:p w:rsidRPr="00BA060B" w:rsidR="00BA060B" w:rsidP="00BA060B" w:rsidRDefault="00BA060B" w14:paraId="5D93ECC2" w14:textId="77777777">
      <w:pPr>
        <w:rPr>
          <w:rFonts w:cstheme="minorHAnsi"/>
        </w:rPr>
      </w:pPr>
      <w:r w:rsidRPr="00BA060B">
        <w:rPr>
          <w:rFonts w:cstheme="minorHAnsi"/>
        </w:rPr>
        <w:t>De politie boekt voortgang op de grote IV-programma’s en -projecten, maar kent ook knelpunten. Vrijwel alle IV-programma’s hebben te maken met het risico op uitloop van trajecten vanwege de druk op de beschikbare capaciteit, kennis en kunde, mede als gevolg van de besparingsopdracht bij de politie en het toepassen van de wet DBA.</w:t>
      </w:r>
    </w:p>
    <w:p w:rsidRPr="00BA060B" w:rsidR="00BA060B" w:rsidP="00BA060B" w:rsidRDefault="00BA060B" w14:paraId="0EEEC95D" w14:textId="77777777">
      <w:pPr>
        <w:rPr>
          <w:rFonts w:cstheme="minorHAnsi"/>
        </w:rPr>
      </w:pPr>
      <w:r w:rsidRPr="00BA060B">
        <w:rPr>
          <w:rFonts w:cstheme="minorHAnsi"/>
        </w:rPr>
        <w:t xml:space="preserve">Enkele bijzonderheden worden hieronder toegelicht. </w:t>
      </w:r>
    </w:p>
    <w:p w:rsidRPr="00BA060B" w:rsidR="00BA060B" w:rsidP="00BA060B" w:rsidRDefault="00BA060B" w14:paraId="79AFA410" w14:textId="77777777">
      <w:pPr>
        <w:rPr>
          <w:rFonts w:cstheme="minorHAnsi"/>
        </w:rPr>
      </w:pPr>
    </w:p>
    <w:p w:rsidRPr="00BA060B" w:rsidR="00BA060B" w:rsidP="00BA060B" w:rsidRDefault="00BA060B" w14:paraId="6235EB41" w14:textId="77777777">
      <w:pPr>
        <w:rPr>
          <w:rFonts w:cstheme="minorHAnsi"/>
          <w:i/>
          <w:iCs/>
        </w:rPr>
      </w:pPr>
      <w:r w:rsidRPr="00BA060B">
        <w:rPr>
          <w:rFonts w:cstheme="minorHAnsi"/>
          <w:i/>
          <w:iCs/>
        </w:rPr>
        <w:t>Vervanging Financieel Management Systeem (FMS+)</w:t>
      </w:r>
    </w:p>
    <w:p w:rsidRPr="00BA060B" w:rsidR="00BA060B" w:rsidP="00BA060B" w:rsidRDefault="00BA060B" w14:paraId="498EF6C0" w14:textId="77777777">
      <w:pPr>
        <w:rPr>
          <w:rFonts w:cstheme="minorHAnsi"/>
        </w:rPr>
      </w:pPr>
      <w:r w:rsidRPr="00BA060B">
        <w:rPr>
          <w:rFonts w:cstheme="minorHAnsi"/>
        </w:rPr>
        <w:t xml:space="preserve">Als onderdeel van het grote programma Modernisering IV Bedrijfsvoering werkt de politie aan FMS+: het gefaseerd vervangen van de huidige systemen voor </w:t>
      </w:r>
      <w:r w:rsidRPr="00BA060B">
        <w:rPr>
          <w:rFonts w:cstheme="minorHAnsi"/>
        </w:rPr>
        <w:lastRenderedPageBreak/>
        <w:t>financieel beheer en management, inkoop- en contractmanagement, logistiek- en middelenbeheer en portfolio- en projectmanagement.</w:t>
      </w:r>
    </w:p>
    <w:p w:rsidRPr="00BA060B" w:rsidR="00BA060B" w:rsidP="00BA060B" w:rsidRDefault="00BA060B" w14:paraId="0C9D114C" w14:textId="77777777">
      <w:pPr>
        <w:rPr>
          <w:rFonts w:cstheme="minorHAnsi"/>
        </w:rPr>
      </w:pPr>
    </w:p>
    <w:p w:rsidRPr="00BA060B" w:rsidR="00BA060B" w:rsidP="00BA060B" w:rsidRDefault="00BA060B" w14:paraId="00AD5985" w14:textId="77777777">
      <w:pPr>
        <w:rPr>
          <w:rFonts w:cstheme="minorHAnsi"/>
        </w:rPr>
      </w:pPr>
      <w:r w:rsidRPr="00BA060B">
        <w:rPr>
          <w:rFonts w:cstheme="minorHAnsi"/>
        </w:rPr>
        <w:t>De eerste helft van dit jaar heeft in het teken gestaan van voorbereidingen op de Europese Aanbesteding van de Integratie Beheer partij. Er is inmiddels een partij</w:t>
      </w:r>
    </w:p>
    <w:p w:rsidRPr="00BA060B" w:rsidR="00BA060B" w:rsidP="00BA060B" w:rsidRDefault="00BA060B" w14:paraId="154FECAE" w14:textId="77777777">
      <w:pPr>
        <w:rPr>
          <w:rFonts w:cstheme="minorHAnsi"/>
        </w:rPr>
      </w:pPr>
      <w:r w:rsidRPr="00BA060B">
        <w:rPr>
          <w:rFonts w:cstheme="minorHAnsi"/>
        </w:rPr>
        <w:t>Geselecteerd en het contract is definitief gegund. Ook heeft de afgelopen maanden toetsing plaatsgevonden op FMS+ door het Adviescollege ICT-toetsing (</w:t>
      </w:r>
      <w:proofErr w:type="spellStart"/>
      <w:r w:rsidRPr="00BA060B">
        <w:rPr>
          <w:rFonts w:cstheme="minorHAnsi"/>
        </w:rPr>
        <w:t>AcICT</w:t>
      </w:r>
      <w:proofErr w:type="spellEnd"/>
      <w:r w:rsidRPr="00BA060B">
        <w:rPr>
          <w:rFonts w:cstheme="minorHAnsi"/>
        </w:rPr>
        <w:t xml:space="preserve">). Het advies van </w:t>
      </w:r>
      <w:proofErr w:type="spellStart"/>
      <w:r w:rsidRPr="00BA060B">
        <w:rPr>
          <w:rFonts w:cstheme="minorHAnsi"/>
        </w:rPr>
        <w:t>AcICT</w:t>
      </w:r>
      <w:proofErr w:type="spellEnd"/>
      <w:r w:rsidRPr="00BA060B">
        <w:rPr>
          <w:rFonts w:cstheme="minorHAnsi"/>
        </w:rPr>
        <w:t xml:space="preserve"> en de opvolging daarvan ontvangt uw Kamer separaat.</w:t>
      </w:r>
    </w:p>
    <w:p w:rsidRPr="00BA060B" w:rsidR="00BA060B" w:rsidP="00BA060B" w:rsidRDefault="00BA060B" w14:paraId="36378CE1" w14:textId="77777777">
      <w:pPr>
        <w:rPr>
          <w:rFonts w:cstheme="minorHAnsi"/>
        </w:rPr>
      </w:pPr>
    </w:p>
    <w:p w:rsidRPr="00BA060B" w:rsidR="00BA060B" w:rsidP="00BA060B" w:rsidRDefault="00BA060B" w14:paraId="0C246587" w14:textId="77777777">
      <w:pPr>
        <w:rPr>
          <w:rFonts w:cstheme="minorHAnsi"/>
          <w:i/>
          <w:iCs/>
        </w:rPr>
      </w:pPr>
      <w:r w:rsidRPr="00BA060B">
        <w:rPr>
          <w:rFonts w:cstheme="minorHAnsi"/>
          <w:i/>
          <w:iCs/>
        </w:rPr>
        <w:t>Programma Vernieuwing Interceptie (PVI)</w:t>
      </w:r>
    </w:p>
    <w:p w:rsidRPr="00BA060B" w:rsidR="00BA060B" w:rsidP="00BA060B" w:rsidRDefault="00BA060B" w14:paraId="6B57964D" w14:textId="77777777">
      <w:pPr>
        <w:rPr>
          <w:rFonts w:cstheme="minorHAnsi"/>
        </w:rPr>
      </w:pPr>
      <w:r w:rsidRPr="00BA060B">
        <w:rPr>
          <w:rFonts w:cstheme="minorHAnsi"/>
        </w:rPr>
        <w:t>De landelijke uitrol van het nieuwe tapsysteem nadert het einde.</w:t>
      </w:r>
      <w:r w:rsidRPr="00BA060B">
        <w:rPr>
          <w:rFonts w:ascii="PolitieText-Regular" w:hAnsi="PolitieText-Regular" w:cs="PolitieText-Regular"/>
          <w:color w:val="182866"/>
        </w:rPr>
        <w:t xml:space="preserve"> </w:t>
      </w:r>
      <w:r w:rsidRPr="00BA060B">
        <w:rPr>
          <w:rFonts w:cstheme="minorHAnsi"/>
        </w:rPr>
        <w:t>Het programma PVI  bezig met het afronden en overdragen van de werkzaamheden naar de lijnorganisatie. Per 1 oktober is decharge verleend van de opdrachtgever.</w:t>
      </w:r>
    </w:p>
    <w:p w:rsidRPr="00BA060B" w:rsidR="00BA060B" w:rsidP="00BA060B" w:rsidRDefault="00BA060B" w14:paraId="1A2DF2E6" w14:textId="77777777">
      <w:pPr>
        <w:rPr>
          <w:rFonts w:cstheme="minorHAnsi"/>
        </w:rPr>
      </w:pPr>
    </w:p>
    <w:p w:rsidRPr="00BA060B" w:rsidR="00BA060B" w:rsidP="00BA060B" w:rsidRDefault="00BA060B" w14:paraId="6FCC1CD2" w14:textId="77777777">
      <w:pPr>
        <w:rPr>
          <w:rFonts w:cstheme="minorHAnsi"/>
          <w:i/>
          <w:iCs/>
        </w:rPr>
      </w:pPr>
      <w:proofErr w:type="spellStart"/>
      <w:r w:rsidRPr="00BA060B">
        <w:rPr>
          <w:rFonts w:cstheme="minorHAnsi"/>
          <w:i/>
          <w:iCs/>
        </w:rPr>
        <w:t>Summ</w:t>
      </w:r>
      <w:proofErr w:type="spellEnd"/>
      <w:r w:rsidRPr="00BA060B">
        <w:rPr>
          <w:rFonts w:cstheme="minorHAnsi"/>
          <w:i/>
          <w:iCs/>
        </w:rPr>
        <w:t>-IT</w:t>
      </w:r>
    </w:p>
    <w:p w:rsidRPr="00BA060B" w:rsidR="00BA060B" w:rsidP="00BA060B" w:rsidRDefault="00BA060B" w14:paraId="047A9822" w14:textId="77777777">
      <w:pPr>
        <w:rPr>
          <w:rFonts w:cstheme="minorHAnsi"/>
        </w:rPr>
      </w:pPr>
      <w:proofErr w:type="spellStart"/>
      <w:r w:rsidRPr="00BA060B">
        <w:rPr>
          <w:rFonts w:cstheme="minorHAnsi"/>
        </w:rPr>
        <w:t>Summ</w:t>
      </w:r>
      <w:proofErr w:type="spellEnd"/>
      <w:r w:rsidRPr="00BA060B">
        <w:rPr>
          <w:rFonts w:cstheme="minorHAnsi"/>
        </w:rPr>
        <w:t xml:space="preserve">-IT is het belangrijkste systeem voor de opsporing en helpt bij het vastleggen en analyseren van gegevens door 20.000 gebruikers binnen de politie en bijzondere opsporingsdiensten. De leverancier heeft aangegeven dat de tarieven voor </w:t>
      </w:r>
      <w:proofErr w:type="spellStart"/>
      <w:r w:rsidRPr="00BA060B">
        <w:rPr>
          <w:rFonts w:cstheme="minorHAnsi"/>
        </w:rPr>
        <w:t>Summ</w:t>
      </w:r>
      <w:proofErr w:type="spellEnd"/>
      <w:r w:rsidRPr="00BA060B">
        <w:rPr>
          <w:rFonts w:cstheme="minorHAnsi"/>
        </w:rPr>
        <w:t xml:space="preserve">-IT flink verhoogd moeten worden om de ondersteuning van </w:t>
      </w:r>
      <w:proofErr w:type="spellStart"/>
      <w:r w:rsidRPr="00BA060B">
        <w:rPr>
          <w:rFonts w:cstheme="minorHAnsi"/>
        </w:rPr>
        <w:t>Summ</w:t>
      </w:r>
      <w:proofErr w:type="spellEnd"/>
      <w:r w:rsidRPr="00BA060B">
        <w:rPr>
          <w:rFonts w:cstheme="minorHAnsi"/>
        </w:rPr>
        <w:t xml:space="preserve">-IT voort te kunnen zetten. Er is overeengekomen dat de politie eigenaar wordt van de broncode van </w:t>
      </w:r>
      <w:proofErr w:type="spellStart"/>
      <w:r w:rsidRPr="00BA060B">
        <w:rPr>
          <w:rFonts w:cstheme="minorHAnsi"/>
        </w:rPr>
        <w:t>Summ</w:t>
      </w:r>
      <w:proofErr w:type="spellEnd"/>
      <w:r w:rsidRPr="00BA060B">
        <w:rPr>
          <w:rFonts w:cstheme="minorHAnsi"/>
        </w:rPr>
        <w:t xml:space="preserve">-IT 7 en de KMAR van </w:t>
      </w:r>
      <w:proofErr w:type="spellStart"/>
      <w:r w:rsidRPr="00BA060B">
        <w:rPr>
          <w:rFonts w:cstheme="minorHAnsi"/>
        </w:rPr>
        <w:t>Summ</w:t>
      </w:r>
      <w:proofErr w:type="spellEnd"/>
      <w:r w:rsidRPr="00BA060B">
        <w:rPr>
          <w:rFonts w:cstheme="minorHAnsi"/>
        </w:rPr>
        <w:t xml:space="preserve">-IT 8. Met de bijzondere opsporingsdiensten zijn afspraken gemaakt over de overname en het eigenaarschap van </w:t>
      </w:r>
      <w:proofErr w:type="spellStart"/>
      <w:r w:rsidRPr="00BA060B">
        <w:rPr>
          <w:rFonts w:cstheme="minorHAnsi"/>
        </w:rPr>
        <w:t>Summ</w:t>
      </w:r>
      <w:proofErr w:type="spellEnd"/>
      <w:r w:rsidRPr="00BA060B">
        <w:rPr>
          <w:rFonts w:cstheme="minorHAnsi"/>
        </w:rPr>
        <w:t xml:space="preserve">-IT.  </w:t>
      </w:r>
    </w:p>
    <w:p w:rsidRPr="00BA060B" w:rsidR="00BA060B" w:rsidP="00BA060B" w:rsidRDefault="00BA060B" w14:paraId="6E2AFCEE" w14:textId="77777777">
      <w:pPr>
        <w:rPr>
          <w:rFonts w:cstheme="minorHAnsi"/>
        </w:rPr>
      </w:pPr>
    </w:p>
    <w:p w:rsidRPr="00BA060B" w:rsidR="00BA060B" w:rsidP="00BA060B" w:rsidRDefault="00BA060B" w14:paraId="02363997" w14:textId="77777777">
      <w:pPr>
        <w:rPr>
          <w:rFonts w:cstheme="minorHAnsi"/>
          <w:i/>
          <w:iCs/>
        </w:rPr>
      </w:pPr>
      <w:r w:rsidRPr="00BA060B">
        <w:rPr>
          <w:rFonts w:cstheme="minorHAnsi"/>
          <w:i/>
          <w:iCs/>
        </w:rPr>
        <w:t xml:space="preserve">Programma Vernieuwend Registreren (PVR) </w:t>
      </w:r>
    </w:p>
    <w:p w:rsidRPr="00BA060B" w:rsidR="00BA060B" w:rsidP="00BA060B" w:rsidRDefault="00BA060B" w14:paraId="754C0488" w14:textId="77777777">
      <w:pPr>
        <w:rPr>
          <w:rFonts w:cstheme="minorHAnsi"/>
        </w:rPr>
      </w:pPr>
      <w:r w:rsidRPr="00BA060B">
        <w:rPr>
          <w:rFonts w:cstheme="minorHAnsi"/>
        </w:rPr>
        <w:t>PVR realiseert een stabiele en duurzame operationele registratieve voorziening voor de politie. De opdracht is om de 12 operationele registratieve (</w:t>
      </w:r>
      <w:proofErr w:type="spellStart"/>
      <w:r w:rsidRPr="00BA060B">
        <w:rPr>
          <w:rFonts w:cstheme="minorHAnsi"/>
        </w:rPr>
        <w:t>legacy</w:t>
      </w:r>
      <w:proofErr w:type="spellEnd"/>
      <w:r w:rsidRPr="00BA060B">
        <w:rPr>
          <w:rFonts w:cstheme="minorHAnsi"/>
        </w:rPr>
        <w:t xml:space="preserve">)applicaties te vernieuwen en verder te digitaliseren binnen de applicatie RAPP – Registratieve Applicatie Politie Processen - en daarmee te vervangen. De afgelopen periode is weer nieuwe functionaliteit in productie gebracht. Op het gebied van functionaliteit zijn de nieuwe acties ‘Machtiging binnentreden’ en ‘Binnentreden’ nu beschikbaar in RAPP </w:t>
      </w:r>
      <w:proofErr w:type="gramStart"/>
      <w:r w:rsidRPr="00BA060B">
        <w:rPr>
          <w:rFonts w:cstheme="minorHAnsi"/>
        </w:rPr>
        <w:t>alsmede</w:t>
      </w:r>
      <w:proofErr w:type="gramEnd"/>
      <w:r w:rsidRPr="00BA060B">
        <w:rPr>
          <w:rFonts w:cstheme="minorHAnsi"/>
        </w:rPr>
        <w:t xml:space="preserve"> het kunnen afschermen van gegevens van een slachtoffer, aangever en getuige op het proces verbaal in verband met nieuwe wetgeving vanaf 1 juli jl. Ook is er veel tijd ingezet op onderhoud en beheer.</w:t>
      </w:r>
    </w:p>
    <w:p w:rsidRPr="00BA060B" w:rsidR="00BA060B" w:rsidP="00BA060B" w:rsidRDefault="00BA060B" w14:paraId="0056DBD6" w14:textId="77777777">
      <w:pPr>
        <w:rPr>
          <w:rFonts w:cstheme="minorHAnsi"/>
          <w:b/>
          <w:bCs/>
        </w:rPr>
      </w:pPr>
    </w:p>
    <w:p w:rsidRPr="00BA060B" w:rsidR="00BA060B" w:rsidP="00BA060B" w:rsidRDefault="00BA060B" w14:paraId="1F3C3FB1" w14:textId="77777777">
      <w:pPr>
        <w:rPr>
          <w:rFonts w:cstheme="minorHAnsi"/>
          <w:b/>
          <w:bCs/>
        </w:rPr>
      </w:pPr>
      <w:r w:rsidRPr="00BA060B">
        <w:rPr>
          <w:rFonts w:cstheme="minorHAnsi"/>
          <w:b/>
          <w:bCs/>
        </w:rPr>
        <w:t xml:space="preserve">Continuïteit </w:t>
      </w:r>
    </w:p>
    <w:p w:rsidRPr="00BA060B" w:rsidR="00BA060B" w:rsidP="00BA060B" w:rsidRDefault="00BA060B" w14:paraId="65641D73" w14:textId="77777777">
      <w:pPr>
        <w:rPr>
          <w:rFonts w:cstheme="minorHAnsi"/>
          <w:i/>
          <w:iCs/>
        </w:rPr>
      </w:pPr>
      <w:r w:rsidRPr="00BA060B">
        <w:rPr>
          <w:rFonts w:cstheme="minorHAnsi"/>
          <w:i/>
          <w:iCs/>
        </w:rPr>
        <w:t xml:space="preserve">Servicedesk ICT </w:t>
      </w:r>
    </w:p>
    <w:p w:rsidRPr="00BA060B" w:rsidR="00BA060B" w:rsidP="00BA060B" w:rsidRDefault="00BA060B" w14:paraId="4CCABD30" w14:textId="77777777">
      <w:pPr>
        <w:rPr>
          <w:rFonts w:cstheme="minorHAnsi"/>
        </w:rPr>
      </w:pPr>
      <w:r w:rsidRPr="00BA060B">
        <w:rPr>
          <w:rFonts w:cstheme="minorHAnsi"/>
        </w:rPr>
        <w:t xml:space="preserve">In de eerste 7 maanden van dit jaar was het aantal geregistreerde meldingen hoger dan dezelfde periode in 2024. Deze stijging is vooral veroorzaakt door de NAVO-top. Het betrof bijvoorbeeld vaak verzoeken om hulp bij het instellen van smartphones door veel vervangingsaanvragen in voorbereiding op de NAVO-top. Ook maatregelen voor cyberveiligheid vanwege de NAVO-top, zoals vaker inloggen en/of aanmelden en licentiecontrole veroorzaakten een hoger aanbod. </w:t>
      </w:r>
    </w:p>
    <w:p w:rsidRPr="00BA060B" w:rsidR="00BA060B" w:rsidP="00BA060B" w:rsidRDefault="00BA060B" w14:paraId="18C8B04F" w14:textId="77777777">
      <w:pPr>
        <w:rPr>
          <w:rFonts w:cstheme="minorHAnsi"/>
          <w:i/>
          <w:iCs/>
        </w:rPr>
      </w:pPr>
    </w:p>
    <w:p w:rsidRPr="00BA060B" w:rsidR="00BA060B" w:rsidP="00BA060B" w:rsidRDefault="00BA060B" w14:paraId="66208051" w14:textId="77777777">
      <w:pPr>
        <w:rPr>
          <w:rFonts w:cstheme="minorHAnsi"/>
          <w:i/>
          <w:iCs/>
        </w:rPr>
      </w:pPr>
      <w:r w:rsidRPr="00BA060B">
        <w:rPr>
          <w:rFonts w:cstheme="minorHAnsi"/>
          <w:i/>
          <w:iCs/>
        </w:rPr>
        <w:t>PRIO-1 verstoringen</w:t>
      </w:r>
    </w:p>
    <w:p w:rsidRPr="00BA060B" w:rsidR="00BA060B" w:rsidP="00BA060B" w:rsidRDefault="00BA060B" w14:paraId="07E7976B" w14:textId="77777777">
      <w:pPr>
        <w:rPr>
          <w:rFonts w:cstheme="minorHAnsi"/>
          <w:noProof/>
          <w:color w:val="156082" w:themeColor="accent1"/>
        </w:rPr>
      </w:pPr>
      <w:r w:rsidRPr="00BA060B">
        <w:rPr>
          <w:rFonts w:cstheme="minorHAnsi"/>
        </w:rPr>
        <w:t xml:space="preserve">Een verstoring wordt als een PRIO-1 verstoring gemarkeerd als het een dienst met serviceprofiel hoog betreft en de impact en urgentie van de verstoring ook beiden </w:t>
      </w:r>
      <w:r w:rsidRPr="00BA060B">
        <w:rPr>
          <w:rFonts w:cstheme="minorHAnsi"/>
        </w:rPr>
        <w:lastRenderedPageBreak/>
        <w:t xml:space="preserve">hoog zijn. Ten opzichte van 2024 ligt het aantal PRIO-1 verstoringen flink hoger (379 t.o.v. 201). Een groot deel betreft de Basisvoorziening Identiteitsvaststelling (BVID). De redenen voor de verstoringen zijn divers van aard en hier is aandacht voor in de strafrechtketen. 80% van alle PRIO-1 verstoringen is op tijd afgehandeld en daarmee is voldaan aan de norm van de SLA. </w:t>
      </w:r>
    </w:p>
    <w:bookmarkEnd w:id="0"/>
    <w:p w:rsidRPr="00BA060B" w:rsidR="00BA060B" w:rsidP="00BA060B" w:rsidRDefault="00BA060B" w14:paraId="5AA89E3D" w14:textId="77777777">
      <w:pPr>
        <w:rPr>
          <w:rFonts w:cstheme="minorHAnsi"/>
        </w:rPr>
      </w:pPr>
    </w:p>
    <w:p w:rsidRPr="00BA060B" w:rsidR="00BA060B" w:rsidP="00BA060B" w:rsidRDefault="00BA060B" w14:paraId="11CB771C" w14:textId="77777777">
      <w:pPr>
        <w:rPr>
          <w:rFonts w:cstheme="minorHAnsi"/>
          <w:b/>
          <w:bCs/>
        </w:rPr>
      </w:pPr>
      <w:r w:rsidRPr="00BA060B">
        <w:rPr>
          <w:rFonts w:cstheme="minorHAnsi"/>
          <w:b/>
          <w:bCs/>
        </w:rPr>
        <w:t>Wet open overheid</w:t>
      </w:r>
    </w:p>
    <w:p w:rsidRPr="00BA060B" w:rsidR="00BA060B" w:rsidP="00BA060B" w:rsidRDefault="00BA060B" w14:paraId="45A524B2" w14:textId="77777777">
      <w:pPr>
        <w:rPr>
          <w:rFonts w:cstheme="minorHAnsi"/>
        </w:rPr>
      </w:pPr>
      <w:r w:rsidRPr="00BA060B">
        <w:rPr>
          <w:rFonts w:cstheme="minorHAnsi"/>
        </w:rPr>
        <w:t>In het kader van de Wet open overheid (</w:t>
      </w:r>
      <w:proofErr w:type="spellStart"/>
      <w:r w:rsidRPr="00BA060B">
        <w:rPr>
          <w:rFonts w:cstheme="minorHAnsi"/>
        </w:rPr>
        <w:t>Woo</w:t>
      </w:r>
      <w:proofErr w:type="spellEnd"/>
      <w:r w:rsidRPr="00BA060B">
        <w:rPr>
          <w:rFonts w:cstheme="minorHAnsi"/>
        </w:rPr>
        <w:t xml:space="preserve">) zijn in het eerste kwartaal van 2025 bij de politie 14 extra fte’s gestart voor afhandeling van </w:t>
      </w:r>
      <w:proofErr w:type="spellStart"/>
      <w:r w:rsidRPr="00BA060B">
        <w:rPr>
          <w:rFonts w:cstheme="minorHAnsi"/>
        </w:rPr>
        <w:t>Woo</w:t>
      </w:r>
      <w:proofErr w:type="spellEnd"/>
      <w:r w:rsidRPr="00BA060B">
        <w:rPr>
          <w:rFonts w:cstheme="minorHAnsi"/>
        </w:rPr>
        <w:t xml:space="preserve">-verzoeken. Daarnaast is de politie gestart met de maandelijkse publicatie van een </w:t>
      </w:r>
      <w:proofErr w:type="spellStart"/>
      <w:r w:rsidRPr="00BA060B">
        <w:rPr>
          <w:rFonts w:cstheme="minorHAnsi"/>
        </w:rPr>
        <w:t>klachtoordelenoverzicht</w:t>
      </w:r>
      <w:proofErr w:type="spellEnd"/>
      <w:r w:rsidRPr="00BA060B">
        <w:rPr>
          <w:rFonts w:cstheme="minorHAnsi"/>
        </w:rPr>
        <w:t xml:space="preserve"> op politie.nl, daarmee vooruitlopend op de wettelijke verplichting van actieve openbaarmaking. Het kost extra inspanning om de juiste kennis en capaciteit op specifieke rollen in te vullen en te behouden, mede in het licht van de recente bezuinigingen en de wet DBA. Grotendeels lukt dit, maar dit blijft een risico.</w:t>
      </w:r>
    </w:p>
    <w:p w:rsidRPr="00BA060B" w:rsidR="00BA060B" w:rsidP="00BA060B" w:rsidRDefault="00BA060B" w14:paraId="6B7D8AFE" w14:textId="77777777">
      <w:pPr>
        <w:rPr>
          <w:rFonts w:cstheme="minorHAnsi"/>
        </w:rPr>
      </w:pPr>
    </w:p>
    <w:p w:rsidRPr="00BA060B" w:rsidR="00F1585C" w:rsidRDefault="00F1585C" w14:paraId="6D62D2B4" w14:textId="77777777"/>
    <w:sectPr w:rsidRPr="00BA060B" w:rsidR="00F1585C">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B6F6" w14:textId="77777777" w:rsidR="007834D3" w:rsidRDefault="007834D3">
      <w:pPr>
        <w:spacing w:line="240" w:lineRule="auto"/>
      </w:pPr>
      <w:r>
        <w:separator/>
      </w:r>
    </w:p>
  </w:endnote>
  <w:endnote w:type="continuationSeparator" w:id="0">
    <w:p w14:paraId="594E441C" w14:textId="77777777" w:rsidR="007834D3" w:rsidRDefault="00783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litieText-Regular">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72AC" w14:textId="77777777" w:rsidR="007834D3" w:rsidRDefault="007834D3">
      <w:pPr>
        <w:spacing w:line="240" w:lineRule="auto"/>
      </w:pPr>
      <w:r>
        <w:separator/>
      </w:r>
    </w:p>
  </w:footnote>
  <w:footnote w:type="continuationSeparator" w:id="0">
    <w:p w14:paraId="4128C29B" w14:textId="77777777" w:rsidR="007834D3" w:rsidRDefault="007834D3">
      <w:pPr>
        <w:spacing w:line="240" w:lineRule="auto"/>
      </w:pPr>
      <w:r>
        <w:continuationSeparator/>
      </w:r>
    </w:p>
  </w:footnote>
  <w:footnote w:id="1">
    <w:p w14:paraId="26D36040" w14:textId="4B1FB6BE" w:rsidR="001F5519" w:rsidRPr="001F5519" w:rsidRDefault="001F5519">
      <w:pPr>
        <w:pStyle w:val="Voetnoottekst"/>
        <w:rPr>
          <w:sz w:val="16"/>
          <w:szCs w:val="16"/>
        </w:rPr>
      </w:pPr>
      <w:r w:rsidRPr="001F5519">
        <w:rPr>
          <w:rStyle w:val="Voetnootmarkering"/>
          <w:sz w:val="16"/>
          <w:szCs w:val="16"/>
        </w:rPr>
        <w:footnoteRef/>
      </w:r>
      <w:r w:rsidRPr="001F5519">
        <w:rPr>
          <w:sz w:val="16"/>
          <w:szCs w:val="16"/>
        </w:rPr>
        <w:t xml:space="preserve"> Kamerstukken II 2024/25, 29628, nr. 1277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C611" w14:textId="77777777" w:rsidR="00F1585C" w:rsidRDefault="00A358A8">
    <w:r>
      <w:rPr>
        <w:noProof/>
      </w:rPr>
      <mc:AlternateContent>
        <mc:Choice Requires="wps">
          <w:drawing>
            <wp:anchor distT="0" distB="0" distL="0" distR="0" simplePos="0" relativeHeight="251652096" behindDoc="0" locked="1" layoutInCell="1" allowOverlap="1" wp14:anchorId="0C74E902" wp14:editId="7C1BA7E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59E59E" w14:textId="77777777" w:rsidR="00F1585C" w:rsidRDefault="00A358A8">
                          <w:pPr>
                            <w:pStyle w:val="Referentiegegevensbold"/>
                          </w:pPr>
                          <w:r>
                            <w:t>Directoraat-Generaal Politie en Veiligheidsregio's</w:t>
                          </w:r>
                        </w:p>
                        <w:p w14:paraId="13CA854A" w14:textId="77777777" w:rsidR="00F1585C" w:rsidRDefault="00A358A8">
                          <w:pPr>
                            <w:pStyle w:val="Referentiegegevens"/>
                          </w:pPr>
                          <w:r>
                            <w:t>Portefeuille Politieorganisatie en -Middelen</w:t>
                          </w:r>
                        </w:p>
                        <w:p w14:paraId="5B6825C6" w14:textId="77777777" w:rsidR="00F1585C" w:rsidRDefault="00F1585C">
                          <w:pPr>
                            <w:pStyle w:val="WitregelW2"/>
                          </w:pPr>
                        </w:p>
                        <w:p w14:paraId="457E067C" w14:textId="77777777" w:rsidR="00F1585C" w:rsidRDefault="00A358A8">
                          <w:pPr>
                            <w:pStyle w:val="Referentiegegevensbold"/>
                          </w:pPr>
                          <w:r>
                            <w:t>Datum</w:t>
                          </w:r>
                        </w:p>
                        <w:p w14:paraId="0ECBA222" w14:textId="77777777" w:rsidR="00F1585C" w:rsidRDefault="00A358A8">
                          <w:pPr>
                            <w:pStyle w:val="Referentiegegevens"/>
                          </w:pPr>
                          <w:sdt>
                            <w:sdtPr>
                              <w:id w:val="418847154"/>
                              <w:date w:fullDate="2025-12-05T00:00:00Z">
                                <w:dateFormat w:val="d MMMM yyyy"/>
                                <w:lid w:val="nl"/>
                                <w:storeMappedDataAs w:val="dateTime"/>
                                <w:calendar w:val="gregorian"/>
                              </w:date>
                            </w:sdtPr>
                            <w:sdtEndPr/>
                            <w:sdtContent>
                              <w:r>
                                <w:t>5 december 2025</w:t>
                              </w:r>
                            </w:sdtContent>
                          </w:sdt>
                        </w:p>
                        <w:p w14:paraId="3517B916" w14:textId="77777777" w:rsidR="00F1585C" w:rsidRDefault="00F1585C">
                          <w:pPr>
                            <w:pStyle w:val="WitregelW1"/>
                          </w:pPr>
                        </w:p>
                        <w:p w14:paraId="6A244673" w14:textId="77777777" w:rsidR="00F1585C" w:rsidRDefault="00A358A8">
                          <w:pPr>
                            <w:pStyle w:val="Referentiegegevensbold"/>
                          </w:pPr>
                          <w:r>
                            <w:t xml:space="preserve">Onze </w:t>
                          </w:r>
                          <w:r>
                            <w:t>referentie</w:t>
                          </w:r>
                        </w:p>
                        <w:p w14:paraId="0CAF923B" w14:textId="77777777" w:rsidR="00F1585C" w:rsidRDefault="00A358A8">
                          <w:pPr>
                            <w:pStyle w:val="Referentiegegevens"/>
                          </w:pPr>
                          <w:r>
                            <w:t>6925178</w:t>
                          </w:r>
                        </w:p>
                      </w:txbxContent>
                    </wps:txbx>
                    <wps:bodyPr vert="horz" wrap="square" lIns="0" tIns="0" rIns="0" bIns="0" anchor="t" anchorCtr="0"/>
                  </wps:wsp>
                </a:graphicData>
              </a:graphic>
            </wp:anchor>
          </w:drawing>
        </mc:Choice>
        <mc:Fallback>
          <w:pict>
            <v:shapetype w14:anchorId="0C74E90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059E59E" w14:textId="77777777" w:rsidR="00F1585C" w:rsidRDefault="00A358A8">
                    <w:pPr>
                      <w:pStyle w:val="Referentiegegevensbold"/>
                    </w:pPr>
                    <w:r>
                      <w:t>Directoraat-Generaal Politie en Veiligheidsregio's</w:t>
                    </w:r>
                  </w:p>
                  <w:p w14:paraId="13CA854A" w14:textId="77777777" w:rsidR="00F1585C" w:rsidRDefault="00A358A8">
                    <w:pPr>
                      <w:pStyle w:val="Referentiegegevens"/>
                    </w:pPr>
                    <w:r>
                      <w:t>Portefeuille Politieorganisatie en -Middelen</w:t>
                    </w:r>
                  </w:p>
                  <w:p w14:paraId="5B6825C6" w14:textId="77777777" w:rsidR="00F1585C" w:rsidRDefault="00F1585C">
                    <w:pPr>
                      <w:pStyle w:val="WitregelW2"/>
                    </w:pPr>
                  </w:p>
                  <w:p w14:paraId="457E067C" w14:textId="77777777" w:rsidR="00F1585C" w:rsidRDefault="00A358A8">
                    <w:pPr>
                      <w:pStyle w:val="Referentiegegevensbold"/>
                    </w:pPr>
                    <w:r>
                      <w:t>Datum</w:t>
                    </w:r>
                  </w:p>
                  <w:p w14:paraId="0ECBA222" w14:textId="77777777" w:rsidR="00F1585C" w:rsidRDefault="00A358A8">
                    <w:pPr>
                      <w:pStyle w:val="Referentiegegevens"/>
                    </w:pPr>
                    <w:sdt>
                      <w:sdtPr>
                        <w:id w:val="418847154"/>
                        <w:date w:fullDate="2025-12-05T00:00:00Z">
                          <w:dateFormat w:val="d MMMM yyyy"/>
                          <w:lid w:val="nl"/>
                          <w:storeMappedDataAs w:val="dateTime"/>
                          <w:calendar w:val="gregorian"/>
                        </w:date>
                      </w:sdtPr>
                      <w:sdtEndPr/>
                      <w:sdtContent>
                        <w:r>
                          <w:t>5 december 2025</w:t>
                        </w:r>
                      </w:sdtContent>
                    </w:sdt>
                  </w:p>
                  <w:p w14:paraId="3517B916" w14:textId="77777777" w:rsidR="00F1585C" w:rsidRDefault="00F1585C">
                    <w:pPr>
                      <w:pStyle w:val="WitregelW1"/>
                    </w:pPr>
                  </w:p>
                  <w:p w14:paraId="6A244673" w14:textId="77777777" w:rsidR="00F1585C" w:rsidRDefault="00A358A8">
                    <w:pPr>
                      <w:pStyle w:val="Referentiegegevensbold"/>
                    </w:pPr>
                    <w:r>
                      <w:t xml:space="preserve">Onze </w:t>
                    </w:r>
                    <w:r>
                      <w:t>referentie</w:t>
                    </w:r>
                  </w:p>
                  <w:p w14:paraId="0CAF923B" w14:textId="77777777" w:rsidR="00F1585C" w:rsidRDefault="00A358A8">
                    <w:pPr>
                      <w:pStyle w:val="Referentiegegevens"/>
                    </w:pPr>
                    <w:r>
                      <w:t>6925178</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C0508E8" wp14:editId="78338AEA">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853329C" w14:textId="77777777" w:rsidR="00402E52" w:rsidRDefault="00402E52"/>
                      </w:txbxContent>
                    </wps:txbx>
                    <wps:bodyPr vert="horz" wrap="square" lIns="0" tIns="0" rIns="0" bIns="0" anchor="t" anchorCtr="0"/>
                  </wps:wsp>
                </a:graphicData>
              </a:graphic>
            </wp:anchor>
          </w:drawing>
        </mc:Choice>
        <mc:Fallback>
          <w:pict>
            <v:shape w14:anchorId="4C0508E8"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2853329C" w14:textId="77777777" w:rsidR="00402E52" w:rsidRDefault="00402E52"/>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C651CA8" wp14:editId="7E09375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D761A5" w14:textId="5A52F208" w:rsidR="00F1585C" w:rsidRDefault="00A358A8">
                          <w:pPr>
                            <w:pStyle w:val="Referentiegegevens"/>
                          </w:pPr>
                          <w:r>
                            <w:t xml:space="preserve">Pagina </w:t>
                          </w:r>
                          <w:r>
                            <w:fldChar w:fldCharType="begin"/>
                          </w:r>
                          <w:r>
                            <w:instrText>PAGE</w:instrText>
                          </w:r>
                          <w:r>
                            <w:fldChar w:fldCharType="separate"/>
                          </w:r>
                          <w:r w:rsidR="00BA060B">
                            <w:rPr>
                              <w:noProof/>
                            </w:rPr>
                            <w:t>2</w:t>
                          </w:r>
                          <w:r>
                            <w:fldChar w:fldCharType="end"/>
                          </w:r>
                          <w:r>
                            <w:t xml:space="preserve"> van </w:t>
                          </w:r>
                          <w:r>
                            <w:fldChar w:fldCharType="begin"/>
                          </w:r>
                          <w:r>
                            <w:instrText>NUMPAGES</w:instrText>
                          </w:r>
                          <w:r>
                            <w:fldChar w:fldCharType="separate"/>
                          </w:r>
                          <w:r w:rsidR="00BA060B">
                            <w:rPr>
                              <w:noProof/>
                            </w:rPr>
                            <w:t>3</w:t>
                          </w:r>
                          <w:r>
                            <w:fldChar w:fldCharType="end"/>
                          </w:r>
                        </w:p>
                      </w:txbxContent>
                    </wps:txbx>
                    <wps:bodyPr vert="horz" wrap="square" lIns="0" tIns="0" rIns="0" bIns="0" anchor="t" anchorCtr="0"/>
                  </wps:wsp>
                </a:graphicData>
              </a:graphic>
            </wp:anchor>
          </w:drawing>
        </mc:Choice>
        <mc:Fallback>
          <w:pict>
            <v:shape w14:anchorId="6C651CA8"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8D761A5" w14:textId="5A52F208" w:rsidR="00F1585C" w:rsidRDefault="00A358A8">
                    <w:pPr>
                      <w:pStyle w:val="Referentiegegevens"/>
                    </w:pPr>
                    <w:r>
                      <w:t xml:space="preserve">Pagina </w:t>
                    </w:r>
                    <w:r>
                      <w:fldChar w:fldCharType="begin"/>
                    </w:r>
                    <w:r>
                      <w:instrText>PAGE</w:instrText>
                    </w:r>
                    <w:r>
                      <w:fldChar w:fldCharType="separate"/>
                    </w:r>
                    <w:r w:rsidR="00BA060B">
                      <w:rPr>
                        <w:noProof/>
                      </w:rPr>
                      <w:t>2</w:t>
                    </w:r>
                    <w:r>
                      <w:fldChar w:fldCharType="end"/>
                    </w:r>
                    <w:r>
                      <w:t xml:space="preserve"> van </w:t>
                    </w:r>
                    <w:r>
                      <w:fldChar w:fldCharType="begin"/>
                    </w:r>
                    <w:r>
                      <w:instrText>NUMPAGES</w:instrText>
                    </w:r>
                    <w:r>
                      <w:fldChar w:fldCharType="separate"/>
                    </w:r>
                    <w:r w:rsidR="00BA060B">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29DDF00" wp14:editId="3D80D259">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DCBA0CC" w14:textId="77777777" w:rsidR="00402E52" w:rsidRDefault="00402E52"/>
                      </w:txbxContent>
                    </wps:txbx>
                    <wps:bodyPr vert="horz" wrap="square" lIns="0" tIns="0" rIns="0" bIns="0" anchor="t" anchorCtr="0"/>
                  </wps:wsp>
                </a:graphicData>
              </a:graphic>
            </wp:anchor>
          </w:drawing>
        </mc:Choice>
        <mc:Fallback>
          <w:pict>
            <v:shape w14:anchorId="429DDF00"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0DCBA0CC" w14:textId="77777777" w:rsidR="00402E52" w:rsidRDefault="00402E5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B1F6" w14:textId="77777777" w:rsidR="00F1585C" w:rsidRDefault="00A358A8">
    <w:pPr>
      <w:spacing w:after="4835" w:line="14" w:lineRule="exact"/>
    </w:pPr>
    <w:r>
      <w:rPr>
        <w:noProof/>
      </w:rPr>
      <mc:AlternateContent>
        <mc:Choice Requires="wps">
          <w:drawing>
            <wp:anchor distT="0" distB="0" distL="0" distR="0" simplePos="0" relativeHeight="251656192" behindDoc="0" locked="1" layoutInCell="1" allowOverlap="1" wp14:anchorId="121287E3" wp14:editId="6BF3C3FD">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421A7C7A" w14:textId="77777777" w:rsidR="00402E52" w:rsidRDefault="00402E52"/>
                      </w:txbxContent>
                    </wps:txbx>
                    <wps:bodyPr vert="horz" wrap="square" lIns="0" tIns="0" rIns="0" bIns="0" anchor="t" anchorCtr="0"/>
                  </wps:wsp>
                </a:graphicData>
              </a:graphic>
            </wp:anchor>
          </w:drawing>
        </mc:Choice>
        <mc:Fallback>
          <w:pict>
            <v:shapetype w14:anchorId="121287E3"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421A7C7A" w14:textId="77777777" w:rsidR="00402E52" w:rsidRDefault="00402E5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1B2A76B" wp14:editId="3DCD5391">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0D7DA44B" w14:textId="77777777" w:rsidR="00F1585C" w:rsidRDefault="00A358A8">
                          <w:r>
                            <w:t>Stand van zaken IV</w:t>
                          </w:r>
                        </w:p>
                      </w:txbxContent>
                    </wps:txbx>
                    <wps:bodyPr vert="horz" wrap="square" lIns="0" tIns="0" rIns="0" bIns="0" anchor="t" anchorCtr="0"/>
                  </wps:wsp>
                </a:graphicData>
              </a:graphic>
            </wp:anchor>
          </w:drawing>
        </mc:Choice>
        <mc:Fallback>
          <w:pict>
            <v:shape w14:anchorId="01B2A76B"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0D7DA44B" w14:textId="77777777" w:rsidR="00F1585C" w:rsidRDefault="00A358A8">
                    <w:r>
                      <w:t>Stand van zaken IV</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90BB527" wp14:editId="21314A9F">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DB3761" w14:textId="77777777" w:rsidR="00F1585C" w:rsidRDefault="00A358A8">
                          <w:pPr>
                            <w:pStyle w:val="Referentiegegevensbold"/>
                          </w:pPr>
                          <w:r>
                            <w:t>Directoraat-Generaal Politie en Veiligheidsregio's</w:t>
                          </w:r>
                        </w:p>
                        <w:p w14:paraId="12E854CA" w14:textId="77777777" w:rsidR="00F1585C" w:rsidRDefault="00A358A8">
                          <w:pPr>
                            <w:pStyle w:val="Referentiegegevens"/>
                          </w:pPr>
                          <w:r>
                            <w:t>Portefeuille Politieorganisatie en -Middelen</w:t>
                          </w:r>
                        </w:p>
                        <w:p w14:paraId="760986F9" w14:textId="77777777" w:rsidR="00F1585C" w:rsidRDefault="00F1585C">
                          <w:pPr>
                            <w:pStyle w:val="WitregelW1"/>
                          </w:pPr>
                        </w:p>
                        <w:p w14:paraId="7DE9C2FA" w14:textId="77777777" w:rsidR="00F1585C" w:rsidRDefault="00F1585C">
                          <w:pPr>
                            <w:pStyle w:val="WitregelW2"/>
                          </w:pPr>
                        </w:p>
                        <w:p w14:paraId="0BE9D9A6" w14:textId="77777777" w:rsidR="00F1585C" w:rsidRDefault="00A358A8">
                          <w:pPr>
                            <w:pStyle w:val="Referentiegegevensbold"/>
                          </w:pPr>
                          <w:r>
                            <w:t>Onze referentie</w:t>
                          </w:r>
                        </w:p>
                        <w:p w14:paraId="254F6D47" w14:textId="77777777" w:rsidR="00F1585C" w:rsidRDefault="00A358A8">
                          <w:pPr>
                            <w:pStyle w:val="Referentiegegevens"/>
                          </w:pPr>
                          <w:r>
                            <w:t>6925178</w:t>
                          </w:r>
                        </w:p>
                      </w:txbxContent>
                    </wps:txbx>
                    <wps:bodyPr vert="horz" wrap="square" lIns="0" tIns="0" rIns="0" bIns="0" anchor="t" anchorCtr="0"/>
                  </wps:wsp>
                </a:graphicData>
              </a:graphic>
            </wp:anchor>
          </w:drawing>
        </mc:Choice>
        <mc:Fallback>
          <w:pict>
            <v:shape w14:anchorId="090BB527"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6DB3761" w14:textId="77777777" w:rsidR="00F1585C" w:rsidRDefault="00A358A8">
                    <w:pPr>
                      <w:pStyle w:val="Referentiegegevensbold"/>
                    </w:pPr>
                    <w:r>
                      <w:t>Directoraat-Generaal Politie en Veiligheidsregio's</w:t>
                    </w:r>
                  </w:p>
                  <w:p w14:paraId="12E854CA" w14:textId="77777777" w:rsidR="00F1585C" w:rsidRDefault="00A358A8">
                    <w:pPr>
                      <w:pStyle w:val="Referentiegegevens"/>
                    </w:pPr>
                    <w:r>
                      <w:t>Portefeuille Politieorganisatie en -Middelen</w:t>
                    </w:r>
                  </w:p>
                  <w:p w14:paraId="760986F9" w14:textId="77777777" w:rsidR="00F1585C" w:rsidRDefault="00F1585C">
                    <w:pPr>
                      <w:pStyle w:val="WitregelW1"/>
                    </w:pPr>
                  </w:p>
                  <w:p w14:paraId="7DE9C2FA" w14:textId="77777777" w:rsidR="00F1585C" w:rsidRDefault="00F1585C">
                    <w:pPr>
                      <w:pStyle w:val="WitregelW2"/>
                    </w:pPr>
                  </w:p>
                  <w:p w14:paraId="0BE9D9A6" w14:textId="77777777" w:rsidR="00F1585C" w:rsidRDefault="00A358A8">
                    <w:pPr>
                      <w:pStyle w:val="Referentiegegevensbold"/>
                    </w:pPr>
                    <w:r>
                      <w:t>Onze referentie</w:t>
                    </w:r>
                  </w:p>
                  <w:p w14:paraId="254F6D47" w14:textId="77777777" w:rsidR="00F1585C" w:rsidRDefault="00A358A8">
                    <w:pPr>
                      <w:pStyle w:val="Referentiegegevens"/>
                    </w:pPr>
                    <w:r>
                      <w:t>6925178</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B088B1A" wp14:editId="11CD6061">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F424B59" w14:textId="77777777" w:rsidR="00402E52" w:rsidRDefault="00402E52"/>
                      </w:txbxContent>
                    </wps:txbx>
                    <wps:bodyPr vert="horz" wrap="square" lIns="0" tIns="0" rIns="0" bIns="0" anchor="t" anchorCtr="0"/>
                  </wps:wsp>
                </a:graphicData>
              </a:graphic>
            </wp:anchor>
          </w:drawing>
        </mc:Choice>
        <mc:Fallback>
          <w:pict>
            <v:shape w14:anchorId="7B088B1A"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2F424B59" w14:textId="77777777" w:rsidR="00402E52" w:rsidRDefault="00402E52"/>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F72D80" wp14:editId="3B994D2F">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06ABFD" w14:textId="77777777" w:rsidR="00F1585C" w:rsidRDefault="00A358A8">
                          <w:pPr>
                            <w:pStyle w:val="Referentiegegevens"/>
                          </w:pPr>
                          <w:r>
                            <w:t xml:space="preserve">Pagina </w:t>
                          </w:r>
                          <w:r>
                            <w:fldChar w:fldCharType="begin"/>
                          </w:r>
                          <w:r>
                            <w:instrText>PAGE</w:instrText>
                          </w:r>
                          <w:r>
                            <w:fldChar w:fldCharType="separate"/>
                          </w:r>
                          <w:r w:rsidR="00BA060B">
                            <w:rPr>
                              <w:noProof/>
                            </w:rPr>
                            <w:t>1</w:t>
                          </w:r>
                          <w:r>
                            <w:fldChar w:fldCharType="end"/>
                          </w:r>
                          <w:r>
                            <w:t xml:space="preserve"> van </w:t>
                          </w:r>
                          <w:r>
                            <w:fldChar w:fldCharType="begin"/>
                          </w:r>
                          <w:r>
                            <w:instrText>NUMPAGES</w:instrText>
                          </w:r>
                          <w:r>
                            <w:fldChar w:fldCharType="separate"/>
                          </w:r>
                          <w:r w:rsidR="00BA060B">
                            <w:rPr>
                              <w:noProof/>
                            </w:rPr>
                            <w:t>1</w:t>
                          </w:r>
                          <w:r>
                            <w:fldChar w:fldCharType="end"/>
                          </w:r>
                        </w:p>
                      </w:txbxContent>
                    </wps:txbx>
                    <wps:bodyPr vert="horz" wrap="square" lIns="0" tIns="0" rIns="0" bIns="0" anchor="t" anchorCtr="0"/>
                  </wps:wsp>
                </a:graphicData>
              </a:graphic>
            </wp:anchor>
          </w:drawing>
        </mc:Choice>
        <mc:Fallback>
          <w:pict>
            <v:shape w14:anchorId="0EF72D80"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5406ABFD" w14:textId="77777777" w:rsidR="00F1585C" w:rsidRDefault="00A358A8">
                    <w:pPr>
                      <w:pStyle w:val="Referentiegegevens"/>
                    </w:pPr>
                    <w:r>
                      <w:t xml:space="preserve">Pagina </w:t>
                    </w:r>
                    <w:r>
                      <w:fldChar w:fldCharType="begin"/>
                    </w:r>
                    <w:r>
                      <w:instrText>PAGE</w:instrText>
                    </w:r>
                    <w:r>
                      <w:fldChar w:fldCharType="separate"/>
                    </w:r>
                    <w:r w:rsidR="00BA060B">
                      <w:rPr>
                        <w:noProof/>
                      </w:rPr>
                      <w:t>1</w:t>
                    </w:r>
                    <w:r>
                      <w:fldChar w:fldCharType="end"/>
                    </w:r>
                    <w:r>
                      <w:t xml:space="preserve"> van </w:t>
                    </w:r>
                    <w:r>
                      <w:fldChar w:fldCharType="begin"/>
                    </w:r>
                    <w:r>
                      <w:instrText>NUMPAGES</w:instrText>
                    </w:r>
                    <w:r>
                      <w:fldChar w:fldCharType="separate"/>
                    </w:r>
                    <w:r w:rsidR="00BA060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332DB12" wp14:editId="510AF098">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C81D40" w14:textId="77777777" w:rsidR="00F1585C" w:rsidRDefault="00A358A8">
                          <w:pPr>
                            <w:spacing w:line="240" w:lineRule="auto"/>
                          </w:pPr>
                          <w:r>
                            <w:rPr>
                              <w:noProof/>
                            </w:rPr>
                            <w:drawing>
                              <wp:inline distT="0" distB="0" distL="0" distR="0" wp14:anchorId="72AE2987" wp14:editId="1E7C0CEB">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32DB12"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1C81D40" w14:textId="77777777" w:rsidR="00F1585C" w:rsidRDefault="00A358A8">
                    <w:pPr>
                      <w:spacing w:line="240" w:lineRule="auto"/>
                    </w:pPr>
                    <w:r>
                      <w:rPr>
                        <w:noProof/>
                      </w:rPr>
                      <w:drawing>
                        <wp:inline distT="0" distB="0" distL="0" distR="0" wp14:anchorId="72AE2987" wp14:editId="1E7C0CEB">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BBCD3C2" wp14:editId="06149079">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1888FD" w14:textId="77777777" w:rsidR="00F1585C" w:rsidRDefault="00A358A8">
                          <w:pPr>
                            <w:spacing w:line="240" w:lineRule="auto"/>
                          </w:pPr>
                          <w:r>
                            <w:rPr>
                              <w:noProof/>
                            </w:rPr>
                            <w:drawing>
                              <wp:inline distT="0" distB="0" distL="0" distR="0" wp14:anchorId="18084401" wp14:editId="1025896C">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BCD3C2"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91888FD" w14:textId="77777777" w:rsidR="00F1585C" w:rsidRDefault="00A358A8">
                    <w:pPr>
                      <w:spacing w:line="240" w:lineRule="auto"/>
                    </w:pPr>
                    <w:r>
                      <w:rPr>
                        <w:noProof/>
                      </w:rPr>
                      <w:drawing>
                        <wp:inline distT="0" distB="0" distL="0" distR="0" wp14:anchorId="18084401" wp14:editId="1025896C">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DF72103" wp14:editId="6CBA4CA0">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37F8FE54" w14:textId="77777777" w:rsidR="00F1585C" w:rsidRDefault="00A358A8">
                          <w:pPr>
                            <w:spacing w:line="240" w:lineRule="auto"/>
                          </w:pPr>
                          <w:r>
                            <w:rPr>
                              <w:noProof/>
                            </w:rPr>
                            <w:drawing>
                              <wp:inline distT="0" distB="0" distL="0" distR="0" wp14:anchorId="0B15AA69" wp14:editId="59373E22">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F72103"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37F8FE54" w14:textId="77777777" w:rsidR="00F1585C" w:rsidRDefault="00A358A8">
                    <w:pPr>
                      <w:spacing w:line="240" w:lineRule="auto"/>
                    </w:pPr>
                    <w:r>
                      <w:rPr>
                        <w:noProof/>
                      </w:rPr>
                      <w:drawing>
                        <wp:inline distT="0" distB="0" distL="0" distR="0" wp14:anchorId="0B15AA69" wp14:editId="59373E22">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539D9E"/>
    <w:multiLevelType w:val="multilevel"/>
    <w:tmpl w:val="4BF20F2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B6E046"/>
    <w:multiLevelType w:val="multilevel"/>
    <w:tmpl w:val="8DECE0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B23DA2B"/>
    <w:multiLevelType w:val="multilevel"/>
    <w:tmpl w:val="A36F7B0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E720AA2"/>
    <w:multiLevelType w:val="multilevel"/>
    <w:tmpl w:val="85B8F66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91C7B5D"/>
    <w:multiLevelType w:val="multilevel"/>
    <w:tmpl w:val="415191F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B115A28"/>
    <w:multiLevelType w:val="multilevel"/>
    <w:tmpl w:val="F3CB79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2059777">
    <w:abstractNumId w:val="4"/>
  </w:num>
  <w:num w:numId="2" w16cid:durableId="1140925579">
    <w:abstractNumId w:val="2"/>
  </w:num>
  <w:num w:numId="3" w16cid:durableId="1345594803">
    <w:abstractNumId w:val="0"/>
  </w:num>
  <w:num w:numId="4" w16cid:durableId="1858956799">
    <w:abstractNumId w:val="1"/>
  </w:num>
  <w:num w:numId="5" w16cid:durableId="1157451375">
    <w:abstractNumId w:val="3"/>
  </w:num>
  <w:num w:numId="6" w16cid:durableId="1269506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5C"/>
    <w:rsid w:val="00181A5D"/>
    <w:rsid w:val="001F5519"/>
    <w:rsid w:val="00402E52"/>
    <w:rsid w:val="004173E6"/>
    <w:rsid w:val="006D370C"/>
    <w:rsid w:val="007834D3"/>
    <w:rsid w:val="007B0642"/>
    <w:rsid w:val="0094352A"/>
    <w:rsid w:val="00A358A8"/>
    <w:rsid w:val="00BA060B"/>
    <w:rsid w:val="00D6073C"/>
    <w:rsid w:val="00D81FEE"/>
    <w:rsid w:val="00EF15BD"/>
    <w:rsid w:val="00F15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C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BA060B"/>
    <w:rPr>
      <w:sz w:val="16"/>
      <w:szCs w:val="16"/>
    </w:rPr>
  </w:style>
  <w:style w:type="paragraph" w:styleId="Tekstopmerking">
    <w:name w:val="annotation text"/>
    <w:basedOn w:val="Standaard"/>
    <w:link w:val="TekstopmerkingChar"/>
    <w:uiPriority w:val="99"/>
    <w:unhideWhenUsed/>
    <w:rsid w:val="00BA060B"/>
    <w:pPr>
      <w:autoSpaceDN/>
      <w:spacing w:line="240" w:lineRule="auto"/>
      <w:textAlignment w:val="auto"/>
    </w:pPr>
    <w:rPr>
      <w:rFonts w:ascii="Arial" w:eastAsiaTheme="minorHAnsi" w:hAnsi="Arial"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A060B"/>
    <w:rPr>
      <w:rFonts w:ascii="Arial" w:eastAsiaTheme="minorHAnsi" w:hAnsi="Arial" w:cstheme="minorBidi"/>
      <w:kern w:val="2"/>
      <w:lang w:eastAsia="en-US"/>
      <w14:ligatures w14:val="standardContextual"/>
    </w:rPr>
  </w:style>
  <w:style w:type="paragraph" w:styleId="Voetnoottekst">
    <w:name w:val="footnote text"/>
    <w:basedOn w:val="Standaard"/>
    <w:link w:val="VoetnoottekstChar"/>
    <w:uiPriority w:val="99"/>
    <w:semiHidden/>
    <w:unhideWhenUsed/>
    <w:rsid w:val="001F551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F5519"/>
    <w:rPr>
      <w:rFonts w:ascii="Verdana" w:hAnsi="Verdana"/>
      <w:color w:val="000000"/>
    </w:rPr>
  </w:style>
  <w:style w:type="character" w:styleId="Voetnootmarkering">
    <w:name w:val="footnote reference"/>
    <w:basedOn w:val="Standaardalinea-lettertype"/>
    <w:uiPriority w:val="99"/>
    <w:semiHidden/>
    <w:unhideWhenUsed/>
    <w:rsid w:val="001F5519"/>
    <w:rPr>
      <w:vertAlign w:val="superscript"/>
    </w:rPr>
  </w:style>
  <w:style w:type="paragraph" w:styleId="Onderwerpvanopmerking">
    <w:name w:val="annotation subject"/>
    <w:basedOn w:val="Tekstopmerking"/>
    <w:next w:val="Tekstopmerking"/>
    <w:link w:val="OnderwerpvanopmerkingChar"/>
    <w:uiPriority w:val="99"/>
    <w:semiHidden/>
    <w:unhideWhenUsed/>
    <w:rsid w:val="001F5519"/>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1F5519"/>
    <w:rPr>
      <w:rFonts w:ascii="Verdana" w:eastAsiaTheme="minorHAnsi" w:hAnsi="Verdana" w:cstheme="minorBidi"/>
      <w:b/>
      <w:bCs/>
      <w:color w:val="000000"/>
      <w:kern w:val="2"/>
      <w:lang w:eastAsia="en-US"/>
      <w14:ligatures w14:val="standardContextual"/>
    </w:rPr>
  </w:style>
  <w:style w:type="paragraph" w:styleId="Koptekst">
    <w:name w:val="header"/>
    <w:basedOn w:val="Standaard"/>
    <w:link w:val="KoptekstChar"/>
    <w:uiPriority w:val="99"/>
    <w:unhideWhenUsed/>
    <w:rsid w:val="009435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352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905</ap:Words>
  <ap:Characters>4982</ap:Characters>
  <ap:DocSecurity>0</ap:DocSecurity>
  <ap:Lines>41</ap:Lines>
  <ap:Paragraphs>11</ap:Paragraphs>
  <ap:ScaleCrop>false</ap:ScaleCrop>
  <ap:LinksUpToDate>false</ap:LinksUpToDate>
  <ap:CharactersWithSpaces>5876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2025-12-10T15:19:00.0000000Z</dcterms:created>
  <dcterms:modified xsi:type="dcterms:W3CDTF">2025-12-10T15:19:00.0000000Z</dcterms:modified>
  <dc:description>------------------------</dc:description>
  <dc:subject/>
  <keywords/>
  <version/>
  <category/>
</coreProperties>
</file>