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152" w:rsidR="008530DB" w:rsidRDefault="008530DB" w14:paraId="3CA1C282" w14:textId="6F87EFD3"/>
    <w:tbl>
      <w:tblPr>
        <w:tblW w:w="7680" w:type="dxa"/>
        <w:tblLayout w:type="fixed"/>
        <w:tblLook w:val="07E0" w:firstRow="1" w:lastRow="1" w:firstColumn="1" w:lastColumn="1" w:noHBand="1" w:noVBand="1"/>
      </w:tblPr>
      <w:tblGrid>
        <w:gridCol w:w="2440"/>
        <w:gridCol w:w="5240"/>
      </w:tblGrid>
      <w:tr w:rsidRPr="00D50152" w:rsidR="0011251A" w:rsidTr="006C4D97" w14:paraId="528E1786" w14:textId="77777777">
        <w:trPr>
          <w:trHeight w:val="200"/>
        </w:trPr>
        <w:tc>
          <w:tcPr>
            <w:tcW w:w="2440" w:type="dxa"/>
            <w:tcBorders>
              <w:bottom w:val="dotted" w:color="000000" w:sz="6" w:space="0"/>
            </w:tcBorders>
          </w:tcPr>
          <w:p w:rsidRPr="00D50152" w:rsidR="0011251A" w:rsidRDefault="0011251A" w14:paraId="5C42C4F5" w14:textId="77777777"/>
        </w:tc>
        <w:tc>
          <w:tcPr>
            <w:tcW w:w="5240" w:type="dxa"/>
            <w:tcBorders>
              <w:bottom w:val="dotted" w:color="000000" w:sz="6" w:space="0"/>
            </w:tcBorders>
          </w:tcPr>
          <w:p w:rsidRPr="00D50152" w:rsidR="0011251A" w:rsidRDefault="0011251A" w14:paraId="088ADEB2" w14:textId="77777777"/>
        </w:tc>
      </w:tr>
      <w:tr w:rsidRPr="00D50152" w:rsidR="0011251A" w:rsidTr="006C4D97" w14:paraId="24942959" w14:textId="77777777">
        <w:trPr>
          <w:trHeight w:val="200"/>
        </w:trPr>
        <w:tc>
          <w:tcPr>
            <w:tcW w:w="2440" w:type="dxa"/>
            <w:tcBorders>
              <w:top w:val="dotted" w:color="000000" w:sz="6" w:space="0"/>
            </w:tcBorders>
          </w:tcPr>
          <w:p w:rsidRPr="00D50152" w:rsidR="0011251A" w:rsidRDefault="0011251A" w14:paraId="302946BF" w14:textId="77777777"/>
        </w:tc>
        <w:tc>
          <w:tcPr>
            <w:tcW w:w="5240" w:type="dxa"/>
            <w:tcBorders>
              <w:top w:val="dotted" w:color="000000" w:sz="6" w:space="0"/>
            </w:tcBorders>
          </w:tcPr>
          <w:p w:rsidRPr="00D50152" w:rsidR="0011251A" w:rsidRDefault="0011251A" w14:paraId="3A8BE9C6" w14:textId="77777777"/>
        </w:tc>
      </w:tr>
      <w:tr w:rsidRPr="007A6CB7" w:rsidR="0011251A" w:rsidTr="006C4D97" w14:paraId="0C310599" w14:textId="77777777">
        <w:trPr>
          <w:trHeight w:val="240"/>
        </w:trPr>
        <w:tc>
          <w:tcPr>
            <w:tcW w:w="2440" w:type="dxa"/>
          </w:tcPr>
          <w:p w:rsidRPr="007A6CB7" w:rsidR="0011251A" w:rsidRDefault="004450DB" w14:paraId="6302FBB2" w14:textId="77777777">
            <w:pPr>
              <w:pStyle w:val="Referentiegegevens"/>
              <w:rPr>
                <w:sz w:val="18"/>
                <w:szCs w:val="18"/>
              </w:rPr>
            </w:pPr>
            <w:r w:rsidRPr="007A6CB7">
              <w:rPr>
                <w:sz w:val="18"/>
                <w:szCs w:val="18"/>
              </w:rPr>
              <w:t>Bijlage nummer</w:t>
            </w:r>
          </w:p>
        </w:tc>
        <w:tc>
          <w:tcPr>
            <w:tcW w:w="5240" w:type="dxa"/>
          </w:tcPr>
          <w:p w:rsidRPr="007A6CB7" w:rsidR="0011251A" w:rsidRDefault="001846A5" w14:paraId="047EB6A2" w14:textId="7EC3E41A">
            <w:r w:rsidRPr="007A6CB7">
              <w:t>3</w:t>
            </w:r>
          </w:p>
        </w:tc>
      </w:tr>
      <w:tr w:rsidRPr="007A6CB7" w:rsidR="0011251A" w:rsidTr="006C4D97" w14:paraId="32DA028D" w14:textId="77777777">
        <w:trPr>
          <w:trHeight w:val="240"/>
        </w:trPr>
        <w:tc>
          <w:tcPr>
            <w:tcW w:w="2440" w:type="dxa"/>
          </w:tcPr>
          <w:p w:rsidRPr="007A6CB7" w:rsidR="0011251A" w:rsidRDefault="004450DB" w14:paraId="4FB08085" w14:textId="77777777">
            <w:pPr>
              <w:pStyle w:val="Referentiegegevens"/>
              <w:rPr>
                <w:sz w:val="18"/>
                <w:szCs w:val="18"/>
              </w:rPr>
            </w:pPr>
            <w:r w:rsidRPr="007A6CB7">
              <w:rPr>
                <w:sz w:val="18"/>
                <w:szCs w:val="18"/>
              </w:rPr>
              <w:t>Horend bij</w:t>
            </w:r>
          </w:p>
        </w:tc>
        <w:tc>
          <w:tcPr>
            <w:tcW w:w="5240" w:type="dxa"/>
          </w:tcPr>
          <w:p w:rsidRPr="007A6CB7" w:rsidR="0011251A" w:rsidRDefault="00A16D98" w14:paraId="413F4229" w14:textId="3E4F889D">
            <w:r w:rsidRPr="007A6CB7">
              <w:t>Tweede</w:t>
            </w:r>
            <w:r w:rsidRPr="007A6CB7" w:rsidR="004450DB">
              <w:t xml:space="preserve"> Halfjaarbericht politie 2025</w:t>
            </w:r>
          </w:p>
        </w:tc>
      </w:tr>
      <w:tr w:rsidRPr="007A6CB7" w:rsidR="0011251A" w:rsidTr="006C4D97" w14:paraId="21C301D6" w14:textId="77777777">
        <w:trPr>
          <w:trHeight w:val="240"/>
        </w:trPr>
        <w:tc>
          <w:tcPr>
            <w:tcW w:w="2440" w:type="dxa"/>
          </w:tcPr>
          <w:p w:rsidRPr="007A6CB7" w:rsidR="0011251A" w:rsidRDefault="004450DB" w14:paraId="70A0A506" w14:textId="77777777">
            <w:pPr>
              <w:pStyle w:val="Referentiegegevens"/>
              <w:rPr>
                <w:sz w:val="18"/>
                <w:szCs w:val="18"/>
              </w:rPr>
            </w:pPr>
            <w:r w:rsidRPr="007A6CB7">
              <w:rPr>
                <w:sz w:val="18"/>
                <w:szCs w:val="18"/>
              </w:rPr>
              <w:t>Datum</w:t>
            </w:r>
          </w:p>
        </w:tc>
        <w:tc>
          <w:tcPr>
            <w:tcW w:w="5240" w:type="dxa"/>
          </w:tcPr>
          <w:p w:rsidRPr="007A6CB7" w:rsidR="0011251A" w:rsidRDefault="00000000" w14:paraId="5DE7D429" w14:textId="0790D3C7">
            <w:sdt>
              <w:sdtPr>
                <w:id w:val="-615906731"/>
                <w:date w:fullDate="2025-12-10T00:00:00Z">
                  <w:dateFormat w:val="d MMMM yyyy"/>
                  <w:lid w:val="nl"/>
                  <w:storeMappedDataAs w:val="dateTime"/>
                  <w:calendar w:val="gregorian"/>
                </w:date>
              </w:sdtPr>
              <w:sdtContent>
                <w:r w:rsidR="007D5165">
                  <w:rPr>
                    <w:lang w:val="nl"/>
                  </w:rPr>
                  <w:t>10 december 2025</w:t>
                </w:r>
              </w:sdtContent>
            </w:sdt>
          </w:p>
        </w:tc>
      </w:tr>
      <w:tr w:rsidRPr="007A6CB7" w:rsidR="0011251A" w:rsidTr="006C4D97" w14:paraId="4CBCB4C4" w14:textId="77777777">
        <w:trPr>
          <w:trHeight w:val="200"/>
        </w:trPr>
        <w:tc>
          <w:tcPr>
            <w:tcW w:w="2440" w:type="dxa"/>
            <w:tcBorders>
              <w:bottom w:val="dotted" w:color="000000" w:sz="6" w:space="0"/>
            </w:tcBorders>
          </w:tcPr>
          <w:p w:rsidRPr="007A6CB7" w:rsidR="0011251A" w:rsidRDefault="0011251A" w14:paraId="420B4FC0" w14:textId="77777777"/>
        </w:tc>
        <w:tc>
          <w:tcPr>
            <w:tcW w:w="5240" w:type="dxa"/>
            <w:tcBorders>
              <w:bottom w:val="dotted" w:color="000000" w:sz="6" w:space="0"/>
            </w:tcBorders>
          </w:tcPr>
          <w:p w:rsidRPr="007A6CB7" w:rsidR="0011251A" w:rsidRDefault="0011251A" w14:paraId="46FF5716" w14:textId="77777777"/>
        </w:tc>
      </w:tr>
      <w:tr w:rsidRPr="007A6CB7" w:rsidR="0011251A" w:rsidTr="006C4D97" w14:paraId="2513F71E" w14:textId="77777777">
        <w:trPr>
          <w:trHeight w:val="200"/>
        </w:trPr>
        <w:tc>
          <w:tcPr>
            <w:tcW w:w="2440" w:type="dxa"/>
          </w:tcPr>
          <w:p w:rsidRPr="007A6CB7" w:rsidR="0011251A" w:rsidRDefault="0011251A" w14:paraId="7E6FB1DE" w14:textId="77777777"/>
        </w:tc>
        <w:tc>
          <w:tcPr>
            <w:tcW w:w="5240" w:type="dxa"/>
          </w:tcPr>
          <w:p w:rsidRPr="007A6CB7" w:rsidR="0011251A" w:rsidRDefault="0011251A" w14:paraId="1E079CB8" w14:textId="77777777"/>
        </w:tc>
      </w:tr>
    </w:tbl>
    <w:p w:rsidRPr="007A6CB7" w:rsidR="00F8095A" w:rsidRDefault="00F8095A" w14:paraId="76D1C8B6" w14:textId="77777777">
      <w:pPr>
        <w:pStyle w:val="WitregelW1bodytekst"/>
        <w:rPr>
          <w:b/>
          <w:bCs/>
        </w:rPr>
      </w:pPr>
    </w:p>
    <w:p w:rsidRPr="007A6CB7" w:rsidR="006C4D97" w:rsidRDefault="006C4D97" w14:paraId="511A0A0B" w14:textId="7F40DFAC">
      <w:pPr>
        <w:pStyle w:val="WitregelW1bodytekst"/>
        <w:rPr>
          <w:b/>
          <w:bCs/>
        </w:rPr>
      </w:pPr>
      <w:r w:rsidRPr="007A6CB7">
        <w:rPr>
          <w:b/>
          <w:bCs/>
        </w:rPr>
        <w:t xml:space="preserve">Inleiding </w:t>
      </w:r>
    </w:p>
    <w:p w:rsidRPr="007A6CB7" w:rsidR="006C4D97" w:rsidP="00016231" w:rsidRDefault="006C4D97" w14:paraId="71C03030" w14:textId="708187FB">
      <w:pPr>
        <w:pStyle w:val="WitregelW1bodytekst"/>
      </w:pPr>
      <w:r w:rsidRPr="007A6CB7">
        <w:t>In deze bijlage wordt ingegaan op een aantal moties, toezeggingen en aanvullende zaken. Het gaat hierbij om de volgende onderwerpen:</w:t>
      </w:r>
    </w:p>
    <w:sdt>
      <w:sdtPr>
        <w:rPr>
          <w:rFonts w:ascii="Verdana" w:hAnsi="Verdana" w:eastAsia="DejaVu Sans" w:cs="Lohit Hindi"/>
          <w:b/>
          <w:bCs/>
          <w:color w:val="000000"/>
          <w:sz w:val="18"/>
          <w:szCs w:val="18"/>
        </w:rPr>
        <w:id w:val="-338931394"/>
        <w:docPartObj>
          <w:docPartGallery w:val="Table of Contents"/>
          <w:docPartUnique/>
        </w:docPartObj>
      </w:sdtPr>
      <w:sdtContent>
        <w:p w:rsidRPr="007A6CB7" w:rsidR="006C4D97" w:rsidRDefault="00FC5E24" w14:paraId="571D684A" w14:textId="75AC2F5A">
          <w:pPr>
            <w:pStyle w:val="Kopvaninhoudsopgave"/>
            <w:rPr>
              <w:rFonts w:ascii="Verdana" w:hAnsi="Verdana"/>
              <w:b/>
              <w:bCs/>
              <w:sz w:val="18"/>
              <w:szCs w:val="18"/>
            </w:rPr>
          </w:pPr>
          <w:r w:rsidRPr="007A6CB7">
            <w:rPr>
              <w:rFonts w:ascii="Verdana" w:hAnsi="Verdana" w:eastAsia="DejaVu Sans" w:cs="Lohit Hindi"/>
              <w:b/>
              <w:bCs/>
              <w:color w:val="000000"/>
              <w:sz w:val="18"/>
              <w:szCs w:val="18"/>
            </w:rPr>
            <w:t xml:space="preserve">Inhoudsopgave </w:t>
          </w:r>
        </w:p>
        <w:p w:rsidR="007D5165" w:rsidRDefault="006C4D97" w14:paraId="633D7391" w14:textId="293A0469">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r w:rsidRPr="007A6CB7">
            <w:fldChar w:fldCharType="begin"/>
          </w:r>
          <w:r w:rsidRPr="007A6CB7">
            <w:instrText xml:space="preserve"> TOC \o "1-3" \h \z \u </w:instrText>
          </w:r>
          <w:r w:rsidRPr="007A6CB7">
            <w:fldChar w:fldCharType="separate"/>
          </w:r>
          <w:hyperlink w:history="1" w:anchor="_Toc216278094">
            <w:r w:rsidRPr="009A1AE3" w:rsidR="007D5165">
              <w:rPr>
                <w:rStyle w:val="Hyperlink"/>
                <w:noProof/>
              </w:rPr>
              <w:t>Politiepersoneel en -middelen</w:t>
            </w:r>
            <w:r w:rsidR="007D5165">
              <w:rPr>
                <w:noProof/>
                <w:webHidden/>
              </w:rPr>
              <w:tab/>
            </w:r>
            <w:r w:rsidR="007D5165">
              <w:rPr>
                <w:noProof/>
                <w:webHidden/>
              </w:rPr>
              <w:fldChar w:fldCharType="begin"/>
            </w:r>
            <w:r w:rsidR="007D5165">
              <w:rPr>
                <w:noProof/>
                <w:webHidden/>
              </w:rPr>
              <w:instrText xml:space="preserve"> PAGEREF _Toc216278094 \h </w:instrText>
            </w:r>
            <w:r w:rsidR="007D5165">
              <w:rPr>
                <w:noProof/>
                <w:webHidden/>
              </w:rPr>
            </w:r>
            <w:r w:rsidR="007D5165">
              <w:rPr>
                <w:noProof/>
                <w:webHidden/>
              </w:rPr>
              <w:fldChar w:fldCharType="separate"/>
            </w:r>
            <w:r w:rsidR="007D5165">
              <w:rPr>
                <w:noProof/>
                <w:webHidden/>
              </w:rPr>
              <w:t>3</w:t>
            </w:r>
            <w:r w:rsidR="007D5165">
              <w:rPr>
                <w:noProof/>
                <w:webHidden/>
              </w:rPr>
              <w:fldChar w:fldCharType="end"/>
            </w:r>
          </w:hyperlink>
        </w:p>
        <w:p w:rsidR="007D5165" w:rsidRDefault="007D5165" w14:paraId="47876914" w14:textId="02FB05F4">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095">
            <w:r w:rsidRPr="009A1AE3">
              <w:rPr>
                <w:rStyle w:val="Hyperlink"/>
                <w:noProof/>
              </w:rPr>
              <w:t>Toezegging inzake doorstroommogelijkheden na de basispolitieopleiding</w:t>
            </w:r>
            <w:r>
              <w:rPr>
                <w:noProof/>
                <w:webHidden/>
              </w:rPr>
              <w:tab/>
            </w:r>
            <w:r>
              <w:rPr>
                <w:noProof/>
                <w:webHidden/>
              </w:rPr>
              <w:fldChar w:fldCharType="begin"/>
            </w:r>
            <w:r>
              <w:rPr>
                <w:noProof/>
                <w:webHidden/>
              </w:rPr>
              <w:instrText xml:space="preserve"> PAGEREF _Toc216278095 \h </w:instrText>
            </w:r>
            <w:r>
              <w:rPr>
                <w:noProof/>
                <w:webHidden/>
              </w:rPr>
            </w:r>
            <w:r>
              <w:rPr>
                <w:noProof/>
                <w:webHidden/>
              </w:rPr>
              <w:fldChar w:fldCharType="separate"/>
            </w:r>
            <w:r>
              <w:rPr>
                <w:noProof/>
                <w:webHidden/>
              </w:rPr>
              <w:t>3</w:t>
            </w:r>
            <w:r>
              <w:rPr>
                <w:noProof/>
                <w:webHidden/>
              </w:rPr>
              <w:fldChar w:fldCharType="end"/>
            </w:r>
          </w:hyperlink>
        </w:p>
        <w:p w:rsidR="007D5165" w:rsidRDefault="007D5165" w14:paraId="30D6F138" w14:textId="680118A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096">
            <w:r w:rsidRPr="009A1AE3">
              <w:rPr>
                <w:rStyle w:val="Hyperlink"/>
                <w:noProof/>
              </w:rPr>
              <w:t>Motie inzake bedreigingen politiemedewerkers</w:t>
            </w:r>
            <w:r>
              <w:rPr>
                <w:noProof/>
                <w:webHidden/>
              </w:rPr>
              <w:tab/>
            </w:r>
            <w:r>
              <w:rPr>
                <w:noProof/>
                <w:webHidden/>
              </w:rPr>
              <w:fldChar w:fldCharType="begin"/>
            </w:r>
            <w:r>
              <w:rPr>
                <w:noProof/>
                <w:webHidden/>
              </w:rPr>
              <w:instrText xml:space="preserve"> PAGEREF _Toc216278096 \h </w:instrText>
            </w:r>
            <w:r>
              <w:rPr>
                <w:noProof/>
                <w:webHidden/>
              </w:rPr>
            </w:r>
            <w:r>
              <w:rPr>
                <w:noProof/>
                <w:webHidden/>
              </w:rPr>
              <w:fldChar w:fldCharType="separate"/>
            </w:r>
            <w:r>
              <w:rPr>
                <w:noProof/>
                <w:webHidden/>
              </w:rPr>
              <w:t>4</w:t>
            </w:r>
            <w:r>
              <w:rPr>
                <w:noProof/>
                <w:webHidden/>
              </w:rPr>
              <w:fldChar w:fldCharType="end"/>
            </w:r>
          </w:hyperlink>
        </w:p>
        <w:p w:rsidR="007D5165" w:rsidRDefault="007D5165" w14:paraId="40F0B9BA" w14:textId="01AA4D86">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097">
            <w:r w:rsidRPr="009A1AE3">
              <w:rPr>
                <w:rStyle w:val="Hyperlink"/>
                <w:noProof/>
              </w:rPr>
              <w:t>Motie inzake het borgen van de lifestyleneutraliteit van de agent in uniform</w:t>
            </w:r>
            <w:r>
              <w:rPr>
                <w:noProof/>
                <w:webHidden/>
              </w:rPr>
              <w:tab/>
            </w:r>
            <w:r>
              <w:rPr>
                <w:noProof/>
                <w:webHidden/>
              </w:rPr>
              <w:fldChar w:fldCharType="begin"/>
            </w:r>
            <w:r>
              <w:rPr>
                <w:noProof/>
                <w:webHidden/>
              </w:rPr>
              <w:instrText xml:space="preserve"> PAGEREF _Toc216278097 \h </w:instrText>
            </w:r>
            <w:r>
              <w:rPr>
                <w:noProof/>
                <w:webHidden/>
              </w:rPr>
            </w:r>
            <w:r>
              <w:rPr>
                <w:noProof/>
                <w:webHidden/>
              </w:rPr>
              <w:fldChar w:fldCharType="separate"/>
            </w:r>
            <w:r>
              <w:rPr>
                <w:noProof/>
                <w:webHidden/>
              </w:rPr>
              <w:t>5</w:t>
            </w:r>
            <w:r>
              <w:rPr>
                <w:noProof/>
                <w:webHidden/>
              </w:rPr>
              <w:fldChar w:fldCharType="end"/>
            </w:r>
          </w:hyperlink>
        </w:p>
        <w:p w:rsidR="007D5165" w:rsidRDefault="007D5165" w14:paraId="6E11D9E0" w14:textId="7E021EF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098">
            <w:r w:rsidRPr="009A1AE3">
              <w:rPr>
                <w:rStyle w:val="Hyperlink"/>
                <w:noProof/>
              </w:rPr>
              <w:t>Toezegging inzake vervroeging evaluatie geweldsmiddelen basispolitiezorg</w:t>
            </w:r>
            <w:r>
              <w:rPr>
                <w:noProof/>
                <w:webHidden/>
              </w:rPr>
              <w:tab/>
            </w:r>
            <w:r>
              <w:rPr>
                <w:noProof/>
                <w:webHidden/>
              </w:rPr>
              <w:fldChar w:fldCharType="begin"/>
            </w:r>
            <w:r>
              <w:rPr>
                <w:noProof/>
                <w:webHidden/>
              </w:rPr>
              <w:instrText xml:space="preserve"> PAGEREF _Toc216278098 \h </w:instrText>
            </w:r>
            <w:r>
              <w:rPr>
                <w:noProof/>
                <w:webHidden/>
              </w:rPr>
            </w:r>
            <w:r>
              <w:rPr>
                <w:noProof/>
                <w:webHidden/>
              </w:rPr>
              <w:fldChar w:fldCharType="separate"/>
            </w:r>
            <w:r>
              <w:rPr>
                <w:noProof/>
                <w:webHidden/>
              </w:rPr>
              <w:t>6</w:t>
            </w:r>
            <w:r>
              <w:rPr>
                <w:noProof/>
                <w:webHidden/>
              </w:rPr>
              <w:fldChar w:fldCharType="end"/>
            </w:r>
          </w:hyperlink>
        </w:p>
        <w:p w:rsidR="007D5165" w:rsidRDefault="007D5165" w14:paraId="3DE06741" w14:textId="53AD03CB">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099">
            <w:r w:rsidRPr="009A1AE3">
              <w:rPr>
                <w:rStyle w:val="Hyperlink"/>
                <w:noProof/>
              </w:rPr>
              <w:t>Motie inzake het gebruik van de selectiepaal</w:t>
            </w:r>
            <w:r>
              <w:rPr>
                <w:noProof/>
                <w:webHidden/>
              </w:rPr>
              <w:tab/>
            </w:r>
            <w:r>
              <w:rPr>
                <w:noProof/>
                <w:webHidden/>
              </w:rPr>
              <w:fldChar w:fldCharType="begin"/>
            </w:r>
            <w:r>
              <w:rPr>
                <w:noProof/>
                <w:webHidden/>
              </w:rPr>
              <w:instrText xml:space="preserve"> PAGEREF _Toc216278099 \h </w:instrText>
            </w:r>
            <w:r>
              <w:rPr>
                <w:noProof/>
                <w:webHidden/>
              </w:rPr>
            </w:r>
            <w:r>
              <w:rPr>
                <w:noProof/>
                <w:webHidden/>
              </w:rPr>
              <w:fldChar w:fldCharType="separate"/>
            </w:r>
            <w:r>
              <w:rPr>
                <w:noProof/>
                <w:webHidden/>
              </w:rPr>
              <w:t>6</w:t>
            </w:r>
            <w:r>
              <w:rPr>
                <w:noProof/>
                <w:webHidden/>
              </w:rPr>
              <w:fldChar w:fldCharType="end"/>
            </w:r>
          </w:hyperlink>
        </w:p>
        <w:p w:rsidR="007D5165" w:rsidRDefault="007D5165" w14:paraId="64E5EC46" w14:textId="4F9093ED">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0">
            <w:r w:rsidRPr="009A1AE3">
              <w:rPr>
                <w:rStyle w:val="Hyperlink"/>
                <w:noProof/>
              </w:rPr>
              <w:t>Zichtbaarheid en benaderbaarheid</w:t>
            </w:r>
            <w:r>
              <w:rPr>
                <w:noProof/>
                <w:webHidden/>
              </w:rPr>
              <w:tab/>
            </w:r>
            <w:r>
              <w:rPr>
                <w:noProof/>
                <w:webHidden/>
              </w:rPr>
              <w:fldChar w:fldCharType="begin"/>
            </w:r>
            <w:r>
              <w:rPr>
                <w:noProof/>
                <w:webHidden/>
              </w:rPr>
              <w:instrText xml:space="preserve"> PAGEREF _Toc216278100 \h </w:instrText>
            </w:r>
            <w:r>
              <w:rPr>
                <w:noProof/>
                <w:webHidden/>
              </w:rPr>
            </w:r>
            <w:r>
              <w:rPr>
                <w:noProof/>
                <w:webHidden/>
              </w:rPr>
              <w:fldChar w:fldCharType="separate"/>
            </w:r>
            <w:r>
              <w:rPr>
                <w:noProof/>
                <w:webHidden/>
              </w:rPr>
              <w:t>7</w:t>
            </w:r>
            <w:r>
              <w:rPr>
                <w:noProof/>
                <w:webHidden/>
              </w:rPr>
              <w:fldChar w:fldCharType="end"/>
            </w:r>
          </w:hyperlink>
        </w:p>
        <w:p w:rsidR="007D5165" w:rsidRDefault="007D5165" w14:paraId="63A61417" w14:textId="7ED2FCC0">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1">
            <w:r w:rsidRPr="009A1AE3">
              <w:rPr>
                <w:rStyle w:val="Hyperlink"/>
                <w:noProof/>
              </w:rPr>
              <w:t>Motie inzake een huisvestingsplan per regio</w:t>
            </w:r>
            <w:r>
              <w:rPr>
                <w:noProof/>
                <w:webHidden/>
              </w:rPr>
              <w:tab/>
            </w:r>
            <w:r>
              <w:rPr>
                <w:noProof/>
                <w:webHidden/>
              </w:rPr>
              <w:fldChar w:fldCharType="begin"/>
            </w:r>
            <w:r>
              <w:rPr>
                <w:noProof/>
                <w:webHidden/>
              </w:rPr>
              <w:instrText xml:space="preserve"> PAGEREF _Toc216278101 \h </w:instrText>
            </w:r>
            <w:r>
              <w:rPr>
                <w:noProof/>
                <w:webHidden/>
              </w:rPr>
            </w:r>
            <w:r>
              <w:rPr>
                <w:noProof/>
                <w:webHidden/>
              </w:rPr>
              <w:fldChar w:fldCharType="separate"/>
            </w:r>
            <w:r>
              <w:rPr>
                <w:noProof/>
                <w:webHidden/>
              </w:rPr>
              <w:t>7</w:t>
            </w:r>
            <w:r>
              <w:rPr>
                <w:noProof/>
                <w:webHidden/>
              </w:rPr>
              <w:fldChar w:fldCharType="end"/>
            </w:r>
          </w:hyperlink>
        </w:p>
        <w:p w:rsidR="007D5165" w:rsidRDefault="007D5165" w14:paraId="755DAE50" w14:textId="00C9F11B">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2">
            <w:r w:rsidRPr="009A1AE3">
              <w:rPr>
                <w:rStyle w:val="Hyperlink"/>
                <w:noProof/>
              </w:rPr>
              <w:t>Motie inzake een pas op de plaats bij de sluiting van politiebureaus</w:t>
            </w:r>
            <w:r>
              <w:rPr>
                <w:noProof/>
                <w:webHidden/>
              </w:rPr>
              <w:tab/>
            </w:r>
            <w:r>
              <w:rPr>
                <w:noProof/>
                <w:webHidden/>
              </w:rPr>
              <w:fldChar w:fldCharType="begin"/>
            </w:r>
            <w:r>
              <w:rPr>
                <w:noProof/>
                <w:webHidden/>
              </w:rPr>
              <w:instrText xml:space="preserve"> PAGEREF _Toc216278102 \h </w:instrText>
            </w:r>
            <w:r>
              <w:rPr>
                <w:noProof/>
                <w:webHidden/>
              </w:rPr>
            </w:r>
            <w:r>
              <w:rPr>
                <w:noProof/>
                <w:webHidden/>
              </w:rPr>
              <w:fldChar w:fldCharType="separate"/>
            </w:r>
            <w:r>
              <w:rPr>
                <w:noProof/>
                <w:webHidden/>
              </w:rPr>
              <w:t>7</w:t>
            </w:r>
            <w:r>
              <w:rPr>
                <w:noProof/>
                <w:webHidden/>
              </w:rPr>
              <w:fldChar w:fldCharType="end"/>
            </w:r>
          </w:hyperlink>
        </w:p>
        <w:p w:rsidR="007D5165" w:rsidRDefault="007D5165" w14:paraId="25F52BD9" w14:textId="02870B56">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3">
            <w:r w:rsidRPr="009A1AE3">
              <w:rPr>
                <w:rStyle w:val="Hyperlink"/>
                <w:noProof/>
              </w:rPr>
              <w:t>Sterkteverdeelsystematiek</w:t>
            </w:r>
            <w:r>
              <w:rPr>
                <w:noProof/>
                <w:webHidden/>
              </w:rPr>
              <w:tab/>
            </w:r>
            <w:r>
              <w:rPr>
                <w:noProof/>
                <w:webHidden/>
              </w:rPr>
              <w:fldChar w:fldCharType="begin"/>
            </w:r>
            <w:r>
              <w:rPr>
                <w:noProof/>
                <w:webHidden/>
              </w:rPr>
              <w:instrText xml:space="preserve"> PAGEREF _Toc216278103 \h </w:instrText>
            </w:r>
            <w:r>
              <w:rPr>
                <w:noProof/>
                <w:webHidden/>
              </w:rPr>
            </w:r>
            <w:r>
              <w:rPr>
                <w:noProof/>
                <w:webHidden/>
              </w:rPr>
              <w:fldChar w:fldCharType="separate"/>
            </w:r>
            <w:r>
              <w:rPr>
                <w:noProof/>
                <w:webHidden/>
              </w:rPr>
              <w:t>7</w:t>
            </w:r>
            <w:r>
              <w:rPr>
                <w:noProof/>
                <w:webHidden/>
              </w:rPr>
              <w:fldChar w:fldCharType="end"/>
            </w:r>
          </w:hyperlink>
        </w:p>
        <w:p w:rsidR="007D5165" w:rsidRDefault="007D5165" w14:paraId="499FF62E" w14:textId="2E44974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4">
            <w:r w:rsidRPr="009A1AE3">
              <w:rPr>
                <w:rStyle w:val="Hyperlink"/>
                <w:noProof/>
              </w:rPr>
              <w:t>Moties inzake politieverdeelsystematiek</w:t>
            </w:r>
            <w:r>
              <w:rPr>
                <w:noProof/>
                <w:webHidden/>
              </w:rPr>
              <w:tab/>
            </w:r>
            <w:r>
              <w:rPr>
                <w:noProof/>
                <w:webHidden/>
              </w:rPr>
              <w:fldChar w:fldCharType="begin"/>
            </w:r>
            <w:r>
              <w:rPr>
                <w:noProof/>
                <w:webHidden/>
              </w:rPr>
              <w:instrText xml:space="preserve"> PAGEREF _Toc216278104 \h </w:instrText>
            </w:r>
            <w:r>
              <w:rPr>
                <w:noProof/>
                <w:webHidden/>
              </w:rPr>
            </w:r>
            <w:r>
              <w:rPr>
                <w:noProof/>
                <w:webHidden/>
              </w:rPr>
              <w:fldChar w:fldCharType="separate"/>
            </w:r>
            <w:r>
              <w:rPr>
                <w:noProof/>
                <w:webHidden/>
              </w:rPr>
              <w:t>7</w:t>
            </w:r>
            <w:r>
              <w:rPr>
                <w:noProof/>
                <w:webHidden/>
              </w:rPr>
              <w:fldChar w:fldCharType="end"/>
            </w:r>
          </w:hyperlink>
        </w:p>
        <w:p w:rsidR="007D5165" w:rsidRDefault="007D5165" w14:paraId="18B40E17" w14:textId="2C20A9B3">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5">
            <w:r w:rsidRPr="009A1AE3">
              <w:rPr>
                <w:rStyle w:val="Hyperlink"/>
                <w:noProof/>
              </w:rPr>
              <w:t>Boa’s</w:t>
            </w:r>
            <w:r>
              <w:rPr>
                <w:noProof/>
                <w:webHidden/>
              </w:rPr>
              <w:tab/>
            </w:r>
            <w:r>
              <w:rPr>
                <w:noProof/>
                <w:webHidden/>
              </w:rPr>
              <w:fldChar w:fldCharType="begin"/>
            </w:r>
            <w:r>
              <w:rPr>
                <w:noProof/>
                <w:webHidden/>
              </w:rPr>
              <w:instrText xml:space="preserve"> PAGEREF _Toc216278105 \h </w:instrText>
            </w:r>
            <w:r>
              <w:rPr>
                <w:noProof/>
                <w:webHidden/>
              </w:rPr>
            </w:r>
            <w:r>
              <w:rPr>
                <w:noProof/>
                <w:webHidden/>
              </w:rPr>
              <w:fldChar w:fldCharType="separate"/>
            </w:r>
            <w:r>
              <w:rPr>
                <w:noProof/>
                <w:webHidden/>
              </w:rPr>
              <w:t>8</w:t>
            </w:r>
            <w:r>
              <w:rPr>
                <w:noProof/>
                <w:webHidden/>
              </w:rPr>
              <w:fldChar w:fldCharType="end"/>
            </w:r>
          </w:hyperlink>
        </w:p>
        <w:p w:rsidR="007D5165" w:rsidRDefault="007D5165" w14:paraId="4E8D57DB" w14:textId="233459C4">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6">
            <w:r w:rsidRPr="009A1AE3">
              <w:rPr>
                <w:rStyle w:val="Hyperlink"/>
                <w:noProof/>
              </w:rPr>
              <w:t>WODC-onderzoek boa domein IV</w:t>
            </w:r>
            <w:r>
              <w:rPr>
                <w:noProof/>
                <w:webHidden/>
              </w:rPr>
              <w:tab/>
            </w:r>
            <w:r>
              <w:rPr>
                <w:noProof/>
                <w:webHidden/>
              </w:rPr>
              <w:fldChar w:fldCharType="begin"/>
            </w:r>
            <w:r>
              <w:rPr>
                <w:noProof/>
                <w:webHidden/>
              </w:rPr>
              <w:instrText xml:space="preserve"> PAGEREF _Toc216278106 \h </w:instrText>
            </w:r>
            <w:r>
              <w:rPr>
                <w:noProof/>
                <w:webHidden/>
              </w:rPr>
            </w:r>
            <w:r>
              <w:rPr>
                <w:noProof/>
                <w:webHidden/>
              </w:rPr>
              <w:fldChar w:fldCharType="separate"/>
            </w:r>
            <w:r>
              <w:rPr>
                <w:noProof/>
                <w:webHidden/>
              </w:rPr>
              <w:t>8</w:t>
            </w:r>
            <w:r>
              <w:rPr>
                <w:noProof/>
                <w:webHidden/>
              </w:rPr>
              <w:fldChar w:fldCharType="end"/>
            </w:r>
          </w:hyperlink>
        </w:p>
        <w:p w:rsidR="007D5165" w:rsidRDefault="007D5165" w14:paraId="1F703BAF" w14:textId="71DD624B">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7">
            <w:r w:rsidRPr="009A1AE3">
              <w:rPr>
                <w:rStyle w:val="Hyperlink"/>
                <w:noProof/>
              </w:rPr>
              <w:t>Verkenning toegang BVV en SKDB boa's</w:t>
            </w:r>
            <w:r>
              <w:rPr>
                <w:noProof/>
                <w:webHidden/>
              </w:rPr>
              <w:tab/>
            </w:r>
            <w:r>
              <w:rPr>
                <w:noProof/>
                <w:webHidden/>
              </w:rPr>
              <w:fldChar w:fldCharType="begin"/>
            </w:r>
            <w:r>
              <w:rPr>
                <w:noProof/>
                <w:webHidden/>
              </w:rPr>
              <w:instrText xml:space="preserve"> PAGEREF _Toc216278107 \h </w:instrText>
            </w:r>
            <w:r>
              <w:rPr>
                <w:noProof/>
                <w:webHidden/>
              </w:rPr>
            </w:r>
            <w:r>
              <w:rPr>
                <w:noProof/>
                <w:webHidden/>
              </w:rPr>
              <w:fldChar w:fldCharType="separate"/>
            </w:r>
            <w:r>
              <w:rPr>
                <w:noProof/>
                <w:webHidden/>
              </w:rPr>
              <w:t>8</w:t>
            </w:r>
            <w:r>
              <w:rPr>
                <w:noProof/>
                <w:webHidden/>
              </w:rPr>
              <w:fldChar w:fldCharType="end"/>
            </w:r>
          </w:hyperlink>
        </w:p>
        <w:p w:rsidR="007D5165" w:rsidRDefault="007D5165" w14:paraId="2FAE7B39" w14:textId="67D1A6F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8">
            <w:r w:rsidRPr="009A1AE3">
              <w:rPr>
                <w:rStyle w:val="Hyperlink"/>
                <w:noProof/>
              </w:rPr>
              <w:t>Reactie OV-NL op de schriftelijke reactie rapport 'Handhaven in het OV'</w:t>
            </w:r>
            <w:r>
              <w:rPr>
                <w:noProof/>
                <w:webHidden/>
              </w:rPr>
              <w:tab/>
            </w:r>
            <w:r>
              <w:rPr>
                <w:noProof/>
                <w:webHidden/>
              </w:rPr>
              <w:fldChar w:fldCharType="begin"/>
            </w:r>
            <w:r>
              <w:rPr>
                <w:noProof/>
                <w:webHidden/>
              </w:rPr>
              <w:instrText xml:space="preserve"> PAGEREF _Toc216278108 \h </w:instrText>
            </w:r>
            <w:r>
              <w:rPr>
                <w:noProof/>
                <w:webHidden/>
              </w:rPr>
            </w:r>
            <w:r>
              <w:rPr>
                <w:noProof/>
                <w:webHidden/>
              </w:rPr>
              <w:fldChar w:fldCharType="separate"/>
            </w:r>
            <w:r>
              <w:rPr>
                <w:noProof/>
                <w:webHidden/>
              </w:rPr>
              <w:t>9</w:t>
            </w:r>
            <w:r>
              <w:rPr>
                <w:noProof/>
                <w:webHidden/>
              </w:rPr>
              <w:fldChar w:fldCharType="end"/>
            </w:r>
          </w:hyperlink>
        </w:p>
        <w:p w:rsidR="007D5165" w:rsidRDefault="007D5165" w14:paraId="53B9FA98" w14:textId="469BC05A">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09">
            <w:r w:rsidRPr="009A1AE3">
              <w:rPr>
                <w:rStyle w:val="Hyperlink"/>
                <w:noProof/>
              </w:rPr>
              <w:t>Besluit team bijzondere bijstand boa’s</w:t>
            </w:r>
            <w:r>
              <w:rPr>
                <w:noProof/>
                <w:webHidden/>
              </w:rPr>
              <w:tab/>
            </w:r>
            <w:r>
              <w:rPr>
                <w:noProof/>
                <w:webHidden/>
              </w:rPr>
              <w:fldChar w:fldCharType="begin"/>
            </w:r>
            <w:r>
              <w:rPr>
                <w:noProof/>
                <w:webHidden/>
              </w:rPr>
              <w:instrText xml:space="preserve"> PAGEREF _Toc216278109 \h </w:instrText>
            </w:r>
            <w:r>
              <w:rPr>
                <w:noProof/>
                <w:webHidden/>
              </w:rPr>
            </w:r>
            <w:r>
              <w:rPr>
                <w:noProof/>
                <w:webHidden/>
              </w:rPr>
              <w:fldChar w:fldCharType="separate"/>
            </w:r>
            <w:r>
              <w:rPr>
                <w:noProof/>
                <w:webHidden/>
              </w:rPr>
              <w:t>10</w:t>
            </w:r>
            <w:r>
              <w:rPr>
                <w:noProof/>
                <w:webHidden/>
              </w:rPr>
              <w:fldChar w:fldCharType="end"/>
            </w:r>
          </w:hyperlink>
        </w:p>
        <w:p w:rsidR="007D5165" w:rsidRDefault="007D5165" w14:paraId="20CF7E99" w14:textId="1F9448AD">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0">
            <w:r w:rsidRPr="009A1AE3">
              <w:rPr>
                <w:rStyle w:val="Hyperlink"/>
                <w:noProof/>
              </w:rPr>
              <w:t>Politiegegevens en cold cases</w:t>
            </w:r>
            <w:r>
              <w:rPr>
                <w:noProof/>
                <w:webHidden/>
              </w:rPr>
              <w:tab/>
            </w:r>
            <w:r>
              <w:rPr>
                <w:noProof/>
                <w:webHidden/>
              </w:rPr>
              <w:fldChar w:fldCharType="begin"/>
            </w:r>
            <w:r>
              <w:rPr>
                <w:noProof/>
                <w:webHidden/>
              </w:rPr>
              <w:instrText xml:space="preserve"> PAGEREF _Toc216278110 \h </w:instrText>
            </w:r>
            <w:r>
              <w:rPr>
                <w:noProof/>
                <w:webHidden/>
              </w:rPr>
            </w:r>
            <w:r>
              <w:rPr>
                <w:noProof/>
                <w:webHidden/>
              </w:rPr>
              <w:fldChar w:fldCharType="separate"/>
            </w:r>
            <w:r>
              <w:rPr>
                <w:noProof/>
                <w:webHidden/>
              </w:rPr>
              <w:t>10</w:t>
            </w:r>
            <w:r>
              <w:rPr>
                <w:noProof/>
                <w:webHidden/>
              </w:rPr>
              <w:fldChar w:fldCharType="end"/>
            </w:r>
          </w:hyperlink>
        </w:p>
        <w:p w:rsidR="007D5165" w:rsidRDefault="007D5165" w14:paraId="53388434" w14:textId="126A422F">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1">
            <w:r w:rsidRPr="009A1AE3">
              <w:rPr>
                <w:rStyle w:val="Hyperlink"/>
                <w:noProof/>
              </w:rPr>
              <w:t>Toezegging inzake een ultieme poging voor verlenging van de bewaartermijn politiegegevens en motie inzake de wettelijke mogelijkheid creëren om politiegegevens te bewaren voor het oplossen van cold cases en motie van het lid Mutluer om de aanpak van cold cases te versterken</w:t>
            </w:r>
            <w:r>
              <w:rPr>
                <w:noProof/>
                <w:webHidden/>
              </w:rPr>
              <w:tab/>
            </w:r>
            <w:r>
              <w:rPr>
                <w:noProof/>
                <w:webHidden/>
              </w:rPr>
              <w:fldChar w:fldCharType="begin"/>
            </w:r>
            <w:r>
              <w:rPr>
                <w:noProof/>
                <w:webHidden/>
              </w:rPr>
              <w:instrText xml:space="preserve"> PAGEREF _Toc216278111 \h </w:instrText>
            </w:r>
            <w:r>
              <w:rPr>
                <w:noProof/>
                <w:webHidden/>
              </w:rPr>
            </w:r>
            <w:r>
              <w:rPr>
                <w:noProof/>
                <w:webHidden/>
              </w:rPr>
              <w:fldChar w:fldCharType="separate"/>
            </w:r>
            <w:r>
              <w:rPr>
                <w:noProof/>
                <w:webHidden/>
              </w:rPr>
              <w:t>10</w:t>
            </w:r>
            <w:r>
              <w:rPr>
                <w:noProof/>
                <w:webHidden/>
              </w:rPr>
              <w:fldChar w:fldCharType="end"/>
            </w:r>
          </w:hyperlink>
        </w:p>
        <w:p w:rsidR="007D5165" w:rsidRDefault="007D5165" w14:paraId="3A34A9D0" w14:textId="3DD6D12B">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2">
            <w:r w:rsidRPr="009A1AE3">
              <w:rPr>
                <w:rStyle w:val="Hyperlink"/>
                <w:noProof/>
              </w:rPr>
              <w:t>Motie inzake een single point of contact bij het Landelijk Expertisecentrum Persoonsvermissingen</w:t>
            </w:r>
            <w:r>
              <w:rPr>
                <w:noProof/>
                <w:webHidden/>
              </w:rPr>
              <w:tab/>
            </w:r>
            <w:r>
              <w:rPr>
                <w:noProof/>
                <w:webHidden/>
              </w:rPr>
              <w:fldChar w:fldCharType="begin"/>
            </w:r>
            <w:r>
              <w:rPr>
                <w:noProof/>
                <w:webHidden/>
              </w:rPr>
              <w:instrText xml:space="preserve"> PAGEREF _Toc216278112 \h </w:instrText>
            </w:r>
            <w:r>
              <w:rPr>
                <w:noProof/>
                <w:webHidden/>
              </w:rPr>
            </w:r>
            <w:r>
              <w:rPr>
                <w:noProof/>
                <w:webHidden/>
              </w:rPr>
              <w:fldChar w:fldCharType="separate"/>
            </w:r>
            <w:r>
              <w:rPr>
                <w:noProof/>
                <w:webHidden/>
              </w:rPr>
              <w:t>13</w:t>
            </w:r>
            <w:r>
              <w:rPr>
                <w:noProof/>
                <w:webHidden/>
              </w:rPr>
              <w:fldChar w:fldCharType="end"/>
            </w:r>
          </w:hyperlink>
        </w:p>
        <w:p w:rsidR="007D5165" w:rsidRDefault="007D5165" w14:paraId="1163721F" w14:textId="3EDDA95F">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3">
            <w:r w:rsidRPr="009A1AE3">
              <w:rPr>
                <w:rStyle w:val="Hyperlink"/>
                <w:noProof/>
              </w:rPr>
              <w:t>Online criminaliteit</w:t>
            </w:r>
            <w:r>
              <w:rPr>
                <w:noProof/>
                <w:webHidden/>
              </w:rPr>
              <w:tab/>
            </w:r>
            <w:r>
              <w:rPr>
                <w:noProof/>
                <w:webHidden/>
              </w:rPr>
              <w:fldChar w:fldCharType="begin"/>
            </w:r>
            <w:r>
              <w:rPr>
                <w:noProof/>
                <w:webHidden/>
              </w:rPr>
              <w:instrText xml:space="preserve"> PAGEREF _Toc216278113 \h </w:instrText>
            </w:r>
            <w:r>
              <w:rPr>
                <w:noProof/>
                <w:webHidden/>
              </w:rPr>
            </w:r>
            <w:r>
              <w:rPr>
                <w:noProof/>
                <w:webHidden/>
              </w:rPr>
              <w:fldChar w:fldCharType="separate"/>
            </w:r>
            <w:r>
              <w:rPr>
                <w:noProof/>
                <w:webHidden/>
              </w:rPr>
              <w:t>13</w:t>
            </w:r>
            <w:r>
              <w:rPr>
                <w:noProof/>
                <w:webHidden/>
              </w:rPr>
              <w:fldChar w:fldCharType="end"/>
            </w:r>
          </w:hyperlink>
        </w:p>
        <w:p w:rsidR="007D5165" w:rsidRDefault="007D5165" w14:paraId="2F1DD5C5" w14:textId="74F144B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4">
            <w:r w:rsidRPr="009A1AE3">
              <w:rPr>
                <w:rStyle w:val="Hyperlink"/>
                <w:noProof/>
              </w:rPr>
              <w:t>Toezegging inzake massaal slachtofferschap</w:t>
            </w:r>
            <w:r>
              <w:rPr>
                <w:noProof/>
                <w:webHidden/>
              </w:rPr>
              <w:tab/>
            </w:r>
            <w:r>
              <w:rPr>
                <w:noProof/>
                <w:webHidden/>
              </w:rPr>
              <w:fldChar w:fldCharType="begin"/>
            </w:r>
            <w:r>
              <w:rPr>
                <w:noProof/>
                <w:webHidden/>
              </w:rPr>
              <w:instrText xml:space="preserve"> PAGEREF _Toc216278114 \h </w:instrText>
            </w:r>
            <w:r>
              <w:rPr>
                <w:noProof/>
                <w:webHidden/>
              </w:rPr>
            </w:r>
            <w:r>
              <w:rPr>
                <w:noProof/>
                <w:webHidden/>
              </w:rPr>
              <w:fldChar w:fldCharType="separate"/>
            </w:r>
            <w:r>
              <w:rPr>
                <w:noProof/>
                <w:webHidden/>
              </w:rPr>
              <w:t>13</w:t>
            </w:r>
            <w:r>
              <w:rPr>
                <w:noProof/>
                <w:webHidden/>
              </w:rPr>
              <w:fldChar w:fldCharType="end"/>
            </w:r>
          </w:hyperlink>
        </w:p>
        <w:p w:rsidR="007D5165" w:rsidRDefault="007D5165" w14:paraId="269EBD7C" w14:textId="081AB8F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5">
            <w:r w:rsidRPr="009A1AE3">
              <w:rPr>
                <w:rStyle w:val="Hyperlink"/>
                <w:noProof/>
              </w:rPr>
              <w:t>Motie inzake digitale aangifte cyberaanvallen en delicten</w:t>
            </w:r>
            <w:r>
              <w:rPr>
                <w:noProof/>
                <w:webHidden/>
              </w:rPr>
              <w:tab/>
            </w:r>
            <w:r>
              <w:rPr>
                <w:noProof/>
                <w:webHidden/>
              </w:rPr>
              <w:fldChar w:fldCharType="begin"/>
            </w:r>
            <w:r>
              <w:rPr>
                <w:noProof/>
                <w:webHidden/>
              </w:rPr>
              <w:instrText xml:space="preserve"> PAGEREF _Toc216278115 \h </w:instrText>
            </w:r>
            <w:r>
              <w:rPr>
                <w:noProof/>
                <w:webHidden/>
              </w:rPr>
            </w:r>
            <w:r>
              <w:rPr>
                <w:noProof/>
                <w:webHidden/>
              </w:rPr>
              <w:fldChar w:fldCharType="separate"/>
            </w:r>
            <w:r>
              <w:rPr>
                <w:noProof/>
                <w:webHidden/>
              </w:rPr>
              <w:t>14</w:t>
            </w:r>
            <w:r>
              <w:rPr>
                <w:noProof/>
                <w:webHidden/>
              </w:rPr>
              <w:fldChar w:fldCharType="end"/>
            </w:r>
          </w:hyperlink>
        </w:p>
        <w:p w:rsidR="007D5165" w:rsidRDefault="007D5165" w14:paraId="32D80C7F" w14:textId="5B947071">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6">
            <w:r w:rsidRPr="009A1AE3">
              <w:rPr>
                <w:rStyle w:val="Hyperlink"/>
                <w:noProof/>
              </w:rPr>
              <w:t>Reactie op inspectierapport hackbevoegdheid</w:t>
            </w:r>
            <w:r>
              <w:rPr>
                <w:noProof/>
                <w:webHidden/>
              </w:rPr>
              <w:tab/>
            </w:r>
            <w:r>
              <w:rPr>
                <w:noProof/>
                <w:webHidden/>
              </w:rPr>
              <w:fldChar w:fldCharType="begin"/>
            </w:r>
            <w:r>
              <w:rPr>
                <w:noProof/>
                <w:webHidden/>
              </w:rPr>
              <w:instrText xml:space="preserve"> PAGEREF _Toc216278116 \h </w:instrText>
            </w:r>
            <w:r>
              <w:rPr>
                <w:noProof/>
                <w:webHidden/>
              </w:rPr>
            </w:r>
            <w:r>
              <w:rPr>
                <w:noProof/>
                <w:webHidden/>
              </w:rPr>
              <w:fldChar w:fldCharType="separate"/>
            </w:r>
            <w:r>
              <w:rPr>
                <w:noProof/>
                <w:webHidden/>
              </w:rPr>
              <w:t>14</w:t>
            </w:r>
            <w:r>
              <w:rPr>
                <w:noProof/>
                <w:webHidden/>
              </w:rPr>
              <w:fldChar w:fldCharType="end"/>
            </w:r>
          </w:hyperlink>
        </w:p>
        <w:p w:rsidR="007D5165" w:rsidRDefault="007D5165" w14:paraId="256444CC" w14:textId="0528E900">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7">
            <w:r w:rsidRPr="009A1AE3">
              <w:rPr>
                <w:rStyle w:val="Hyperlink"/>
                <w:noProof/>
              </w:rPr>
              <w:t>Toezegging inzake het blijvend te informeren van de Kamer rondom het datalek</w:t>
            </w:r>
            <w:r>
              <w:rPr>
                <w:noProof/>
                <w:webHidden/>
              </w:rPr>
              <w:tab/>
            </w:r>
            <w:r>
              <w:rPr>
                <w:noProof/>
                <w:webHidden/>
              </w:rPr>
              <w:fldChar w:fldCharType="begin"/>
            </w:r>
            <w:r>
              <w:rPr>
                <w:noProof/>
                <w:webHidden/>
              </w:rPr>
              <w:instrText xml:space="preserve"> PAGEREF _Toc216278117 \h </w:instrText>
            </w:r>
            <w:r>
              <w:rPr>
                <w:noProof/>
                <w:webHidden/>
              </w:rPr>
            </w:r>
            <w:r>
              <w:rPr>
                <w:noProof/>
                <w:webHidden/>
              </w:rPr>
              <w:fldChar w:fldCharType="separate"/>
            </w:r>
            <w:r>
              <w:rPr>
                <w:noProof/>
                <w:webHidden/>
              </w:rPr>
              <w:t>14</w:t>
            </w:r>
            <w:r>
              <w:rPr>
                <w:noProof/>
                <w:webHidden/>
              </w:rPr>
              <w:fldChar w:fldCharType="end"/>
            </w:r>
          </w:hyperlink>
        </w:p>
        <w:p w:rsidR="007D5165" w:rsidRDefault="007D5165" w14:paraId="12B005BA" w14:textId="20F6532B">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8">
            <w:r w:rsidRPr="009A1AE3">
              <w:rPr>
                <w:rStyle w:val="Hyperlink"/>
                <w:noProof/>
              </w:rPr>
              <w:t>Zeden en geweld tegen vrouwen</w:t>
            </w:r>
            <w:r>
              <w:rPr>
                <w:noProof/>
                <w:webHidden/>
              </w:rPr>
              <w:tab/>
            </w:r>
            <w:r>
              <w:rPr>
                <w:noProof/>
                <w:webHidden/>
              </w:rPr>
              <w:fldChar w:fldCharType="begin"/>
            </w:r>
            <w:r>
              <w:rPr>
                <w:noProof/>
                <w:webHidden/>
              </w:rPr>
              <w:instrText xml:space="preserve"> PAGEREF _Toc216278118 \h </w:instrText>
            </w:r>
            <w:r>
              <w:rPr>
                <w:noProof/>
                <w:webHidden/>
              </w:rPr>
            </w:r>
            <w:r>
              <w:rPr>
                <w:noProof/>
                <w:webHidden/>
              </w:rPr>
              <w:fldChar w:fldCharType="separate"/>
            </w:r>
            <w:r>
              <w:rPr>
                <w:noProof/>
                <w:webHidden/>
              </w:rPr>
              <w:t>15</w:t>
            </w:r>
            <w:r>
              <w:rPr>
                <w:noProof/>
                <w:webHidden/>
              </w:rPr>
              <w:fldChar w:fldCharType="end"/>
            </w:r>
          </w:hyperlink>
        </w:p>
        <w:p w:rsidR="007D5165" w:rsidRDefault="007D5165" w14:paraId="05D86C38" w14:textId="0AEED2F6">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19">
            <w:r w:rsidRPr="009A1AE3">
              <w:rPr>
                <w:rStyle w:val="Hyperlink"/>
                <w:noProof/>
              </w:rPr>
              <w:t>Toezegging inzake instroom in teams seksuele misdrijven</w:t>
            </w:r>
            <w:r>
              <w:rPr>
                <w:noProof/>
                <w:webHidden/>
              </w:rPr>
              <w:tab/>
            </w:r>
            <w:r>
              <w:rPr>
                <w:noProof/>
                <w:webHidden/>
              </w:rPr>
              <w:fldChar w:fldCharType="begin"/>
            </w:r>
            <w:r>
              <w:rPr>
                <w:noProof/>
                <w:webHidden/>
              </w:rPr>
              <w:instrText xml:space="preserve"> PAGEREF _Toc216278119 \h </w:instrText>
            </w:r>
            <w:r>
              <w:rPr>
                <w:noProof/>
                <w:webHidden/>
              </w:rPr>
            </w:r>
            <w:r>
              <w:rPr>
                <w:noProof/>
                <w:webHidden/>
              </w:rPr>
              <w:fldChar w:fldCharType="separate"/>
            </w:r>
            <w:r>
              <w:rPr>
                <w:noProof/>
                <w:webHidden/>
              </w:rPr>
              <w:t>15</w:t>
            </w:r>
            <w:r>
              <w:rPr>
                <w:noProof/>
                <w:webHidden/>
              </w:rPr>
              <w:fldChar w:fldCharType="end"/>
            </w:r>
          </w:hyperlink>
        </w:p>
        <w:p w:rsidR="007D5165" w:rsidRDefault="007D5165" w14:paraId="5ABC43EF" w14:textId="4E5BE676">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0">
            <w:r w:rsidRPr="009A1AE3">
              <w:rPr>
                <w:rStyle w:val="Hyperlink"/>
                <w:noProof/>
              </w:rPr>
              <w:t>Motie inzake update werkvoorraad zedenzaken</w:t>
            </w:r>
            <w:r>
              <w:rPr>
                <w:noProof/>
                <w:webHidden/>
              </w:rPr>
              <w:tab/>
            </w:r>
            <w:r>
              <w:rPr>
                <w:noProof/>
                <w:webHidden/>
              </w:rPr>
              <w:fldChar w:fldCharType="begin"/>
            </w:r>
            <w:r>
              <w:rPr>
                <w:noProof/>
                <w:webHidden/>
              </w:rPr>
              <w:instrText xml:space="preserve"> PAGEREF _Toc216278120 \h </w:instrText>
            </w:r>
            <w:r>
              <w:rPr>
                <w:noProof/>
                <w:webHidden/>
              </w:rPr>
            </w:r>
            <w:r>
              <w:rPr>
                <w:noProof/>
                <w:webHidden/>
              </w:rPr>
              <w:fldChar w:fldCharType="separate"/>
            </w:r>
            <w:r>
              <w:rPr>
                <w:noProof/>
                <w:webHidden/>
              </w:rPr>
              <w:t>16</w:t>
            </w:r>
            <w:r>
              <w:rPr>
                <w:noProof/>
                <w:webHidden/>
              </w:rPr>
              <w:fldChar w:fldCharType="end"/>
            </w:r>
          </w:hyperlink>
        </w:p>
        <w:p w:rsidR="007D5165" w:rsidRDefault="007D5165" w14:paraId="03870C62" w14:textId="3E3EBAF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1">
            <w:r w:rsidRPr="009A1AE3">
              <w:rPr>
                <w:rStyle w:val="Hyperlink"/>
                <w:noProof/>
              </w:rPr>
              <w:t>Motie inzake het specialistisch team over verkorten doorlooptijd</w:t>
            </w:r>
            <w:r>
              <w:rPr>
                <w:noProof/>
                <w:webHidden/>
              </w:rPr>
              <w:tab/>
            </w:r>
            <w:r>
              <w:rPr>
                <w:noProof/>
                <w:webHidden/>
              </w:rPr>
              <w:fldChar w:fldCharType="begin"/>
            </w:r>
            <w:r>
              <w:rPr>
                <w:noProof/>
                <w:webHidden/>
              </w:rPr>
              <w:instrText xml:space="preserve"> PAGEREF _Toc216278121 \h </w:instrText>
            </w:r>
            <w:r>
              <w:rPr>
                <w:noProof/>
                <w:webHidden/>
              </w:rPr>
            </w:r>
            <w:r>
              <w:rPr>
                <w:noProof/>
                <w:webHidden/>
              </w:rPr>
              <w:fldChar w:fldCharType="separate"/>
            </w:r>
            <w:r>
              <w:rPr>
                <w:noProof/>
                <w:webHidden/>
              </w:rPr>
              <w:t>18</w:t>
            </w:r>
            <w:r>
              <w:rPr>
                <w:noProof/>
                <w:webHidden/>
              </w:rPr>
              <w:fldChar w:fldCharType="end"/>
            </w:r>
          </w:hyperlink>
        </w:p>
        <w:p w:rsidR="007D5165" w:rsidRDefault="007D5165" w14:paraId="6EF2B5EF" w14:textId="34EB93EE">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2">
            <w:r w:rsidRPr="009A1AE3">
              <w:rPr>
                <w:rStyle w:val="Hyperlink"/>
                <w:noProof/>
              </w:rPr>
              <w:t>Motie inzake verplichte bijscholing voor politiemedewerkers over huiselijk geweld, stalking, intieme terreur en femicide</w:t>
            </w:r>
            <w:r>
              <w:rPr>
                <w:noProof/>
                <w:webHidden/>
              </w:rPr>
              <w:tab/>
            </w:r>
            <w:r>
              <w:rPr>
                <w:noProof/>
                <w:webHidden/>
              </w:rPr>
              <w:fldChar w:fldCharType="begin"/>
            </w:r>
            <w:r>
              <w:rPr>
                <w:noProof/>
                <w:webHidden/>
              </w:rPr>
              <w:instrText xml:space="preserve"> PAGEREF _Toc216278122 \h </w:instrText>
            </w:r>
            <w:r>
              <w:rPr>
                <w:noProof/>
                <w:webHidden/>
              </w:rPr>
            </w:r>
            <w:r>
              <w:rPr>
                <w:noProof/>
                <w:webHidden/>
              </w:rPr>
              <w:fldChar w:fldCharType="separate"/>
            </w:r>
            <w:r>
              <w:rPr>
                <w:noProof/>
                <w:webHidden/>
              </w:rPr>
              <w:t>19</w:t>
            </w:r>
            <w:r>
              <w:rPr>
                <w:noProof/>
                <w:webHidden/>
              </w:rPr>
              <w:fldChar w:fldCharType="end"/>
            </w:r>
          </w:hyperlink>
        </w:p>
        <w:p w:rsidR="007D5165" w:rsidRDefault="007D5165" w14:paraId="703A83B6" w14:textId="42D9D9C6">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3">
            <w:r w:rsidRPr="009A1AE3">
              <w:rPr>
                <w:rStyle w:val="Hyperlink"/>
                <w:noProof/>
              </w:rPr>
              <w:t>Motie inzake handhaving tegen digitale intimidatie en stalking</w:t>
            </w:r>
            <w:r>
              <w:rPr>
                <w:noProof/>
                <w:webHidden/>
              </w:rPr>
              <w:tab/>
            </w:r>
            <w:r>
              <w:rPr>
                <w:noProof/>
                <w:webHidden/>
              </w:rPr>
              <w:fldChar w:fldCharType="begin"/>
            </w:r>
            <w:r>
              <w:rPr>
                <w:noProof/>
                <w:webHidden/>
              </w:rPr>
              <w:instrText xml:space="preserve"> PAGEREF _Toc216278123 \h </w:instrText>
            </w:r>
            <w:r>
              <w:rPr>
                <w:noProof/>
                <w:webHidden/>
              </w:rPr>
            </w:r>
            <w:r>
              <w:rPr>
                <w:noProof/>
                <w:webHidden/>
              </w:rPr>
              <w:fldChar w:fldCharType="separate"/>
            </w:r>
            <w:r>
              <w:rPr>
                <w:noProof/>
                <w:webHidden/>
              </w:rPr>
              <w:t>20</w:t>
            </w:r>
            <w:r>
              <w:rPr>
                <w:noProof/>
                <w:webHidden/>
              </w:rPr>
              <w:fldChar w:fldCharType="end"/>
            </w:r>
          </w:hyperlink>
        </w:p>
        <w:p w:rsidR="007D5165" w:rsidRDefault="007D5165" w14:paraId="0FDBE0EB" w14:textId="7F6203C2">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4">
            <w:r w:rsidRPr="009A1AE3">
              <w:rPr>
                <w:rStyle w:val="Hyperlink"/>
                <w:noProof/>
              </w:rPr>
              <w:t>Publiek-private samenwerking</w:t>
            </w:r>
            <w:r>
              <w:rPr>
                <w:noProof/>
                <w:webHidden/>
              </w:rPr>
              <w:tab/>
            </w:r>
            <w:r>
              <w:rPr>
                <w:noProof/>
                <w:webHidden/>
              </w:rPr>
              <w:fldChar w:fldCharType="begin"/>
            </w:r>
            <w:r>
              <w:rPr>
                <w:noProof/>
                <w:webHidden/>
              </w:rPr>
              <w:instrText xml:space="preserve"> PAGEREF _Toc216278124 \h </w:instrText>
            </w:r>
            <w:r>
              <w:rPr>
                <w:noProof/>
                <w:webHidden/>
              </w:rPr>
            </w:r>
            <w:r>
              <w:rPr>
                <w:noProof/>
                <w:webHidden/>
              </w:rPr>
              <w:fldChar w:fldCharType="separate"/>
            </w:r>
            <w:r>
              <w:rPr>
                <w:noProof/>
                <w:webHidden/>
              </w:rPr>
              <w:t>22</w:t>
            </w:r>
            <w:r>
              <w:rPr>
                <w:noProof/>
                <w:webHidden/>
              </w:rPr>
              <w:fldChar w:fldCharType="end"/>
            </w:r>
          </w:hyperlink>
        </w:p>
        <w:p w:rsidR="007D5165" w:rsidRDefault="007D5165" w14:paraId="01505E55" w14:textId="17AEA1B2">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5">
            <w:r w:rsidRPr="009A1AE3">
              <w:rPr>
                <w:rStyle w:val="Hyperlink"/>
                <w:noProof/>
              </w:rPr>
              <w:t>Toezegging inzake de korpscheftaken.</w:t>
            </w:r>
            <w:r>
              <w:rPr>
                <w:noProof/>
                <w:webHidden/>
              </w:rPr>
              <w:tab/>
            </w:r>
            <w:r>
              <w:rPr>
                <w:noProof/>
                <w:webHidden/>
              </w:rPr>
              <w:fldChar w:fldCharType="begin"/>
            </w:r>
            <w:r>
              <w:rPr>
                <w:noProof/>
                <w:webHidden/>
              </w:rPr>
              <w:instrText xml:space="preserve"> PAGEREF _Toc216278125 \h </w:instrText>
            </w:r>
            <w:r>
              <w:rPr>
                <w:noProof/>
                <w:webHidden/>
              </w:rPr>
            </w:r>
            <w:r>
              <w:rPr>
                <w:noProof/>
                <w:webHidden/>
              </w:rPr>
              <w:fldChar w:fldCharType="separate"/>
            </w:r>
            <w:r>
              <w:rPr>
                <w:noProof/>
                <w:webHidden/>
              </w:rPr>
              <w:t>22</w:t>
            </w:r>
            <w:r>
              <w:rPr>
                <w:noProof/>
                <w:webHidden/>
              </w:rPr>
              <w:fldChar w:fldCharType="end"/>
            </w:r>
          </w:hyperlink>
        </w:p>
        <w:p w:rsidR="007D5165" w:rsidRDefault="007D5165" w14:paraId="033F96E2" w14:textId="5B02CC91">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6">
            <w:r w:rsidRPr="009A1AE3">
              <w:rPr>
                <w:rStyle w:val="Hyperlink"/>
                <w:noProof/>
              </w:rPr>
              <w:t>Toezegging inzake publiek private samenwerking bij winkeldiefstal</w:t>
            </w:r>
            <w:r>
              <w:rPr>
                <w:noProof/>
                <w:webHidden/>
              </w:rPr>
              <w:tab/>
            </w:r>
            <w:r>
              <w:rPr>
                <w:noProof/>
                <w:webHidden/>
              </w:rPr>
              <w:fldChar w:fldCharType="begin"/>
            </w:r>
            <w:r>
              <w:rPr>
                <w:noProof/>
                <w:webHidden/>
              </w:rPr>
              <w:instrText xml:space="preserve"> PAGEREF _Toc216278126 \h </w:instrText>
            </w:r>
            <w:r>
              <w:rPr>
                <w:noProof/>
                <w:webHidden/>
              </w:rPr>
            </w:r>
            <w:r>
              <w:rPr>
                <w:noProof/>
                <w:webHidden/>
              </w:rPr>
              <w:fldChar w:fldCharType="separate"/>
            </w:r>
            <w:r>
              <w:rPr>
                <w:noProof/>
                <w:webHidden/>
              </w:rPr>
              <w:t>22</w:t>
            </w:r>
            <w:r>
              <w:rPr>
                <w:noProof/>
                <w:webHidden/>
              </w:rPr>
              <w:fldChar w:fldCharType="end"/>
            </w:r>
          </w:hyperlink>
        </w:p>
        <w:p w:rsidR="007D5165" w:rsidRDefault="007D5165" w14:paraId="398C11D4" w14:textId="5F40E796">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7">
            <w:r w:rsidRPr="009A1AE3">
              <w:rPr>
                <w:rStyle w:val="Hyperlink"/>
                <w:noProof/>
              </w:rPr>
              <w:t>Reactie WODC rapport Met vereende krachten</w:t>
            </w:r>
            <w:r>
              <w:rPr>
                <w:noProof/>
                <w:webHidden/>
              </w:rPr>
              <w:tab/>
            </w:r>
            <w:r>
              <w:rPr>
                <w:noProof/>
                <w:webHidden/>
              </w:rPr>
              <w:fldChar w:fldCharType="begin"/>
            </w:r>
            <w:r>
              <w:rPr>
                <w:noProof/>
                <w:webHidden/>
              </w:rPr>
              <w:instrText xml:space="preserve"> PAGEREF _Toc216278127 \h </w:instrText>
            </w:r>
            <w:r>
              <w:rPr>
                <w:noProof/>
                <w:webHidden/>
              </w:rPr>
            </w:r>
            <w:r>
              <w:rPr>
                <w:noProof/>
                <w:webHidden/>
              </w:rPr>
              <w:fldChar w:fldCharType="separate"/>
            </w:r>
            <w:r>
              <w:rPr>
                <w:noProof/>
                <w:webHidden/>
              </w:rPr>
              <w:t>24</w:t>
            </w:r>
            <w:r>
              <w:rPr>
                <w:noProof/>
                <w:webHidden/>
              </w:rPr>
              <w:fldChar w:fldCharType="end"/>
            </w:r>
          </w:hyperlink>
        </w:p>
        <w:p w:rsidR="007D5165" w:rsidRDefault="007D5165" w14:paraId="4D94BA0E" w14:textId="7741E5E0">
          <w:pPr>
            <w:pStyle w:val="Inhopg1"/>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8">
            <w:r w:rsidRPr="009A1AE3">
              <w:rPr>
                <w:rStyle w:val="Hyperlink"/>
                <w:noProof/>
              </w:rPr>
              <w:t>Overig</w:t>
            </w:r>
            <w:r>
              <w:rPr>
                <w:noProof/>
                <w:webHidden/>
              </w:rPr>
              <w:tab/>
            </w:r>
            <w:r>
              <w:rPr>
                <w:noProof/>
                <w:webHidden/>
              </w:rPr>
              <w:fldChar w:fldCharType="begin"/>
            </w:r>
            <w:r>
              <w:rPr>
                <w:noProof/>
                <w:webHidden/>
              </w:rPr>
              <w:instrText xml:space="preserve"> PAGEREF _Toc216278128 \h </w:instrText>
            </w:r>
            <w:r>
              <w:rPr>
                <w:noProof/>
                <w:webHidden/>
              </w:rPr>
            </w:r>
            <w:r>
              <w:rPr>
                <w:noProof/>
                <w:webHidden/>
              </w:rPr>
              <w:fldChar w:fldCharType="separate"/>
            </w:r>
            <w:r>
              <w:rPr>
                <w:noProof/>
                <w:webHidden/>
              </w:rPr>
              <w:t>26</w:t>
            </w:r>
            <w:r>
              <w:rPr>
                <w:noProof/>
                <w:webHidden/>
              </w:rPr>
              <w:fldChar w:fldCharType="end"/>
            </w:r>
          </w:hyperlink>
        </w:p>
        <w:p w:rsidR="007D5165" w:rsidRDefault="007D5165" w14:paraId="5DB299FA" w14:textId="5A3AB13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29">
            <w:r w:rsidRPr="009A1AE3">
              <w:rPr>
                <w:rStyle w:val="Hyperlink"/>
                <w:noProof/>
              </w:rPr>
              <w:t>Motie inzake de strafbaarstelling van de verkoop en aanschaf van nep politie-uniformen en toezegging inzake lacunes in de aanpak van nepagenten</w:t>
            </w:r>
            <w:r>
              <w:rPr>
                <w:noProof/>
                <w:webHidden/>
              </w:rPr>
              <w:tab/>
            </w:r>
            <w:r>
              <w:rPr>
                <w:noProof/>
                <w:webHidden/>
              </w:rPr>
              <w:fldChar w:fldCharType="begin"/>
            </w:r>
            <w:r>
              <w:rPr>
                <w:noProof/>
                <w:webHidden/>
              </w:rPr>
              <w:instrText xml:space="preserve"> PAGEREF _Toc216278129 \h </w:instrText>
            </w:r>
            <w:r>
              <w:rPr>
                <w:noProof/>
                <w:webHidden/>
              </w:rPr>
            </w:r>
            <w:r>
              <w:rPr>
                <w:noProof/>
                <w:webHidden/>
              </w:rPr>
              <w:fldChar w:fldCharType="separate"/>
            </w:r>
            <w:r>
              <w:rPr>
                <w:noProof/>
                <w:webHidden/>
              </w:rPr>
              <w:t>26</w:t>
            </w:r>
            <w:r>
              <w:rPr>
                <w:noProof/>
                <w:webHidden/>
              </w:rPr>
              <w:fldChar w:fldCharType="end"/>
            </w:r>
          </w:hyperlink>
        </w:p>
        <w:p w:rsidR="007D5165" w:rsidRDefault="007D5165" w14:paraId="27CA056E" w14:textId="744A2622">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0">
            <w:r w:rsidRPr="009A1AE3">
              <w:rPr>
                <w:rStyle w:val="Hyperlink"/>
                <w:noProof/>
              </w:rPr>
              <w:t>Motie inzake aanbevelingen Ombudsman rapport "Blind vertrouwen?"</w:t>
            </w:r>
            <w:r>
              <w:rPr>
                <w:noProof/>
                <w:webHidden/>
              </w:rPr>
              <w:tab/>
            </w:r>
            <w:r>
              <w:rPr>
                <w:noProof/>
                <w:webHidden/>
              </w:rPr>
              <w:fldChar w:fldCharType="begin"/>
            </w:r>
            <w:r>
              <w:rPr>
                <w:noProof/>
                <w:webHidden/>
              </w:rPr>
              <w:instrText xml:space="preserve"> PAGEREF _Toc216278130 \h </w:instrText>
            </w:r>
            <w:r>
              <w:rPr>
                <w:noProof/>
                <w:webHidden/>
              </w:rPr>
            </w:r>
            <w:r>
              <w:rPr>
                <w:noProof/>
                <w:webHidden/>
              </w:rPr>
              <w:fldChar w:fldCharType="separate"/>
            </w:r>
            <w:r>
              <w:rPr>
                <w:noProof/>
                <w:webHidden/>
              </w:rPr>
              <w:t>28</w:t>
            </w:r>
            <w:r>
              <w:rPr>
                <w:noProof/>
                <w:webHidden/>
              </w:rPr>
              <w:fldChar w:fldCharType="end"/>
            </w:r>
          </w:hyperlink>
        </w:p>
        <w:p w:rsidR="007D5165" w:rsidRDefault="007D5165" w14:paraId="0C3F1F3C" w14:textId="47CF832F">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1">
            <w:r w:rsidRPr="009A1AE3">
              <w:rPr>
                <w:rStyle w:val="Hyperlink"/>
                <w:noProof/>
              </w:rPr>
              <w:t>Motie inzake forensische geneeskunde</w:t>
            </w:r>
            <w:r>
              <w:rPr>
                <w:noProof/>
                <w:webHidden/>
              </w:rPr>
              <w:tab/>
            </w:r>
            <w:r>
              <w:rPr>
                <w:noProof/>
                <w:webHidden/>
              </w:rPr>
              <w:fldChar w:fldCharType="begin"/>
            </w:r>
            <w:r>
              <w:rPr>
                <w:noProof/>
                <w:webHidden/>
              </w:rPr>
              <w:instrText xml:space="preserve"> PAGEREF _Toc216278131 \h </w:instrText>
            </w:r>
            <w:r>
              <w:rPr>
                <w:noProof/>
                <w:webHidden/>
              </w:rPr>
            </w:r>
            <w:r>
              <w:rPr>
                <w:noProof/>
                <w:webHidden/>
              </w:rPr>
              <w:fldChar w:fldCharType="separate"/>
            </w:r>
            <w:r>
              <w:rPr>
                <w:noProof/>
                <w:webHidden/>
              </w:rPr>
              <w:t>30</w:t>
            </w:r>
            <w:r>
              <w:rPr>
                <w:noProof/>
                <w:webHidden/>
              </w:rPr>
              <w:fldChar w:fldCharType="end"/>
            </w:r>
          </w:hyperlink>
        </w:p>
        <w:p w:rsidR="007D5165" w:rsidRDefault="007D5165" w14:paraId="6C9E0534" w14:textId="1B195AB5">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2">
            <w:r w:rsidRPr="009A1AE3">
              <w:rPr>
                <w:rStyle w:val="Hyperlink"/>
                <w:noProof/>
              </w:rPr>
              <w:t>Rapportage adviescommissie LO&amp;LX</w:t>
            </w:r>
            <w:r>
              <w:rPr>
                <w:noProof/>
                <w:webHidden/>
              </w:rPr>
              <w:tab/>
            </w:r>
            <w:r>
              <w:rPr>
                <w:noProof/>
                <w:webHidden/>
              </w:rPr>
              <w:fldChar w:fldCharType="begin"/>
            </w:r>
            <w:r>
              <w:rPr>
                <w:noProof/>
                <w:webHidden/>
              </w:rPr>
              <w:instrText xml:space="preserve"> PAGEREF _Toc216278132 \h </w:instrText>
            </w:r>
            <w:r>
              <w:rPr>
                <w:noProof/>
                <w:webHidden/>
              </w:rPr>
            </w:r>
            <w:r>
              <w:rPr>
                <w:noProof/>
                <w:webHidden/>
              </w:rPr>
              <w:fldChar w:fldCharType="separate"/>
            </w:r>
            <w:r>
              <w:rPr>
                <w:noProof/>
                <w:webHidden/>
              </w:rPr>
              <w:t>30</w:t>
            </w:r>
            <w:r>
              <w:rPr>
                <w:noProof/>
                <w:webHidden/>
              </w:rPr>
              <w:fldChar w:fldCharType="end"/>
            </w:r>
          </w:hyperlink>
        </w:p>
        <w:p w:rsidR="007D5165" w:rsidRDefault="007D5165" w14:paraId="053A95E1" w14:textId="4AE6CF9F">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3">
            <w:r w:rsidRPr="009A1AE3">
              <w:rPr>
                <w:rStyle w:val="Hyperlink"/>
                <w:noProof/>
              </w:rPr>
              <w:t>Toezegging inzake visie op de politiefunctie</w:t>
            </w:r>
            <w:r>
              <w:rPr>
                <w:noProof/>
                <w:webHidden/>
              </w:rPr>
              <w:tab/>
            </w:r>
            <w:r>
              <w:rPr>
                <w:noProof/>
                <w:webHidden/>
              </w:rPr>
              <w:fldChar w:fldCharType="begin"/>
            </w:r>
            <w:r>
              <w:rPr>
                <w:noProof/>
                <w:webHidden/>
              </w:rPr>
              <w:instrText xml:space="preserve"> PAGEREF _Toc216278133 \h </w:instrText>
            </w:r>
            <w:r>
              <w:rPr>
                <w:noProof/>
                <w:webHidden/>
              </w:rPr>
            </w:r>
            <w:r>
              <w:rPr>
                <w:noProof/>
                <w:webHidden/>
              </w:rPr>
              <w:fldChar w:fldCharType="separate"/>
            </w:r>
            <w:r>
              <w:rPr>
                <w:noProof/>
                <w:webHidden/>
              </w:rPr>
              <w:t>32</w:t>
            </w:r>
            <w:r>
              <w:rPr>
                <w:noProof/>
                <w:webHidden/>
              </w:rPr>
              <w:fldChar w:fldCharType="end"/>
            </w:r>
          </w:hyperlink>
        </w:p>
        <w:p w:rsidR="007D5165" w:rsidRDefault="007D5165" w14:paraId="33948120" w14:textId="3A6CF4DB">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4">
            <w:r w:rsidRPr="009A1AE3">
              <w:rPr>
                <w:rStyle w:val="Hyperlink"/>
                <w:noProof/>
              </w:rPr>
              <w:t>Herzieningstraject wet wapens en munitie</w:t>
            </w:r>
            <w:r>
              <w:rPr>
                <w:noProof/>
                <w:webHidden/>
              </w:rPr>
              <w:tab/>
            </w:r>
            <w:r>
              <w:rPr>
                <w:noProof/>
                <w:webHidden/>
              </w:rPr>
              <w:fldChar w:fldCharType="begin"/>
            </w:r>
            <w:r>
              <w:rPr>
                <w:noProof/>
                <w:webHidden/>
              </w:rPr>
              <w:instrText xml:space="preserve"> PAGEREF _Toc216278134 \h </w:instrText>
            </w:r>
            <w:r>
              <w:rPr>
                <w:noProof/>
                <w:webHidden/>
              </w:rPr>
            </w:r>
            <w:r>
              <w:rPr>
                <w:noProof/>
                <w:webHidden/>
              </w:rPr>
              <w:fldChar w:fldCharType="separate"/>
            </w:r>
            <w:r>
              <w:rPr>
                <w:noProof/>
                <w:webHidden/>
              </w:rPr>
              <w:t>32</w:t>
            </w:r>
            <w:r>
              <w:rPr>
                <w:noProof/>
                <w:webHidden/>
              </w:rPr>
              <w:fldChar w:fldCharType="end"/>
            </w:r>
          </w:hyperlink>
        </w:p>
        <w:p w:rsidR="007D5165" w:rsidRDefault="007D5165" w14:paraId="632A7ECA" w14:textId="32261E39">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5">
            <w:r w:rsidRPr="009A1AE3">
              <w:rPr>
                <w:rStyle w:val="Hyperlink"/>
                <w:noProof/>
              </w:rPr>
              <w:t>Reactie rapport Aanhoudend dienstbaar</w:t>
            </w:r>
            <w:r>
              <w:rPr>
                <w:noProof/>
                <w:webHidden/>
              </w:rPr>
              <w:tab/>
            </w:r>
            <w:r>
              <w:rPr>
                <w:noProof/>
                <w:webHidden/>
              </w:rPr>
              <w:fldChar w:fldCharType="begin"/>
            </w:r>
            <w:r>
              <w:rPr>
                <w:noProof/>
                <w:webHidden/>
              </w:rPr>
              <w:instrText xml:space="preserve"> PAGEREF _Toc216278135 \h </w:instrText>
            </w:r>
            <w:r>
              <w:rPr>
                <w:noProof/>
                <w:webHidden/>
              </w:rPr>
            </w:r>
            <w:r>
              <w:rPr>
                <w:noProof/>
                <w:webHidden/>
              </w:rPr>
              <w:fldChar w:fldCharType="separate"/>
            </w:r>
            <w:r>
              <w:rPr>
                <w:noProof/>
                <w:webHidden/>
              </w:rPr>
              <w:t>32</w:t>
            </w:r>
            <w:r>
              <w:rPr>
                <w:noProof/>
                <w:webHidden/>
              </w:rPr>
              <w:fldChar w:fldCharType="end"/>
            </w:r>
          </w:hyperlink>
        </w:p>
        <w:p w:rsidR="007D5165" w:rsidRDefault="007D5165" w14:paraId="704F073D" w14:textId="593D3750">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16278136">
            <w:r w:rsidRPr="009A1AE3">
              <w:rPr>
                <w:rStyle w:val="Hyperlink"/>
                <w:noProof/>
              </w:rPr>
              <w:t>Onderzoek Nederlandse Arbeidsinspectie in relatie tot C2000</w:t>
            </w:r>
            <w:r>
              <w:rPr>
                <w:noProof/>
                <w:webHidden/>
              </w:rPr>
              <w:tab/>
            </w:r>
            <w:r>
              <w:rPr>
                <w:noProof/>
                <w:webHidden/>
              </w:rPr>
              <w:fldChar w:fldCharType="begin"/>
            </w:r>
            <w:r>
              <w:rPr>
                <w:noProof/>
                <w:webHidden/>
              </w:rPr>
              <w:instrText xml:space="preserve"> PAGEREF _Toc216278136 \h </w:instrText>
            </w:r>
            <w:r>
              <w:rPr>
                <w:noProof/>
                <w:webHidden/>
              </w:rPr>
            </w:r>
            <w:r>
              <w:rPr>
                <w:noProof/>
                <w:webHidden/>
              </w:rPr>
              <w:fldChar w:fldCharType="separate"/>
            </w:r>
            <w:r>
              <w:rPr>
                <w:noProof/>
                <w:webHidden/>
              </w:rPr>
              <w:t>33</w:t>
            </w:r>
            <w:r>
              <w:rPr>
                <w:noProof/>
                <w:webHidden/>
              </w:rPr>
              <w:fldChar w:fldCharType="end"/>
            </w:r>
          </w:hyperlink>
        </w:p>
        <w:p w:rsidRPr="007A6CB7" w:rsidR="006C4D97" w:rsidRDefault="006C4D97" w14:paraId="1E36C576" w14:textId="22D592AB">
          <w:r w:rsidRPr="007A6CB7">
            <w:fldChar w:fldCharType="end"/>
          </w:r>
        </w:p>
      </w:sdtContent>
    </w:sdt>
    <w:p w:rsidRPr="007A6CB7" w:rsidR="006C4D97" w:rsidRDefault="006C4D97" w14:paraId="74A0DC1D" w14:textId="45D06B91">
      <w:pPr>
        <w:spacing w:line="240" w:lineRule="auto"/>
      </w:pPr>
      <w:r w:rsidRPr="007A6CB7">
        <w:br w:type="page"/>
      </w:r>
    </w:p>
    <w:p w:rsidRPr="007A6CB7" w:rsidR="00786281" w:rsidP="00786281" w:rsidRDefault="00786281" w14:paraId="0412A361" w14:textId="0A63F57F">
      <w:pPr>
        <w:pStyle w:val="Kop1"/>
      </w:pPr>
      <w:bookmarkStart w:name="_Toc216278094" w:id="0"/>
      <w:r w:rsidRPr="007A6CB7">
        <w:lastRenderedPageBreak/>
        <w:t>Politiepersoneel</w:t>
      </w:r>
      <w:r w:rsidRPr="007A6CB7" w:rsidR="00BD64D2">
        <w:t xml:space="preserve"> en -middelen</w:t>
      </w:r>
      <w:bookmarkEnd w:id="0"/>
    </w:p>
    <w:p w:rsidRPr="007A6CB7" w:rsidR="00076212" w:rsidP="00076212" w:rsidRDefault="00A96F55" w14:paraId="0227A22D" w14:textId="45CE0FBD">
      <w:pPr>
        <w:pStyle w:val="Kop2"/>
      </w:pPr>
      <w:bookmarkStart w:name="_Toc216278095" w:id="1"/>
      <w:r w:rsidRPr="007A6CB7">
        <w:t xml:space="preserve">Toezegging </w:t>
      </w:r>
      <w:proofErr w:type="gramStart"/>
      <w:r w:rsidRPr="007A6CB7">
        <w:t>inzake</w:t>
      </w:r>
      <w:proofErr w:type="gramEnd"/>
      <w:r w:rsidRPr="007A6CB7">
        <w:t xml:space="preserve"> doorstroommogelijkheden na de basispolitieopleiding</w:t>
      </w:r>
      <w:bookmarkEnd w:id="1"/>
    </w:p>
    <w:p w:rsidRPr="007A6CB7" w:rsidR="00076212" w:rsidP="00A96F55" w:rsidRDefault="00076212" w14:paraId="58078D4C" w14:textId="2DDB2641">
      <w:r w:rsidRPr="007A6CB7">
        <w:t>Tijdens het commissiedebat criminaliteitsbestrijding, ondermijning en georganiseerde criminaliteit heb ik toegezegd uw Kamer, voorafgaand aan het commissiedebat politie in december, te informeren over ‘de bevorderingsstop voor hoofdagenten’</w:t>
      </w:r>
      <w:r w:rsidRPr="007A6CB7">
        <w:rPr>
          <w:rStyle w:val="Voetnootmarkering"/>
        </w:rPr>
        <w:footnoteReference w:id="1"/>
      </w:r>
      <w:r w:rsidRPr="007A6CB7">
        <w:t xml:space="preserve">. Naar aanleiding van deze toezegging neem ik uw Kamer mee in de ontwikkelingen en afspraken </w:t>
      </w:r>
      <w:proofErr w:type="gramStart"/>
      <w:r w:rsidRPr="007A6CB7">
        <w:t>omtrent</w:t>
      </w:r>
      <w:proofErr w:type="gramEnd"/>
      <w:r w:rsidRPr="007A6CB7">
        <w:t xml:space="preserve"> het </w:t>
      </w:r>
      <w:proofErr w:type="spellStart"/>
      <w:r w:rsidRPr="007A6CB7">
        <w:t>loopbaanpad</w:t>
      </w:r>
      <w:proofErr w:type="spellEnd"/>
      <w:r w:rsidRPr="007A6CB7">
        <w:t xml:space="preserve"> en -perspectief van politiemedewerkers na afronding van de basispolitieopleiding.</w:t>
      </w:r>
    </w:p>
    <w:p w:rsidRPr="007A6CB7" w:rsidR="00076212" w:rsidP="00A96F55" w:rsidRDefault="00076212" w14:paraId="35CB5AD5" w14:textId="77777777"/>
    <w:p w:rsidRPr="007A6CB7" w:rsidR="00076212" w:rsidP="00076212" w:rsidRDefault="00076212" w14:paraId="25603C22" w14:textId="77777777">
      <w:pPr>
        <w:rPr>
          <w:u w:val="single"/>
        </w:rPr>
      </w:pPr>
      <w:proofErr w:type="spellStart"/>
      <w:r w:rsidRPr="007A6CB7">
        <w:rPr>
          <w:u w:val="single"/>
        </w:rPr>
        <w:t>Loopbaanpad</w:t>
      </w:r>
      <w:proofErr w:type="spellEnd"/>
      <w:r w:rsidRPr="007A6CB7">
        <w:rPr>
          <w:u w:val="single"/>
        </w:rPr>
        <w:t xml:space="preserve"> en overgangsbeleid niveau 4</w:t>
      </w:r>
    </w:p>
    <w:p w:rsidRPr="007A6CB7" w:rsidR="00076212" w:rsidP="00076212" w:rsidRDefault="00076212" w14:paraId="77EFAC94" w14:textId="71241899">
      <w:r w:rsidRPr="007A6CB7">
        <w:t xml:space="preserve">Samen met de politie als gezamenlijk werkgever is in het arbeidsvoorwaardenakkoord 2015-2017 en 2028-2020 sector politie de afspraak gemaakt over het </w:t>
      </w:r>
      <w:proofErr w:type="spellStart"/>
      <w:r w:rsidRPr="007A6CB7">
        <w:t>loopbaanpad</w:t>
      </w:r>
      <w:proofErr w:type="spellEnd"/>
      <w:r w:rsidRPr="007A6CB7">
        <w:t xml:space="preserve"> niveau 4 met de politievakbonden. Dit </w:t>
      </w:r>
      <w:proofErr w:type="spellStart"/>
      <w:r w:rsidRPr="007A6CB7">
        <w:t>loopbaanpad</w:t>
      </w:r>
      <w:proofErr w:type="spellEnd"/>
      <w:r w:rsidRPr="007A6CB7">
        <w:t xml:space="preserve"> is voor politiemedewerkers die de basispolitieopleiding niveau 4 hebben afgerond en instromen in de </w:t>
      </w:r>
      <w:proofErr w:type="spellStart"/>
      <w:r w:rsidRPr="007A6CB7">
        <w:t>Gebiedsgebonden</w:t>
      </w:r>
      <w:proofErr w:type="spellEnd"/>
      <w:r w:rsidRPr="007A6CB7">
        <w:t xml:space="preserve"> Politie (GGP). Deze politiemedewerkers starten op het functieniveau Medewerker GGP (schaal 6) en stromen, na twee jaar werkervaring, door naar het functieniveau Generalist GGP (schaal 7). Na 8 jaar zetten deze medewerkers de volgende stap naar het functieniveau Senior (schaal 8) in een ander team. Dit betreft een gegarandeerd </w:t>
      </w:r>
      <w:proofErr w:type="spellStart"/>
      <w:r w:rsidRPr="007A6CB7">
        <w:t>loopbaanpad</w:t>
      </w:r>
      <w:proofErr w:type="spellEnd"/>
      <w:r w:rsidRPr="007A6CB7">
        <w:t xml:space="preserve"> voor politiemedewerkers bij voldoende functioneren. </w:t>
      </w:r>
    </w:p>
    <w:p w:rsidRPr="007A6CB7" w:rsidR="00076212" w:rsidP="00076212" w:rsidRDefault="00076212" w14:paraId="40BCADDD" w14:textId="77777777"/>
    <w:p w:rsidRPr="007A6CB7" w:rsidR="00076212" w:rsidP="00076212" w:rsidRDefault="00076212" w14:paraId="2166DA1E" w14:textId="77777777">
      <w:r w:rsidRPr="007A6CB7">
        <w:t xml:space="preserve">Aansluitend op deze afspraak over het </w:t>
      </w:r>
      <w:proofErr w:type="spellStart"/>
      <w:r w:rsidRPr="007A6CB7">
        <w:t>loopbaanpad</w:t>
      </w:r>
      <w:proofErr w:type="spellEnd"/>
      <w:r w:rsidRPr="007A6CB7">
        <w:t xml:space="preserve"> is overgangsbeleid afgesproken voor het zittende personeel met een basispolitiediploma niveau 4. Jaarlijks worden er 500 Generalisten op hun eigen werkplek bevorderd naar Senior. En, tot en met 2032, komen er 250 vacatures op Seniorniveau beschikbaar en waarvoor deze doelgroep een voorrangspositie heeft. </w:t>
      </w:r>
    </w:p>
    <w:p w:rsidRPr="007A6CB7" w:rsidR="00076212" w:rsidP="00A96F55" w:rsidRDefault="00076212" w14:paraId="05244CB3" w14:textId="77777777"/>
    <w:p w:rsidRPr="007A6CB7" w:rsidR="00076212" w:rsidP="00076212" w:rsidRDefault="00076212" w14:paraId="504CAE0F" w14:textId="77777777">
      <w:pPr>
        <w:rPr>
          <w:u w:val="single"/>
        </w:rPr>
      </w:pPr>
      <w:r w:rsidRPr="007A6CB7">
        <w:rPr>
          <w:u w:val="single"/>
        </w:rPr>
        <w:t xml:space="preserve">Afspraken over aanpassing </w:t>
      </w:r>
      <w:proofErr w:type="spellStart"/>
      <w:r w:rsidRPr="007A6CB7">
        <w:rPr>
          <w:u w:val="single"/>
        </w:rPr>
        <w:t>loopbaanpad</w:t>
      </w:r>
      <w:proofErr w:type="spellEnd"/>
      <w:r w:rsidRPr="007A6CB7">
        <w:rPr>
          <w:u w:val="single"/>
        </w:rPr>
        <w:t xml:space="preserve"> en overgangsbeleid</w:t>
      </w:r>
    </w:p>
    <w:p w:rsidRPr="007A6CB7" w:rsidR="00076212" w:rsidP="00076212" w:rsidRDefault="00076212" w14:paraId="28BE4E75" w14:textId="77777777">
      <w:r w:rsidRPr="007A6CB7">
        <w:t xml:space="preserve">In het nieuwe arbeidsvoorwaardenakkoord 2025-2027 kwamen de werkgever en de politievakbonden overeen om het </w:t>
      </w:r>
      <w:proofErr w:type="spellStart"/>
      <w:r w:rsidRPr="007A6CB7">
        <w:t>loopbaanpad</w:t>
      </w:r>
      <w:proofErr w:type="spellEnd"/>
      <w:r w:rsidRPr="007A6CB7">
        <w:t xml:space="preserve"> en het overgangsbeleid aan te passen, met als doel om de ongewenste effecten weg te nemen. Deze ongewenste effecten zijn dat politiemedewerkers vastzitten aan een langdurig </w:t>
      </w:r>
      <w:proofErr w:type="spellStart"/>
      <w:r w:rsidRPr="007A6CB7">
        <w:t>loopbaanpad</w:t>
      </w:r>
      <w:proofErr w:type="spellEnd"/>
      <w:r w:rsidRPr="007A6CB7">
        <w:t xml:space="preserve">, dit </w:t>
      </w:r>
      <w:proofErr w:type="spellStart"/>
      <w:r w:rsidRPr="007A6CB7">
        <w:t>loopbaanpad</w:t>
      </w:r>
      <w:proofErr w:type="spellEnd"/>
      <w:r w:rsidRPr="007A6CB7">
        <w:t xml:space="preserve"> de doorstroom van andere politiemedewerkers belemmert, dat politiemedewerkers met een </w:t>
      </w:r>
      <w:proofErr w:type="spellStart"/>
      <w:r w:rsidRPr="007A6CB7">
        <w:t>loopbaanpad</w:t>
      </w:r>
      <w:proofErr w:type="spellEnd"/>
      <w:r w:rsidRPr="007A6CB7">
        <w:t xml:space="preserve"> minder initiatief nemen met betrekking tot hun eigen ontwikkeling en een overbezetting op de Senior functie. Ook werd het gegarandeerde </w:t>
      </w:r>
      <w:proofErr w:type="spellStart"/>
      <w:r w:rsidRPr="007A6CB7">
        <w:t>loopbaanpad</w:t>
      </w:r>
      <w:proofErr w:type="spellEnd"/>
      <w:r w:rsidRPr="007A6CB7">
        <w:t xml:space="preserve"> bij voldoende functioneren toegepast als automatische bevordering, waardoor er politiemedewerkers tot Senior zijn bevorderd zonder dat zij voldeden aan de benodigde competenties. Deze ongewenste effecten hebben nadelige gevolgen voor de kwaliteit van de uitvoering van de politietaak. </w:t>
      </w:r>
    </w:p>
    <w:p w:rsidRPr="007A6CB7" w:rsidR="00076212" w:rsidP="00076212" w:rsidRDefault="00076212" w14:paraId="27D4A0F8" w14:textId="77777777"/>
    <w:p w:rsidRPr="007A6CB7" w:rsidR="00076212" w:rsidP="00076212" w:rsidRDefault="00076212" w14:paraId="233001FE" w14:textId="77777777">
      <w:r w:rsidRPr="007A6CB7">
        <w:t xml:space="preserve">Voor de nieuwe instroom in de </w:t>
      </w:r>
      <w:proofErr w:type="spellStart"/>
      <w:r w:rsidRPr="007A6CB7">
        <w:t>Gebiedsgebonden</w:t>
      </w:r>
      <w:proofErr w:type="spellEnd"/>
      <w:r w:rsidRPr="007A6CB7">
        <w:t xml:space="preserve"> Politie wordt het </w:t>
      </w:r>
      <w:proofErr w:type="spellStart"/>
      <w:r w:rsidRPr="007A6CB7">
        <w:t>loopbaanpad</w:t>
      </w:r>
      <w:proofErr w:type="spellEnd"/>
      <w:r w:rsidRPr="007A6CB7">
        <w:t xml:space="preserve"> aangepast. De garantie op doorstroom van het functieniveau Medewerker (schaal 6) naar Generalist (schaal 7) blijft bestaan. In deze periode van twee jaar volgen politiemedewerkers het leertraject van start- naar vakbekwaam waarna ze, bij voldoende functioneren, gegarandeerd een volgende stap kunnen maken. Wel wordt onderzocht welke criteria er moeten gelden om de stap van Generalist </w:t>
      </w:r>
      <w:r w:rsidRPr="007A6CB7">
        <w:lastRenderedPageBreak/>
        <w:t xml:space="preserve">(schaal 7) naar Senior (schaal 8) te kunnen maken. Het uitgangspunt hierbij is dat politiemedewerkers na bevordering in staat zijn om de functie van Senior in volle omvang uit te voeren. Hiervoor wordt, in overleg met de politievakbonden, een zorgvuldige plaatsingsprocedure ontwikkeld. Hierbij blijft het uitgangspunt een bevordering naar Senior, maar op basis van geschiktheid en beschikbare formatie. </w:t>
      </w:r>
    </w:p>
    <w:p w:rsidRPr="007A6CB7" w:rsidR="00076212" w:rsidP="00076212" w:rsidRDefault="00076212" w14:paraId="03C93416" w14:textId="77777777"/>
    <w:p w:rsidRPr="007A6CB7" w:rsidR="00076212" w:rsidP="00076212" w:rsidRDefault="00076212" w14:paraId="58DFD60E" w14:textId="77777777">
      <w:r w:rsidRPr="007A6CB7">
        <w:t xml:space="preserve">De aanpassing in het overgangsbeleid houdt in dat de voorrangsregel, voor de betreffende doelgroep, in de vakgebieden waarvoor geen basispolitiediploma niveau 4 is vereist, wordt afgeschaft. Hierdoor krijgen politiemedewerkers, die niet onder het overgangsbeleid vallen, gelijke doorstroommogelijkheden, zoals bij het vakgebied Intelligence. Binnen het vakgebied </w:t>
      </w:r>
      <w:proofErr w:type="spellStart"/>
      <w:r w:rsidRPr="007A6CB7">
        <w:t>Gebiedsgebonden</w:t>
      </w:r>
      <w:proofErr w:type="spellEnd"/>
      <w:r w:rsidRPr="007A6CB7">
        <w:t xml:space="preserve"> Politie blijft deze voorgangsregel wel bestaan. </w:t>
      </w:r>
    </w:p>
    <w:p w:rsidRPr="007A6CB7" w:rsidR="00076212" w:rsidP="00076212" w:rsidRDefault="00076212" w14:paraId="1E23BB6B" w14:textId="77777777"/>
    <w:p w:rsidRPr="007A6CB7" w:rsidR="00076212" w:rsidP="00A96F55" w:rsidRDefault="00076212" w14:paraId="60070004" w14:textId="60983DB9">
      <w:r w:rsidRPr="007A6CB7">
        <w:t xml:space="preserve">Zowel de aanpassing van het </w:t>
      </w:r>
      <w:proofErr w:type="spellStart"/>
      <w:r w:rsidRPr="007A6CB7">
        <w:t>loopbaanpad</w:t>
      </w:r>
      <w:proofErr w:type="spellEnd"/>
      <w:r w:rsidRPr="007A6CB7">
        <w:t xml:space="preserve"> als de aanpassing van het overgangsbeleid, betreft geen bevorderingsstop naar de Seniorfunctie (schaal 8), maar een verbetering van het beleid om de benoemde ongewenste effecten weg te nemen. Met deze toelichting wordt de toezegging afgedaan.</w:t>
      </w:r>
    </w:p>
    <w:p w:rsidRPr="007A6CB7" w:rsidR="00076212" w:rsidP="00076212" w:rsidRDefault="00076212" w14:paraId="4D015E7F" w14:textId="77777777">
      <w:pPr>
        <w:pStyle w:val="Kop2"/>
      </w:pPr>
      <w:bookmarkStart w:name="_Toc214548337" w:id="2"/>
      <w:bookmarkStart w:name="_Toc216278096" w:id="3"/>
      <w:r w:rsidRPr="007A6CB7">
        <w:t xml:space="preserve">Motie </w:t>
      </w:r>
      <w:proofErr w:type="gramStart"/>
      <w:r w:rsidRPr="007A6CB7">
        <w:t>inzake</w:t>
      </w:r>
      <w:proofErr w:type="gramEnd"/>
      <w:r w:rsidRPr="007A6CB7">
        <w:t xml:space="preserve"> bedreigingen politiemedewerkers</w:t>
      </w:r>
      <w:bookmarkEnd w:id="2"/>
      <w:bookmarkEnd w:id="3"/>
    </w:p>
    <w:p w:rsidRPr="007A6CB7" w:rsidR="00076212" w:rsidP="00076212" w:rsidRDefault="00076212" w14:paraId="4893073A" w14:textId="77777777">
      <w:r w:rsidRPr="007A6CB7">
        <w:t>Naar aanleiding van het commissiedebat Slachtofferbeleid van 2 juli jl. is de motie van het lid Crijns aangenomen om ervoor te zorgen dat persoonsgegevens van politiemedewerkers onder geen beding openbaar gemaakt worden</w:t>
      </w:r>
      <w:r w:rsidRPr="007A6CB7">
        <w:rPr>
          <w:rStyle w:val="Voetnootmarkering"/>
        </w:rPr>
        <w:footnoteReference w:id="2"/>
      </w:r>
      <w:r w:rsidRPr="007A6CB7">
        <w:t xml:space="preserve">. </w:t>
      </w:r>
    </w:p>
    <w:p w:rsidRPr="007A6CB7" w:rsidR="00076212" w:rsidP="00076212" w:rsidRDefault="00076212" w14:paraId="4B8914C9" w14:textId="77777777"/>
    <w:p w:rsidRPr="007A6CB7" w:rsidR="00076212" w:rsidP="00076212" w:rsidRDefault="00076212" w14:paraId="64EF3F41" w14:textId="77777777">
      <w:r w:rsidRPr="007A6CB7">
        <w:t>Politiemedewerkers zetten zich dagelijks in voor onze veiligheid. Dit kan alleen als zij veilig hun werk kunnen uitvoeren. Hierbij ligt er zowel een verantwoordelijkheid bij de werkgever als bij de politiemedewerkers zelf om risico’s te verkleinen. De werkgever kan politiemedewerkers de mogelijkheid bieden om afgeschermd te werken. Bijvoorbeeld door te werken onder nummer, gebruik te maken van gezicht bedekkende kleding of verwijdering van (persoons)gegevens uit interne databases. Tegelijkertijd wil de politie een transparante en benaderbare politieorganisatie zijn. Om deze reden werken politiemedewerkers niet afgeschermd, tenzij hiervoor zwaarwegende overwegingen zijn. De politie kijkt altijd eerst naar mogelijkheden om risico’s op een andere, minder ingrijpende wijze te verminderen voordat er afschermingsmaatregelen worden getroffen. Het afgeschermd werken is tijdelijk en gericht van aard en onderscheidt zich hiermee van de teams die continu vanuit de heimelijkheid werken. Momenteel werkt het Programma ‘Voorbereid op agressie en geweld’ van mijn ministerie samen met onder anderen de politie, het Openbaar Ministerie en de Rechtspraak aan een integrale aanpak op afgeschermd werken. De verwachting is om begin volgend jaar te komen tot een gedeelde visie op afgeschermd werken met praktische handelingsperspectieven. In het arbeidsvoorwaardenakkoord 2025-2027 sector politie ben ik samen met de politie als werkgever en de politievakbonden overeengekomen dat het streven van de politie is om het huidige beleid met betrekking tot afgeschermd werken te laten aansluiten op deze visie en handelingsperspectieven.</w:t>
      </w:r>
    </w:p>
    <w:p w:rsidRPr="007A6CB7" w:rsidR="00076212" w:rsidP="00076212" w:rsidRDefault="00076212" w14:paraId="495A9174" w14:textId="77777777"/>
    <w:p w:rsidRPr="007A6CB7" w:rsidR="00076212" w:rsidP="00076212" w:rsidRDefault="00076212" w14:paraId="328AFE1C" w14:textId="77777777">
      <w:r w:rsidRPr="007A6CB7">
        <w:t>Ondanks deze maatregelen kunnen politiemedewerkers vanwege hun werkzaamheden te maken krijgen met (</w:t>
      </w:r>
      <w:proofErr w:type="spellStart"/>
      <w:r w:rsidRPr="007A6CB7">
        <w:t>be</w:t>
      </w:r>
      <w:proofErr w:type="spellEnd"/>
      <w:r w:rsidRPr="007A6CB7">
        <w:t>)dreigingen. Deze (</w:t>
      </w:r>
      <w:proofErr w:type="spellStart"/>
      <w:r w:rsidRPr="007A6CB7">
        <w:t>be</w:t>
      </w:r>
      <w:proofErr w:type="spellEnd"/>
      <w:r w:rsidRPr="007A6CB7">
        <w:t xml:space="preserve">)dreigingen </w:t>
      </w:r>
      <w:r w:rsidRPr="007A6CB7">
        <w:lastRenderedPageBreak/>
        <w:t>hebben een grote impact op het privéleven en mentale welzijn van politiemedewerkers. Sinds 1 januari 2024 is de wet inwerking getreden die het gebruik van persoonsgegevens voor intimiderende doeleinden (</w:t>
      </w:r>
      <w:proofErr w:type="spellStart"/>
      <w:r w:rsidRPr="007A6CB7">
        <w:t>doxing</w:t>
      </w:r>
      <w:proofErr w:type="spellEnd"/>
      <w:r w:rsidRPr="007A6CB7">
        <w:t xml:space="preserve">) strafbaar stelt. In 2024 zijn er 23 </w:t>
      </w:r>
      <w:proofErr w:type="spellStart"/>
      <w:r w:rsidRPr="007A6CB7">
        <w:t>doxing</w:t>
      </w:r>
      <w:proofErr w:type="spellEnd"/>
      <w:r w:rsidRPr="007A6CB7">
        <w:t xml:space="preserve"> zaken van politiemedewerkers geregistreerd. De politie als werkgever ondersteunt haar medewerkers op verschillende manieren tegen </w:t>
      </w:r>
      <w:proofErr w:type="spellStart"/>
      <w:r w:rsidRPr="007A6CB7">
        <w:t>doxing</w:t>
      </w:r>
      <w:proofErr w:type="spellEnd"/>
      <w:r w:rsidRPr="007A6CB7">
        <w:t xml:space="preserve">. De werkgever biedt een bedreigde politiemedewerker sociale, emotionele of juridische hulp. Hiervoor is een handelingskader voor teamchefs opgesteld. Dit handelingskader is gericht op maatregelen die de politie neemt tegen mensen die politiemedewerkers online intimideren of privégegevens publiceren, zoals de begeleiding bij het aangifteproces wanneer er sprake is van een strafbaar feit. </w:t>
      </w:r>
    </w:p>
    <w:p w:rsidRPr="007A6CB7" w:rsidR="00076212" w:rsidP="00076212" w:rsidRDefault="00076212" w14:paraId="19435263" w14:textId="77777777"/>
    <w:p w:rsidRPr="007A6CB7" w:rsidR="00076212" w:rsidP="00076212" w:rsidRDefault="00076212" w14:paraId="46BC6E1D" w14:textId="77777777">
      <w:r w:rsidRPr="007A6CB7">
        <w:t xml:space="preserve">Daarnaast hebben politiemedewerkers zelf een verantwoordelijkheid om het risico op </w:t>
      </w:r>
      <w:proofErr w:type="spellStart"/>
      <w:r w:rsidRPr="007A6CB7">
        <w:t>doxing</w:t>
      </w:r>
      <w:proofErr w:type="spellEnd"/>
      <w:r w:rsidRPr="007A6CB7">
        <w:t xml:space="preserve"> te minimaliseren, bijvoorbeeld door gebruik te maken van afgeschermde sociale </w:t>
      </w:r>
      <w:proofErr w:type="gramStart"/>
      <w:r w:rsidRPr="007A6CB7">
        <w:t>media accounts</w:t>
      </w:r>
      <w:proofErr w:type="gramEnd"/>
      <w:r w:rsidRPr="007A6CB7">
        <w:t>. De politie blijft zich inzetten om het bewustzijn van politiemedewerkers op het gebied van digitale veiligheid te versterken. Hiermee acht ik de motie afgedaan.</w:t>
      </w:r>
    </w:p>
    <w:p w:rsidRPr="007A6CB7" w:rsidR="002979AF" w:rsidP="002979AF" w:rsidRDefault="002979AF" w14:paraId="61DCFB85" w14:textId="77777777">
      <w:pPr>
        <w:pStyle w:val="Kop2"/>
      </w:pPr>
      <w:bookmarkStart w:name="_Toc216278097" w:id="4"/>
      <w:r w:rsidRPr="007A6CB7">
        <w:t xml:space="preserve">Motie </w:t>
      </w:r>
      <w:proofErr w:type="gramStart"/>
      <w:r w:rsidRPr="007A6CB7">
        <w:t>inzake</w:t>
      </w:r>
      <w:proofErr w:type="gramEnd"/>
      <w:r w:rsidRPr="007A6CB7">
        <w:t xml:space="preserve"> het borgen van de lifestyleneutraliteit van de agent in uniform</w:t>
      </w:r>
      <w:bookmarkEnd w:id="4"/>
      <w:r w:rsidRPr="007A6CB7">
        <w:t xml:space="preserve"> </w:t>
      </w:r>
    </w:p>
    <w:p w:rsidRPr="007A6CB7" w:rsidR="007738BD" w:rsidP="007738BD" w:rsidRDefault="007738BD" w14:paraId="22B44415" w14:textId="79324083">
      <w:pPr>
        <w:rPr>
          <w:lang w:val="nl-BE"/>
        </w:rPr>
      </w:pPr>
      <w:r w:rsidRPr="007A6CB7">
        <w:rPr>
          <w:lang w:val="nl-BE"/>
        </w:rPr>
        <w:t xml:space="preserve">Naar aanleiding van de motie van lid Michon-Derksen informeer ik uw Kamer over het geldende kader bij deelname van politiemedewerkers </w:t>
      </w:r>
      <w:r w:rsidRPr="007A6CB7" w:rsidR="00DD6738">
        <w:rPr>
          <w:lang w:val="nl-BE"/>
        </w:rPr>
        <w:t xml:space="preserve">in uniform </w:t>
      </w:r>
      <w:r w:rsidRPr="007A6CB7">
        <w:rPr>
          <w:lang w:val="nl-BE"/>
        </w:rPr>
        <w:t xml:space="preserve">aan </w:t>
      </w:r>
      <w:proofErr w:type="spellStart"/>
      <w:r w:rsidRPr="007A6CB7">
        <w:rPr>
          <w:lang w:val="nl-BE"/>
        </w:rPr>
        <w:t>iftars</w:t>
      </w:r>
      <w:proofErr w:type="spellEnd"/>
      <w:r w:rsidRPr="007A6CB7">
        <w:rPr>
          <w:lang w:val="nl-BE"/>
        </w:rPr>
        <w:t xml:space="preserve"> en andere religieuze bijeenkomsten en de wijze waarop de Gedragscode lifestyle-neutraliteit hierbij richtinggevend is.</w:t>
      </w:r>
      <w:r w:rsidRPr="007A6CB7">
        <w:rPr>
          <w:rStyle w:val="Voetnootmarkering"/>
          <w:lang w:val="nl-BE"/>
        </w:rPr>
        <w:footnoteReference w:id="3"/>
      </w:r>
      <w:r w:rsidRPr="007A6CB7">
        <w:rPr>
          <w:lang w:val="nl-BE"/>
        </w:rPr>
        <w:t xml:space="preserve"> </w:t>
      </w:r>
    </w:p>
    <w:p w:rsidRPr="007A6CB7" w:rsidR="007738BD" w:rsidP="007738BD" w:rsidRDefault="007738BD" w14:paraId="78A4A42E" w14:textId="77777777">
      <w:pPr>
        <w:rPr>
          <w:lang w:val="nl-BE"/>
        </w:rPr>
      </w:pPr>
    </w:p>
    <w:p w:rsidRPr="007A6CB7" w:rsidR="00076212" w:rsidP="00076212" w:rsidRDefault="00076212" w14:paraId="18CEC152" w14:textId="77777777">
      <w:pPr>
        <w:rPr>
          <w:lang w:val="nl-BE"/>
        </w:rPr>
      </w:pPr>
      <w:r w:rsidRPr="007A6CB7">
        <w:rPr>
          <w:lang w:val="nl-BE"/>
        </w:rPr>
        <w:t xml:space="preserve">De politie is er voor alle burgers, ongeacht afkomst, geloof of levensovertuiging. De grondwet is hierbij het uitgangspunt en geldt als fundament voor de beroepsidentiteit van alle medewerkers. Tegelijkertijd bouwt een effectieve politie bruggen naar alle gemeenschappen in de samenleving. Door deze maatschappelijke verankering is de politie zichtbaar voor burgers en wordt de afstand tussen politie en de samenleving verkleind. De politie staat bij voorkeur tussen burgers en niet tegenover hen. Dit versterkt het vertrouwen in de politie en vergroot haar legitimiteit. </w:t>
      </w:r>
    </w:p>
    <w:p w:rsidRPr="007A6CB7" w:rsidR="00076212" w:rsidP="00076212" w:rsidRDefault="00076212" w14:paraId="4EDB25A7" w14:textId="77777777">
      <w:pPr>
        <w:rPr>
          <w:lang w:val="nl-BE"/>
        </w:rPr>
      </w:pPr>
    </w:p>
    <w:p w:rsidRPr="007A6CB7" w:rsidR="00076212" w:rsidP="00076212" w:rsidRDefault="00076212" w14:paraId="484060B8" w14:textId="7152E561">
      <w:pPr>
        <w:rPr>
          <w:lang w:val="nl-BE"/>
        </w:rPr>
      </w:pPr>
      <w:r w:rsidRPr="007A6CB7">
        <w:t xml:space="preserve">De politie organiseert verschillende bijeenkomsten in het teken van betekenisvolle dagen. Ook woont de politie bijeenkomsten van derden bij. </w:t>
      </w:r>
      <w:r w:rsidRPr="007A6CB7">
        <w:rPr>
          <w:lang w:val="nl-BE"/>
        </w:rPr>
        <w:t xml:space="preserve">Dergelijke momenten kunnen waardevol zijn voor het vergroten van wederzijds begrip en het versterken van contacten binnen de gemeenschappen. Het aangaan en onderhouden van relaties en samenwerken met burgers, sleutelfiguren en maatschappelijke partners uit alle groepen in de samenleving is essentieel voor goed politiewerk, mits dit gebeurt vanuit de professionele rol en binnen de geldende kaders. </w:t>
      </w:r>
      <w:r w:rsidRPr="007A6CB7" w:rsidR="00920E39">
        <w:rPr>
          <w:lang w:val="nl-BE"/>
        </w:rPr>
        <w:t>D</w:t>
      </w:r>
      <w:r w:rsidRPr="007A6CB7" w:rsidR="00942F6D">
        <w:rPr>
          <w:lang w:val="nl-BE"/>
        </w:rPr>
        <w:t xml:space="preserve">e </w:t>
      </w:r>
      <w:r w:rsidRPr="007A6CB7" w:rsidR="00502985">
        <w:rPr>
          <w:lang w:val="nl-BE"/>
        </w:rPr>
        <w:t>b</w:t>
      </w:r>
      <w:r w:rsidRPr="007A6CB7" w:rsidR="00942F6D">
        <w:rPr>
          <w:lang w:val="nl-BE"/>
        </w:rPr>
        <w:t xml:space="preserve">eroeps- </w:t>
      </w:r>
      <w:r w:rsidRPr="007A6CB7" w:rsidR="00920E39">
        <w:rPr>
          <w:lang w:val="nl-BE"/>
        </w:rPr>
        <w:t>en</w:t>
      </w:r>
      <w:r w:rsidRPr="007A6CB7" w:rsidR="00942F6D">
        <w:rPr>
          <w:lang w:val="nl-BE"/>
        </w:rPr>
        <w:t xml:space="preserve"> </w:t>
      </w:r>
      <w:r w:rsidRPr="007A6CB7" w:rsidR="00502985">
        <w:rPr>
          <w:lang w:val="nl-BE"/>
        </w:rPr>
        <w:t>g</w:t>
      </w:r>
      <w:r w:rsidRPr="007A6CB7" w:rsidR="00942F6D">
        <w:rPr>
          <w:lang w:val="nl-BE"/>
        </w:rPr>
        <w:t>edragscode</w:t>
      </w:r>
      <w:r w:rsidRPr="007A6CB7" w:rsidDel="00942F6D" w:rsidR="00942F6D">
        <w:rPr>
          <w:lang w:val="nl-BE"/>
        </w:rPr>
        <w:t xml:space="preserve"> </w:t>
      </w:r>
      <w:r w:rsidRPr="007A6CB7" w:rsidR="00920E39">
        <w:rPr>
          <w:lang w:val="nl-BE"/>
        </w:rPr>
        <w:t>vormt</w:t>
      </w:r>
      <w:r w:rsidRPr="007A6CB7">
        <w:rPr>
          <w:lang w:val="nl-BE"/>
        </w:rPr>
        <w:t xml:space="preserve"> hierbij </w:t>
      </w:r>
      <w:r w:rsidRPr="007A6CB7" w:rsidR="00920E39">
        <w:rPr>
          <w:lang w:val="nl-BE"/>
        </w:rPr>
        <w:t>het</w:t>
      </w:r>
      <w:r w:rsidRPr="007A6CB7" w:rsidR="003C7943">
        <w:rPr>
          <w:lang w:val="nl-BE"/>
        </w:rPr>
        <w:t xml:space="preserve"> </w:t>
      </w:r>
      <w:r w:rsidRPr="007A6CB7">
        <w:rPr>
          <w:lang w:val="nl-BE"/>
        </w:rPr>
        <w:t>uitgangspunt. Deze schrij</w:t>
      </w:r>
      <w:r w:rsidRPr="007A6CB7" w:rsidR="00942F6D">
        <w:rPr>
          <w:lang w:val="nl-BE"/>
        </w:rPr>
        <w:t>ven</w:t>
      </w:r>
      <w:r w:rsidRPr="007A6CB7">
        <w:rPr>
          <w:lang w:val="nl-BE"/>
        </w:rPr>
        <w:t xml:space="preserve"> voor dat politiemedewerkers bij hun optreden in uniform geen uiting geven aan persoonlijke overtuigingen, religie of levensstijl. </w:t>
      </w:r>
    </w:p>
    <w:p w:rsidRPr="007A6CB7" w:rsidR="00076212" w:rsidP="00076212" w:rsidRDefault="00076212" w14:paraId="68CB3FA5" w14:textId="77777777"/>
    <w:p w:rsidRPr="007A6CB7" w:rsidR="00076212" w:rsidP="00076212" w:rsidRDefault="00076212" w14:paraId="58557DBF" w14:textId="77777777">
      <w:pPr>
        <w:rPr>
          <w:lang w:val="nl-BE"/>
        </w:rPr>
      </w:pPr>
      <w:r w:rsidRPr="007A6CB7">
        <w:rPr>
          <w:lang w:val="nl-BE"/>
        </w:rPr>
        <w:t xml:space="preserve">De korpschef heeft nadrukkelijk aangegeven dat politiemensen wel aanwezig kunnen zijn bij betekenisvolle bijeenkomsten, maar vanuit de beroeps- en gedragscode niet actief mogen deelnemen aan religieuze handelingen, zoals de </w:t>
      </w:r>
      <w:r w:rsidRPr="007A6CB7">
        <w:rPr>
          <w:lang w:val="nl-BE"/>
        </w:rPr>
        <w:lastRenderedPageBreak/>
        <w:t>oproep tot gebed of het uitspreken van een preek. Het uitgangspunt is dat medewerkers van de politie enkel deelnemen aan dergelijke bijeenkomsten wanneer dit past binnen hun functie en de doelstellingen van de politietaak, bijvoorbeeld in het kader van wijkgericht werken, netwerkvorming, het verbeteren van de samenwerking, het vroegtijdig opvangen van signalen en het bevorderen van de laagdrempeligheid en benaderbaarheid van de politie voor burgers. De aanwezigheid vindt dan plaats namens de organisatie, niet op persoonlijke of religieuze gronden. In geval van deelname dient steeds duidelijk te zijn dat de politiemedewerker optreedt als professional en vertegenwoordiger van het gezag. De deelname is daarmee geen identificatie met, of voorkeur voor, een bepaalde religie of overtuiging. Deze uitgangspunten worden nader geëxpliciteerd in de reguliere lijn, onder andere binnen de Netwerken Divers Vakmanschap (NDV) en vanuit het programmateam Politie voor Iedereen (PVI) in de eenheden.</w:t>
      </w:r>
    </w:p>
    <w:p w:rsidRPr="007A6CB7" w:rsidR="00076212" w:rsidP="00076212" w:rsidRDefault="00076212" w14:paraId="62C5FC4D" w14:textId="77777777">
      <w:pPr>
        <w:rPr>
          <w:lang w:val="nl-BE"/>
        </w:rPr>
      </w:pPr>
    </w:p>
    <w:p w:rsidRPr="007A6CB7" w:rsidR="00076212" w:rsidP="00076212" w:rsidRDefault="00076212" w14:paraId="606CEFBC" w14:textId="77777777">
      <w:pPr>
        <w:rPr>
          <w:lang w:val="nl-BE"/>
        </w:rPr>
      </w:pPr>
      <w:r w:rsidRPr="007A6CB7">
        <w:rPr>
          <w:lang w:val="nl-BE"/>
        </w:rPr>
        <w:t>Binnen de eigen organisatie is er uiteraard wel ruimte voor persoonlijke overtuigingen en geloofsbeleving. De korpsleiding blijft in gesprek met haar medewerkers over de invulling van het politiewerk en de manier waarop zij verbinding maakt met groepen in de samenleving. De korpsleiding ziet daarbij toe op de neutraliteit en op de juiste interpretatie en uitvoering van de beroeps- en gedragscode. Hiermee acht ik de motie afgedaan.</w:t>
      </w:r>
    </w:p>
    <w:p w:rsidRPr="007A6CB7" w:rsidR="00743F87" w:rsidP="00743F87" w:rsidRDefault="00743F87" w14:paraId="6B4309CB" w14:textId="36DFBE74">
      <w:pPr>
        <w:pStyle w:val="Kop2"/>
      </w:pPr>
      <w:bookmarkStart w:name="_Toc216278098" w:id="5"/>
      <w:r w:rsidRPr="007A6CB7">
        <w:t xml:space="preserve">Toezegging </w:t>
      </w:r>
      <w:proofErr w:type="gramStart"/>
      <w:r w:rsidRPr="007A6CB7">
        <w:t>inzake</w:t>
      </w:r>
      <w:proofErr w:type="gramEnd"/>
      <w:r w:rsidRPr="007A6CB7">
        <w:t xml:space="preserve"> vervroeging evaluatie geweldsmiddelen basispolitiezorg</w:t>
      </w:r>
      <w:bookmarkEnd w:id="5"/>
    </w:p>
    <w:p w:rsidRPr="007A6CB7" w:rsidR="008C52A0" w:rsidP="008C52A0" w:rsidRDefault="00743F87" w14:paraId="7BE8BD20" w14:textId="4DCE8D12">
      <w:r w:rsidRPr="007A6CB7">
        <w:t>Op 20 april 2021 heeft in de Eerste Kamer de behandeling plaatsgevonden van het (toenmalige) wetsvoorstel geweldsaanwending opsporingsambtenaar.</w:t>
      </w:r>
      <w:r w:rsidRPr="007A6CB7">
        <w:rPr>
          <w:rStyle w:val="Voetnootmarkering"/>
        </w:rPr>
        <w:footnoteReference w:id="4"/>
      </w:r>
      <w:r w:rsidRPr="007A6CB7">
        <w:t xml:space="preserve"> Daarbij is gesproken over een voorgenomen evaluatie van onder meer het stroomstootwapen, die </w:t>
      </w:r>
      <w:proofErr w:type="gramStart"/>
      <w:r w:rsidRPr="007A6CB7">
        <w:t>aanvankelijk</w:t>
      </w:r>
      <w:proofErr w:type="gramEnd"/>
      <w:r w:rsidRPr="007A6CB7">
        <w:t xml:space="preserve"> gepland stond in 2027. Op verzoek van Kamerleden</w:t>
      </w:r>
      <w:r w:rsidRPr="007A6CB7" w:rsidR="00B9079E">
        <w:t xml:space="preserve"> </w:t>
      </w:r>
      <w:proofErr w:type="spellStart"/>
      <w:r w:rsidRPr="007A6CB7" w:rsidR="00B9079E">
        <w:t>Recourt</w:t>
      </w:r>
      <w:proofErr w:type="spellEnd"/>
      <w:r w:rsidRPr="007A6CB7" w:rsidR="00B9079E">
        <w:t>, Rombouts en Vos</w:t>
      </w:r>
      <w:r w:rsidRPr="007A6CB7">
        <w:t>, heeft mijn ambtsvoorganger toegezegd dat de evaluatie zou worden vervroegd, zodat deze in 2025 zou worden uitgevoerd</w:t>
      </w:r>
      <w:r w:rsidRPr="007A6CB7" w:rsidR="008924C4">
        <w:rPr>
          <w:rStyle w:val="Voetnootmarkering"/>
        </w:rPr>
        <w:footnoteReference w:id="5"/>
      </w:r>
      <w:r w:rsidRPr="007A6CB7">
        <w:t xml:space="preserve">. In dat verband kan ik meedelen dat </w:t>
      </w:r>
      <w:proofErr w:type="gramStart"/>
      <w:r w:rsidRPr="007A6CB7">
        <w:t>conform</w:t>
      </w:r>
      <w:proofErr w:type="gramEnd"/>
      <w:r w:rsidRPr="007A6CB7">
        <w:t xml:space="preserve"> de toezegging momenteel een brede evaluatie wordt uitgevoerd, waarin alle geweldmiddelen waarover politiemedewerkers in de basispolitiezorg beschikken in beschouwing worden genomen. De resultaten van deze evaluatie worden naar verwachting in het najaar van 2026 opgeleverd en met uw Kamer gedeeld.</w:t>
      </w:r>
    </w:p>
    <w:p w:rsidRPr="007A6CB7" w:rsidR="00076212" w:rsidP="00076212" w:rsidRDefault="00076212" w14:paraId="103F6D05" w14:textId="77777777">
      <w:pPr>
        <w:pStyle w:val="Kop2"/>
      </w:pPr>
      <w:bookmarkStart w:name="_Toc214548340" w:id="6"/>
      <w:bookmarkStart w:name="_Toc216278099" w:id="7"/>
      <w:bookmarkStart w:name="_Hlk213935742" w:id="8"/>
      <w:r w:rsidRPr="007A6CB7">
        <w:t xml:space="preserve">Motie </w:t>
      </w:r>
      <w:proofErr w:type="gramStart"/>
      <w:r w:rsidRPr="007A6CB7">
        <w:t>inzake</w:t>
      </w:r>
      <w:proofErr w:type="gramEnd"/>
      <w:r w:rsidRPr="007A6CB7">
        <w:t xml:space="preserve"> het gebruik van de selectiepaal</w:t>
      </w:r>
      <w:bookmarkEnd w:id="6"/>
      <w:bookmarkEnd w:id="7"/>
    </w:p>
    <w:p w:rsidRPr="007A6CB7" w:rsidR="00076212" w:rsidP="00076212" w:rsidRDefault="00076212" w14:paraId="6C460339" w14:textId="748112B1">
      <w:bookmarkStart w:name="_Hlk214623127" w:id="9"/>
      <w:bookmarkEnd w:id="8"/>
      <w:r w:rsidRPr="007A6CB7">
        <w:t>In de motie van het lid Michon-Derkzen</w:t>
      </w:r>
      <w:r w:rsidRPr="007A6CB7">
        <w:rPr>
          <w:rStyle w:val="Voetnootmarkering"/>
        </w:rPr>
        <w:footnoteReference w:id="6"/>
      </w:r>
      <w:r w:rsidRPr="007A6CB7">
        <w:t xml:space="preserve"> wordt opgeroepen om op te houden met de inzet van een selectiepaal. Deze selectiepaal kan worden ingezet op controles op personen of voertuigen om zo zichtbaar gerandomiseerd/aselectief te controleren en is onder andere ingezet in Amsterdam. Daar is met behulp van burgerparticipatie gekeken is hoe de politie op zichtbaar aselecte wijze steekproeven zou kunnen uitvoeren. Zoals toegezegd tijdens het tweeminutendebat op 2 september ben ik hierover in gesprek gegaan met de korpsleiding en het LOVP. In die gesprekken is </w:t>
      </w:r>
      <w:r w:rsidRPr="007A6CB7" w:rsidR="008B1DA5">
        <w:t xml:space="preserve">benadrukt </w:t>
      </w:r>
      <w:r w:rsidRPr="007A6CB7">
        <w:t xml:space="preserve">dat politieagenten worden opgeleid om op professionele wijze controles te kunnen uitvoeren. Ik </w:t>
      </w:r>
      <w:r w:rsidRPr="007A6CB7" w:rsidR="008B1DA5">
        <w:lastRenderedPageBreak/>
        <w:t>vertrouw</w:t>
      </w:r>
      <w:r w:rsidRPr="007A6CB7">
        <w:t xml:space="preserve"> </w:t>
      </w:r>
      <w:r w:rsidRPr="007A6CB7" w:rsidR="007555E3">
        <w:t>op</w:t>
      </w:r>
      <w:r w:rsidRPr="007A6CB7">
        <w:t xml:space="preserve"> de professionaliteit van onze politieagenten, met of zonder inzet van een extra hulpmiddel. </w:t>
      </w:r>
      <w:proofErr w:type="gramStart"/>
      <w:r w:rsidRPr="007A6CB7">
        <w:t>Tevens</w:t>
      </w:r>
      <w:proofErr w:type="gramEnd"/>
      <w:r w:rsidRPr="007A6CB7">
        <w:t xml:space="preserve"> is in de gesprekken bevestigd dat het conform het politiebestel aan de lokale driehoek is om in het geval van controle- en preventief fouilleeracties de voorwaarden en dus de eventuele inzet van dergelijke middelen te bepalen. De inzet van een selectiepaal neemt niet weg dat er altijd ruimte is voor de professionele inschatting van de agent ter plekke. Ik beschouw de motie hiermee als afgedaan.</w:t>
      </w:r>
    </w:p>
    <w:p w:rsidRPr="007A6CB7" w:rsidR="008C52A0" w:rsidP="008C52A0" w:rsidRDefault="008C52A0" w14:paraId="331C5102" w14:textId="0C62F5F1">
      <w:pPr>
        <w:pStyle w:val="Kop1"/>
      </w:pPr>
      <w:bookmarkStart w:name="_Toc216278100" w:id="10"/>
      <w:bookmarkEnd w:id="9"/>
      <w:r w:rsidRPr="007A6CB7">
        <w:t>Zichtbaarheid en benaderbaarheid</w:t>
      </w:r>
      <w:bookmarkEnd w:id="10"/>
    </w:p>
    <w:p w:rsidRPr="007A6CB7" w:rsidR="008C52A0" w:rsidP="008C52A0" w:rsidRDefault="008C52A0" w14:paraId="1A18D0D8" w14:textId="77777777"/>
    <w:p w:rsidRPr="007A6CB7" w:rsidR="008C52A0" w:rsidP="008C52A0" w:rsidRDefault="008C52A0" w14:paraId="2A583021" w14:textId="122CFE7E">
      <w:r w:rsidRPr="007A6CB7">
        <w:t>In het verlengde van mijn brief van 21 februari 2025</w:t>
      </w:r>
      <w:r w:rsidRPr="007A6CB7">
        <w:rPr>
          <w:rStyle w:val="Voetnootmarkering"/>
        </w:rPr>
        <w:footnoteReference w:id="7"/>
      </w:r>
      <w:r w:rsidRPr="007A6CB7">
        <w:t>, het halfjaarbericht politie van 12 juni 2025</w:t>
      </w:r>
      <w:r w:rsidRPr="007A6CB7">
        <w:rPr>
          <w:rStyle w:val="Voetnootmarkering"/>
        </w:rPr>
        <w:footnoteReference w:id="8"/>
      </w:r>
      <w:r w:rsidRPr="007A6CB7">
        <w:t xml:space="preserve"> en het commissiedebat politie van 2 juli 2025 ga ik hieronder in op de wijze waarop ik de moties van het lid Van Nispen en Michon-Derkzen c.s.</w:t>
      </w:r>
      <w:r w:rsidRPr="007A6CB7" w:rsidR="008924C4">
        <w:t xml:space="preserve"> </w:t>
      </w:r>
      <w:r w:rsidRPr="007A6CB7" w:rsidR="008B1DA5">
        <w:t xml:space="preserve">met betrekking tot huisvesting </w:t>
      </w:r>
      <w:r w:rsidRPr="007A6CB7">
        <w:t xml:space="preserve">heb afgedaan. </w:t>
      </w:r>
    </w:p>
    <w:p w:rsidRPr="007A6CB7" w:rsidR="008C52A0" w:rsidP="008C52A0" w:rsidRDefault="008C52A0" w14:paraId="1940DF48" w14:textId="3D9B4506">
      <w:pPr>
        <w:pStyle w:val="Kop2"/>
      </w:pPr>
      <w:bookmarkStart w:name="_Toc216278101" w:id="11"/>
      <w:r w:rsidRPr="007A6CB7">
        <w:t xml:space="preserve">Motie </w:t>
      </w:r>
      <w:proofErr w:type="gramStart"/>
      <w:r w:rsidRPr="007A6CB7">
        <w:t>inzake</w:t>
      </w:r>
      <w:proofErr w:type="gramEnd"/>
      <w:r w:rsidRPr="007A6CB7">
        <w:t xml:space="preserve"> een huisvestingsplan per regio</w:t>
      </w:r>
      <w:bookmarkEnd w:id="11"/>
    </w:p>
    <w:p w:rsidRPr="007A6CB7" w:rsidR="008C52A0" w:rsidP="008C52A0" w:rsidRDefault="00076212" w14:paraId="67C9BE9E" w14:textId="4BBC4D95">
      <w:bookmarkStart w:name="_Hlk214623172" w:id="12"/>
      <w:r w:rsidRPr="007A6CB7">
        <w:t xml:space="preserve">De motie Michon-Derkzen c.s. van september 2025 verzoekt de regering te bewerkstelligen dat er een huisvestingsplan per regio komt, en dat dit door de politie expliciet wordt afgestemd met de (regio)burgemeesters en de beheerder van de politie. </w:t>
      </w:r>
      <w:proofErr w:type="gramStart"/>
      <w:r w:rsidRPr="007A6CB7">
        <w:t>Middels</w:t>
      </w:r>
      <w:proofErr w:type="gramEnd"/>
      <w:r w:rsidRPr="007A6CB7">
        <w:t xml:space="preserve"> de tekst in de hoofdbrief van dit halfjaarbericht beschouw ik de motie als afgedaan</w:t>
      </w:r>
      <w:bookmarkEnd w:id="12"/>
      <w:r w:rsidRPr="007A6CB7" w:rsidR="008924C4">
        <w:rPr>
          <w:rStyle w:val="Voetnootmarkering"/>
        </w:rPr>
        <w:footnoteReference w:id="9"/>
      </w:r>
      <w:r w:rsidRPr="007A6CB7" w:rsidR="008C52A0">
        <w:t xml:space="preserve">. </w:t>
      </w:r>
    </w:p>
    <w:p w:rsidRPr="007A6CB7" w:rsidR="008C52A0" w:rsidP="008C52A0" w:rsidRDefault="008C52A0" w14:paraId="740AAE22" w14:textId="77777777">
      <w:pPr>
        <w:pStyle w:val="Kop2"/>
      </w:pPr>
      <w:bookmarkStart w:name="_Toc216278102" w:id="13"/>
      <w:r w:rsidRPr="007A6CB7">
        <w:t xml:space="preserve">Motie </w:t>
      </w:r>
      <w:proofErr w:type="gramStart"/>
      <w:r w:rsidRPr="007A6CB7">
        <w:t>inzake</w:t>
      </w:r>
      <w:proofErr w:type="gramEnd"/>
      <w:r w:rsidRPr="007A6CB7">
        <w:t xml:space="preserve"> een pas op de plaats bij de sluiting van politiebureaus</w:t>
      </w:r>
      <w:bookmarkEnd w:id="13"/>
      <w:r w:rsidRPr="007A6CB7">
        <w:t> </w:t>
      </w:r>
    </w:p>
    <w:p w:rsidRPr="007A6CB7" w:rsidR="00786281" w:rsidP="00786281" w:rsidRDefault="008C52A0" w14:paraId="43A4ACF2" w14:textId="61BCE58C">
      <w:r w:rsidRPr="007A6CB7">
        <w:t>De motie Van Nispen verzoekt de regering om een pas op de plaats te maken met het sluiten van politiebureaus</w:t>
      </w:r>
      <w:r w:rsidRPr="007A6CB7" w:rsidR="00B4555C">
        <w:rPr>
          <w:rStyle w:val="Voetnootmarkering"/>
        </w:rPr>
        <w:footnoteReference w:id="10"/>
      </w:r>
      <w:r w:rsidRPr="007A6CB7">
        <w:t>. In het halfjaarbericht van 12 juni jl.</w:t>
      </w:r>
      <w:r w:rsidRPr="007A6CB7" w:rsidR="00B4555C">
        <w:rPr>
          <w:rStyle w:val="Voetnootmarkering"/>
        </w:rPr>
        <w:footnoteReference w:id="11"/>
      </w:r>
      <w:r w:rsidRPr="007A6CB7">
        <w:t xml:space="preserve"> heeft mijn ambtsvoorganger al toegelicht dat de consequenties van een dergelijke pas op de plaats verstrekkend zijn en onlosmakelijk verband houden met het proces dat de korpschef in gang heeft gezet voor keuzes om de meerjarenbegroting sluitend te maken. Omdat keuzes ten aanzien van de huisvesting onlosmakelijk samenhangen met andere delen van de politiebegroting, zal de opvolging van de motie Van Nispen worden betrokken bij het proces dat de korpschef in gang heeft gezet. Alleen op die manier kunnen zorgvuldige keuzes worden voorbereid die bij een ongewijzigd financieel kader moeten worden gemaakt. </w:t>
      </w:r>
      <w:r w:rsidRPr="007A6CB7" w:rsidR="00586460">
        <w:t>Hiermee beschouw ik de motie als afgedaan.</w:t>
      </w:r>
    </w:p>
    <w:p w:rsidRPr="007A6CB7" w:rsidR="00786281" w:rsidP="00786281" w:rsidRDefault="00786281" w14:paraId="4A70C8F5" w14:textId="0F96021D">
      <w:pPr>
        <w:pStyle w:val="Kop1"/>
      </w:pPr>
      <w:bookmarkStart w:name="_Toc216278103" w:id="14"/>
      <w:proofErr w:type="spellStart"/>
      <w:r w:rsidRPr="007A6CB7">
        <w:t>Sterkteverdeelsystematiek</w:t>
      </w:r>
      <w:bookmarkEnd w:id="14"/>
      <w:proofErr w:type="spellEnd"/>
    </w:p>
    <w:p w:rsidRPr="007A6CB7" w:rsidR="00786281" w:rsidP="00187E83" w:rsidRDefault="008C52A0" w14:paraId="0EB8A8E4" w14:textId="1E3BA0D2">
      <w:pPr>
        <w:pStyle w:val="Kop2"/>
      </w:pPr>
      <w:bookmarkStart w:name="_Toc216278104" w:id="15"/>
      <w:bookmarkStart w:name="_Hlk214625424" w:id="16"/>
      <w:r w:rsidRPr="007A6CB7">
        <w:t>Motie</w:t>
      </w:r>
      <w:r w:rsidRPr="007A6CB7" w:rsidR="00187E83">
        <w:t>s</w:t>
      </w:r>
      <w:r w:rsidRPr="007A6CB7">
        <w:t xml:space="preserve"> </w:t>
      </w:r>
      <w:proofErr w:type="gramStart"/>
      <w:r w:rsidRPr="007A6CB7">
        <w:t>inzake</w:t>
      </w:r>
      <w:proofErr w:type="gramEnd"/>
      <w:r w:rsidRPr="007A6CB7">
        <w:t xml:space="preserve"> </w:t>
      </w:r>
      <w:proofErr w:type="spellStart"/>
      <w:r w:rsidRPr="007A6CB7" w:rsidR="008B1DA5">
        <w:t>politieverdeelsystematiek</w:t>
      </w:r>
      <w:bookmarkEnd w:id="15"/>
      <w:proofErr w:type="spellEnd"/>
    </w:p>
    <w:p w:rsidRPr="007A6CB7" w:rsidR="00DE6E1D" w:rsidP="00DE6E1D" w:rsidRDefault="00DE6E1D" w14:paraId="4302C4A4" w14:textId="08D0B91C">
      <w:r w:rsidRPr="007A6CB7">
        <w:t xml:space="preserve">Naar aanleiding van een brief van de </w:t>
      </w:r>
      <w:r w:rsidRPr="007A6CB7" w:rsidR="0008543D">
        <w:t>r</w:t>
      </w:r>
      <w:r w:rsidRPr="007A6CB7">
        <w:t xml:space="preserve">egioburgemeesters en het Openbaar Ministerie (OM), de motie </w:t>
      </w:r>
      <w:r w:rsidRPr="007A6CB7" w:rsidR="0008543D">
        <w:t>v</w:t>
      </w:r>
      <w:r w:rsidRPr="007A6CB7">
        <w:t>an der Plas c.s.</w:t>
      </w:r>
      <w:r w:rsidRPr="007A6CB7">
        <w:rPr>
          <w:vertAlign w:val="superscript"/>
        </w:rPr>
        <w:footnoteReference w:id="12"/>
      </w:r>
      <w:r w:rsidRPr="007A6CB7">
        <w:t xml:space="preserve">, de motie </w:t>
      </w:r>
      <w:r w:rsidRPr="007A6CB7" w:rsidR="0008543D">
        <w:t>v</w:t>
      </w:r>
      <w:r w:rsidRPr="007A6CB7">
        <w:t>an der Werf en Kuik</w:t>
      </w:r>
      <w:r w:rsidRPr="007A6CB7">
        <w:rPr>
          <w:vertAlign w:val="superscript"/>
        </w:rPr>
        <w:footnoteReference w:id="13"/>
      </w:r>
      <w:r w:rsidRPr="007A6CB7">
        <w:t xml:space="preserve"> en de motie Kuik</w:t>
      </w:r>
      <w:r w:rsidRPr="007A6CB7">
        <w:rPr>
          <w:vertAlign w:val="superscript"/>
        </w:rPr>
        <w:footnoteReference w:id="14"/>
      </w:r>
      <w:r w:rsidRPr="007A6CB7">
        <w:t xml:space="preserve"> is een nieuwe verdeelsystematiek voor politiesterkte vormgegeven, omdat de huidige systematiek op onderdelen verouderd is en niet </w:t>
      </w:r>
      <w:r w:rsidRPr="007A6CB7">
        <w:lastRenderedPageBreak/>
        <w:t xml:space="preserve">meer past in de huidige tijdsgeest. Deze nieuwe systematiek </w:t>
      </w:r>
      <w:r w:rsidRPr="007A6CB7" w:rsidR="008B1DA5">
        <w:t xml:space="preserve">zal </w:t>
      </w:r>
      <w:r w:rsidRPr="007A6CB7" w:rsidR="00586460">
        <w:t xml:space="preserve">enkel </w:t>
      </w:r>
      <w:r w:rsidRPr="007A6CB7">
        <w:t xml:space="preserve">gebruikt </w:t>
      </w:r>
      <w:r w:rsidRPr="007A6CB7" w:rsidR="008B1DA5">
        <w:t xml:space="preserve">worden </w:t>
      </w:r>
      <w:r w:rsidRPr="007A6CB7">
        <w:t xml:space="preserve">voor het verdelen van </w:t>
      </w:r>
      <w:r w:rsidRPr="007A6CB7">
        <w:rPr>
          <w:i/>
          <w:iCs/>
        </w:rPr>
        <w:t xml:space="preserve">eventuele nieuwe </w:t>
      </w:r>
      <w:r w:rsidRPr="007A6CB7">
        <w:t>sterkte over de regionale eenheden. Er is dus geen sprake van een herverdeling van de huidige sterkte (formatie) over de regionale eenheden</w:t>
      </w:r>
      <w:r w:rsidRPr="007A6CB7" w:rsidR="00586460">
        <w:t>.</w:t>
      </w:r>
      <w:r w:rsidRPr="007A6CB7">
        <w:t xml:space="preserve"> </w:t>
      </w:r>
      <w:r w:rsidRPr="007A6CB7" w:rsidR="00586460">
        <w:t>Ik benadruk dat</w:t>
      </w:r>
      <w:r w:rsidRPr="007A6CB7">
        <w:t xml:space="preserve"> het onderzoek niet</w:t>
      </w:r>
      <w:r w:rsidRPr="007A6CB7" w:rsidR="00586460">
        <w:t xml:space="preserve"> gaat</w:t>
      </w:r>
      <w:r w:rsidRPr="007A6CB7">
        <w:t xml:space="preserve"> over de totaal benodigde politiesterkte of over de sterkteverdeling tussen de landelijke en regionale eenheden. Tenslotte gaat het onderzoek over de verdeling van operationele sterkte over de regionale eenheden en niet over de verdeling van niet-operationele sterkte.</w:t>
      </w:r>
      <w:r w:rsidRPr="007A6CB7">
        <w:rPr>
          <w:vertAlign w:val="superscript"/>
        </w:rPr>
        <w:footnoteReference w:id="15"/>
      </w:r>
    </w:p>
    <w:p w:rsidRPr="007A6CB7" w:rsidR="00DE6E1D" w:rsidP="00DE6E1D" w:rsidRDefault="00DE6E1D" w14:paraId="453C79AA" w14:textId="77777777"/>
    <w:p w:rsidRPr="007A6CB7" w:rsidR="002979AF" w:rsidP="002979AF" w:rsidRDefault="00DE6E1D" w14:paraId="574C5936" w14:textId="0DAFECDE">
      <w:r w:rsidRPr="007A6CB7">
        <w:t xml:space="preserve">De nieuwe verdeelsystematiek moet actueel, dynamisch, toekomstbestendig en transparant zijn. Daarom is </w:t>
      </w:r>
      <w:r w:rsidRPr="007A6CB7" w:rsidR="00076212">
        <w:t>de werklast gemeten die zij hebben door</w:t>
      </w:r>
      <w:r w:rsidRPr="007A6CB7">
        <w:t xml:space="preserve"> de opgaven waar de regionale eenheden voor staan. Vervolgens is gekeken hoe deze werklast het best </w:t>
      </w:r>
      <w:r w:rsidRPr="007A6CB7" w:rsidR="008B1DA5">
        <w:t xml:space="preserve">gemeten </w:t>
      </w:r>
      <w:r w:rsidRPr="007A6CB7">
        <w:t xml:space="preserve">kan worden op basis van omgevingskenmerken. </w:t>
      </w:r>
      <w:r w:rsidRPr="007A6CB7" w:rsidR="008B1DA5">
        <w:t xml:space="preserve">Bij deze berekening </w:t>
      </w:r>
      <w:r w:rsidRPr="007A6CB7">
        <w:t xml:space="preserve">zijn ook aspecten als beschikbaarheid en bereikbaarheid betrokken. Op basis hiervan is een nieuwe – zo objectiveerbaar mogelijke – systematiek voor het verdelen van (nieuwe) sterkte opgesteld. Bij de totstandkoming zijn de politie, het OM en de </w:t>
      </w:r>
      <w:r w:rsidRPr="007A6CB7" w:rsidR="00BF4C58">
        <w:t>r</w:t>
      </w:r>
      <w:r w:rsidRPr="007A6CB7">
        <w:t xml:space="preserve">egioburgemeesters nauw betrokken. Ook het </w:t>
      </w:r>
      <w:r w:rsidRPr="007A6CB7" w:rsidR="00D54CF8">
        <w:t xml:space="preserve">betrekken van de eenheden en de </w:t>
      </w:r>
      <w:r w:rsidRPr="007A6CB7" w:rsidR="00833A6D">
        <w:t>plattelands</w:t>
      </w:r>
      <w:r w:rsidRPr="007A6CB7" w:rsidR="00D54CF8">
        <w:t>regio</w:t>
      </w:r>
      <w:r w:rsidRPr="007A6CB7" w:rsidR="00833A6D">
        <w:t>’s</w:t>
      </w:r>
      <w:r w:rsidRPr="007A6CB7" w:rsidR="00D54CF8">
        <w:t xml:space="preserve"> is een belangrijk onderdeel van het proces geweest, zoals gevraagd in de motie </w:t>
      </w:r>
      <w:proofErr w:type="spellStart"/>
      <w:r w:rsidRPr="007A6CB7" w:rsidR="00D54CF8">
        <w:t>Wijen-Nass</w:t>
      </w:r>
      <w:proofErr w:type="spellEnd"/>
      <w:r w:rsidRPr="007A6CB7" w:rsidR="00D54CF8">
        <w:t xml:space="preserve"> (BBB)</w:t>
      </w:r>
      <w:r w:rsidRPr="007A6CB7">
        <w:t>.</w:t>
      </w:r>
      <w:r w:rsidRPr="007A6CB7">
        <w:rPr>
          <w:vertAlign w:val="superscript"/>
        </w:rPr>
        <w:footnoteReference w:id="16"/>
      </w:r>
      <w:r w:rsidRPr="007A6CB7">
        <w:t xml:space="preserve"> De nieuwe verdeelsystematiek is besproken in het Landelijk Overleg Veiligheid en Politie</w:t>
      </w:r>
      <w:r w:rsidRPr="007A6CB7" w:rsidR="00BF4C58">
        <w:t xml:space="preserve"> (LOVP)</w:t>
      </w:r>
      <w:r w:rsidRPr="007A6CB7">
        <w:t xml:space="preserve"> en daarna door mij vastgesteld. In bijlage </w:t>
      </w:r>
      <w:r w:rsidRPr="007A6CB7" w:rsidR="005F48C9">
        <w:t xml:space="preserve">5 </w:t>
      </w:r>
      <w:r w:rsidRPr="007A6CB7">
        <w:t xml:space="preserve">treft u het onderzoeksrapport met het nieuwe verdeelmodel aan. </w:t>
      </w:r>
      <w:r w:rsidRPr="007A6CB7" w:rsidR="00A5494F">
        <w:t>Hiermee beschouw ik de bovengenoemde moties als afgedaan.</w:t>
      </w:r>
    </w:p>
    <w:p w:rsidRPr="007A6CB7" w:rsidR="00786281" w:rsidP="00786281" w:rsidRDefault="00786281" w14:paraId="2A3405BA" w14:textId="7ED52CDA">
      <w:pPr>
        <w:pStyle w:val="Kop1"/>
      </w:pPr>
      <w:bookmarkStart w:name="_Toc216278105" w:id="17"/>
      <w:bookmarkEnd w:id="16"/>
      <w:r w:rsidRPr="007A6CB7">
        <w:t>Boa’s</w:t>
      </w:r>
      <w:bookmarkEnd w:id="17"/>
    </w:p>
    <w:p w:rsidRPr="007A6CB7" w:rsidR="008C52A0" w:rsidP="008C52A0" w:rsidRDefault="008C52A0" w14:paraId="7C105F82" w14:textId="77777777">
      <w:pPr>
        <w:pStyle w:val="Kop2"/>
      </w:pPr>
      <w:bookmarkStart w:name="_Toc216278106" w:id="18"/>
      <w:r w:rsidRPr="007A6CB7">
        <w:t>WODC-onderzoek boa domein IV</w:t>
      </w:r>
      <w:bookmarkEnd w:id="18"/>
      <w:r w:rsidRPr="007A6CB7">
        <w:t xml:space="preserve"> </w:t>
      </w:r>
    </w:p>
    <w:p w:rsidRPr="007A6CB7" w:rsidR="00786281" w:rsidP="00786281" w:rsidRDefault="008C52A0" w14:paraId="0F2FABF1" w14:textId="311EB925">
      <w:bookmarkStart w:name="_Hlk214454979" w:id="19"/>
      <w:r w:rsidRPr="007A6CB7">
        <w:t xml:space="preserve">In het eerste Halfjaarbericht Politie 2025 is </w:t>
      </w:r>
      <w:r w:rsidRPr="007A6CB7" w:rsidR="00BF4C58">
        <w:t>u</w:t>
      </w:r>
      <w:r w:rsidRPr="007A6CB7">
        <w:t xml:space="preserve">w Kamer geïnformeerd over het onderzoek dat wordt uitgevoerd naar het juridische en praktische functioneren van het zesde domein binnen het boa-bestel; het domein generieke opsporing. Destijds is door mijn voorganger aangegeven dat werd verwacht dat het mogelijk zou zijn </w:t>
      </w:r>
      <w:r w:rsidRPr="007A6CB7" w:rsidR="00BF4C58">
        <w:t>u</w:t>
      </w:r>
      <w:r w:rsidRPr="007A6CB7">
        <w:t xml:space="preserve">w Kamer in het najaar van 2025 over de uitkomst van dit onderzoek te informeren. Inmiddels is gebleken dat wegens de complexiteit en uitgebreidheid van het domein en in het verlengde daarvan ook het onderzoek, het onderzoek later dan in eerste instantie door de onderzoekers ingeschat gereed zal zijn. Naar verwachting verschijnen de resultaten van het onderzoek aan het </w:t>
      </w:r>
      <w:r w:rsidRPr="007A6CB7" w:rsidR="00956194">
        <w:t>begin van het jaar 2026.</w:t>
      </w:r>
    </w:p>
    <w:p w:rsidRPr="007A6CB7" w:rsidR="002979AF" w:rsidP="002979AF" w:rsidRDefault="002979AF" w14:paraId="6E3CCBBA" w14:textId="77777777">
      <w:pPr>
        <w:pStyle w:val="Kop2"/>
      </w:pPr>
      <w:bookmarkStart w:name="_Toc216278107" w:id="20"/>
      <w:bookmarkEnd w:id="19"/>
      <w:r w:rsidRPr="007A6CB7">
        <w:t xml:space="preserve">Verkenning toegang BVV en </w:t>
      </w:r>
      <w:proofErr w:type="gramStart"/>
      <w:r w:rsidRPr="007A6CB7">
        <w:t>SKDB boa's</w:t>
      </w:r>
      <w:bookmarkEnd w:id="20"/>
      <w:proofErr w:type="gramEnd"/>
      <w:r w:rsidRPr="007A6CB7">
        <w:t xml:space="preserve"> </w:t>
      </w:r>
    </w:p>
    <w:p w:rsidRPr="007A6CB7" w:rsidR="0071095D" w:rsidP="0071095D" w:rsidRDefault="0071095D" w14:paraId="2EFD8AF5" w14:textId="0DCB35D4">
      <w:r w:rsidRPr="007A6CB7">
        <w:t>Het ministerie van JenV zet al geruime tijd in op verbetering van de informatiepositie van boa’s, specifieker in identificatiesituaties van personen die geen identiteitsbewijs kunnen tonen.</w:t>
      </w:r>
      <w:r w:rsidRPr="007A6CB7" w:rsidR="009474B0">
        <w:t xml:space="preserve"> In mijn brief van 2 oktober jl. heb ik uw Kamer toegezegd dat ik uw Kamer voor het eind van 2025 een update geef over de stand van zaken van de verkenningen naar de mogelijkheden van toegang tot </w:t>
      </w:r>
      <w:r w:rsidRPr="007A6CB7" w:rsidR="009474B0">
        <w:lastRenderedPageBreak/>
        <w:t xml:space="preserve">de Basisvoorziening Vreemdelingen (BVV) en Strafrechtketendatabank (SKDB) voor boa’s. </w:t>
      </w:r>
    </w:p>
    <w:p w:rsidRPr="007A6CB7" w:rsidR="0071095D" w:rsidP="0071095D" w:rsidRDefault="0071095D" w14:paraId="7668FFE7" w14:textId="77777777"/>
    <w:p w:rsidRPr="007A6CB7" w:rsidR="0071095D" w:rsidP="0071095D" w:rsidRDefault="009474B0" w14:paraId="0A63CEAA" w14:textId="3D0D2070">
      <w:r w:rsidRPr="007A6CB7">
        <w:t>Uit</w:t>
      </w:r>
      <w:r w:rsidRPr="007A6CB7" w:rsidR="0071095D">
        <w:t xml:space="preserve"> gesprekken met werkgevers en andere relevante stakeholders, het rapport ‘Handhaven in het OV’, dat is uitgevoerd in opdracht van OV-NL, de brancheorganisatie van </w:t>
      </w:r>
      <w:proofErr w:type="gramStart"/>
      <w:r w:rsidRPr="007A6CB7" w:rsidR="0071095D">
        <w:t>openbaar vervoerbedrijven</w:t>
      </w:r>
      <w:proofErr w:type="gramEnd"/>
      <w:r w:rsidRPr="007A6CB7" w:rsidR="0071095D">
        <w:t xml:space="preserve">, en de gesprekken die gevoerd zijn binnen het kader van de diepgaande beschouwing van het boa-bestel gebleken dat </w:t>
      </w:r>
      <w:r w:rsidRPr="007A6CB7">
        <w:t>er meer stappen benodigd zijn</w:t>
      </w:r>
      <w:r w:rsidRPr="007A6CB7" w:rsidR="0071095D">
        <w:t xml:space="preserve"> om de informatiepositie te verbeteren. Daarom zijn de afgelopen maanden de mogelijkheden verkend om boa’s toegang tot de SKDB en</w:t>
      </w:r>
      <w:r w:rsidRPr="007A6CB7" w:rsidR="00B650D5">
        <w:t>, gezamenlijk met het ministerie van A</w:t>
      </w:r>
      <w:r w:rsidRPr="007A6CB7" w:rsidR="00C70BB6">
        <w:t xml:space="preserve">siel </w:t>
      </w:r>
      <w:r w:rsidRPr="007A6CB7" w:rsidR="00B650D5">
        <w:t>en</w:t>
      </w:r>
      <w:r w:rsidRPr="007A6CB7" w:rsidR="00C70BB6">
        <w:t xml:space="preserve"> </w:t>
      </w:r>
      <w:r w:rsidRPr="007A6CB7" w:rsidR="00B650D5">
        <w:t>M</w:t>
      </w:r>
      <w:r w:rsidRPr="007A6CB7" w:rsidR="00C70BB6">
        <w:t>igratie</w:t>
      </w:r>
      <w:r w:rsidRPr="007A6CB7" w:rsidR="00B650D5">
        <w:t>,</w:t>
      </w:r>
      <w:r w:rsidRPr="007A6CB7" w:rsidR="0071095D">
        <w:t xml:space="preserve"> de BVV te geven.</w:t>
      </w:r>
    </w:p>
    <w:p w:rsidRPr="007A6CB7" w:rsidR="0071095D" w:rsidP="0071095D" w:rsidRDefault="0071095D" w14:paraId="2BE9C094" w14:textId="77777777">
      <w:pPr>
        <w:rPr>
          <w:b/>
          <w:bCs/>
          <w:color w:val="FF0000"/>
        </w:rPr>
      </w:pPr>
    </w:p>
    <w:p w:rsidRPr="007A6CB7" w:rsidR="0071095D" w:rsidP="0071095D" w:rsidRDefault="0071095D" w14:paraId="31FBF96B" w14:textId="196BCD7E">
      <w:r w:rsidRPr="007A6CB7">
        <w:t>Uit de verkenningen blijkt dat er een gedeeld beeld bestaat over de problematiek en het doel om tot een meer zelfstandige identiteitsvaststelling door boa’s te komen. Momenteel worden met de partijen die verantwoordelijk zijn voor de SKDB, de juridische en technische vraagstukken nader uitgewerkt. Ten aanzien van de BVV geldt dat toegang voor boa’s om een wetswijziging vraagt</w:t>
      </w:r>
      <w:r w:rsidRPr="007A6CB7" w:rsidR="004353E9">
        <w:t>.</w:t>
      </w:r>
      <w:r w:rsidRPr="007A6CB7" w:rsidR="00C70BB6">
        <w:t xml:space="preserve"> </w:t>
      </w:r>
      <w:r w:rsidRPr="007A6CB7" w:rsidR="004353E9">
        <w:t>D</w:t>
      </w:r>
      <w:r w:rsidRPr="007A6CB7" w:rsidR="00C70BB6">
        <w:t xml:space="preserve">eze wordt door de minister </w:t>
      </w:r>
      <w:r w:rsidRPr="007A6CB7" w:rsidR="003258E1">
        <w:t xml:space="preserve">voor </w:t>
      </w:r>
      <w:r w:rsidRPr="007A6CB7" w:rsidR="00C70BB6">
        <w:t xml:space="preserve">Asiel en Migratie uitgewerkt, waar nodig in samenspraak met mijn departement. Omdat deze wijziging </w:t>
      </w:r>
      <w:r w:rsidRPr="007A6CB7">
        <w:t>niet binnen afzienbare tijd gerealiseerd kan worden</w:t>
      </w:r>
      <w:r w:rsidRPr="007A6CB7" w:rsidDel="00C70BB6" w:rsidR="00C70BB6">
        <w:t xml:space="preserve"> </w:t>
      </w:r>
      <w:r w:rsidRPr="007A6CB7">
        <w:t xml:space="preserve">wordt ondertussen naar mogelijkheden op de korte termijn gezocht. </w:t>
      </w:r>
    </w:p>
    <w:p w:rsidRPr="007A6CB7" w:rsidR="0071095D" w:rsidP="0071095D" w:rsidRDefault="0071095D" w14:paraId="763EF4DC" w14:textId="77777777"/>
    <w:p w:rsidRPr="007A6CB7" w:rsidR="0071095D" w:rsidP="0071095D" w:rsidRDefault="00B650D5" w14:paraId="064E12DD" w14:textId="46AB43F9">
      <w:r w:rsidRPr="007A6CB7">
        <w:t>Uw</w:t>
      </w:r>
      <w:r w:rsidRPr="007A6CB7" w:rsidR="0071095D">
        <w:t xml:space="preserve"> </w:t>
      </w:r>
      <w:r w:rsidRPr="007A6CB7">
        <w:t>K</w:t>
      </w:r>
      <w:r w:rsidRPr="007A6CB7" w:rsidR="0071095D">
        <w:t xml:space="preserve">amer </w:t>
      </w:r>
      <w:r w:rsidRPr="007A6CB7">
        <w:t xml:space="preserve">wordt periodiek geïnformeerd </w:t>
      </w:r>
      <w:r w:rsidRPr="007A6CB7" w:rsidR="0071095D">
        <w:t xml:space="preserve">over de voortgang op de diverse trajecten die gezamenlijk moeten leiden tot een betere informatiepositie van boa’s zodat zij vaker zelfstandig over kunnen gaan tot identificatie van personen als de situatie daarom vraagt. </w:t>
      </w:r>
    </w:p>
    <w:p w:rsidRPr="007A6CB7" w:rsidR="002979AF" w:rsidP="002979AF" w:rsidRDefault="002979AF" w14:paraId="11728709" w14:textId="58822C47">
      <w:pPr>
        <w:pStyle w:val="Kop2"/>
      </w:pPr>
      <w:bookmarkStart w:name="_Toc216278108" w:id="21"/>
      <w:r w:rsidRPr="007A6CB7">
        <w:t>Reactie OV-NL op</w:t>
      </w:r>
      <w:r w:rsidRPr="007A6CB7" w:rsidR="009474B0">
        <w:t xml:space="preserve"> </w:t>
      </w:r>
      <w:r w:rsidRPr="007A6CB7" w:rsidR="00C70BB6">
        <w:t>de schriftelijke reactie</w:t>
      </w:r>
      <w:r w:rsidRPr="007A6CB7">
        <w:t xml:space="preserve"> rapport 'Handhaven in het OV'</w:t>
      </w:r>
      <w:bookmarkEnd w:id="21"/>
    </w:p>
    <w:p w:rsidRPr="007A6CB7" w:rsidR="00C70BB6" w:rsidP="00C70BB6" w:rsidRDefault="00C70BB6" w14:paraId="6C555E77" w14:textId="77777777">
      <w:r w:rsidRPr="007A6CB7">
        <w:t xml:space="preserve">De Vaste Kamercommissie Justitie en Veiligheid heeft mij verzocht te reageren op de schriftelijke reactie van OV-NL naar aanleiding van de reactie van </w:t>
      </w:r>
      <w:proofErr w:type="spellStart"/>
      <w:r w:rsidRPr="007A6CB7">
        <w:t>SIenW</w:t>
      </w:r>
      <w:proofErr w:type="spellEnd"/>
      <w:r w:rsidRPr="007A6CB7">
        <w:t xml:space="preserve"> en mij op het rapport ‘Handhaven in het OV’.</w:t>
      </w:r>
    </w:p>
    <w:p w:rsidRPr="007A6CB7" w:rsidR="00C70BB6" w:rsidP="00C70BB6" w:rsidRDefault="00C70BB6" w14:paraId="50348BEB" w14:textId="77777777"/>
    <w:p w:rsidRPr="007A6CB7" w:rsidR="00C70BB6" w:rsidP="00C70BB6" w:rsidRDefault="00C70BB6" w14:paraId="2215EAA7" w14:textId="77777777">
      <w:r w:rsidRPr="007A6CB7">
        <w:t>Voor een reactie op het punt van OV-NL dat ziet op de uitbreiding van de (informatie)bevoegdheden van boa’s, verwijs ik naar de toelichting onder ‘verkenning toegang BVV en SKBD’. Hierin geef ik inzicht in de voortgang van deze verkenningen en met welke partijen de benodigde gesprekken aanvullend zijn gevoerd. Dit zijn noodzakelijke stappen die moeten worden genomen om deze verkenningen op een juiste manier vorm te geven.</w:t>
      </w:r>
    </w:p>
    <w:p w:rsidRPr="007A6CB7" w:rsidR="00C70BB6" w:rsidP="00C70BB6" w:rsidRDefault="00C70BB6" w14:paraId="3DD7C00A" w14:textId="77777777">
      <w:r w:rsidRPr="007A6CB7">
        <w:t xml:space="preserve">Daarnaast vraagt OV-NL om een aanvullend gesprek over de uitleg van de politietaak binnen het kader van de samenwerking tussen politie en boa’s in geval van identificatiesituaties. Over de juridische houdbaarheid van samenwerking tussen politie en boa op het gebied van ondersteuning bij identificatiesituaties (op afstand) is in de reactie op het rapport ‘Handhaven in het OV’ en in mijn brief van 2 oktober jl. toelichting gegeven. Mede naar aanleiding van de positieve resultaten van pilots op dit terrein werken JenV en </w:t>
      </w:r>
      <w:proofErr w:type="spellStart"/>
      <w:r w:rsidRPr="007A6CB7">
        <w:t>IenW</w:t>
      </w:r>
      <w:proofErr w:type="spellEnd"/>
      <w:r w:rsidRPr="007A6CB7">
        <w:t xml:space="preserve"> samen aan de brede juridische borging van deze werkwijzen zoals toegepast in de pilots. Mijn ministerie is graag bereid tot contact met OV-NL, mocht dat aanvullend gewenst zijn.</w:t>
      </w:r>
    </w:p>
    <w:p w:rsidRPr="007A6CB7" w:rsidR="00234611" w:rsidP="00C70BB6" w:rsidRDefault="00234611" w14:paraId="0621A950" w14:textId="77777777"/>
    <w:p w:rsidRPr="007A6CB7" w:rsidR="00956194" w:rsidP="00956194" w:rsidRDefault="00956194" w14:paraId="4CD95428" w14:textId="16A111EF">
      <w:pPr>
        <w:pStyle w:val="Kop1"/>
      </w:pPr>
      <w:bookmarkStart w:name="_Toc216278109" w:id="22"/>
      <w:r w:rsidRPr="007A6CB7">
        <w:lastRenderedPageBreak/>
        <w:t xml:space="preserve">Besluit </w:t>
      </w:r>
      <w:r w:rsidRPr="007A6CB7" w:rsidR="004B0B62">
        <w:t>team bijzondere bijstand</w:t>
      </w:r>
      <w:r w:rsidRPr="007A6CB7">
        <w:t xml:space="preserve"> boa’s</w:t>
      </w:r>
      <w:bookmarkEnd w:id="22"/>
    </w:p>
    <w:p w:rsidRPr="007A6CB7" w:rsidR="0071095D" w:rsidP="002979AF" w:rsidRDefault="00956194" w14:paraId="64D92B4B" w14:textId="64F6B18C">
      <w:r w:rsidRPr="007A6CB7">
        <w:t>Op 26 juli 2021 heeft mijn ambtsvoorganger aan de korpschef tijdelijk toestemming verleend om een groep van 120</w:t>
      </w:r>
      <w:r w:rsidRPr="007A6CB7" w:rsidR="004B0B62">
        <w:t xml:space="preserve"> administratief technisch en huishoudelijk </w:t>
      </w:r>
      <w:r w:rsidRPr="007A6CB7">
        <w:t xml:space="preserve">boa’s die deel uitmaken van het team bewaken en beveiligen van de politie, in het kader van een experiment, onder voorwaarden bewapend in te zetten in het lage segment van het stelsel bewaken en beveiligen. Vanwege de positieve ervaring die daarmee is opgedaan, heb ik op verzoek van de korpschef besloten om deze toestemming permanent onder voorwaarden te verlenen. </w:t>
      </w:r>
    </w:p>
    <w:p w:rsidRPr="007A6CB7" w:rsidR="00786281" w:rsidP="00786281" w:rsidRDefault="00786281" w14:paraId="6BAD4309" w14:textId="6EB4DD97">
      <w:pPr>
        <w:pStyle w:val="Kop1"/>
      </w:pPr>
      <w:bookmarkStart w:name="_Toc216278110" w:id="23"/>
      <w:r w:rsidRPr="007A6CB7">
        <w:t xml:space="preserve">Politiegegevens en </w:t>
      </w:r>
      <w:proofErr w:type="spellStart"/>
      <w:r w:rsidRPr="007A6CB7">
        <w:t>cold</w:t>
      </w:r>
      <w:proofErr w:type="spellEnd"/>
      <w:r w:rsidRPr="007A6CB7">
        <w:t xml:space="preserve"> cases</w:t>
      </w:r>
      <w:bookmarkEnd w:id="23"/>
    </w:p>
    <w:p w:rsidRPr="007A6CB7" w:rsidR="00076212" w:rsidP="00076212" w:rsidRDefault="002979AF" w14:paraId="7E503916" w14:textId="35322350">
      <w:pPr>
        <w:pStyle w:val="Kop2"/>
      </w:pPr>
      <w:bookmarkStart w:name="_Toc216278111" w:id="24"/>
      <w:bookmarkStart w:name="_Hlk216181425" w:id="25"/>
      <w:r w:rsidRPr="007A6CB7">
        <w:t xml:space="preserve">Toezegging </w:t>
      </w:r>
      <w:proofErr w:type="gramStart"/>
      <w:r w:rsidRPr="007A6CB7">
        <w:t>inzake</w:t>
      </w:r>
      <w:proofErr w:type="gramEnd"/>
      <w:r w:rsidRPr="007A6CB7">
        <w:t xml:space="preserve"> een ultieme poging voor verlenging van de bewaartermijn politiegegevens</w:t>
      </w:r>
      <w:r w:rsidRPr="007A6CB7" w:rsidR="00347588">
        <w:rPr>
          <w:rStyle w:val="Voetnootmarkering"/>
        </w:rPr>
        <w:footnoteReference w:id="17"/>
      </w:r>
      <w:r w:rsidRPr="007A6CB7" w:rsidR="00076212">
        <w:t xml:space="preserve"> en </w:t>
      </w:r>
      <w:r w:rsidR="00065841">
        <w:t>m</w:t>
      </w:r>
      <w:r w:rsidRPr="007A6CB7" w:rsidR="00076212">
        <w:t>otie inzake de wettelijke mogelijkheid creëren om politiegegevens te bewaren voor het oplossen van cold cases</w:t>
      </w:r>
      <w:r w:rsidRPr="007A6CB7" w:rsidR="00347588">
        <w:rPr>
          <w:rStyle w:val="Voetnootmarkering"/>
        </w:rPr>
        <w:footnoteReference w:id="18"/>
      </w:r>
      <w:r w:rsidR="00065841">
        <w:t xml:space="preserve"> en motie van het lid </w:t>
      </w:r>
      <w:proofErr w:type="spellStart"/>
      <w:r w:rsidR="00065841">
        <w:t>Mutluer</w:t>
      </w:r>
      <w:proofErr w:type="spellEnd"/>
      <w:r w:rsidR="00065841">
        <w:t xml:space="preserve"> om de aanpak van </w:t>
      </w:r>
      <w:proofErr w:type="spellStart"/>
      <w:r w:rsidR="00065841">
        <w:t>cold</w:t>
      </w:r>
      <w:proofErr w:type="spellEnd"/>
      <w:r w:rsidR="00065841">
        <w:t xml:space="preserve"> cases te versterken</w:t>
      </w:r>
      <w:r w:rsidR="00065841">
        <w:rPr>
          <w:rStyle w:val="Voetnootmarkering"/>
        </w:rPr>
        <w:footnoteReference w:id="19"/>
      </w:r>
      <w:bookmarkEnd w:id="24"/>
    </w:p>
    <w:p w:rsidRPr="007A6CB7" w:rsidR="00435698" w:rsidP="00435698" w:rsidRDefault="00435698" w14:paraId="53DAAD28" w14:textId="77777777"/>
    <w:p w:rsidRPr="007A6CB7" w:rsidR="007A6CB7" w:rsidP="007A6CB7" w:rsidRDefault="007A6CB7" w14:paraId="11EF2814" w14:textId="363C0632">
      <w:r w:rsidRPr="007A6CB7">
        <w:t>Op 11 april jl. heeft mijn ambtsvoorganger u geïnformeerd</w:t>
      </w:r>
      <w:r w:rsidR="00065841">
        <w:rPr>
          <w:rStyle w:val="Voetnootmarkering"/>
        </w:rPr>
        <w:footnoteReference w:id="20"/>
      </w:r>
      <w:r w:rsidRPr="007A6CB7">
        <w:t xml:space="preserve"> over het voornemen om politiegegevens waarvan de in de Wet politiegegevens voorgeschreven bewaartermijn is verstreken, te vernietigen.</w:t>
      </w:r>
      <w:r w:rsidR="00065841">
        <w:t xml:space="preserve"> </w:t>
      </w:r>
      <w:r w:rsidRPr="007A6CB7">
        <w:t>Tijdens het Commissiedebat politie op 16 april jl. heeft mijn ambtsvoorganger toegezegd een ultieme poging te doen om nogmaals te bezien wat er mogelijk is op het gebied van het verlengen van de bewaartermijn</w:t>
      </w:r>
      <w:r w:rsidR="00065841">
        <w:rPr>
          <w:rStyle w:val="Voetnootmarkering"/>
        </w:rPr>
        <w:footnoteReference w:id="21"/>
      </w:r>
      <w:r w:rsidRPr="007A6CB7">
        <w:t xml:space="preserve">. Ook heeft mijn voorganger de korpschef gevraagd een plan van aanpak aan te leveren voor de stappen die nodig zijn voor de vernietiging van deze gegevens. Dit proces loopt nog. Voordat ik de ultieme poging afrond, vind ik het van belang om het plan van aanpak van de politie eerst te ontvangen, te bestuderen en te kunnen bespreken met de korpschef. Mijn inzet is om uw Kamer over de uitkomsten daarom nader te informeren in het volgende halfjaarbericht politie. </w:t>
      </w:r>
    </w:p>
    <w:p w:rsidRPr="007A6CB7" w:rsidR="007A6CB7" w:rsidP="007A6CB7" w:rsidRDefault="007A6CB7" w14:paraId="1EE14A7B" w14:textId="77777777"/>
    <w:p w:rsidRPr="007A6CB7" w:rsidR="007A6CB7" w:rsidP="007A6CB7" w:rsidRDefault="007A6CB7" w14:paraId="43F30189" w14:textId="77777777">
      <w:pPr>
        <w:rPr>
          <w:rFonts w:cs="Aptos"/>
        </w:rPr>
      </w:pPr>
      <w:r w:rsidRPr="007A6CB7">
        <w:t xml:space="preserve">Los daarvan heeft het lid </w:t>
      </w:r>
      <w:proofErr w:type="spellStart"/>
      <w:r w:rsidRPr="007A6CB7">
        <w:t>Mutluer</w:t>
      </w:r>
      <w:proofErr w:type="spellEnd"/>
      <w:r w:rsidRPr="007A6CB7">
        <w:t xml:space="preserve"> een plan ingediend voor een effectieve aanpak van </w:t>
      </w:r>
      <w:proofErr w:type="spellStart"/>
      <w:r w:rsidRPr="007A6CB7">
        <w:t>cold</w:t>
      </w:r>
      <w:proofErr w:type="spellEnd"/>
      <w:r w:rsidRPr="007A6CB7">
        <w:t xml:space="preserve"> cases. Ik verwelkom dit plan ook zeer.</w:t>
      </w:r>
      <w:bookmarkStart w:name="_Hlk215652831" w:id="26"/>
      <w:r w:rsidRPr="007A6CB7">
        <w:t xml:space="preserve"> Hetzelfde geldt voor de door uw Kamer aangenomen motie van het lid </w:t>
      </w:r>
      <w:proofErr w:type="spellStart"/>
      <w:r w:rsidRPr="007A6CB7">
        <w:t>Mutluer</w:t>
      </w:r>
      <w:proofErr w:type="spellEnd"/>
      <w:r w:rsidRPr="007A6CB7">
        <w:t xml:space="preserve"> verzoekt om de </w:t>
      </w:r>
      <w:r w:rsidRPr="007A6CB7">
        <w:rPr>
          <w:rFonts w:cs="Aptos"/>
        </w:rPr>
        <w:t xml:space="preserve">aanpak van </w:t>
      </w:r>
      <w:proofErr w:type="spellStart"/>
      <w:r w:rsidRPr="007A6CB7">
        <w:rPr>
          <w:rFonts w:cs="Aptos"/>
        </w:rPr>
        <w:t>cold</w:t>
      </w:r>
      <w:proofErr w:type="spellEnd"/>
      <w:r w:rsidRPr="007A6CB7">
        <w:rPr>
          <w:rFonts w:cs="Aptos"/>
        </w:rPr>
        <w:t xml:space="preserve"> cases te versterken</w:t>
      </w:r>
      <w:bookmarkEnd w:id="26"/>
      <w:r w:rsidRPr="007A6CB7">
        <w:rPr>
          <w:rFonts w:cs="Aptos"/>
        </w:rPr>
        <w:t>.</w:t>
      </w:r>
      <w:r w:rsidRPr="007A6CB7">
        <w:rPr>
          <w:rFonts w:cs="Aptos"/>
          <w:vertAlign w:val="superscript"/>
        </w:rPr>
        <w:footnoteReference w:id="22"/>
      </w:r>
      <w:r w:rsidRPr="007A6CB7">
        <w:rPr>
          <w:rFonts w:cs="Aptos"/>
        </w:rPr>
        <w:t xml:space="preserve"> Deze versterking moet ertoe leiden dat meer levensdelicten en ernstige zedendelicten worden opgelost en dat de aanpak niet ongelijk en versnipperd is, omdat deze per eenheid verschilt. De motie hoort bij het plan ‘Naar een landelijke aanpak van </w:t>
      </w:r>
      <w:proofErr w:type="spellStart"/>
      <w:r w:rsidRPr="007A6CB7">
        <w:rPr>
          <w:rFonts w:cs="Aptos"/>
        </w:rPr>
        <w:t>cold</w:t>
      </w:r>
      <w:proofErr w:type="spellEnd"/>
      <w:r w:rsidRPr="007A6CB7">
        <w:rPr>
          <w:rFonts w:cs="Aptos"/>
        </w:rPr>
        <w:t xml:space="preserve"> cases’, dat een initiatief is van genoemde kamerlid en de Federatie Nabestaanden Geweldslachtoffers. </w:t>
      </w:r>
      <w:r w:rsidRPr="007A6CB7">
        <w:t xml:space="preserve">Omdat mijn voorganger en ik belang hechten aan een goede uitvoerbaarheid van de aanpak van </w:t>
      </w:r>
      <w:proofErr w:type="spellStart"/>
      <w:r w:rsidRPr="007A6CB7">
        <w:t>cold</w:t>
      </w:r>
      <w:proofErr w:type="spellEnd"/>
      <w:r w:rsidRPr="007A6CB7">
        <w:t xml:space="preserve"> cases, heb ik de korpschef gevraagd om inzichtelijk te maken wat er nodig is om deze aanpak te versterken. </w:t>
      </w:r>
      <w:r w:rsidRPr="007A6CB7">
        <w:rPr>
          <w:rFonts w:cs="Aptos"/>
        </w:rPr>
        <w:t xml:space="preserve">Het actieplan voor de versterking van </w:t>
      </w:r>
      <w:proofErr w:type="spellStart"/>
      <w:r w:rsidRPr="007A6CB7">
        <w:rPr>
          <w:rFonts w:cs="Aptos"/>
        </w:rPr>
        <w:t>cold</w:t>
      </w:r>
      <w:proofErr w:type="spellEnd"/>
      <w:r w:rsidRPr="007A6CB7">
        <w:rPr>
          <w:rFonts w:cs="Aptos"/>
        </w:rPr>
        <w:t xml:space="preserve"> cases van politie nog niet afgerond. </w:t>
      </w:r>
    </w:p>
    <w:p w:rsidRPr="007A6CB7" w:rsidR="007A6CB7" w:rsidP="007A6CB7" w:rsidRDefault="007A6CB7" w14:paraId="5C8ECF17" w14:textId="77777777">
      <w:pPr>
        <w:rPr>
          <w:rFonts w:cs="Aptos"/>
        </w:rPr>
      </w:pPr>
    </w:p>
    <w:p w:rsidRPr="007A6CB7" w:rsidR="007A6CB7" w:rsidP="007A6CB7" w:rsidRDefault="007A6CB7" w14:paraId="6DAB9BE4" w14:textId="77777777">
      <w:pPr>
        <w:rPr>
          <w:rFonts w:cs="Aptos"/>
        </w:rPr>
      </w:pPr>
      <w:r w:rsidRPr="007A6CB7">
        <w:rPr>
          <w:rFonts w:cs="Aptos"/>
        </w:rPr>
        <w:lastRenderedPageBreak/>
        <w:t xml:space="preserve">Het actieplan versterking aanpak </w:t>
      </w:r>
      <w:proofErr w:type="spellStart"/>
      <w:r w:rsidRPr="007A6CB7">
        <w:rPr>
          <w:rFonts w:cs="Aptos"/>
        </w:rPr>
        <w:t>cold</w:t>
      </w:r>
      <w:proofErr w:type="spellEnd"/>
      <w:r w:rsidRPr="007A6CB7">
        <w:rPr>
          <w:rFonts w:cs="Aptos"/>
        </w:rPr>
        <w:t xml:space="preserve"> cases van politie, dat ik in het voorjaar verwacht, zal in ieder geval de volgende onderdelen bevatten:</w:t>
      </w:r>
    </w:p>
    <w:p w:rsidRPr="007A6CB7" w:rsidR="007A6CB7" w:rsidP="007A6CB7" w:rsidRDefault="007A6CB7" w14:paraId="6B88614D" w14:textId="77777777"/>
    <w:p w:rsidRPr="007A6CB7" w:rsidR="007A6CB7" w:rsidP="007A6CB7" w:rsidRDefault="007A6CB7" w14:paraId="6A09C154" w14:textId="77777777">
      <w:pPr>
        <w:pStyle w:val="Lijstalinea"/>
        <w:numPr>
          <w:ilvl w:val="0"/>
          <w:numId w:val="28"/>
        </w:numPr>
        <w:spacing w:line="259" w:lineRule="auto"/>
      </w:pPr>
      <w:r w:rsidRPr="007A6CB7">
        <w:rPr>
          <w:rFonts w:cs="Aptos"/>
          <w:b/>
          <w:bCs/>
        </w:rPr>
        <w:t xml:space="preserve">Doorontwikkeling van een of meer </w:t>
      </w:r>
      <w:proofErr w:type="spellStart"/>
      <w:r w:rsidRPr="007A6CB7">
        <w:rPr>
          <w:rFonts w:cs="Aptos"/>
          <w:b/>
          <w:bCs/>
        </w:rPr>
        <w:t>cold</w:t>
      </w:r>
      <w:proofErr w:type="spellEnd"/>
      <w:r w:rsidRPr="007A6CB7">
        <w:rPr>
          <w:rFonts w:cs="Aptos"/>
          <w:b/>
          <w:bCs/>
        </w:rPr>
        <w:t xml:space="preserve">-case-voorzieningen, inclusief een contactpunt voor vragen over </w:t>
      </w:r>
      <w:proofErr w:type="spellStart"/>
      <w:r w:rsidRPr="007A6CB7">
        <w:rPr>
          <w:rFonts w:cs="Aptos"/>
          <w:b/>
          <w:bCs/>
        </w:rPr>
        <w:t>cold</w:t>
      </w:r>
      <w:proofErr w:type="spellEnd"/>
      <w:r w:rsidRPr="007A6CB7">
        <w:rPr>
          <w:rFonts w:cs="Aptos"/>
          <w:b/>
          <w:bCs/>
        </w:rPr>
        <w:t xml:space="preserve"> cases.</w:t>
      </w:r>
      <w:r w:rsidRPr="007A6CB7">
        <w:rPr>
          <w:rFonts w:cs="Aptos"/>
        </w:rPr>
        <w:t xml:space="preserve"> Binnen elke regionale eenheid is bij de regionale recherche voorzien in een basisvoorziening ten behoeve van de aanpak van </w:t>
      </w:r>
      <w:proofErr w:type="spellStart"/>
      <w:r w:rsidRPr="007A6CB7">
        <w:rPr>
          <w:rFonts w:cs="Aptos"/>
        </w:rPr>
        <w:t>cold</w:t>
      </w:r>
      <w:proofErr w:type="spellEnd"/>
      <w:r w:rsidRPr="007A6CB7">
        <w:rPr>
          <w:rFonts w:cs="Aptos"/>
        </w:rPr>
        <w:t xml:space="preserve"> cases. Deze hebben de landelijke opdracht hierop regie te voeren op de aanpak. In een aantal eenheden is besloten tot een aanvulling op de basisvoorziening met een </w:t>
      </w:r>
      <w:proofErr w:type="spellStart"/>
      <w:r w:rsidRPr="007A6CB7">
        <w:rPr>
          <w:rFonts w:cs="Aptos"/>
        </w:rPr>
        <w:t>cold</w:t>
      </w:r>
      <w:proofErr w:type="spellEnd"/>
      <w:r w:rsidRPr="007A6CB7">
        <w:rPr>
          <w:rFonts w:cs="Aptos"/>
        </w:rPr>
        <w:t xml:space="preserve"> case team. In deze eenheden voeren deze teams onderzoeken naar </w:t>
      </w:r>
      <w:proofErr w:type="spellStart"/>
      <w:r w:rsidRPr="007A6CB7">
        <w:rPr>
          <w:rFonts w:cs="Aptos"/>
        </w:rPr>
        <w:t>cold</w:t>
      </w:r>
      <w:proofErr w:type="spellEnd"/>
      <w:r w:rsidRPr="007A6CB7">
        <w:rPr>
          <w:rFonts w:cs="Aptos"/>
        </w:rPr>
        <w:t xml:space="preserve"> cases zelf uit; terwijl in de andere eenheden reguliere opsporingsteams dit doen na voordracht door de </w:t>
      </w:r>
      <w:proofErr w:type="spellStart"/>
      <w:r w:rsidRPr="007A6CB7">
        <w:rPr>
          <w:rFonts w:cs="Aptos"/>
        </w:rPr>
        <w:t>cold</w:t>
      </w:r>
      <w:proofErr w:type="spellEnd"/>
      <w:r w:rsidRPr="007A6CB7">
        <w:rPr>
          <w:rFonts w:cs="Aptos"/>
        </w:rPr>
        <w:t xml:space="preserve"> case-voorziening. Dit betekent dat in bepaalde eenheden opsporingscapaciteit in beginsel is gereserveerd voor het oplossen van </w:t>
      </w:r>
      <w:proofErr w:type="spellStart"/>
      <w:r w:rsidRPr="007A6CB7">
        <w:rPr>
          <w:rFonts w:cs="Aptos"/>
        </w:rPr>
        <w:t>cold</w:t>
      </w:r>
      <w:proofErr w:type="spellEnd"/>
      <w:r w:rsidRPr="007A6CB7">
        <w:rPr>
          <w:rFonts w:cs="Aptos"/>
        </w:rPr>
        <w:t xml:space="preserve"> cases, terwijl dit in andere eenheden niet aan de orde is. Daar worden rechercheurs uit reguliere teams ingezet op </w:t>
      </w:r>
      <w:proofErr w:type="spellStart"/>
      <w:r w:rsidRPr="007A6CB7">
        <w:rPr>
          <w:rFonts w:cs="Aptos"/>
        </w:rPr>
        <w:t>cold</w:t>
      </w:r>
      <w:proofErr w:type="spellEnd"/>
      <w:r w:rsidRPr="007A6CB7">
        <w:rPr>
          <w:rFonts w:cs="Aptos"/>
        </w:rPr>
        <w:t xml:space="preserve"> cases. De medewerkers van de vaste </w:t>
      </w:r>
      <w:proofErr w:type="spellStart"/>
      <w:r w:rsidRPr="007A6CB7">
        <w:rPr>
          <w:rFonts w:cs="Aptos"/>
        </w:rPr>
        <w:t>cold</w:t>
      </w:r>
      <w:proofErr w:type="spellEnd"/>
      <w:r w:rsidRPr="007A6CB7">
        <w:rPr>
          <w:rFonts w:cs="Aptos"/>
        </w:rPr>
        <w:t xml:space="preserve"> </w:t>
      </w:r>
      <w:proofErr w:type="gramStart"/>
      <w:r w:rsidRPr="007A6CB7">
        <w:rPr>
          <w:rFonts w:cs="Aptos"/>
        </w:rPr>
        <w:t>case teams</w:t>
      </w:r>
      <w:proofErr w:type="gramEnd"/>
      <w:r w:rsidRPr="007A6CB7">
        <w:rPr>
          <w:rFonts w:cs="Aptos"/>
        </w:rPr>
        <w:t xml:space="preserve"> kunnen in overleg tussen de officier van justitie en de politie worden ingezet voor onderzoek in actuele zaken. Ik deel de opvatting van de politie dat de verbetering van de aanpak </w:t>
      </w:r>
      <w:proofErr w:type="spellStart"/>
      <w:r w:rsidRPr="007A6CB7">
        <w:rPr>
          <w:rFonts w:cs="Aptos"/>
        </w:rPr>
        <w:t>cold</w:t>
      </w:r>
      <w:proofErr w:type="spellEnd"/>
      <w:r w:rsidRPr="007A6CB7">
        <w:rPr>
          <w:rFonts w:cs="Aptos"/>
        </w:rPr>
        <w:t xml:space="preserve"> cases niet ligt bij vorming van verbijzonderde </w:t>
      </w:r>
      <w:proofErr w:type="spellStart"/>
      <w:r w:rsidRPr="007A6CB7">
        <w:rPr>
          <w:rFonts w:cs="Aptos"/>
        </w:rPr>
        <w:t>cold</w:t>
      </w:r>
      <w:proofErr w:type="spellEnd"/>
      <w:r w:rsidRPr="007A6CB7">
        <w:rPr>
          <w:rFonts w:cs="Aptos"/>
        </w:rPr>
        <w:t xml:space="preserve"> </w:t>
      </w:r>
      <w:proofErr w:type="gramStart"/>
      <w:r w:rsidRPr="007A6CB7">
        <w:rPr>
          <w:rFonts w:cs="Aptos"/>
        </w:rPr>
        <w:t>case teams</w:t>
      </w:r>
      <w:proofErr w:type="gramEnd"/>
      <w:r w:rsidRPr="007A6CB7">
        <w:rPr>
          <w:rFonts w:cs="Aptos"/>
        </w:rPr>
        <w:t xml:space="preserve"> of een landelijk team </w:t>
      </w:r>
      <w:proofErr w:type="spellStart"/>
      <w:r w:rsidRPr="007A6CB7">
        <w:rPr>
          <w:rFonts w:cs="Aptos"/>
        </w:rPr>
        <w:t>cold</w:t>
      </w:r>
      <w:proofErr w:type="spellEnd"/>
      <w:r w:rsidRPr="007A6CB7">
        <w:rPr>
          <w:rFonts w:cs="Aptos"/>
        </w:rPr>
        <w:t xml:space="preserve"> cases, maar dat de capaciteit en de voor het onderzoek noodzakelijke expertises uit de brede opsporingscapaciteit moet komen omdat dit de flexibiliteit van de opsporing vergroot. Dit betekent dat de schaarse opsporingscapaciteit zowel kan worden besteed aan het onderzoeken van nieuwe ernstige misdrijfzaken als aan het onderzoek aan </w:t>
      </w:r>
      <w:proofErr w:type="spellStart"/>
      <w:r w:rsidRPr="007A6CB7">
        <w:rPr>
          <w:rFonts w:cs="Aptos"/>
        </w:rPr>
        <w:t>cold</w:t>
      </w:r>
      <w:proofErr w:type="spellEnd"/>
      <w:r w:rsidRPr="007A6CB7">
        <w:rPr>
          <w:rFonts w:cs="Aptos"/>
        </w:rPr>
        <w:t xml:space="preserve"> cases. Wel ziet de politie ruimte voor verbetering van de </w:t>
      </w:r>
      <w:proofErr w:type="spellStart"/>
      <w:r w:rsidRPr="007A6CB7">
        <w:rPr>
          <w:rFonts w:cs="Aptos"/>
        </w:rPr>
        <w:t>cold</w:t>
      </w:r>
      <w:proofErr w:type="spellEnd"/>
      <w:r w:rsidRPr="007A6CB7">
        <w:rPr>
          <w:rFonts w:cs="Aptos"/>
        </w:rPr>
        <w:t xml:space="preserve"> case (basis)- voorzieningen.</w:t>
      </w:r>
    </w:p>
    <w:p w:rsidRPr="007A6CB7" w:rsidR="007A6CB7" w:rsidP="007A6CB7" w:rsidRDefault="007A6CB7" w14:paraId="134AA52F" w14:textId="77777777">
      <w:pPr>
        <w:ind w:left="720"/>
        <w:contextualSpacing/>
      </w:pPr>
    </w:p>
    <w:p w:rsidRPr="007A6CB7" w:rsidR="007A6CB7" w:rsidP="007A6CB7" w:rsidRDefault="007A6CB7" w14:paraId="31AFC49B" w14:textId="77777777">
      <w:pPr>
        <w:numPr>
          <w:ilvl w:val="0"/>
          <w:numId w:val="28"/>
        </w:numPr>
        <w:spacing w:line="259" w:lineRule="auto"/>
        <w:contextualSpacing/>
      </w:pPr>
      <w:r w:rsidRPr="007A6CB7">
        <w:rPr>
          <w:rFonts w:cs="Aptos"/>
          <w:b/>
          <w:bCs/>
        </w:rPr>
        <w:t>Nieuwe definitie.</w:t>
      </w:r>
      <w:r w:rsidRPr="007A6CB7">
        <w:rPr>
          <w:rFonts w:cs="Aptos"/>
        </w:rPr>
        <w:t xml:space="preserve"> Van belang is te vermelden dat de politie en het openbaar ministerie hebben afgesproken om opzettelijk levensdelicten, zeer ernstige zedendelicten of andere zeer ernstige delicten waarop naar de wettelijke omschrijving een gevangenisstraf van 12 jaar of meer is gesteld onder de definitie van </w:t>
      </w:r>
      <w:proofErr w:type="spellStart"/>
      <w:r w:rsidRPr="007A6CB7">
        <w:rPr>
          <w:rFonts w:cs="Aptos"/>
        </w:rPr>
        <w:t>cold</w:t>
      </w:r>
      <w:proofErr w:type="spellEnd"/>
      <w:r w:rsidRPr="007A6CB7">
        <w:rPr>
          <w:rFonts w:cs="Aptos"/>
        </w:rPr>
        <w:t xml:space="preserve"> case te laten vallen. Voor de aanpak langdurige vermissingen en onbekende doden die niet meer onder de </w:t>
      </w:r>
      <w:proofErr w:type="spellStart"/>
      <w:r w:rsidRPr="007A6CB7">
        <w:rPr>
          <w:rFonts w:cs="Aptos"/>
        </w:rPr>
        <w:t>cold</w:t>
      </w:r>
      <w:proofErr w:type="spellEnd"/>
      <w:r w:rsidRPr="007A6CB7">
        <w:rPr>
          <w:rFonts w:cs="Aptos"/>
        </w:rPr>
        <w:t xml:space="preserve"> case-aanpak vallen, verwijs ik u naar mijn reactie op de motie van het voormalig lid </w:t>
      </w:r>
      <w:proofErr w:type="spellStart"/>
      <w:r w:rsidRPr="007A6CB7">
        <w:rPr>
          <w:rFonts w:cs="Aptos"/>
        </w:rPr>
        <w:t>Wijen-Nass</w:t>
      </w:r>
      <w:proofErr w:type="spellEnd"/>
      <w:r w:rsidRPr="007A6CB7">
        <w:rPr>
          <w:rFonts w:cs="Aptos"/>
        </w:rPr>
        <w:t xml:space="preserve"> hieronder.</w:t>
      </w:r>
    </w:p>
    <w:p w:rsidRPr="007A6CB7" w:rsidR="007A6CB7" w:rsidP="007A6CB7" w:rsidRDefault="007A6CB7" w14:paraId="3F16418E" w14:textId="77777777">
      <w:pPr>
        <w:ind w:left="720"/>
        <w:contextualSpacing/>
      </w:pPr>
    </w:p>
    <w:p w:rsidRPr="007A6CB7" w:rsidR="007A6CB7" w:rsidP="007A6CB7" w:rsidRDefault="007A6CB7" w14:paraId="53DDB6DB" w14:textId="77777777">
      <w:pPr>
        <w:numPr>
          <w:ilvl w:val="0"/>
          <w:numId w:val="29"/>
        </w:numPr>
        <w:spacing w:line="259" w:lineRule="auto"/>
        <w:contextualSpacing/>
      </w:pPr>
      <w:r w:rsidRPr="007A6CB7">
        <w:rPr>
          <w:rFonts w:cs="Aptos"/>
          <w:b/>
          <w:bCs/>
        </w:rPr>
        <w:t xml:space="preserve">Overzicht en digitalisering. </w:t>
      </w:r>
      <w:r w:rsidRPr="007A6CB7">
        <w:t xml:space="preserve">Wanneer een zaak als </w:t>
      </w:r>
      <w:proofErr w:type="spellStart"/>
      <w:r w:rsidRPr="007A6CB7">
        <w:t>cold</w:t>
      </w:r>
      <w:proofErr w:type="spellEnd"/>
      <w:r w:rsidRPr="007A6CB7">
        <w:t xml:space="preserve"> case wordt aangemerkt betekent dit dat het onderzoek op een regionale lijst van </w:t>
      </w:r>
      <w:proofErr w:type="spellStart"/>
      <w:r w:rsidRPr="007A6CB7">
        <w:t>cold</w:t>
      </w:r>
      <w:proofErr w:type="spellEnd"/>
      <w:r w:rsidRPr="007A6CB7">
        <w:t xml:space="preserve"> cases komt die administratief en operationeel worden beheerd door de politiemedewerkers in de </w:t>
      </w:r>
      <w:proofErr w:type="spellStart"/>
      <w:r w:rsidRPr="007A6CB7">
        <w:t>cold</w:t>
      </w:r>
      <w:proofErr w:type="spellEnd"/>
      <w:r w:rsidRPr="007A6CB7">
        <w:t xml:space="preserve"> case (basis)-voorzieningen. Alle </w:t>
      </w:r>
      <w:proofErr w:type="spellStart"/>
      <w:r w:rsidRPr="007A6CB7">
        <w:t>cold</w:t>
      </w:r>
      <w:proofErr w:type="spellEnd"/>
      <w:r w:rsidRPr="007A6CB7">
        <w:t xml:space="preserve"> cases worden opgenomen in de het daartoe bestemde informatiesysteem van politie (</w:t>
      </w:r>
      <w:proofErr w:type="spellStart"/>
      <w:r w:rsidRPr="007A6CB7">
        <w:t>Summit</w:t>
      </w:r>
      <w:proofErr w:type="spellEnd"/>
      <w:r w:rsidRPr="007A6CB7">
        <w:t xml:space="preserve">). Niet alles kan tegelijk. </w:t>
      </w:r>
      <w:r w:rsidRPr="007A6CB7">
        <w:rPr>
          <w:rFonts w:cs="Aptos"/>
        </w:rPr>
        <w:t xml:space="preserve">De politie digitaliseert nieuwe </w:t>
      </w:r>
      <w:proofErr w:type="spellStart"/>
      <w:r w:rsidRPr="007A6CB7">
        <w:rPr>
          <w:rFonts w:cs="Aptos"/>
        </w:rPr>
        <w:t>cold</w:t>
      </w:r>
      <w:proofErr w:type="spellEnd"/>
      <w:r w:rsidRPr="007A6CB7">
        <w:rPr>
          <w:rFonts w:cs="Aptos"/>
        </w:rPr>
        <w:t xml:space="preserve"> cases en oude </w:t>
      </w:r>
      <w:proofErr w:type="spellStart"/>
      <w:r w:rsidRPr="007A6CB7">
        <w:rPr>
          <w:rFonts w:cs="Aptos"/>
        </w:rPr>
        <w:t>cold</w:t>
      </w:r>
      <w:proofErr w:type="spellEnd"/>
      <w:r w:rsidRPr="007A6CB7">
        <w:rPr>
          <w:rFonts w:cs="Aptos"/>
        </w:rPr>
        <w:t xml:space="preserve"> cases. Bij de oude </w:t>
      </w:r>
      <w:proofErr w:type="spellStart"/>
      <w:r w:rsidRPr="007A6CB7">
        <w:rPr>
          <w:rFonts w:cs="Aptos"/>
        </w:rPr>
        <w:t>cold</w:t>
      </w:r>
      <w:proofErr w:type="spellEnd"/>
      <w:r w:rsidRPr="007A6CB7">
        <w:rPr>
          <w:rFonts w:cs="Aptos"/>
        </w:rPr>
        <w:t xml:space="preserve"> cases kent de politie prioriteit toe aan het verder in kaart brengen en digitaliseren van moord-, doodslag -en ernstige zedenfeiten. </w:t>
      </w:r>
      <w:r w:rsidRPr="007A6CB7">
        <w:t xml:space="preserve">Het is aan de officier van justitie om het oppakken van </w:t>
      </w:r>
      <w:proofErr w:type="spellStart"/>
      <w:r w:rsidRPr="007A6CB7">
        <w:t>cold</w:t>
      </w:r>
      <w:proofErr w:type="spellEnd"/>
      <w:r w:rsidRPr="007A6CB7">
        <w:t xml:space="preserve"> cases te prioriteren in afstemming met de politie. </w:t>
      </w:r>
    </w:p>
    <w:p w:rsidRPr="007A6CB7" w:rsidR="007A6CB7" w:rsidP="007A6CB7" w:rsidRDefault="007A6CB7" w14:paraId="7BBCDA54" w14:textId="77777777">
      <w:pPr>
        <w:ind w:left="720"/>
        <w:contextualSpacing/>
      </w:pPr>
    </w:p>
    <w:p w:rsidRPr="007A6CB7" w:rsidR="007A6CB7" w:rsidP="007A6CB7" w:rsidRDefault="007A6CB7" w14:paraId="1710C280" w14:textId="77777777">
      <w:pPr>
        <w:numPr>
          <w:ilvl w:val="0"/>
          <w:numId w:val="29"/>
        </w:numPr>
        <w:spacing w:line="259" w:lineRule="auto"/>
        <w:contextualSpacing/>
      </w:pPr>
      <w:r w:rsidRPr="007A6CB7">
        <w:rPr>
          <w:b/>
          <w:bCs/>
        </w:rPr>
        <w:t>Landelijk prioriteringsmodel.</w:t>
      </w:r>
      <w:r w:rsidRPr="007A6CB7">
        <w:t xml:space="preserve"> Momenteel voeren politie en Openbaar Ministerie een verkenning uit naar een landelijk prioriteringsmodel. </w:t>
      </w:r>
      <w:r w:rsidRPr="007A6CB7">
        <w:lastRenderedPageBreak/>
        <w:t xml:space="preserve">Uiteindelijk doel hiervan is landelijk meer eenduidigheid en uniformiteit te krijgen in de prioritering van </w:t>
      </w:r>
      <w:proofErr w:type="spellStart"/>
      <w:r w:rsidRPr="007A6CB7">
        <w:t>cold</w:t>
      </w:r>
      <w:proofErr w:type="spellEnd"/>
      <w:r w:rsidRPr="007A6CB7">
        <w:t xml:space="preserve"> cases.</w:t>
      </w:r>
    </w:p>
    <w:p w:rsidRPr="007A6CB7" w:rsidR="007A6CB7" w:rsidP="007A6CB7" w:rsidRDefault="007A6CB7" w14:paraId="7902773F" w14:textId="77777777">
      <w:pPr>
        <w:ind w:left="720"/>
        <w:contextualSpacing/>
      </w:pPr>
    </w:p>
    <w:p w:rsidRPr="007A6CB7" w:rsidR="007A6CB7" w:rsidP="007A6CB7" w:rsidRDefault="007A6CB7" w14:paraId="6EA5A86A" w14:textId="77777777">
      <w:pPr>
        <w:numPr>
          <w:ilvl w:val="0"/>
          <w:numId w:val="29"/>
        </w:numPr>
        <w:spacing w:line="259" w:lineRule="auto"/>
        <w:contextualSpacing/>
      </w:pPr>
      <w:r w:rsidRPr="007A6CB7">
        <w:rPr>
          <w:b/>
          <w:bCs/>
        </w:rPr>
        <w:t xml:space="preserve">Best </w:t>
      </w:r>
      <w:proofErr w:type="spellStart"/>
      <w:r w:rsidRPr="007A6CB7">
        <w:rPr>
          <w:b/>
          <w:bCs/>
        </w:rPr>
        <w:t>practices</w:t>
      </w:r>
      <w:proofErr w:type="spellEnd"/>
      <w:r w:rsidRPr="007A6CB7">
        <w:rPr>
          <w:b/>
          <w:bCs/>
        </w:rPr>
        <w:t xml:space="preserve"> inzet studenten, universiteiten, </w:t>
      </w:r>
      <w:proofErr w:type="gramStart"/>
      <w:r w:rsidRPr="007A6CB7">
        <w:rPr>
          <w:b/>
          <w:bCs/>
        </w:rPr>
        <w:t>hoge scholen</w:t>
      </w:r>
      <w:proofErr w:type="gramEnd"/>
      <w:r w:rsidRPr="007A6CB7">
        <w:rPr>
          <w:b/>
          <w:bCs/>
        </w:rPr>
        <w:t xml:space="preserve"> en oud-rechercheurs.</w:t>
      </w:r>
      <w:r w:rsidRPr="007A6CB7">
        <w:t xml:space="preserve"> In de praktijk is er een aantal initiatieven ontstaan waarbij studenten, universiteiten en </w:t>
      </w:r>
      <w:proofErr w:type="gramStart"/>
      <w:r w:rsidRPr="007A6CB7">
        <w:t>hoge scholen</w:t>
      </w:r>
      <w:proofErr w:type="gramEnd"/>
      <w:r w:rsidRPr="007A6CB7">
        <w:t xml:space="preserve"> en oud-rechercheurs worden ingezet bij de aanpak van </w:t>
      </w:r>
      <w:proofErr w:type="spellStart"/>
      <w:r w:rsidRPr="007A6CB7">
        <w:t>cold</w:t>
      </w:r>
      <w:proofErr w:type="spellEnd"/>
      <w:r w:rsidRPr="007A6CB7">
        <w:t xml:space="preserve"> cases. Meer diepgaand zal de politie bezien of er best </w:t>
      </w:r>
      <w:proofErr w:type="spellStart"/>
      <w:r w:rsidRPr="007A6CB7">
        <w:t>practices</w:t>
      </w:r>
      <w:proofErr w:type="spellEnd"/>
      <w:r w:rsidRPr="007A6CB7">
        <w:t xml:space="preserve"> zijn om de </w:t>
      </w:r>
      <w:proofErr w:type="spellStart"/>
      <w:r w:rsidRPr="007A6CB7">
        <w:t>cold</w:t>
      </w:r>
      <w:proofErr w:type="spellEnd"/>
      <w:r w:rsidRPr="007A6CB7">
        <w:t xml:space="preserve"> case (basis)-voorziening(en) te versterken, en of er eventueel nog wettelijke belemmeringen zijn en deze bespreken met mijn departement. Zoals u bekend is, zitten er bij de politievrijwilligers beperkingen aan de opleidings- en benodigde begeleidingscapaciteit.</w:t>
      </w:r>
    </w:p>
    <w:p w:rsidRPr="007A6CB7" w:rsidR="007A6CB7" w:rsidP="00435698" w:rsidRDefault="007A6CB7" w14:paraId="2075FC29" w14:textId="77777777"/>
    <w:p w:rsidRPr="007A6CB7" w:rsidR="007A6CB7" w:rsidP="00435698" w:rsidRDefault="007A6CB7" w14:paraId="5DE8262D" w14:textId="77777777"/>
    <w:p w:rsidRPr="007A6CB7" w:rsidR="00435698" w:rsidP="00435698" w:rsidRDefault="00435698" w14:paraId="06425754" w14:textId="2CA611BC">
      <w:r w:rsidRPr="007A6CB7">
        <w:t xml:space="preserve">Daarnaast kan ik u, </w:t>
      </w:r>
      <w:r w:rsidRPr="007A6CB7" w:rsidR="009F6F9F">
        <w:t xml:space="preserve">deels </w:t>
      </w:r>
      <w:r w:rsidRPr="007A6CB7">
        <w:t xml:space="preserve">mede namens de Staatssecretaris van Justitie en Veiligheid </w:t>
      </w:r>
      <w:r w:rsidRPr="007A6CB7" w:rsidR="00E73A94">
        <w:t>a</w:t>
      </w:r>
      <w:r w:rsidRPr="007A6CB7">
        <w:t xml:space="preserve">ls volgt informeren. </w:t>
      </w:r>
    </w:p>
    <w:p w:rsidRPr="007A6CB7" w:rsidR="00435698" w:rsidP="00435698" w:rsidRDefault="00435698" w14:paraId="1C0ED16A" w14:textId="7A032798"/>
    <w:p w:rsidRPr="007A6CB7" w:rsidR="00435698" w:rsidP="00435698" w:rsidRDefault="00435698" w14:paraId="3A1CD7A8" w14:textId="64B68F78">
      <w:pPr>
        <w:rPr>
          <w:rFonts w:cstheme="minorHAnsi"/>
        </w:rPr>
      </w:pPr>
      <w:r w:rsidRPr="007A6CB7">
        <w:rPr>
          <w:rFonts w:cstheme="minorHAnsi"/>
        </w:rPr>
        <w:t xml:space="preserve">Er is de afgelopen jaren hard gewerkt aan het vullen van de operationele bezetting, onder meer door middel van de reguliere instroom bij de </w:t>
      </w:r>
      <w:proofErr w:type="spellStart"/>
      <w:r w:rsidRPr="007A6CB7">
        <w:rPr>
          <w:rFonts w:cstheme="minorHAnsi"/>
        </w:rPr>
        <w:t>gebiedsgebonden</w:t>
      </w:r>
      <w:proofErr w:type="spellEnd"/>
      <w:r w:rsidRPr="007A6CB7">
        <w:rPr>
          <w:rFonts w:cstheme="minorHAnsi"/>
        </w:rPr>
        <w:t xml:space="preserve"> politie en de specialistische </w:t>
      </w:r>
      <w:proofErr w:type="spellStart"/>
      <w:r w:rsidRPr="007A6CB7">
        <w:rPr>
          <w:rFonts w:cstheme="minorHAnsi"/>
        </w:rPr>
        <w:t>zij-instroom</w:t>
      </w:r>
      <w:proofErr w:type="spellEnd"/>
      <w:r w:rsidRPr="007A6CB7">
        <w:rPr>
          <w:rFonts w:cstheme="minorHAnsi"/>
        </w:rPr>
        <w:t xml:space="preserve"> in de opsporing.</w:t>
      </w:r>
      <w:r w:rsidRPr="007A6CB7">
        <w:t xml:space="preserve"> </w:t>
      </w:r>
      <w:r w:rsidRPr="007A6CB7">
        <w:rPr>
          <w:rFonts w:cstheme="minorHAnsi"/>
        </w:rPr>
        <w:t xml:space="preserve">Vanaf 2026 komt er ook een directe instroomroute in de opsporing beschikbaar. Via deze route kunnen straks rechercheurs instromen met een verkorte opleiding van een aantal maanden, zonder dat ze de brede politieopleiding volgen. De politie geeft aan geen behoefte te hebben aan een opleiding voor </w:t>
      </w:r>
      <w:proofErr w:type="spellStart"/>
      <w:r w:rsidRPr="007A6CB7">
        <w:rPr>
          <w:rFonts w:cstheme="minorHAnsi"/>
        </w:rPr>
        <w:t>cold</w:t>
      </w:r>
      <w:proofErr w:type="spellEnd"/>
      <w:r w:rsidRPr="007A6CB7">
        <w:rPr>
          <w:rFonts w:cstheme="minorHAnsi"/>
        </w:rPr>
        <w:t xml:space="preserve"> case rechercheurs omdat de inzetbare kennis en vaardigheden onderdeel zijn van het reguliere recherchewerk, tactisch dan wel specialistisch. </w:t>
      </w:r>
      <w:r w:rsidRPr="007A6CB7">
        <w:t xml:space="preserve">Politievrijwilligers volgen, passend bij hun werkzaamheden, dezelfde opleiding (basispolitieopleiding, </w:t>
      </w:r>
      <w:proofErr w:type="spellStart"/>
      <w:r w:rsidRPr="007A6CB7">
        <w:t>politiespecifieke</w:t>
      </w:r>
      <w:proofErr w:type="spellEnd"/>
      <w:r w:rsidRPr="007A6CB7">
        <w:t xml:space="preserve"> boa-opleiding of politieopleiding voor specifieke inzet) als de beroepskrachten. </w:t>
      </w:r>
      <w:r w:rsidRPr="007A6CB7">
        <w:rPr>
          <w:rFonts w:cstheme="minorHAnsi"/>
        </w:rPr>
        <w:t>Daarbij maken politievrijwilligers geen onderdeel uit van de formatie en bezetting van de politieorganisatie. Politievrijwilligers mogen dan ook niet gezien worden als oplossing voor de capaciteitsproblematiek. Ze verrijken het politiewerk met hun specifieke kennis, kunde en ervaring en met de frisse blik waarmee ze naar de organisatie kijken.</w:t>
      </w:r>
    </w:p>
    <w:p w:rsidRPr="007A6CB7" w:rsidR="00435698" w:rsidP="00435698" w:rsidRDefault="00435698" w14:paraId="1B4E1BF4" w14:textId="4AAADF49"/>
    <w:p w:rsidRPr="007A6CB7" w:rsidR="00435698" w:rsidP="00435698" w:rsidRDefault="00435698" w14:paraId="7F8A0CF6" w14:textId="5F6731DC">
      <w:r w:rsidRPr="007A6CB7">
        <w:t xml:space="preserve">Een aantal nabestaanden en achterblijvers van </w:t>
      </w:r>
      <w:proofErr w:type="spellStart"/>
      <w:r w:rsidRPr="007A6CB7">
        <w:t>cold</w:t>
      </w:r>
      <w:proofErr w:type="spellEnd"/>
      <w:r w:rsidRPr="007A6CB7">
        <w:t xml:space="preserve"> cases willen graag het onderzoekdossier ontvangen. Dit kan bijvoorbeeld zijn omdat ze willen weten hoe de laatste momenten van hun dierbare waren of willen weten of de politie wel alles heeft gedaan wat mogelijk is. Het WODC gaat een onderzoek starten naar de kennisname van slachtoffers van (proces)stukken en in het bijzonder hoe met verzoeken van slachtoffers tot kennisname wordt omgegaan. De aanbeveling uit het plan </w:t>
      </w:r>
      <w:proofErr w:type="spellStart"/>
      <w:r w:rsidRPr="007A6CB7">
        <w:t>Mutluer</w:t>
      </w:r>
      <w:proofErr w:type="spellEnd"/>
      <w:r w:rsidRPr="007A6CB7">
        <w:t xml:space="preserve"> om onafhankelijk onderzoek te doen naar de uitbreiding van de mogelijkheden tot verstrekking van dossiers aan nabestaanden en achterblijvers, zal hierin worden meegenomen. Het onderzoek zal eind 2026 gereed zijn.</w:t>
      </w:r>
    </w:p>
    <w:p w:rsidRPr="007A6CB7" w:rsidR="00435698" w:rsidP="00435698" w:rsidRDefault="00435698" w14:paraId="6E203DC3" w14:textId="3CF9E0CE">
      <w:pPr>
        <w:spacing w:line="240" w:lineRule="auto"/>
      </w:pPr>
      <w:r w:rsidRPr="007A6CB7">
        <w:t xml:space="preserve">Een ander punt dat is aangedragen is dat de financiële ondersteuning van nabestaanden en achterblijvers vanuit het Schadefonds Geweldsmisdrijven volgens dit plan van </w:t>
      </w:r>
      <w:proofErr w:type="spellStart"/>
      <w:r w:rsidRPr="007A6CB7">
        <w:t>Mutluer</w:t>
      </w:r>
      <w:proofErr w:type="spellEnd"/>
      <w:r w:rsidRPr="007A6CB7">
        <w:t xml:space="preserve"> opgehoogd moet worden. In de </w:t>
      </w:r>
      <w:proofErr w:type="spellStart"/>
      <w:r w:rsidRPr="007A6CB7">
        <w:t>Meerjarenagenda</w:t>
      </w:r>
      <w:proofErr w:type="spellEnd"/>
      <w:r w:rsidRPr="007A6CB7">
        <w:t xml:space="preserve"> Slachtofferbeleid 2025-2028</w:t>
      </w:r>
      <w:r w:rsidRPr="007A6CB7">
        <w:rPr>
          <w:rStyle w:val="Voetnootmarkering"/>
        </w:rPr>
        <w:footnoteReference w:id="23"/>
      </w:r>
      <w:r w:rsidRPr="007A6CB7">
        <w:t xml:space="preserve"> is opgenomen dat in verband met een eerlijkere en evenwichtigere verdeling van overheidsmiddelen voor slachtoffers, een gelijkere </w:t>
      </w:r>
      <w:r w:rsidRPr="007A6CB7">
        <w:lastRenderedPageBreak/>
        <w:t xml:space="preserve">behandeling van slachtoffers van ernstig geweld en zeden, meer duidelijkheid en voorspelbaarheid voor slachtoffers (en verdachten) en snellere beschikbaarheid van financiële middelen voor slachtoffers, gekeken wordt naar een aantal oplossingsrichtingen. Te denken valt aan een grotere rol voor het Schadefonds Geweldsmisdrijven door een verhoging van de (maximale) tegemoetkoming voor slachtoffers van ernstige geweld- en zedendelicten en nabestaanden (en daarmee het verkleinen van het verschil tussen de voorschotregeling (strafproces) en de bedragen bij het Schadefonds). Een aantal van deze oplossingsrichtingen zullen in de komende periode nader worden verkend. Besluitvorming hierover is aan het volgende kabinet. In de </w:t>
      </w:r>
      <w:proofErr w:type="spellStart"/>
      <w:r w:rsidRPr="007A6CB7">
        <w:t>Meerjarenagenda</w:t>
      </w:r>
      <w:proofErr w:type="spellEnd"/>
      <w:r w:rsidRPr="007A6CB7">
        <w:t xml:space="preserve"> is evenwel ook benoemd, dat financiële middelen om aan de resterende onevenwichtigheden invulling te geven nu niet voorhanden zijn.</w:t>
      </w:r>
    </w:p>
    <w:p w:rsidRPr="007A6CB7" w:rsidR="00435698" w:rsidP="00435698" w:rsidRDefault="00435698" w14:paraId="0B3A389C" w14:textId="59320318">
      <w:pPr>
        <w:spacing w:line="240" w:lineRule="auto"/>
        <w:rPr>
          <w:i/>
          <w:iCs/>
        </w:rPr>
      </w:pPr>
    </w:p>
    <w:p w:rsidRPr="007A6CB7" w:rsidR="00435698" w:rsidP="00435698" w:rsidRDefault="00435698" w14:paraId="04FA9455" w14:textId="3F1FA566">
      <w:pPr>
        <w:spacing w:line="240" w:lineRule="auto"/>
        <w:rPr>
          <w:i/>
          <w:iCs/>
        </w:rPr>
      </w:pPr>
      <w:r w:rsidRPr="007A6CB7">
        <w:t xml:space="preserve">Tot slot wordt in het plan van </w:t>
      </w:r>
      <w:proofErr w:type="spellStart"/>
      <w:r w:rsidRPr="007A6CB7">
        <w:t>Mutluer</w:t>
      </w:r>
      <w:proofErr w:type="spellEnd"/>
      <w:r w:rsidRPr="007A6CB7">
        <w:t xml:space="preserve"> gevraagd om meer ondersteuning door politie, het OM en Slachtofferhulp Nederland. Bij de doorontwikkeling van een of meer </w:t>
      </w:r>
      <w:proofErr w:type="spellStart"/>
      <w:r w:rsidRPr="007A6CB7">
        <w:t>cold</w:t>
      </w:r>
      <w:proofErr w:type="spellEnd"/>
      <w:r w:rsidRPr="007A6CB7">
        <w:t xml:space="preserve"> case-voorzieningen wordt ook gekeken naar het creëren van een contactpunt zoals hierboven aangegeven. Slachtofferhulp biedt ondersteuning aan nabestaanden en achterblijvers door hen te begeleiden tijdens hernieuwde onderzoeken en hen te informeren over ontwikkelingen. Hierover zijn </w:t>
      </w:r>
      <w:proofErr w:type="gramStart"/>
      <w:r w:rsidRPr="007A6CB7">
        <w:t>reeds</w:t>
      </w:r>
      <w:proofErr w:type="gramEnd"/>
      <w:r w:rsidRPr="007A6CB7">
        <w:t xml:space="preserve"> bestaande afspraken met politie en Openbaar Ministerie over bijvoorbeeld het doorverwijzen van slachtoffers naar Slachtofferhulp. Dit zorgt ervoor dat nabestaanden en achterblijvers betrokken blijven bij het proces en zij de juiste psychosociale, juridische en/of praktische ondersteuning vanuit SHN ontvangen indien gewenst.</w:t>
      </w:r>
    </w:p>
    <w:p w:rsidRPr="007A6CB7" w:rsidR="00435698" w:rsidP="00435698" w:rsidRDefault="00435698" w14:paraId="6641E00D" w14:textId="3C191A1D">
      <w:pPr>
        <w:pStyle w:val="Kop2"/>
      </w:pPr>
      <w:bookmarkStart w:name="_Toc216278112" w:id="27"/>
      <w:bookmarkEnd w:id="25"/>
      <w:r w:rsidRPr="007A6CB7">
        <w:t xml:space="preserve">Motie </w:t>
      </w:r>
      <w:proofErr w:type="gramStart"/>
      <w:r w:rsidRPr="007A6CB7">
        <w:t>inzake</w:t>
      </w:r>
      <w:proofErr w:type="gramEnd"/>
      <w:r w:rsidRPr="007A6CB7">
        <w:t xml:space="preserve"> een single point of contact bij het Landelijk Expertisecentrum Persoonsvermissingen</w:t>
      </w:r>
      <w:bookmarkEnd w:id="27"/>
    </w:p>
    <w:p w:rsidRPr="007A6CB7" w:rsidR="00435698" w:rsidP="00435698" w:rsidRDefault="00435698" w14:paraId="0FCEE3A7" w14:textId="1C434540">
      <w:r w:rsidRPr="007A6CB7">
        <w:t xml:space="preserve">Hierbij informeer ik u nader over de na het tweeminutendebat Criminaliteitsbestrijding, ondermijning en georganiseerde criminaliteit d.d. 10 september jl. door uw Kamer aangenomen motie van het lid </w:t>
      </w:r>
      <w:proofErr w:type="spellStart"/>
      <w:r w:rsidRPr="007A6CB7">
        <w:t>Wijen-Nass</w:t>
      </w:r>
      <w:proofErr w:type="spellEnd"/>
      <w:r w:rsidRPr="007A6CB7">
        <w:t xml:space="preserve"> om te voorzien in een </w:t>
      </w:r>
      <w:r w:rsidRPr="007A6CB7" w:rsidR="00731A85">
        <w:t>single point of contact (</w:t>
      </w:r>
      <w:r w:rsidRPr="007A6CB7">
        <w:t>SPOC</w:t>
      </w:r>
      <w:r w:rsidRPr="007A6CB7" w:rsidR="00731A85">
        <w:t>)</w:t>
      </w:r>
      <w:r w:rsidRPr="007A6CB7">
        <w:t xml:space="preserve"> bij het Landelijk Expertisecentrum Persoonsvermissingen (LOEP). Het LOEP wordt volgens de motie geacht te fungeren als landelijke coördinatiepunt voor langdurige vermissingen en onbekende doden, zodat nabestaanden, politie en </w:t>
      </w:r>
      <w:proofErr w:type="spellStart"/>
      <w:r w:rsidRPr="007A6CB7">
        <w:t>convenantspartners</w:t>
      </w:r>
      <w:proofErr w:type="spellEnd"/>
      <w:r w:rsidRPr="007A6CB7">
        <w:t xml:space="preserve"> een duidelijk aanspreekpunt hebben en wordt geborgd dat zaken niet blijven liggen, maar actief worden opgevolgd.</w:t>
      </w:r>
      <w:r w:rsidRPr="007A6CB7">
        <w:rPr>
          <w:rStyle w:val="Voetnootmarkering"/>
        </w:rPr>
        <w:footnoteReference w:id="24"/>
      </w:r>
    </w:p>
    <w:p w:rsidRPr="007A6CB7" w:rsidR="00435698" w:rsidP="00435698" w:rsidRDefault="00435698" w14:paraId="0F004381" w14:textId="1E0A78FC">
      <w:r w:rsidRPr="007A6CB7">
        <w:t xml:space="preserve">Het LOEP fungeert al als landelijk coördinatiepunt voor de DNA-database vermiste personen en onbekende doden, waarbij gegevens van langdurige vermissingen en onbekende doden waarbij geen strafrechtelijke verdenking is worden opgeslagen en uitgewisseld met onder meer andere landen. Ook zijn zij coördinerend in het contact met landelijke </w:t>
      </w:r>
      <w:proofErr w:type="spellStart"/>
      <w:r w:rsidRPr="007A6CB7">
        <w:t>burgerzoeksteams</w:t>
      </w:r>
      <w:proofErr w:type="spellEnd"/>
      <w:r w:rsidRPr="007A6CB7">
        <w:t>, zoals het Veteranen Search Team. De politie gaat verkennen of deze coördinatiefunctie op onderdelen versterkt zou kunnen worden. Ik kom hierop terug in het volgende halfjaarbericht politie.</w:t>
      </w:r>
    </w:p>
    <w:p w:rsidRPr="007A6CB7" w:rsidR="00076212" w:rsidP="00076212" w:rsidRDefault="00076212" w14:paraId="2081879D" w14:textId="77777777">
      <w:pPr>
        <w:autoSpaceDN/>
        <w:spacing w:after="160" w:line="259" w:lineRule="auto"/>
        <w:textAlignment w:val="auto"/>
      </w:pPr>
    </w:p>
    <w:p w:rsidRPr="007A6CB7" w:rsidR="008C52A0" w:rsidP="008C52A0" w:rsidRDefault="008C52A0" w14:paraId="6ADDF5FF" w14:textId="35BEBB49">
      <w:pPr>
        <w:pStyle w:val="Kop1"/>
      </w:pPr>
      <w:bookmarkStart w:name="_Toc216278113" w:id="28"/>
      <w:r w:rsidRPr="007A6CB7">
        <w:t>Online criminaliteit</w:t>
      </w:r>
      <w:bookmarkEnd w:id="28"/>
    </w:p>
    <w:p w:rsidRPr="007A6CB7" w:rsidR="008C52A0" w:rsidP="008C52A0" w:rsidRDefault="008C52A0" w14:paraId="08D4C7A3" w14:textId="77777777">
      <w:pPr>
        <w:pStyle w:val="Kop2"/>
      </w:pPr>
      <w:bookmarkStart w:name="_Toc216278114" w:id="29"/>
      <w:r w:rsidRPr="007A6CB7">
        <w:t xml:space="preserve">Toezegging </w:t>
      </w:r>
      <w:proofErr w:type="gramStart"/>
      <w:r w:rsidRPr="007A6CB7">
        <w:t>inzake</w:t>
      </w:r>
      <w:proofErr w:type="gramEnd"/>
      <w:r w:rsidRPr="007A6CB7">
        <w:t xml:space="preserve"> massaal slachtofferschap</w:t>
      </w:r>
      <w:bookmarkEnd w:id="29"/>
    </w:p>
    <w:p w:rsidRPr="007A6CB7" w:rsidR="008C52A0" w:rsidP="008C52A0" w:rsidRDefault="008C52A0" w14:paraId="03B002E8" w14:textId="725A1C1C">
      <w:pPr>
        <w:rPr>
          <w:i/>
          <w:iCs/>
        </w:rPr>
      </w:pPr>
      <w:r w:rsidRPr="007A6CB7">
        <w:t>In het commissiedebat Politie van 2 juli 2025 is toegezegd om terug te komen op vragen van het lid Six Dijkstra</w:t>
      </w:r>
      <w:r w:rsidRPr="007A6CB7" w:rsidR="00BF4C58">
        <w:t xml:space="preserve"> (NSC)</w:t>
      </w:r>
      <w:r w:rsidRPr="007A6CB7">
        <w:t xml:space="preserve"> aangaande notificatie van slachtoffers van </w:t>
      </w:r>
      <w:r w:rsidRPr="007A6CB7">
        <w:lastRenderedPageBreak/>
        <w:t>gedigitaliseerde criminaliteit</w:t>
      </w:r>
      <w:r w:rsidRPr="007A6CB7" w:rsidR="002305C6">
        <w:rPr>
          <w:rStyle w:val="Voetnootmarkering"/>
        </w:rPr>
        <w:footnoteReference w:id="25"/>
      </w:r>
      <w:r w:rsidRPr="007A6CB7">
        <w:t xml:space="preserve">. Zoals ook aangegeven tijdens het debat is het door een wijziging in het Besluit politiegegevens voor de politie mogelijk geworden om structureel </w:t>
      </w:r>
      <w:proofErr w:type="gramStart"/>
      <w:r w:rsidRPr="007A6CB7">
        <w:t>slachtoffer(</w:t>
      </w:r>
      <w:proofErr w:type="gramEnd"/>
      <w:r w:rsidRPr="007A6CB7">
        <w:t xml:space="preserve">- en </w:t>
      </w:r>
      <w:proofErr w:type="spellStart"/>
      <w:r w:rsidRPr="007A6CB7">
        <w:t>dreigings</w:t>
      </w:r>
      <w:proofErr w:type="spellEnd"/>
      <w:r w:rsidRPr="007A6CB7">
        <w:t xml:space="preserve">)informatie te delen met het NCSC, die op basis daarvan slachtoffers kan notificeren binnen de betreffende doelgroep zoals in de bestrijding van cybercrime vaak gebeurt. De politie heeft aangegeven dat het van belang kan zijn om dergelijke informatie in het kader van de bestrijding van gedigitaliseerde criminaliteit eveneens breder te delen dan nu mogelijk is. Deze wens zal de politie nader inventariseren en bespreken met het departement. </w:t>
      </w:r>
      <w:proofErr w:type="gramStart"/>
      <w:r w:rsidRPr="007A6CB7">
        <w:t>Indien</w:t>
      </w:r>
      <w:proofErr w:type="gramEnd"/>
      <w:r w:rsidRPr="007A6CB7">
        <w:t xml:space="preserve"> dit leidt tot beleidsvoorstellen, dan wordt uw Kamer hierover nader geïnformeerd via de halfjaarberichten politie.</w:t>
      </w:r>
      <w:r w:rsidRPr="007A6CB7" w:rsidR="00BF4C58">
        <w:t xml:space="preserve"> Hiermee beschouw ik de toezegging als afgedaan.</w:t>
      </w:r>
    </w:p>
    <w:p w:rsidRPr="007A6CB7" w:rsidR="002979AF" w:rsidP="002979AF" w:rsidRDefault="002979AF" w14:paraId="1E0C429E" w14:textId="77777777">
      <w:pPr>
        <w:pStyle w:val="Kop2"/>
      </w:pPr>
      <w:bookmarkStart w:name="_Toc216278115" w:id="30"/>
      <w:bookmarkStart w:name="_Hlk213936230" w:id="31"/>
      <w:r w:rsidRPr="007A6CB7">
        <w:t xml:space="preserve">Motie </w:t>
      </w:r>
      <w:proofErr w:type="gramStart"/>
      <w:r w:rsidRPr="007A6CB7">
        <w:t>inzake</w:t>
      </w:r>
      <w:proofErr w:type="gramEnd"/>
      <w:r w:rsidRPr="007A6CB7">
        <w:t xml:space="preserve"> digitale aangifte cyberaanvallen en delicten</w:t>
      </w:r>
      <w:bookmarkEnd w:id="30"/>
      <w:r w:rsidRPr="007A6CB7">
        <w:t xml:space="preserve"> </w:t>
      </w:r>
    </w:p>
    <w:p w:rsidRPr="007A6CB7" w:rsidR="005D2940" w:rsidP="005D2940" w:rsidRDefault="005D2940" w14:paraId="4B8DDE33" w14:textId="0C41B08C">
      <w:r w:rsidRPr="007A6CB7">
        <w:t>In het vorige halfjaarbericht politie</w:t>
      </w:r>
      <w:r w:rsidRPr="007A6CB7">
        <w:rPr>
          <w:rStyle w:val="Voetnootmarkering"/>
        </w:rPr>
        <w:footnoteReference w:id="26"/>
      </w:r>
      <w:r w:rsidRPr="007A6CB7">
        <w:t xml:space="preserve"> is uw Kamer op de hoogte gebracht van de stand van zaken van de implementatie van een digitale aangiftemogelijkheid voor ondernemers bij cyberaanvallen en gedigitaliseerde cyberdelicten</w:t>
      </w:r>
      <w:r w:rsidRPr="007A6CB7" w:rsidR="00821C8D">
        <w:rPr>
          <w:rStyle w:val="Voetnootmarkering"/>
        </w:rPr>
        <w:footnoteReference w:id="27"/>
      </w:r>
      <w:r w:rsidRPr="007A6CB7">
        <w:t xml:space="preserve">, te beginnen met </w:t>
      </w:r>
      <w:proofErr w:type="spellStart"/>
      <w:r w:rsidRPr="007A6CB7">
        <w:t>ransomware</w:t>
      </w:r>
      <w:proofErr w:type="spellEnd"/>
      <w:r w:rsidRPr="007A6CB7">
        <w:t xml:space="preserve">. De politie heeft laten weten dat het streven om dit najaar de </w:t>
      </w:r>
      <w:proofErr w:type="gramStart"/>
      <w:r w:rsidRPr="007A6CB7">
        <w:t>online aangiftemogelijkheid</w:t>
      </w:r>
      <w:proofErr w:type="gramEnd"/>
      <w:r w:rsidRPr="007A6CB7">
        <w:t xml:space="preserve"> te realiseren vertraging heeft opgelopen, vanwege technische uitdagingen waarmee de politie gedurende het traject is geconfronteerd. De komende periode staat in het teken van gebruikers- en acceptatietesten, realisatie is voorzien voor het eerste kwartaal van 2026.</w:t>
      </w:r>
    </w:p>
    <w:p w:rsidRPr="007A6CB7" w:rsidR="002979AF" w:rsidP="002979AF" w:rsidRDefault="002979AF" w14:paraId="1FD2A324" w14:textId="77777777">
      <w:pPr>
        <w:pStyle w:val="Kop2"/>
      </w:pPr>
      <w:bookmarkStart w:name="_Toc216278116" w:id="32"/>
      <w:bookmarkStart w:name="_Hlk213936299" w:id="33"/>
      <w:bookmarkEnd w:id="31"/>
      <w:r w:rsidRPr="007A6CB7">
        <w:t>Reactie op inspectierapport hackbevoegdheid</w:t>
      </w:r>
      <w:bookmarkEnd w:id="32"/>
      <w:r w:rsidRPr="007A6CB7">
        <w:t xml:space="preserve"> </w:t>
      </w:r>
    </w:p>
    <w:bookmarkEnd w:id="33"/>
    <w:p w:rsidRPr="007A6CB7" w:rsidR="00901A89" w:rsidP="00901A89" w:rsidRDefault="00901A89" w14:paraId="16593B29" w14:textId="4AC3EC4E">
      <w:r w:rsidRPr="007A6CB7">
        <w:t>Op 26 september 2025 is het jaarverslag 2024 van de Inspectie JenV over het toezicht op de wettelijke hackbevoegdheid</w:t>
      </w:r>
      <w:r w:rsidRPr="007A6CB7">
        <w:rPr>
          <w:rStyle w:val="Voetnootmarkering"/>
        </w:rPr>
        <w:footnoteReference w:id="28"/>
      </w:r>
      <w:r w:rsidRPr="007A6CB7">
        <w:t xml:space="preserve"> naar uw Kamer gestuurd. De Inspectie concludeert dat er door politie met voldoende aandacht, tijd en prioriteit wordt gewerkt aan het realiseren van het kwaliteitssysteem, iets wat de Inspectie ziet als basisvoorwaarde voor effectief systeemtoezicht. De aanbeveling van de Inspectie om de planning voor de realisatie van het kwaliteitssysteem aan te passen is overgenomen. Daarnaast is door de Inspectie gekeken naar een aantal belangrijke onderdelen van het kwaliteitssysteem, waaronder de afdelingscultuur, kennis van medewerkers en de lijnverantwoordelijkheid. De Inspectie concludeert dat de open cultuur bij het uitvoerende team een goede basis vormt voor het kwaliteitssysteem. Daarnaast worden enkele risico’s onderkend die betrekking hebben op de juridische kennis bij medewerkers, kennis over het kwaliteitssysteem en het zijn van een lerende organisatie. De politie neemt de aanbevelingen van de Inspectie over.</w:t>
      </w:r>
    </w:p>
    <w:p w:rsidRPr="007A6CB7" w:rsidR="002979AF" w:rsidP="002979AF" w:rsidRDefault="002979AF" w14:paraId="167A701E" w14:textId="77777777">
      <w:pPr>
        <w:pStyle w:val="Kop2"/>
      </w:pPr>
      <w:bookmarkStart w:name="_Toc216278117" w:id="34"/>
      <w:r w:rsidRPr="007A6CB7">
        <w:t xml:space="preserve">Toezegging </w:t>
      </w:r>
      <w:proofErr w:type="gramStart"/>
      <w:r w:rsidRPr="007A6CB7">
        <w:t>inzake</w:t>
      </w:r>
      <w:proofErr w:type="gramEnd"/>
      <w:r w:rsidRPr="007A6CB7">
        <w:t xml:space="preserve"> het blijvend te informeren van de Kamer rondom het </w:t>
      </w:r>
      <w:proofErr w:type="spellStart"/>
      <w:r w:rsidRPr="007A6CB7">
        <w:t>datalek</w:t>
      </w:r>
      <w:bookmarkEnd w:id="34"/>
      <w:proofErr w:type="spellEnd"/>
    </w:p>
    <w:p w:rsidRPr="007A6CB7" w:rsidR="002979AF" w:rsidP="002979AF" w:rsidRDefault="002979AF" w14:paraId="722BE37F" w14:textId="47459244">
      <w:r w:rsidRPr="007A6CB7">
        <w:t>Tijdens het commissiedebat</w:t>
      </w:r>
      <w:r w:rsidRPr="007A6CB7" w:rsidR="004346C1">
        <w:t xml:space="preserve"> </w:t>
      </w:r>
      <w:proofErr w:type="spellStart"/>
      <w:r w:rsidRPr="007A6CB7" w:rsidR="004346C1">
        <w:t>datalek</w:t>
      </w:r>
      <w:proofErr w:type="spellEnd"/>
      <w:r w:rsidRPr="007A6CB7" w:rsidR="004346C1">
        <w:t xml:space="preserve"> bij de politie</w:t>
      </w:r>
      <w:r w:rsidRPr="007A6CB7">
        <w:t xml:space="preserve"> van 27 november 2024 heeft mijn ambtsvoorganger toegezegd uw Kamer te informeren over nieuwe ontwikkelingen rondom de cyberaanval bij de politie van 23 september 2024, voor zover de veiligheid dat zou toelaten</w:t>
      </w:r>
      <w:r w:rsidRPr="007A6CB7" w:rsidR="00821C8D">
        <w:rPr>
          <w:rStyle w:val="Voetnootmarkering"/>
        </w:rPr>
        <w:footnoteReference w:id="29"/>
      </w:r>
      <w:r w:rsidRPr="007A6CB7">
        <w:t xml:space="preserve">. Op 27 mei 2025 is uw Kamer hier voor het </w:t>
      </w:r>
      <w:r w:rsidRPr="007A6CB7">
        <w:lastRenderedPageBreak/>
        <w:t>laatst over geïnformeerd</w:t>
      </w:r>
      <w:r w:rsidRPr="007A6CB7" w:rsidR="007555E3">
        <w:t>, na deze brief hebben zich geen nieuwe ontwikkelingen voorgedaan</w:t>
      </w:r>
      <w:r w:rsidRPr="007A6CB7">
        <w:rPr>
          <w:rStyle w:val="Voetnootmarkering"/>
        </w:rPr>
        <w:footnoteReference w:id="30"/>
      </w:r>
      <w:r w:rsidRPr="007A6CB7">
        <w:t xml:space="preserve">. Ik beschouw de toezegging daarom als afgedaan. </w:t>
      </w:r>
    </w:p>
    <w:p w:rsidRPr="007A6CB7" w:rsidR="00187E83" w:rsidP="00187E83" w:rsidRDefault="00187E83" w14:paraId="18AB024F" w14:textId="12620CB2">
      <w:pPr>
        <w:pStyle w:val="Kop1"/>
      </w:pPr>
      <w:bookmarkStart w:name="_Toc216278118" w:id="35"/>
      <w:r w:rsidRPr="007A6CB7">
        <w:t>Zeden en geweld tegen vrouwen</w:t>
      </w:r>
      <w:bookmarkEnd w:id="35"/>
    </w:p>
    <w:p w:rsidRPr="007A6CB7" w:rsidR="005D2940" w:rsidP="005D2940" w:rsidRDefault="00187E83" w14:paraId="5F8B1B31" w14:textId="769F18D7">
      <w:pPr>
        <w:pStyle w:val="Kop2"/>
      </w:pPr>
      <w:bookmarkStart w:name="_Toc216278119" w:id="36"/>
      <w:bookmarkStart w:name="_Hlk213936628" w:id="37"/>
      <w:r w:rsidRPr="007A6CB7">
        <w:t xml:space="preserve">Toezegging </w:t>
      </w:r>
      <w:proofErr w:type="gramStart"/>
      <w:r w:rsidRPr="007A6CB7">
        <w:t>inzake</w:t>
      </w:r>
      <w:proofErr w:type="gramEnd"/>
      <w:r w:rsidRPr="007A6CB7">
        <w:t xml:space="preserve"> instroom in teams seksuele misdrijven</w:t>
      </w:r>
      <w:bookmarkEnd w:id="36"/>
    </w:p>
    <w:p w:rsidRPr="007A6CB7" w:rsidR="000C3933" w:rsidP="000C3933" w:rsidRDefault="000C3933" w14:paraId="0551D726" w14:textId="59FCDF12">
      <w:bookmarkStart w:name="_Hlk213936930" w:id="38"/>
      <w:bookmarkEnd w:id="37"/>
      <w:r w:rsidRPr="007A6CB7">
        <w:t xml:space="preserve">Tijdens het commissiedebat Zeden en (on)veiligheid van vrouwen </w:t>
      </w:r>
      <w:r w:rsidRPr="007A6CB7" w:rsidR="00267CBD">
        <w:t xml:space="preserve">van 3 april jl. </w:t>
      </w:r>
      <w:r w:rsidRPr="007A6CB7">
        <w:t xml:space="preserve">heeft de </w:t>
      </w:r>
      <w:r w:rsidRPr="007A6CB7" w:rsidR="00BF5E7D">
        <w:t xml:space="preserve">voormalig </w:t>
      </w:r>
      <w:r w:rsidRPr="007A6CB7">
        <w:t>staatssecretaris van Justitie en Veiligheid de Kamer toegezegd te onderzoeken wat de mogelijkheden zijn, voor politiemedewerkers in opleiding, om na de basispolitieopleiding sneller de vakspecialistische opleiding tot zedenrechercheur te kunnen volgen en daarbij ook mee te nemen dat de ESI-opleiding vol zit.</w:t>
      </w:r>
      <w:r w:rsidRPr="007A6CB7" w:rsidR="00F12E04">
        <w:rPr>
          <w:rStyle w:val="Voetnootmarkering"/>
        </w:rPr>
        <w:footnoteReference w:id="31"/>
      </w:r>
      <w:r w:rsidRPr="007A6CB7">
        <w:t xml:space="preserve"> De toezegging is gedaan tegen de achtergrond van de zorgen bij uw Kamer over de onderbezetting in de teams seksuele misdrijven.</w:t>
      </w:r>
      <w:r w:rsidRPr="007A6CB7">
        <w:rPr>
          <w:rStyle w:val="Voetnootmarkering"/>
        </w:rPr>
        <w:footnoteReference w:id="32"/>
      </w:r>
      <w:r w:rsidRPr="007A6CB7">
        <w:t xml:space="preserve"> Samen met de politie heb ik aandacht voor de achterblijvende bezetting van de teams seksuele misdrijven. Daarbij merk ik op dat ook andere teams binnen de politieorganisatie te maken hebben met onderbezetting en er dus in de volle breedte maatregelen en keuzes nodig zijn. Naar aanleiding van deze toezegging informeer ik uw Kamer als volgt. </w:t>
      </w:r>
    </w:p>
    <w:p w:rsidRPr="007A6CB7" w:rsidR="000C3933" w:rsidP="000C3933" w:rsidRDefault="000C3933" w14:paraId="2FB77D5C" w14:textId="77777777"/>
    <w:p w:rsidRPr="007A6CB7" w:rsidR="000C3933" w:rsidP="000C3933" w:rsidRDefault="000C3933" w14:paraId="2D5100E0" w14:textId="77777777">
      <w:pPr>
        <w:rPr>
          <w:u w:val="single"/>
        </w:rPr>
      </w:pPr>
      <w:r w:rsidRPr="007A6CB7">
        <w:rPr>
          <w:u w:val="single"/>
        </w:rPr>
        <w:t>Van start- naar vakbekwaam</w:t>
      </w:r>
    </w:p>
    <w:p w:rsidRPr="007A6CB7" w:rsidR="000C3933" w:rsidP="000C3933" w:rsidRDefault="000C3933" w14:paraId="179B4BAC" w14:textId="77777777">
      <w:r w:rsidRPr="007A6CB7">
        <w:t xml:space="preserve">Na afronding van de basispolitieopleiding (PO21) volgen de nieuwe politiemedewerkers het landelijke leertraject van start- naar vakbekwaam Medewerker GGP. Het uitgangspunt van dit traject is leren van en door het werk. Tijdens dit traject werken politiemedewerkers voornamelijk binnen de </w:t>
      </w:r>
      <w:proofErr w:type="spellStart"/>
      <w:r w:rsidRPr="007A6CB7">
        <w:t>Gebiedsgebonden</w:t>
      </w:r>
      <w:proofErr w:type="spellEnd"/>
      <w:r w:rsidRPr="007A6CB7">
        <w:t xml:space="preserve"> Politiezorg (GGP). Tijdens het wijkwerk in de GGP krijgen politiemedewerkers te maken met een breed scala aan meldingen, waaronder die van zeden en dragen zij bij aan </w:t>
      </w:r>
      <w:proofErr w:type="spellStart"/>
      <w:r w:rsidRPr="007A6CB7">
        <w:t>vroegsignalering</w:t>
      </w:r>
      <w:proofErr w:type="spellEnd"/>
      <w:r w:rsidRPr="007A6CB7">
        <w:t xml:space="preserve"> en preventie op dit thema. Daarnaast draaien de nieuwe politiemedewerkers een periode mee binnen de Veelvoorkomende Criminaliteit (VVC). Tijdens hun werkzaamheden bij de VVC komen politiemedewerkers in aanraking met het behandelen van (strafbare) feiten op het terrein van seksuele misdrijven. Ook is hier aandacht voor het herkennen en vastleggen van signalen ten behoeve van verwijzingen naar de teams seksuele misdrijven. </w:t>
      </w:r>
    </w:p>
    <w:p w:rsidRPr="007A6CB7" w:rsidR="000C3933" w:rsidP="000C3933" w:rsidRDefault="000C3933" w14:paraId="3BB2C519" w14:textId="77777777"/>
    <w:p w:rsidRPr="007A6CB7" w:rsidR="000C3933" w:rsidP="000C3933" w:rsidRDefault="000C3933" w14:paraId="54403216" w14:textId="77777777">
      <w:r w:rsidRPr="007A6CB7">
        <w:t xml:space="preserve">Dit leertraject van start- naar vakbekwaam, binnen de GGP, is essentieel voor politiemedewerkers om vakbekwaam te worden en vormt het fundament voor het vakmanschap in de basispolitiezorg. Hierom is het niet wenselijk om politiemedewerkers uit dit traject te halen en meteen door te laten stromen richting de teams seksuele misdrijven. Dit zou alleen een verplaatsing van de capaciteitsproblematiek tussen vakgebieden zijn met nadelige gevolgen voor de uitvoering van de politietaak. Wel moeten GGP-politiemedewerkers, vanaf drie jaar na afronding van de basispolitieopleiding, voor minimaal twee jaar wisselen van context, zoals in een team seksuele misdrijven. Ook wordt begin 2027 het landelijk uniforme traject van start- naar vakbekwaam geëvalueerd. Hierbij wordt, afhankelijk van de uitkomsten van de evaluatie, bekeken </w:t>
      </w:r>
      <w:bookmarkStart w:name="_Hlk213937393" w:id="39"/>
      <w:r w:rsidRPr="007A6CB7">
        <w:t>of ‘seksuele misdrijven’ als onderwerp nog specifieker in het traject wordt opgenomen</w:t>
      </w:r>
      <w:bookmarkEnd w:id="39"/>
      <w:r w:rsidRPr="007A6CB7">
        <w:t xml:space="preserve">. </w:t>
      </w:r>
    </w:p>
    <w:p w:rsidRPr="007A6CB7" w:rsidR="000C3933" w:rsidP="000C3933" w:rsidRDefault="000C3933" w14:paraId="3DCE664F" w14:textId="77777777"/>
    <w:p w:rsidRPr="007A6CB7" w:rsidR="000C3933" w:rsidP="000C3933" w:rsidRDefault="000C3933" w14:paraId="3237C941" w14:textId="77777777">
      <w:pPr>
        <w:rPr>
          <w:u w:val="single"/>
        </w:rPr>
      </w:pPr>
      <w:r w:rsidRPr="007A6CB7">
        <w:rPr>
          <w:u w:val="single"/>
        </w:rPr>
        <w:t>Directe instroom</w:t>
      </w:r>
    </w:p>
    <w:p w:rsidRPr="007A6CB7" w:rsidR="000C3933" w:rsidP="000C3933" w:rsidRDefault="000C3933" w14:paraId="21309350" w14:textId="64B74506">
      <w:r w:rsidRPr="007A6CB7">
        <w:t xml:space="preserve">In het eerste halfjaarbericht politie van 2025 heb ik uw Kamer geïnformeerd over de vier instroomroutes in de Tactische Opsporing, waaronder in de teams seksuele misdrijven. Deze routes zijn 1) interne doorstroom vanuit de GGP, 2) de bachelor rechercheur, 3) directe instroom als specialist (politiemedewerker met een specifieke inzet, ESI) op onder ander het werkterrein seksuele misdrijven en 4) vanaf </w:t>
      </w:r>
      <w:r w:rsidRPr="007A6CB7" w:rsidR="00267CBD">
        <w:t xml:space="preserve">het tweede kwartaal </w:t>
      </w:r>
      <w:r w:rsidRPr="007A6CB7">
        <w:t xml:space="preserve">2026 de nieuwe directe instroom op mbo-niveau in de Tactische Opsporing. Bij alle instroomroutes is het volgen van en certificering voor Handelen in Zedenzaken verplicht. Via de nieuwe directe instroomroute in de opsporing zullen nieuwe medewerkers bekwaam worden gemaakt voor het vak rechercheur door het volgen van een korte algemene politieopleiding voor een executieve aanstelling in combinatie met vakgericht leer-, ontwikkel- en opleidingsaanbod. De </w:t>
      </w:r>
      <w:bookmarkStart w:name="_Hlk213937524" w:id="40"/>
      <w:r w:rsidRPr="007A6CB7">
        <w:t xml:space="preserve">doorstroommogelijkheden en -voorwaarden </w:t>
      </w:r>
      <w:bookmarkEnd w:id="40"/>
      <w:r w:rsidRPr="007A6CB7">
        <w:t xml:space="preserve">van deze politiemedewerkers, van Medewerker naar Generalist Tactische Opsporing, zoals in een team seksuele misdrijven, wordt bekeken. </w:t>
      </w:r>
    </w:p>
    <w:p w:rsidRPr="007A6CB7" w:rsidR="000C3933" w:rsidP="000C3933" w:rsidRDefault="000C3933" w14:paraId="5F902F97" w14:textId="77777777"/>
    <w:p w:rsidRPr="007A6CB7" w:rsidR="000C3933" w:rsidP="000C3933" w:rsidRDefault="000C3933" w14:paraId="397E914B" w14:textId="0DCDD68A">
      <w:r w:rsidRPr="007A6CB7">
        <w:t xml:space="preserve">De differentiatie in instroomroutes in de Tactische Opsporing, en zeker de mogelijkheden van directe instroom, biedt kansen om meer en/of sneller vacatures bij de teams seksuele misdrijven in te vullen. Tegelijkertijd blijft het door de pensioenuitstroom, waardoor er relatief veel ervaren politiemedewerkers uitstromen, en de krappe arbeidsmarkt een uitdaging om de bezetting op peil te houden. Voor het werk in de teams seksuele misdrijven is een goede mix aan functies benodigd die niet alleen via directe instroom bewerkstelligd kan worden. Daarnaast is het werk in de teams seksuele misdrijven niet voor iedereen. Het vraagt specifieke competenties van de politiemedewerkers. Met deze toelichting wordt de toezegging, door de staatssecretaris van Justitie en Veiligheid, afgedaan. </w:t>
      </w:r>
    </w:p>
    <w:p w:rsidRPr="007A6CB7" w:rsidR="00634C15" w:rsidP="00634C15" w:rsidRDefault="00634C15" w14:paraId="6F99CCD6" w14:textId="77777777">
      <w:pPr>
        <w:pStyle w:val="Kop2"/>
      </w:pPr>
      <w:bookmarkStart w:name="_Toc216278120" w:id="41"/>
      <w:r w:rsidRPr="007A6CB7">
        <w:t xml:space="preserve">Motie </w:t>
      </w:r>
      <w:proofErr w:type="gramStart"/>
      <w:r w:rsidRPr="007A6CB7">
        <w:t>inzake</w:t>
      </w:r>
      <w:proofErr w:type="gramEnd"/>
      <w:r w:rsidRPr="007A6CB7">
        <w:t xml:space="preserve"> update werkvoorraad zedenzaken</w:t>
      </w:r>
      <w:bookmarkEnd w:id="41"/>
      <w:r w:rsidRPr="007A6CB7">
        <w:t xml:space="preserve"> </w:t>
      </w:r>
    </w:p>
    <w:p w:rsidRPr="007A6CB7" w:rsidR="00EA1DA5" w:rsidP="00EA1DA5" w:rsidRDefault="00EA1DA5" w14:paraId="58DB2CFB" w14:textId="77777777">
      <w:bookmarkStart w:name="_Hlk213937286" w:id="42"/>
      <w:bookmarkEnd w:id="38"/>
      <w:r w:rsidRPr="007A6CB7">
        <w:t>Sinds 2022 wordt uw Kamer naar aanleiding van een motie van de leden Michon-Derkzen en Van der Werf halfjaarlijks geïnformeerd over de werkvoorraad op het terrein van zedenzaken en de afspraken om deze werkvoorraad terug te dringen.</w:t>
      </w:r>
      <w:r w:rsidRPr="007A6CB7">
        <w:rPr>
          <w:rStyle w:val="Voetnootmarkering"/>
        </w:rPr>
        <w:footnoteReference w:id="33"/>
      </w:r>
      <w:r w:rsidRPr="007A6CB7">
        <w:t xml:space="preserve"> Hieronder ga ik in op het actuele beeld van de werkvoorraden in zedenzaken.</w:t>
      </w:r>
    </w:p>
    <w:p w:rsidRPr="007A6CB7" w:rsidR="00EA1DA5" w:rsidP="00EA1DA5" w:rsidRDefault="00EA1DA5" w14:paraId="6B598BF9" w14:textId="77777777"/>
    <w:p w:rsidRPr="007A6CB7" w:rsidR="00EA1DA5" w:rsidP="00EA1DA5" w:rsidRDefault="00EA1DA5" w14:paraId="655BB3C9" w14:textId="77777777">
      <w:pPr>
        <w:rPr>
          <w:i/>
          <w:iCs/>
        </w:rPr>
      </w:pPr>
      <w:r w:rsidRPr="007A6CB7">
        <w:rPr>
          <w:i/>
          <w:iCs/>
        </w:rPr>
        <w:t>Tabel Werkvoorraden politie op het terrein van zedenzaken (bron: politie)</w:t>
      </w:r>
    </w:p>
    <w:tbl>
      <w:tblPr>
        <w:tblStyle w:val="Tabelraster"/>
        <w:tblW w:w="0" w:type="auto"/>
        <w:tblInd w:w="0" w:type="dxa"/>
        <w:tblLook w:val="04A0" w:firstRow="1" w:lastRow="0" w:firstColumn="1" w:lastColumn="0" w:noHBand="0" w:noVBand="1"/>
      </w:tblPr>
      <w:tblGrid>
        <w:gridCol w:w="1328"/>
        <w:gridCol w:w="1033"/>
        <w:gridCol w:w="1034"/>
        <w:gridCol w:w="1034"/>
        <w:gridCol w:w="1034"/>
        <w:gridCol w:w="1034"/>
        <w:gridCol w:w="1034"/>
      </w:tblGrid>
      <w:tr w:rsidRPr="007A6CB7" w:rsidR="00EA1DA5" w:rsidTr="008604C7" w14:paraId="7155A1E9" w14:textId="77777777">
        <w:tc>
          <w:tcPr>
            <w:tcW w:w="1288" w:type="dxa"/>
          </w:tcPr>
          <w:p w:rsidRPr="007A6CB7" w:rsidR="00EA1DA5" w:rsidP="00EA1DA5" w:rsidRDefault="00EA1DA5" w14:paraId="0A0D0841" w14:textId="77777777">
            <w:r w:rsidRPr="007A6CB7">
              <w:t>Cijfers zedenzaken</w:t>
            </w:r>
          </w:p>
        </w:tc>
        <w:tc>
          <w:tcPr>
            <w:tcW w:w="1288" w:type="dxa"/>
          </w:tcPr>
          <w:p w:rsidRPr="007A6CB7" w:rsidR="00EA1DA5" w:rsidP="00EA1DA5" w:rsidRDefault="00EA1DA5" w14:paraId="31025E1C" w14:textId="77777777">
            <w:r w:rsidRPr="007A6CB7">
              <w:t>Stand 02-</w:t>
            </w:r>
          </w:p>
          <w:p w:rsidRPr="007A6CB7" w:rsidR="00EA1DA5" w:rsidP="00EA1DA5" w:rsidRDefault="00EA1DA5" w14:paraId="42E1305D" w14:textId="77777777">
            <w:r w:rsidRPr="007A6CB7">
              <w:t>11-2020</w:t>
            </w:r>
          </w:p>
          <w:p w:rsidRPr="007A6CB7" w:rsidR="00EA1DA5" w:rsidP="00EA1DA5" w:rsidRDefault="00EA1DA5" w14:paraId="5409319B" w14:textId="77777777"/>
        </w:tc>
        <w:tc>
          <w:tcPr>
            <w:tcW w:w="1288" w:type="dxa"/>
          </w:tcPr>
          <w:p w:rsidRPr="007A6CB7" w:rsidR="00EA1DA5" w:rsidP="00EA1DA5" w:rsidRDefault="00EA1DA5" w14:paraId="7FC0EEA2" w14:textId="77777777">
            <w:r w:rsidRPr="007A6CB7">
              <w:t>Stand 02-</w:t>
            </w:r>
          </w:p>
          <w:p w:rsidRPr="007A6CB7" w:rsidR="00EA1DA5" w:rsidP="00EA1DA5" w:rsidRDefault="00EA1DA5" w14:paraId="278FA933" w14:textId="77777777">
            <w:r w:rsidRPr="007A6CB7">
              <w:t>11-2021</w:t>
            </w:r>
          </w:p>
          <w:p w:rsidRPr="007A6CB7" w:rsidR="00EA1DA5" w:rsidP="00EA1DA5" w:rsidRDefault="00EA1DA5" w14:paraId="4D5AD62E" w14:textId="77777777"/>
        </w:tc>
        <w:tc>
          <w:tcPr>
            <w:tcW w:w="1288" w:type="dxa"/>
          </w:tcPr>
          <w:p w:rsidRPr="007A6CB7" w:rsidR="00EA1DA5" w:rsidP="00EA1DA5" w:rsidRDefault="00EA1DA5" w14:paraId="30D77595" w14:textId="77777777">
            <w:r w:rsidRPr="007A6CB7">
              <w:t>Stand 02-</w:t>
            </w:r>
          </w:p>
          <w:p w:rsidRPr="007A6CB7" w:rsidR="00EA1DA5" w:rsidP="00EA1DA5" w:rsidRDefault="00EA1DA5" w14:paraId="54C6AAEC" w14:textId="77777777">
            <w:r w:rsidRPr="007A6CB7">
              <w:t>11-2022</w:t>
            </w:r>
          </w:p>
          <w:p w:rsidRPr="007A6CB7" w:rsidR="00EA1DA5" w:rsidP="00EA1DA5" w:rsidRDefault="00EA1DA5" w14:paraId="6497F8BF" w14:textId="77777777"/>
        </w:tc>
        <w:tc>
          <w:tcPr>
            <w:tcW w:w="1288" w:type="dxa"/>
          </w:tcPr>
          <w:p w:rsidRPr="007A6CB7" w:rsidR="00EA1DA5" w:rsidP="00EA1DA5" w:rsidRDefault="00EA1DA5" w14:paraId="352EAF7F" w14:textId="77777777">
            <w:r w:rsidRPr="007A6CB7">
              <w:t>Stand 02-</w:t>
            </w:r>
          </w:p>
          <w:p w:rsidRPr="007A6CB7" w:rsidR="00EA1DA5" w:rsidP="00EA1DA5" w:rsidRDefault="00EA1DA5" w14:paraId="5B0F7B7E" w14:textId="77777777">
            <w:r w:rsidRPr="007A6CB7">
              <w:t>11-2023</w:t>
            </w:r>
          </w:p>
          <w:p w:rsidRPr="007A6CB7" w:rsidR="00EA1DA5" w:rsidP="00EA1DA5" w:rsidRDefault="00EA1DA5" w14:paraId="7C01813D" w14:textId="77777777"/>
        </w:tc>
        <w:tc>
          <w:tcPr>
            <w:tcW w:w="1288" w:type="dxa"/>
          </w:tcPr>
          <w:p w:rsidRPr="007A6CB7" w:rsidR="00EA1DA5" w:rsidP="00EA1DA5" w:rsidRDefault="00EA1DA5" w14:paraId="60C7F3A6" w14:textId="77777777">
            <w:r w:rsidRPr="007A6CB7">
              <w:t>Stand 02-</w:t>
            </w:r>
          </w:p>
          <w:p w:rsidRPr="007A6CB7" w:rsidR="00EA1DA5" w:rsidP="00EA1DA5" w:rsidRDefault="00EA1DA5" w14:paraId="71DB161F" w14:textId="77777777">
            <w:r w:rsidRPr="007A6CB7">
              <w:t>11-2024</w:t>
            </w:r>
          </w:p>
        </w:tc>
        <w:tc>
          <w:tcPr>
            <w:tcW w:w="1289" w:type="dxa"/>
          </w:tcPr>
          <w:p w:rsidRPr="007A6CB7" w:rsidR="00EA1DA5" w:rsidP="00EA1DA5" w:rsidRDefault="00EA1DA5" w14:paraId="7CEC95E6" w14:textId="77777777">
            <w:r w:rsidRPr="007A6CB7">
              <w:t>Stand 02-</w:t>
            </w:r>
          </w:p>
          <w:p w:rsidRPr="007A6CB7" w:rsidR="00EA1DA5" w:rsidP="00EA1DA5" w:rsidRDefault="00EA1DA5" w14:paraId="1B3F9576" w14:textId="77777777">
            <w:r w:rsidRPr="007A6CB7">
              <w:t>11-2025</w:t>
            </w:r>
          </w:p>
        </w:tc>
      </w:tr>
      <w:tr w:rsidRPr="007A6CB7" w:rsidR="00EA1DA5" w:rsidTr="008604C7" w14:paraId="6BE95C57" w14:textId="77777777">
        <w:tc>
          <w:tcPr>
            <w:tcW w:w="1288" w:type="dxa"/>
          </w:tcPr>
          <w:p w:rsidRPr="007A6CB7" w:rsidR="00EA1DA5" w:rsidP="00EA1DA5" w:rsidRDefault="00EA1DA5" w14:paraId="7D3163DF" w14:textId="77777777">
            <w:r w:rsidRPr="007A6CB7">
              <w:t>Aantal</w:t>
            </w:r>
          </w:p>
          <w:p w:rsidRPr="007A6CB7" w:rsidR="00EA1DA5" w:rsidP="00EA1DA5" w:rsidRDefault="00EA1DA5" w14:paraId="6AD16881" w14:textId="77777777">
            <w:proofErr w:type="gramStart"/>
            <w:r w:rsidRPr="007A6CB7">
              <w:t>geregistreerde</w:t>
            </w:r>
            <w:proofErr w:type="gramEnd"/>
          </w:p>
          <w:p w:rsidRPr="007A6CB7" w:rsidR="00EA1DA5" w:rsidP="00EA1DA5" w:rsidRDefault="00EA1DA5" w14:paraId="7EA31EDC" w14:textId="77777777">
            <w:proofErr w:type="gramStart"/>
            <w:r w:rsidRPr="007A6CB7">
              <w:t>incidenten</w:t>
            </w:r>
            <w:proofErr w:type="gramEnd"/>
            <w:r w:rsidRPr="007A6CB7">
              <w:rPr>
                <w:rStyle w:val="Voetnootmarkering"/>
              </w:rPr>
              <w:footnoteReference w:id="34"/>
            </w:r>
          </w:p>
          <w:p w:rsidRPr="007A6CB7" w:rsidR="00EA1DA5" w:rsidP="00EA1DA5" w:rsidRDefault="00EA1DA5" w14:paraId="52E3E3D1" w14:textId="77777777"/>
        </w:tc>
        <w:tc>
          <w:tcPr>
            <w:tcW w:w="1288" w:type="dxa"/>
          </w:tcPr>
          <w:p w:rsidRPr="007A6CB7" w:rsidR="00EA1DA5" w:rsidP="00EA1DA5" w:rsidRDefault="00EA1DA5" w14:paraId="0BA7B98C" w14:textId="77777777">
            <w:r w:rsidRPr="007A6CB7">
              <w:t>10.143</w:t>
            </w:r>
          </w:p>
        </w:tc>
        <w:tc>
          <w:tcPr>
            <w:tcW w:w="1288" w:type="dxa"/>
          </w:tcPr>
          <w:p w:rsidRPr="007A6CB7" w:rsidR="00EA1DA5" w:rsidP="00EA1DA5" w:rsidRDefault="00EA1DA5" w14:paraId="3C85E38F" w14:textId="77777777">
            <w:r w:rsidRPr="007A6CB7">
              <w:t>10.743</w:t>
            </w:r>
          </w:p>
        </w:tc>
        <w:tc>
          <w:tcPr>
            <w:tcW w:w="1288" w:type="dxa"/>
          </w:tcPr>
          <w:p w:rsidRPr="007A6CB7" w:rsidR="00EA1DA5" w:rsidP="00EA1DA5" w:rsidRDefault="00EA1DA5" w14:paraId="7777CB86" w14:textId="77777777">
            <w:r w:rsidRPr="007A6CB7">
              <w:t>13.343</w:t>
            </w:r>
          </w:p>
        </w:tc>
        <w:tc>
          <w:tcPr>
            <w:tcW w:w="1288" w:type="dxa"/>
          </w:tcPr>
          <w:p w:rsidRPr="007A6CB7" w:rsidR="00EA1DA5" w:rsidP="00EA1DA5" w:rsidRDefault="00EA1DA5" w14:paraId="49C7C712" w14:textId="77777777">
            <w:r w:rsidRPr="007A6CB7">
              <w:t>12.016</w:t>
            </w:r>
          </w:p>
        </w:tc>
        <w:tc>
          <w:tcPr>
            <w:tcW w:w="1288" w:type="dxa"/>
          </w:tcPr>
          <w:p w:rsidRPr="007A6CB7" w:rsidR="00EA1DA5" w:rsidP="00EA1DA5" w:rsidRDefault="00EA1DA5" w14:paraId="102CCCE4" w14:textId="77777777">
            <w:r w:rsidRPr="007A6CB7">
              <w:t>12.398</w:t>
            </w:r>
          </w:p>
        </w:tc>
        <w:tc>
          <w:tcPr>
            <w:tcW w:w="1289" w:type="dxa"/>
          </w:tcPr>
          <w:p w:rsidRPr="007A6CB7" w:rsidR="00EA1DA5" w:rsidP="00EA1DA5" w:rsidRDefault="00EA1DA5" w14:paraId="21BD0805" w14:textId="77777777">
            <w:r w:rsidRPr="007A6CB7">
              <w:t>13.401</w:t>
            </w:r>
          </w:p>
        </w:tc>
      </w:tr>
      <w:tr w:rsidRPr="007A6CB7" w:rsidR="00EA1DA5" w:rsidTr="008604C7" w14:paraId="5D7D38C3" w14:textId="77777777">
        <w:tc>
          <w:tcPr>
            <w:tcW w:w="1288" w:type="dxa"/>
          </w:tcPr>
          <w:p w:rsidRPr="007A6CB7" w:rsidR="00EA1DA5" w:rsidP="00EA1DA5" w:rsidRDefault="00EA1DA5" w14:paraId="72885C1B" w14:textId="77777777">
            <w:r w:rsidRPr="007A6CB7">
              <w:lastRenderedPageBreak/>
              <w:t>Voorraad aantal</w:t>
            </w:r>
          </w:p>
          <w:p w:rsidRPr="007A6CB7" w:rsidR="00EA1DA5" w:rsidP="00EA1DA5" w:rsidRDefault="00EA1DA5" w14:paraId="7442643A" w14:textId="77777777">
            <w:proofErr w:type="gramStart"/>
            <w:r w:rsidRPr="007A6CB7">
              <w:t>zedenzaken</w:t>
            </w:r>
            <w:proofErr w:type="gramEnd"/>
          </w:p>
          <w:p w:rsidRPr="007A6CB7" w:rsidR="00EA1DA5" w:rsidP="00EA1DA5" w:rsidRDefault="00EA1DA5" w14:paraId="320BFEFB" w14:textId="77777777"/>
        </w:tc>
        <w:tc>
          <w:tcPr>
            <w:tcW w:w="1288" w:type="dxa"/>
          </w:tcPr>
          <w:p w:rsidRPr="007A6CB7" w:rsidR="00EA1DA5" w:rsidP="00EA1DA5" w:rsidRDefault="00EA1DA5" w14:paraId="1141AB0B" w14:textId="77777777">
            <w:r w:rsidRPr="007A6CB7">
              <w:t>3.464</w:t>
            </w:r>
          </w:p>
        </w:tc>
        <w:tc>
          <w:tcPr>
            <w:tcW w:w="1288" w:type="dxa"/>
          </w:tcPr>
          <w:p w:rsidRPr="007A6CB7" w:rsidR="00EA1DA5" w:rsidP="00EA1DA5" w:rsidRDefault="00EA1DA5" w14:paraId="1F4B7FE4" w14:textId="77777777">
            <w:r w:rsidRPr="007A6CB7">
              <w:t>3.577</w:t>
            </w:r>
          </w:p>
        </w:tc>
        <w:tc>
          <w:tcPr>
            <w:tcW w:w="1288" w:type="dxa"/>
          </w:tcPr>
          <w:p w:rsidRPr="007A6CB7" w:rsidR="00EA1DA5" w:rsidP="00EA1DA5" w:rsidRDefault="00EA1DA5" w14:paraId="2E761ED4" w14:textId="77777777">
            <w:r w:rsidRPr="007A6CB7">
              <w:t>3.607</w:t>
            </w:r>
          </w:p>
        </w:tc>
        <w:tc>
          <w:tcPr>
            <w:tcW w:w="1288" w:type="dxa"/>
          </w:tcPr>
          <w:p w:rsidRPr="007A6CB7" w:rsidR="00EA1DA5" w:rsidP="00EA1DA5" w:rsidRDefault="00EA1DA5" w14:paraId="04896C0F" w14:textId="77777777">
            <w:r w:rsidRPr="007A6CB7">
              <w:t>3.398</w:t>
            </w:r>
          </w:p>
        </w:tc>
        <w:tc>
          <w:tcPr>
            <w:tcW w:w="1288" w:type="dxa"/>
          </w:tcPr>
          <w:p w:rsidRPr="007A6CB7" w:rsidR="00EA1DA5" w:rsidP="00EA1DA5" w:rsidRDefault="00EA1DA5" w14:paraId="2703220A" w14:textId="77777777">
            <w:r w:rsidRPr="007A6CB7">
              <w:t>3.159</w:t>
            </w:r>
          </w:p>
        </w:tc>
        <w:tc>
          <w:tcPr>
            <w:tcW w:w="1289" w:type="dxa"/>
          </w:tcPr>
          <w:p w:rsidRPr="007A6CB7" w:rsidR="00EA1DA5" w:rsidP="00EA1DA5" w:rsidRDefault="00EA1DA5" w14:paraId="3E3DA204" w14:textId="77777777">
            <w:r w:rsidRPr="007A6CB7">
              <w:t>3.484</w:t>
            </w:r>
          </w:p>
        </w:tc>
      </w:tr>
      <w:tr w:rsidRPr="007A6CB7" w:rsidR="00EA1DA5" w:rsidTr="008604C7" w14:paraId="2FB460CA" w14:textId="77777777">
        <w:tc>
          <w:tcPr>
            <w:tcW w:w="1288" w:type="dxa"/>
          </w:tcPr>
          <w:p w:rsidRPr="007A6CB7" w:rsidR="00EA1DA5" w:rsidP="00EA1DA5" w:rsidRDefault="00EA1DA5" w14:paraId="27F76B5B" w14:textId="77777777">
            <w:r w:rsidRPr="007A6CB7">
              <w:t>Aantal aangiftes</w:t>
            </w:r>
          </w:p>
          <w:p w:rsidRPr="007A6CB7" w:rsidR="00EA1DA5" w:rsidP="00EA1DA5" w:rsidRDefault="00EA1DA5" w14:paraId="59DE45B8" w14:textId="77777777">
            <w:proofErr w:type="gramStart"/>
            <w:r w:rsidRPr="007A6CB7">
              <w:t>langer</w:t>
            </w:r>
            <w:proofErr w:type="gramEnd"/>
            <w:r w:rsidRPr="007A6CB7">
              <w:t xml:space="preserve"> dan 6</w:t>
            </w:r>
          </w:p>
          <w:p w:rsidRPr="007A6CB7" w:rsidR="00EA1DA5" w:rsidP="00EA1DA5" w:rsidRDefault="00EA1DA5" w14:paraId="3F257E82" w14:textId="77777777">
            <w:proofErr w:type="gramStart"/>
            <w:r w:rsidRPr="007A6CB7">
              <w:t>maanden</w:t>
            </w:r>
            <w:proofErr w:type="gramEnd"/>
            <w:r w:rsidRPr="007A6CB7">
              <w:t xml:space="preserve"> in</w:t>
            </w:r>
          </w:p>
          <w:p w:rsidRPr="007A6CB7" w:rsidR="00EA1DA5" w:rsidP="00EA1DA5" w:rsidRDefault="00EA1DA5" w14:paraId="1C7312D3" w14:textId="77777777">
            <w:proofErr w:type="gramStart"/>
            <w:r w:rsidRPr="007A6CB7">
              <w:t>voorraad</w:t>
            </w:r>
            <w:proofErr w:type="gramEnd"/>
            <w:r w:rsidRPr="007A6CB7">
              <w:rPr>
                <w:rStyle w:val="Voetnootmarkering"/>
              </w:rPr>
              <w:footnoteReference w:id="35"/>
            </w:r>
          </w:p>
          <w:p w:rsidRPr="007A6CB7" w:rsidR="00EA1DA5" w:rsidP="00EA1DA5" w:rsidRDefault="00EA1DA5" w14:paraId="05A5FB14" w14:textId="77777777"/>
        </w:tc>
        <w:tc>
          <w:tcPr>
            <w:tcW w:w="1288" w:type="dxa"/>
          </w:tcPr>
          <w:p w:rsidRPr="007A6CB7" w:rsidR="00EA1DA5" w:rsidP="00EA1DA5" w:rsidRDefault="00EA1DA5" w14:paraId="4B9DDA40" w14:textId="77777777">
            <w:r w:rsidRPr="007A6CB7">
              <w:t>1074</w:t>
            </w:r>
          </w:p>
        </w:tc>
        <w:tc>
          <w:tcPr>
            <w:tcW w:w="1288" w:type="dxa"/>
          </w:tcPr>
          <w:p w:rsidRPr="007A6CB7" w:rsidR="00EA1DA5" w:rsidP="00EA1DA5" w:rsidRDefault="00EA1DA5" w14:paraId="01CA94A2" w14:textId="77777777">
            <w:r w:rsidRPr="007A6CB7">
              <w:t>1093</w:t>
            </w:r>
          </w:p>
        </w:tc>
        <w:tc>
          <w:tcPr>
            <w:tcW w:w="1288" w:type="dxa"/>
          </w:tcPr>
          <w:p w:rsidRPr="007A6CB7" w:rsidR="00EA1DA5" w:rsidP="00EA1DA5" w:rsidRDefault="00EA1DA5" w14:paraId="53B4B3FC" w14:textId="77777777">
            <w:r w:rsidRPr="007A6CB7">
              <w:t>1180</w:t>
            </w:r>
          </w:p>
        </w:tc>
        <w:tc>
          <w:tcPr>
            <w:tcW w:w="1288" w:type="dxa"/>
          </w:tcPr>
          <w:p w:rsidRPr="007A6CB7" w:rsidR="00EA1DA5" w:rsidP="00EA1DA5" w:rsidRDefault="00EA1DA5" w14:paraId="5669C009" w14:textId="77777777">
            <w:r w:rsidRPr="007A6CB7">
              <w:t>1100</w:t>
            </w:r>
          </w:p>
        </w:tc>
        <w:tc>
          <w:tcPr>
            <w:tcW w:w="1288" w:type="dxa"/>
          </w:tcPr>
          <w:p w:rsidRPr="007A6CB7" w:rsidR="00EA1DA5" w:rsidP="00EA1DA5" w:rsidRDefault="00EA1DA5" w14:paraId="31F902EB" w14:textId="77777777">
            <w:r w:rsidRPr="007A6CB7">
              <w:t>921</w:t>
            </w:r>
          </w:p>
        </w:tc>
        <w:tc>
          <w:tcPr>
            <w:tcW w:w="1289" w:type="dxa"/>
          </w:tcPr>
          <w:p w:rsidRPr="007A6CB7" w:rsidR="00EA1DA5" w:rsidP="00EA1DA5" w:rsidRDefault="00EA1DA5" w14:paraId="38F1CF8F" w14:textId="77777777">
            <w:r w:rsidRPr="007A6CB7">
              <w:t>999</w:t>
            </w:r>
          </w:p>
        </w:tc>
      </w:tr>
      <w:tr w:rsidRPr="007A6CB7" w:rsidR="00EA1DA5" w:rsidTr="008604C7" w14:paraId="5674F19E" w14:textId="77777777">
        <w:tc>
          <w:tcPr>
            <w:tcW w:w="1288" w:type="dxa"/>
          </w:tcPr>
          <w:p w:rsidRPr="007A6CB7" w:rsidR="00EA1DA5" w:rsidP="00EA1DA5" w:rsidRDefault="00EA1DA5" w14:paraId="35F1F5EF" w14:textId="77777777">
            <w:r w:rsidRPr="007A6CB7">
              <w:t xml:space="preserve">Aantal aangifte </w:t>
            </w:r>
          </w:p>
        </w:tc>
        <w:tc>
          <w:tcPr>
            <w:tcW w:w="1288" w:type="dxa"/>
          </w:tcPr>
          <w:p w:rsidRPr="007A6CB7" w:rsidR="00EA1DA5" w:rsidP="00EA1DA5" w:rsidRDefault="00EA1DA5" w14:paraId="1E748F6B" w14:textId="77777777">
            <w:r w:rsidRPr="007A6CB7">
              <w:t>2.375</w:t>
            </w:r>
          </w:p>
        </w:tc>
        <w:tc>
          <w:tcPr>
            <w:tcW w:w="1288" w:type="dxa"/>
          </w:tcPr>
          <w:p w:rsidRPr="007A6CB7" w:rsidR="00EA1DA5" w:rsidP="00EA1DA5" w:rsidRDefault="00EA1DA5" w14:paraId="78AEBB2F" w14:textId="77777777">
            <w:r w:rsidRPr="007A6CB7">
              <w:t>2.602</w:t>
            </w:r>
          </w:p>
        </w:tc>
        <w:tc>
          <w:tcPr>
            <w:tcW w:w="1288" w:type="dxa"/>
          </w:tcPr>
          <w:p w:rsidRPr="007A6CB7" w:rsidR="00EA1DA5" w:rsidP="00EA1DA5" w:rsidRDefault="00EA1DA5" w14:paraId="624FE692" w14:textId="77777777">
            <w:r w:rsidRPr="007A6CB7">
              <w:t>2.912</w:t>
            </w:r>
          </w:p>
        </w:tc>
        <w:tc>
          <w:tcPr>
            <w:tcW w:w="1288" w:type="dxa"/>
          </w:tcPr>
          <w:p w:rsidRPr="007A6CB7" w:rsidR="00EA1DA5" w:rsidP="00EA1DA5" w:rsidRDefault="00EA1DA5" w14:paraId="2E4D497B" w14:textId="77777777">
            <w:r w:rsidRPr="007A6CB7">
              <w:t>2.779</w:t>
            </w:r>
          </w:p>
        </w:tc>
        <w:tc>
          <w:tcPr>
            <w:tcW w:w="1288" w:type="dxa"/>
          </w:tcPr>
          <w:p w:rsidRPr="007A6CB7" w:rsidR="00EA1DA5" w:rsidP="00EA1DA5" w:rsidRDefault="00EA1DA5" w14:paraId="6608B060" w14:textId="77777777">
            <w:r w:rsidRPr="007A6CB7">
              <w:t>2.949</w:t>
            </w:r>
          </w:p>
        </w:tc>
        <w:tc>
          <w:tcPr>
            <w:tcW w:w="1289" w:type="dxa"/>
          </w:tcPr>
          <w:p w:rsidRPr="007A6CB7" w:rsidR="00EA1DA5" w:rsidP="00EA1DA5" w:rsidRDefault="00EA1DA5" w14:paraId="766331A8" w14:textId="77777777">
            <w:r w:rsidRPr="007A6CB7">
              <w:t>3.594</w:t>
            </w:r>
          </w:p>
        </w:tc>
      </w:tr>
      <w:tr w:rsidRPr="007A6CB7" w:rsidR="00EA1DA5" w:rsidTr="008604C7" w14:paraId="7EE0F2AA" w14:textId="77777777">
        <w:tc>
          <w:tcPr>
            <w:tcW w:w="1288" w:type="dxa"/>
          </w:tcPr>
          <w:p w:rsidRPr="007A6CB7" w:rsidR="00EA1DA5" w:rsidP="00EA1DA5" w:rsidRDefault="00EA1DA5" w14:paraId="5F661057" w14:textId="77777777">
            <w:r w:rsidRPr="007A6CB7">
              <w:t>Aantal</w:t>
            </w:r>
          </w:p>
          <w:p w:rsidRPr="007A6CB7" w:rsidR="00EA1DA5" w:rsidP="00EA1DA5" w:rsidRDefault="00EA1DA5" w14:paraId="698DC08E" w14:textId="77777777">
            <w:proofErr w:type="gramStart"/>
            <w:r w:rsidRPr="007A6CB7">
              <w:t>verdachten</w:t>
            </w:r>
            <w:proofErr w:type="gramEnd"/>
          </w:p>
          <w:p w:rsidRPr="007A6CB7" w:rsidR="00EA1DA5" w:rsidP="00EA1DA5" w:rsidRDefault="00EA1DA5" w14:paraId="7E20F773" w14:textId="77777777">
            <w:proofErr w:type="gramStart"/>
            <w:r w:rsidRPr="007A6CB7">
              <w:t>openbaar</w:t>
            </w:r>
            <w:proofErr w:type="gramEnd"/>
          </w:p>
          <w:p w:rsidRPr="007A6CB7" w:rsidR="00EA1DA5" w:rsidP="00EA1DA5" w:rsidRDefault="00EA1DA5" w14:paraId="51C1FE3F" w14:textId="77777777">
            <w:proofErr w:type="gramStart"/>
            <w:r w:rsidRPr="007A6CB7">
              <w:t>ministerie</w:t>
            </w:r>
            <w:proofErr w:type="gramEnd"/>
          </w:p>
          <w:p w:rsidRPr="007A6CB7" w:rsidR="00EA1DA5" w:rsidP="00EA1DA5" w:rsidRDefault="00EA1DA5" w14:paraId="1A43A050" w14:textId="77777777"/>
        </w:tc>
        <w:tc>
          <w:tcPr>
            <w:tcW w:w="1288" w:type="dxa"/>
          </w:tcPr>
          <w:p w:rsidRPr="007A6CB7" w:rsidR="00EA1DA5" w:rsidP="00EA1DA5" w:rsidRDefault="00EA1DA5" w14:paraId="2F69E658" w14:textId="77777777">
            <w:r w:rsidRPr="007A6CB7">
              <w:t>1.739</w:t>
            </w:r>
          </w:p>
        </w:tc>
        <w:tc>
          <w:tcPr>
            <w:tcW w:w="1288" w:type="dxa"/>
          </w:tcPr>
          <w:p w:rsidRPr="007A6CB7" w:rsidR="00EA1DA5" w:rsidP="00EA1DA5" w:rsidRDefault="00EA1DA5" w14:paraId="0CB68A2D" w14:textId="77777777">
            <w:r w:rsidRPr="007A6CB7">
              <w:t>1.883</w:t>
            </w:r>
          </w:p>
        </w:tc>
        <w:tc>
          <w:tcPr>
            <w:tcW w:w="1288" w:type="dxa"/>
          </w:tcPr>
          <w:p w:rsidRPr="007A6CB7" w:rsidR="00EA1DA5" w:rsidP="00EA1DA5" w:rsidRDefault="00EA1DA5" w14:paraId="51DF8968" w14:textId="77777777">
            <w:r w:rsidRPr="007A6CB7">
              <w:t>2.102</w:t>
            </w:r>
          </w:p>
        </w:tc>
        <w:tc>
          <w:tcPr>
            <w:tcW w:w="1288" w:type="dxa"/>
          </w:tcPr>
          <w:p w:rsidRPr="007A6CB7" w:rsidR="00EA1DA5" w:rsidP="00EA1DA5" w:rsidRDefault="00EA1DA5" w14:paraId="07A7494E" w14:textId="77777777">
            <w:r w:rsidRPr="007A6CB7">
              <w:t>2.241</w:t>
            </w:r>
          </w:p>
        </w:tc>
        <w:tc>
          <w:tcPr>
            <w:tcW w:w="1288" w:type="dxa"/>
          </w:tcPr>
          <w:p w:rsidRPr="007A6CB7" w:rsidR="00EA1DA5" w:rsidP="00EA1DA5" w:rsidRDefault="00EA1DA5" w14:paraId="37B3E5BE" w14:textId="77777777">
            <w:r w:rsidRPr="007A6CB7">
              <w:t>2.033</w:t>
            </w:r>
          </w:p>
        </w:tc>
        <w:tc>
          <w:tcPr>
            <w:tcW w:w="1289" w:type="dxa"/>
          </w:tcPr>
          <w:p w:rsidRPr="007A6CB7" w:rsidR="00EA1DA5" w:rsidP="00EA1DA5" w:rsidRDefault="00EA1DA5" w14:paraId="0B816A8A" w14:textId="77777777">
            <w:r w:rsidRPr="007A6CB7">
              <w:t>2.236</w:t>
            </w:r>
          </w:p>
        </w:tc>
      </w:tr>
    </w:tbl>
    <w:p w:rsidRPr="007A6CB7" w:rsidR="00EA1DA5" w:rsidP="00EA1DA5" w:rsidRDefault="00EA1DA5" w14:paraId="16CA6F5A" w14:textId="77777777"/>
    <w:p w:rsidRPr="007A6CB7" w:rsidR="00EA1DA5" w:rsidP="00EA1DA5" w:rsidRDefault="00EA1DA5" w14:paraId="6F1E9274" w14:textId="77777777">
      <w:r w:rsidRPr="007A6CB7">
        <w:t>Uit de geactualiseerde cijfers over de werkvoorraden bij de teams seksuele misdrijven (peildatum: 2 november 2025) blijkt dat de stijging in het aantal geregistreerde zedenincidenten (meldingen) en aangiften van seksuele misdrijven die we in de tweede helft van 2024 zagen in 2025 doorzet. Dit beeld sluit aan bij de verwachting die er was bij de invoering van de Wet seksuele misdrijven op 1 juli 2024. Tegen deze achtergrond zien we dat de werkvoorraad zedenzaken ten opzichte van dezelfde periode vorig jaar iets is toegenomen en dat het aantal aangiftes dat langer dan zes maanden in voorraad licht stijgt. Verder zijn er meer zaken ingestuurd bij het openbaar ministerie ten opzichte van dezelfde periode vorig jaar. Dit betekent dat er onder toenemende druk grote inspanningen worden geleverd door de teams seksuele misdrijven. Zij verdienen daarvoor een compliment; en het vraagt van de korpschef en mijzelf ook om deze situatie te (blijven) monitoren.</w:t>
      </w:r>
    </w:p>
    <w:p w:rsidRPr="007A6CB7" w:rsidR="00EA1DA5" w:rsidP="00EA1DA5" w:rsidRDefault="00EA1DA5" w14:paraId="02E56647" w14:textId="77777777"/>
    <w:p w:rsidRPr="007A6CB7" w:rsidR="00EA1DA5" w:rsidP="00EA1DA5" w:rsidRDefault="00EA1DA5" w14:paraId="35916844" w14:textId="77777777">
      <w:pPr>
        <w:rPr>
          <w:i/>
          <w:iCs/>
        </w:rPr>
      </w:pPr>
      <w:r w:rsidRPr="007A6CB7">
        <w:rPr>
          <w:i/>
          <w:iCs/>
        </w:rPr>
        <w:t>Maatregelen</w:t>
      </w:r>
    </w:p>
    <w:p w:rsidRPr="007A6CB7" w:rsidR="00EA1DA5" w:rsidP="00EA1DA5" w:rsidRDefault="00EA1DA5" w14:paraId="2659D492" w14:textId="77777777">
      <w:r w:rsidRPr="007A6CB7">
        <w:t xml:space="preserve">Een efficiënte en effectieve aanpak van zedenzaken heeft prioriteit omdat elk slachtoffer van seksueel geweld alle bescherming, begeleiding en ondersteuning verdient die hij of zij nodig heeft. De afgelopen jaren is de formatie van de teams seksuele misdrijven daarom flink uitgebreid om de werkvoorraden terug te dringen en de verwachte stijging van het aantal meldingen en aangiften als gevolg van de invoering van de Wet seksuele misdrijven op 1 juli 2024 te kunnen opvangen. Door de pensioenuitstroom (relatief veel ervaren politiemedewerkers stromen uit) en de krappe arbeidsmarkt blijft het echter een uitdaging om de bezetting op peil te houden. Elders in dit halfjaarbericht ga ik in op een aantal ontwikkelingen binnen het korps die, hoewel geen </w:t>
      </w:r>
      <w:proofErr w:type="spellStart"/>
      <w:r w:rsidRPr="007A6CB7">
        <w:t>quick</w:t>
      </w:r>
      <w:proofErr w:type="spellEnd"/>
      <w:r w:rsidRPr="007A6CB7">
        <w:t xml:space="preserve"> fix voor de huidige onderbezetting, op termijn kunnen leiden tot meer (aanvullende) instroom bij de teams seksuele misdrijven. Kort gezegd, wordt er afhankelijk van de uitkomsten </w:t>
      </w:r>
      <w:r w:rsidRPr="007A6CB7">
        <w:lastRenderedPageBreak/>
        <w:t>van de evaluatie van het traject van start- naar vakbekwaam bekeken of ‘seksuele misdrijven’ als onderwerp nog specifieker in het traject kan worden opgenomen. Ook worden de mogelijkheden en voorwaarden verkend om politiemedewerkers vanuit de directe instroom in de Tactische Opsporing te laten doorstromen naar onder andere de teams seksuele misdrijven.</w:t>
      </w:r>
    </w:p>
    <w:p w:rsidRPr="007A6CB7" w:rsidR="00EA1DA5" w:rsidP="00EA1DA5" w:rsidRDefault="00EA1DA5" w14:paraId="5F3CA3AD" w14:textId="77777777"/>
    <w:p w:rsidRPr="007A6CB7" w:rsidR="00E97DA7" w:rsidP="00EA1DA5" w:rsidRDefault="00EA1DA5" w14:paraId="477B909B" w14:textId="566569AE">
      <w:r w:rsidRPr="007A6CB7">
        <w:t>Ook spannen de organisaties in de strafrechtketen zich gezamenlijk in om de doorlooptijden in zedenzaken te verkorten. De afgelopen jaren zijn hiertoe onder de noemer van het Actieplan versterken ketenaanpak zedenzaken verschillende maatregelen genomen. Zoals gemeld in de voortgangsbrief over de strafrechtketen</w:t>
      </w:r>
      <w:r w:rsidRPr="007A6CB7">
        <w:rPr>
          <w:rStyle w:val="Voetnootmarkering"/>
        </w:rPr>
        <w:footnoteReference w:id="36"/>
      </w:r>
      <w:r w:rsidRPr="007A6CB7">
        <w:t xml:space="preserve"> die voor de zomer aan uw Kamer is verzonden, laten de resultaten over 2024 zien dat de inspanningen onder het Actieplan resultaat beginnen op te leveren, vooral bij het openbaar ministerie. De politie heeft in 2024 de doorlooptijden gelijk weten te houden en tegelijkertijd is de voorraad oude zaken (ouder dan een jaar) gehalveerd (van 32% naar 16%).</w:t>
      </w:r>
      <w:r w:rsidRPr="007A6CB7" w:rsidR="00E97DA7">
        <w:t xml:space="preserve"> Uw Kamer ontvangt nagenoeg gelijktijdig met dit halfjaarbericht politie de volgende voortgangsbrief over de strafrechtketen waarin de resultaten over de eerste helft van 2025 zijn opgenomen.</w:t>
      </w:r>
      <w:r w:rsidRPr="007A6CB7">
        <w:t xml:space="preserve"> </w:t>
      </w:r>
      <w:r w:rsidRPr="007A6CB7" w:rsidR="00E97DA7">
        <w:t>Verder ontvangt uw Kamer een update over het voornoemde Actieplan in de eerstvolgende voortgangsbrief seksuele misdrijven, die naar verwachting begin 2026 aan uw Kamer wordt verzonden.</w:t>
      </w:r>
    </w:p>
    <w:p w:rsidRPr="007A6CB7" w:rsidR="00EA1DA5" w:rsidP="00EA1DA5" w:rsidRDefault="00EA1DA5" w14:paraId="66796239" w14:textId="77777777"/>
    <w:p w:rsidRPr="007A6CB7" w:rsidR="00EA1DA5" w:rsidP="00EA1DA5" w:rsidRDefault="00EA1DA5" w14:paraId="59BA0464" w14:textId="77777777">
      <w:r w:rsidRPr="007A6CB7">
        <w:t>Behalve via het strafrecht kan er in zedenzaken ook voor een andere afdoening gekozen worden, passend bij de behoeften van het slachtoffer. In dit verband is een belangrijke ontwikkeling dat de toegang tot hulpverlening voor slachtoffers van seksuele misdrijven wordt verbeterd via het traject ‘goed georganiseerd landschap van hulp-, meld- en steunpunten’. In de voortgangsbrief over de aanpak van huiselijk geweld en kindermishandeling, die binnenkort aan uw Kamer wordt verzonden, zal de staatssecretaris Langdurige en Maatschappelijke Zorg</w:t>
      </w:r>
      <w:r w:rsidRPr="007A6CB7" w:rsidDel="00461263">
        <w:t xml:space="preserve"> </w:t>
      </w:r>
      <w:r w:rsidRPr="007A6CB7">
        <w:t>een update geven over de ontwikkelingen binnen dit traject.</w:t>
      </w:r>
    </w:p>
    <w:p w:rsidRPr="007A6CB7" w:rsidR="009A4713" w:rsidP="00743F87" w:rsidRDefault="002979AF" w14:paraId="64B898DE" w14:textId="21FB5DBB">
      <w:pPr>
        <w:pStyle w:val="Kop2"/>
      </w:pPr>
      <w:bookmarkStart w:name="_Toc216278121" w:id="43"/>
      <w:r w:rsidRPr="007A6CB7">
        <w:t xml:space="preserve">Motie </w:t>
      </w:r>
      <w:proofErr w:type="gramStart"/>
      <w:r w:rsidRPr="007A6CB7">
        <w:t>inzake</w:t>
      </w:r>
      <w:proofErr w:type="gramEnd"/>
      <w:r w:rsidRPr="007A6CB7">
        <w:t xml:space="preserve"> het specialistisch team over verkorten doorlooptijd</w:t>
      </w:r>
      <w:bookmarkEnd w:id="43"/>
    </w:p>
    <w:p w:rsidRPr="007A6CB7" w:rsidR="00CF2E43" w:rsidP="00CF2E43" w:rsidRDefault="00CF2E43" w14:paraId="3FE1B60B" w14:textId="45FAF968">
      <w:r w:rsidRPr="007A6CB7">
        <w:t xml:space="preserve">Op 28 mei jl. vond het Tweeminutendebat </w:t>
      </w:r>
      <w:r w:rsidRPr="007A6CB7" w:rsidR="00774A42">
        <w:t>Z</w:t>
      </w:r>
      <w:r w:rsidRPr="007A6CB7">
        <w:t>eden en (on)veiligheid van vrouwen plaats</w:t>
      </w:r>
      <w:r w:rsidRPr="007A6CB7" w:rsidR="00242361">
        <w:t xml:space="preserve"> met de</w:t>
      </w:r>
      <w:r w:rsidRPr="007A6CB7" w:rsidR="00BF5E7D">
        <w:t xml:space="preserve"> voormalig</w:t>
      </w:r>
      <w:r w:rsidRPr="007A6CB7" w:rsidR="00242361">
        <w:t xml:space="preserve"> staatssecretaris van Justitie en Veiligheid</w:t>
      </w:r>
      <w:r w:rsidRPr="007A6CB7">
        <w:t>. Tijdens dit debat is de motie van de leden Mutluer</w:t>
      </w:r>
      <w:r w:rsidRPr="007A6CB7" w:rsidR="005755A7">
        <w:t xml:space="preserve"> (GL</w:t>
      </w:r>
      <w:r w:rsidRPr="007A6CB7" w:rsidR="00E97DA7">
        <w:t>/</w:t>
      </w:r>
      <w:r w:rsidRPr="007A6CB7" w:rsidR="005755A7">
        <w:t>PvdA)</w:t>
      </w:r>
      <w:r w:rsidRPr="007A6CB7">
        <w:t xml:space="preserve"> en </w:t>
      </w:r>
      <w:r w:rsidRPr="007A6CB7" w:rsidR="00774A42">
        <w:t>V</w:t>
      </w:r>
      <w:r w:rsidRPr="007A6CB7">
        <w:t xml:space="preserve">an der Werf </w:t>
      </w:r>
      <w:r w:rsidRPr="007A6CB7" w:rsidR="005755A7">
        <w:t xml:space="preserve">(D66) </w:t>
      </w:r>
      <w:r w:rsidRPr="007A6CB7">
        <w:t>ingediend, naar aanleiding van ervaringen die door de politie in het kader van een pilot in Rotterdam-Oost zijn opgedaan met het verkorten van de doorlooptijd bij huiselijk geweld</w:t>
      </w:r>
      <w:r w:rsidRPr="007A6CB7" w:rsidR="000F787F">
        <w:rPr>
          <w:rStyle w:val="Voetnootmarkering"/>
        </w:rPr>
        <w:footnoteReference w:id="37"/>
      </w:r>
      <w:r w:rsidRPr="007A6CB7">
        <w:t xml:space="preserve">. Tijdens de pilot heeft een huiselijk geweld-team zich exclusief gericht op complexe/risicovolle zaken. Dit had een versnellend effect op de doorlooptijd omdat aangiftes van huiselijk geweld niet in de </w:t>
      </w:r>
      <w:r w:rsidRPr="007A6CB7" w:rsidR="005755A7">
        <w:t>‘</w:t>
      </w:r>
      <w:r w:rsidRPr="007A6CB7">
        <w:t>bulk</w:t>
      </w:r>
      <w:r w:rsidRPr="007A6CB7" w:rsidR="005755A7">
        <w:t xml:space="preserve">’ </w:t>
      </w:r>
      <w:r w:rsidRPr="007A6CB7">
        <w:t xml:space="preserve">van andere onderzoeken terechtkwamen (de doorlooptijd tussen aangifte en aanhouding liep terug van 30 dagen naar 8 dagen). </w:t>
      </w:r>
    </w:p>
    <w:p w:rsidRPr="007A6CB7" w:rsidR="005755A7" w:rsidP="00CF2E43" w:rsidRDefault="005755A7" w14:paraId="351761C5" w14:textId="77777777"/>
    <w:p w:rsidRPr="007A6CB7" w:rsidR="00CF2E43" w:rsidP="00CF2E43" w:rsidRDefault="000D53CD" w14:paraId="2096C96C" w14:textId="438A078A">
      <w:r w:rsidRPr="007A6CB7">
        <w:t xml:space="preserve">De motie verzoekt te bevorderen dat dit type specialistische rechercheteam voor </w:t>
      </w:r>
      <w:proofErr w:type="spellStart"/>
      <w:r w:rsidRPr="007A6CB7">
        <w:t>hoogrisico</w:t>
      </w:r>
      <w:proofErr w:type="spellEnd"/>
      <w:r w:rsidRPr="007A6CB7" w:rsidR="00774A42">
        <w:t xml:space="preserve"> </w:t>
      </w:r>
      <w:proofErr w:type="spellStart"/>
      <w:r w:rsidRPr="007A6CB7">
        <w:t>stalking</w:t>
      </w:r>
      <w:proofErr w:type="spellEnd"/>
      <w:r w:rsidRPr="007A6CB7">
        <w:t xml:space="preserve"> en complexe huiselijk geweldzaken landelijk wordt uitgerold binnen de politie-eenheden, en dat de Kamer hierover wordt geïnformeerd. De politie heeft aangegeven dat de bevindingen van de pilot via het netwerk van de portefeuille Zorg en Veiligheid met de andere eenheden gedeeld worden. Daarbij </w:t>
      </w:r>
      <w:r w:rsidRPr="007A6CB7">
        <w:lastRenderedPageBreak/>
        <w:t>wordt gekeken naar de succesfactoren van de pilot en hoe deze een plek kunnen krijgen in landelijke en regionale ontwikkelingen. Op die manier kan er landelijk van de pilot worden geleerd en kan, waar passend bij de lokale context, de werkwijze op andere plekken worden overgenomen. De uiteindelijke beslissing voor prioritering en de inrichting van een dergelijk specialistisch team blijft een verantwoordelijkheid van de regionale eenheden, omdat er lokale verschillen zijn waardoor het niet logisch is om dezelfde werkwijze één op één landelijk toe te passen en omdat de organisatie en inzet van specialistische teams altijd ten koste zal gaan van andere opsporingscapaciteit en zaken. Ik beschouw de motie hiermee als afgedaan</w:t>
      </w:r>
      <w:r w:rsidRPr="007A6CB7" w:rsidR="00CF2E43">
        <w:t>.</w:t>
      </w:r>
    </w:p>
    <w:p w:rsidRPr="007A6CB7" w:rsidR="00234611" w:rsidP="00CF2E43" w:rsidRDefault="00234611" w14:paraId="5CDC92C8" w14:textId="77777777"/>
    <w:p w:rsidRPr="007A6CB7" w:rsidR="002979AF" w:rsidP="002979AF" w:rsidRDefault="002979AF" w14:paraId="16495F9F" w14:textId="77777777">
      <w:pPr>
        <w:pStyle w:val="Kop2"/>
      </w:pPr>
      <w:bookmarkStart w:name="_Toc216278122" w:id="44"/>
      <w:bookmarkStart w:name="_Hlk213937469" w:id="45"/>
      <w:bookmarkEnd w:id="42"/>
      <w:r w:rsidRPr="007A6CB7">
        <w:t xml:space="preserve">Motie </w:t>
      </w:r>
      <w:proofErr w:type="gramStart"/>
      <w:r w:rsidRPr="007A6CB7">
        <w:t>inzake</w:t>
      </w:r>
      <w:proofErr w:type="gramEnd"/>
      <w:r w:rsidRPr="007A6CB7">
        <w:t xml:space="preserve"> verplichte bijscholing voor politiemedewerkers over huiselijk geweld, </w:t>
      </w:r>
      <w:proofErr w:type="spellStart"/>
      <w:r w:rsidRPr="007A6CB7">
        <w:t>stalking</w:t>
      </w:r>
      <w:proofErr w:type="spellEnd"/>
      <w:r w:rsidRPr="007A6CB7">
        <w:t xml:space="preserve">, intieme terreur en </w:t>
      </w:r>
      <w:proofErr w:type="spellStart"/>
      <w:r w:rsidRPr="007A6CB7">
        <w:t>femicide</w:t>
      </w:r>
      <w:bookmarkEnd w:id="44"/>
      <w:proofErr w:type="spellEnd"/>
    </w:p>
    <w:p w:rsidRPr="007A6CB7" w:rsidR="00CF2E43" w:rsidP="00CF2E43" w:rsidRDefault="00CF2E43" w14:paraId="671D23A2" w14:textId="2A0DE0A9">
      <w:r w:rsidRPr="007A6CB7">
        <w:t>Tijdens het tweeminutendebat politie op 2 september 2025 is de motie van Michon-Derkzen (VVD)</w:t>
      </w:r>
      <w:r w:rsidRPr="007A6CB7" w:rsidR="00BF5E7D">
        <w:t xml:space="preserve"> c.s.</w:t>
      </w:r>
      <w:r w:rsidRPr="007A6CB7">
        <w:t xml:space="preserve"> ingediend. De motie verzoekt de regering te onderzoeken of verplichte bijscholing over het herkennen van en handelen bij huiselijk geweld, </w:t>
      </w:r>
      <w:proofErr w:type="spellStart"/>
      <w:r w:rsidRPr="007A6CB7">
        <w:t>stalking</w:t>
      </w:r>
      <w:proofErr w:type="spellEnd"/>
      <w:r w:rsidRPr="007A6CB7">
        <w:t xml:space="preserve">, intieme terreur en </w:t>
      </w:r>
      <w:proofErr w:type="spellStart"/>
      <w:r w:rsidRPr="007A6CB7">
        <w:t>femicide</w:t>
      </w:r>
      <w:proofErr w:type="spellEnd"/>
      <w:r w:rsidRPr="007A6CB7">
        <w:t xml:space="preserve"> voor politiemedewerkers mogelijk is</w:t>
      </w:r>
      <w:r w:rsidRPr="007A6CB7" w:rsidR="000F787F">
        <w:rPr>
          <w:rStyle w:val="Voetnootmarkering"/>
        </w:rPr>
        <w:footnoteReference w:id="38"/>
      </w:r>
      <w:r w:rsidRPr="007A6CB7">
        <w:t>.</w:t>
      </w:r>
    </w:p>
    <w:p w:rsidRPr="007A6CB7" w:rsidR="00CF2E43" w:rsidP="00CF2E43" w:rsidRDefault="00CF2E43" w14:paraId="12A7F59E" w14:textId="77777777"/>
    <w:p w:rsidRPr="007A6CB7" w:rsidR="00CF2E43" w:rsidP="00CF2E43" w:rsidRDefault="00CF2E43" w14:paraId="50867907" w14:textId="6C37AB07">
      <w:r w:rsidRPr="007A6CB7">
        <w:t>Binnen de politie wordt continu geïnvesteerd in kennis, deskundigheid en bewustzijn van alle politiemedewerkers, die van medewerkers in de basisteams in het bijzonder, om signalen van huiselijk geweld</w:t>
      </w:r>
      <w:r w:rsidRPr="007A6CB7" w:rsidR="000D53CD">
        <w:t xml:space="preserve">, </w:t>
      </w:r>
      <w:proofErr w:type="spellStart"/>
      <w:r w:rsidRPr="007A6CB7" w:rsidR="000D53CD">
        <w:t>femicide</w:t>
      </w:r>
      <w:proofErr w:type="spellEnd"/>
      <w:r w:rsidRPr="007A6CB7" w:rsidR="000D53CD">
        <w:t>, (</w:t>
      </w:r>
      <w:r w:rsidRPr="007A6CB7">
        <w:t>ex-</w:t>
      </w:r>
      <w:proofErr w:type="gramStart"/>
      <w:r w:rsidRPr="007A6CB7">
        <w:t>partner</w:t>
      </w:r>
      <w:r w:rsidRPr="007A6CB7" w:rsidR="000D53CD">
        <w:t>)</w:t>
      </w:r>
      <w:proofErr w:type="spellStart"/>
      <w:r w:rsidRPr="007A6CB7">
        <w:t>stalking</w:t>
      </w:r>
      <w:proofErr w:type="spellEnd"/>
      <w:proofErr w:type="gramEnd"/>
      <w:r w:rsidRPr="007A6CB7" w:rsidR="000D53CD">
        <w:t xml:space="preserve"> en </w:t>
      </w:r>
      <w:r w:rsidRPr="007A6CB7">
        <w:t>kindermishandeling goed te herkennen</w:t>
      </w:r>
      <w:r w:rsidRPr="007A6CB7" w:rsidR="000D53CD">
        <w:t xml:space="preserve">. Dit doet de politie vanuit de landelijke aanpak Veiligheid Voorop waarbij zij </w:t>
      </w:r>
      <w:r w:rsidRPr="007A6CB7">
        <w:t>vroegtijdig met partners samen</w:t>
      </w:r>
      <w:r w:rsidRPr="007A6CB7" w:rsidR="000D53CD">
        <w:t xml:space="preserve">werkt, hulp biedt </w:t>
      </w:r>
      <w:r w:rsidRPr="007A6CB7">
        <w:t>aan hen die deze nodig hebben en in</w:t>
      </w:r>
      <w:r w:rsidRPr="007A6CB7" w:rsidR="000D53CD">
        <w:t xml:space="preserve">grijpt </w:t>
      </w:r>
      <w:r w:rsidRPr="007A6CB7">
        <w:t xml:space="preserve">als dat nodig is. </w:t>
      </w:r>
      <w:r w:rsidRPr="007A6CB7" w:rsidR="000D53CD">
        <w:t>De politie investeert hierin z</w:t>
      </w:r>
      <w:r w:rsidRPr="007A6CB7">
        <w:t xml:space="preserve">owel in de basisopleiding als daarna. </w:t>
      </w:r>
    </w:p>
    <w:p w:rsidRPr="007A6CB7" w:rsidR="00CF2E43" w:rsidP="00CF2E43" w:rsidRDefault="00CF2E43" w14:paraId="00A37E9D" w14:textId="77777777"/>
    <w:p w:rsidRPr="007A6CB7" w:rsidR="00CF2E43" w:rsidP="00CF2E43" w:rsidRDefault="00CF2E43" w14:paraId="51DDD816" w14:textId="2A619594">
      <w:r w:rsidRPr="007A6CB7">
        <w:t xml:space="preserve">Alle politiemedewerkers leren tijdens de basispolitieopleiding hoe zij </w:t>
      </w:r>
      <w:r w:rsidRPr="007A6CB7" w:rsidR="000D53CD">
        <w:t xml:space="preserve">signalen kunnen herkennen en </w:t>
      </w:r>
      <w:r w:rsidRPr="007A6CB7">
        <w:t xml:space="preserve">moeten handelen als er sprake is/kan zijn van huiselijk geweld, </w:t>
      </w:r>
      <w:proofErr w:type="spellStart"/>
      <w:r w:rsidRPr="007A6CB7">
        <w:t>stalking</w:t>
      </w:r>
      <w:proofErr w:type="spellEnd"/>
      <w:r w:rsidRPr="007A6CB7">
        <w:t xml:space="preserve">, intieme terreur of </w:t>
      </w:r>
      <w:proofErr w:type="spellStart"/>
      <w:r w:rsidRPr="007A6CB7">
        <w:t>femicide</w:t>
      </w:r>
      <w:proofErr w:type="spellEnd"/>
      <w:r w:rsidRPr="007A6CB7">
        <w:t>.</w:t>
      </w:r>
    </w:p>
    <w:p w:rsidRPr="007A6CB7" w:rsidR="00CF2E43" w:rsidP="00CF2E43" w:rsidRDefault="00CF2E43" w14:paraId="0424B1D5" w14:textId="77777777"/>
    <w:p w:rsidRPr="007A6CB7" w:rsidR="00CF2E43" w:rsidP="00CF2E43" w:rsidRDefault="00CF2E43" w14:paraId="46B795F7" w14:textId="64AFC506">
      <w:r w:rsidRPr="007A6CB7">
        <w:t>Daarnaast kunnen politiemedewerkers ter verdieping vervolgopleidingen volgen zoals: huiselijk geweld, kindermishandeling</w:t>
      </w:r>
      <w:r w:rsidRPr="007A6CB7" w:rsidR="000D53CD">
        <w:t xml:space="preserve"> en </w:t>
      </w:r>
      <w:proofErr w:type="spellStart"/>
      <w:r w:rsidRPr="007A6CB7">
        <w:t>stalking</w:t>
      </w:r>
      <w:proofErr w:type="spellEnd"/>
      <w:r w:rsidRPr="007A6CB7">
        <w:t xml:space="preserve">, </w:t>
      </w:r>
      <w:proofErr w:type="spellStart"/>
      <w:r w:rsidRPr="007A6CB7">
        <w:t>eergerelateerd</w:t>
      </w:r>
      <w:proofErr w:type="spellEnd"/>
      <w:r w:rsidRPr="007A6CB7">
        <w:t xml:space="preserve"> geweld, zicht op seksuele misdrijven en frontoffice seksuele misdrijven. Deze opleidingen helpen politiemedewerkers om </w:t>
      </w:r>
      <w:r w:rsidRPr="007A6CB7" w:rsidR="000D53CD">
        <w:t xml:space="preserve">nog </w:t>
      </w:r>
      <w:r w:rsidRPr="007A6CB7">
        <w:t>beter signalen te herkennen en vroegtijdig met partners samen te werken en in te grijpen als dat nodig is.</w:t>
      </w:r>
    </w:p>
    <w:p w:rsidRPr="007A6CB7" w:rsidR="00CF2E43" w:rsidP="00CF2E43" w:rsidRDefault="00CF2E43" w14:paraId="21E486DA" w14:textId="77777777"/>
    <w:p w:rsidRPr="007A6CB7" w:rsidR="00CF2E43" w:rsidP="00CF2E43" w:rsidRDefault="00CF2E43" w14:paraId="11DC7816" w14:textId="35EC7F8C">
      <w:r w:rsidRPr="007A6CB7">
        <w:t xml:space="preserve">Net als uw Kamer zie ik het belang van bijscholing voor politiemedewerkers over het herkennen van en handelen bij huiselijk geweld, </w:t>
      </w:r>
      <w:proofErr w:type="spellStart"/>
      <w:r w:rsidRPr="007A6CB7">
        <w:t>stalking</w:t>
      </w:r>
      <w:proofErr w:type="spellEnd"/>
      <w:r w:rsidRPr="007A6CB7">
        <w:t xml:space="preserve">, intieme terreur en </w:t>
      </w:r>
      <w:proofErr w:type="spellStart"/>
      <w:r w:rsidRPr="007A6CB7">
        <w:t>femicide</w:t>
      </w:r>
      <w:proofErr w:type="spellEnd"/>
      <w:r w:rsidRPr="007A6CB7">
        <w:t>. Daarom zal, met de middelen die met het amendement van het lid Mutluer</w:t>
      </w:r>
      <w:r w:rsidRPr="007A6CB7" w:rsidR="005755A7">
        <w:t xml:space="preserve"> (GL/PvdA)</w:t>
      </w:r>
      <w:r w:rsidRPr="007A6CB7">
        <w:t xml:space="preserve"> beschikbaar komen voor het ministerie van Justitie en Veiligheid voor de aanpak van </w:t>
      </w:r>
      <w:proofErr w:type="spellStart"/>
      <w:r w:rsidRPr="007A6CB7">
        <w:t>femicide</w:t>
      </w:r>
      <w:proofErr w:type="spellEnd"/>
      <w:r w:rsidRPr="007A6CB7">
        <w:t xml:space="preserve">, de politie zich verder richten op interne deskundigheidsbevordering binnen de politie. Daartoe worden in 2025 en 2026 scholings- en trainingsmiddelen doorontwikkeld en ingezet, onder meer voor de regisseurs Zorg &amp; Veiligheid. Deze regisseurs fungeren als coördinator en interne vraagbaak voor de aanpak van onder meer huiselijk </w:t>
      </w:r>
      <w:r w:rsidRPr="007A6CB7">
        <w:rPr>
          <w:color w:val="auto"/>
        </w:rPr>
        <w:t>geweld</w:t>
      </w:r>
      <w:r w:rsidRPr="007A6CB7" w:rsidR="000D53CD">
        <w:rPr>
          <w:color w:val="auto"/>
        </w:rPr>
        <w:t xml:space="preserve"> – waar intieme terreur, </w:t>
      </w:r>
      <w:proofErr w:type="spellStart"/>
      <w:r w:rsidRPr="007A6CB7" w:rsidR="000D53CD">
        <w:rPr>
          <w:color w:val="auto"/>
        </w:rPr>
        <w:t>stalking</w:t>
      </w:r>
      <w:proofErr w:type="spellEnd"/>
      <w:r w:rsidRPr="007A6CB7" w:rsidR="000D53CD">
        <w:rPr>
          <w:color w:val="auto"/>
        </w:rPr>
        <w:t xml:space="preserve"> en </w:t>
      </w:r>
      <w:proofErr w:type="spellStart"/>
      <w:r w:rsidRPr="007A6CB7" w:rsidR="000D53CD">
        <w:rPr>
          <w:color w:val="auto"/>
        </w:rPr>
        <w:t>femicide</w:t>
      </w:r>
      <w:proofErr w:type="spellEnd"/>
      <w:r w:rsidRPr="007A6CB7" w:rsidR="000D53CD">
        <w:rPr>
          <w:color w:val="auto"/>
        </w:rPr>
        <w:t xml:space="preserve"> onder valt – </w:t>
      </w:r>
      <w:r w:rsidRPr="007A6CB7">
        <w:rPr>
          <w:color w:val="auto"/>
        </w:rPr>
        <w:t>en kindermishandeling</w:t>
      </w:r>
      <w:r w:rsidRPr="007A6CB7">
        <w:t xml:space="preserve">. Alle eenheden </w:t>
      </w:r>
      <w:r w:rsidRPr="007A6CB7">
        <w:lastRenderedPageBreak/>
        <w:t>hebben nu de opdracht om na te gaan wat passend is om binnen de teams regie te borgen</w:t>
      </w:r>
      <w:r w:rsidRPr="007A6CB7" w:rsidR="005755A7">
        <w:t xml:space="preserve">. </w:t>
      </w:r>
      <w:r w:rsidRPr="007A6CB7" w:rsidR="0072090C">
        <w:t>Ik beschouw de motie hiermee als afgedaan.</w:t>
      </w:r>
      <w:bookmarkEnd w:id="45"/>
    </w:p>
    <w:p w:rsidRPr="007A6CB7" w:rsidR="00BF4C58" w:rsidP="00BF4C58" w:rsidRDefault="00BF4C58" w14:paraId="743401D3" w14:textId="77777777">
      <w:pPr>
        <w:pStyle w:val="Kop2"/>
      </w:pPr>
      <w:bookmarkStart w:name="_Toc216278123" w:id="46"/>
      <w:bookmarkStart w:name="_Hlk213936166" w:id="47"/>
      <w:r w:rsidRPr="007A6CB7">
        <w:t xml:space="preserve">Motie </w:t>
      </w:r>
      <w:proofErr w:type="gramStart"/>
      <w:r w:rsidRPr="007A6CB7">
        <w:t>inzake</w:t>
      </w:r>
      <w:proofErr w:type="gramEnd"/>
      <w:r w:rsidRPr="007A6CB7">
        <w:t xml:space="preserve"> handhaving tegen digitale intimidatie en </w:t>
      </w:r>
      <w:proofErr w:type="spellStart"/>
      <w:r w:rsidRPr="007A6CB7">
        <w:t>stalking</w:t>
      </w:r>
      <w:bookmarkEnd w:id="46"/>
      <w:proofErr w:type="spellEnd"/>
    </w:p>
    <w:bookmarkEnd w:id="47"/>
    <w:p w:rsidRPr="007A6CB7" w:rsidR="00EA1DA5" w:rsidP="00EA1DA5" w:rsidRDefault="00EA1DA5" w14:paraId="5BC95910" w14:textId="6674F8CA">
      <w:r w:rsidRPr="007A6CB7">
        <w:t xml:space="preserve">De motie van de leden Michon-Derkzen (VVD) en Van der Werf (D66) </w:t>
      </w:r>
      <w:r w:rsidRPr="007A6CB7" w:rsidR="009B2830">
        <w:t xml:space="preserve">die is ingediend bij het Tweeminutendebat zeden en (on)veiligheid van vrouwen op 28 mei jl. </w:t>
      </w:r>
      <w:r w:rsidRPr="007A6CB7">
        <w:t xml:space="preserve">verzoekt het kabinet te verkennen hoe de handhaving op het gebied van digitale (seksuele) intimidatie en </w:t>
      </w:r>
      <w:proofErr w:type="spellStart"/>
      <w:r w:rsidRPr="007A6CB7">
        <w:t>stalking</w:t>
      </w:r>
      <w:proofErr w:type="spellEnd"/>
      <w:r w:rsidRPr="007A6CB7">
        <w:t xml:space="preserve"> eruit kan zien om effectiever op te treden en slachtoffers beter te beschermen.</w:t>
      </w:r>
      <w:r w:rsidRPr="007A6CB7">
        <w:rPr>
          <w:rStyle w:val="Voetnootmarkering"/>
        </w:rPr>
        <w:footnoteReference w:id="39"/>
      </w:r>
      <w:r w:rsidRPr="007A6CB7">
        <w:t xml:space="preserve"> </w:t>
      </w:r>
      <w:bookmarkStart w:name="_Hlk214616100" w:id="48"/>
      <w:r w:rsidRPr="007A6CB7">
        <w:t>Deze motie raakt aan de bredere zorgen die er bij uw Kamer en in de samenleving zijn over de (on)veiligheid van vrouwen en de toename van online seksueel geweld. Duidelijk is dat beide vraagstukken om een brede en integrale aanpak vragen, waarin de politie een van de organisaties is van waaruit gewerkt wordt aan de veiligheid van vrouwen. Ik verwijs in dit verband naar de beleidsreactie</w:t>
      </w:r>
      <w:r w:rsidRPr="007A6CB7">
        <w:rPr>
          <w:rStyle w:val="Voetnootmarkering"/>
        </w:rPr>
        <w:footnoteReference w:id="40"/>
      </w:r>
      <w:r w:rsidRPr="007A6CB7">
        <w:t xml:space="preserve"> op het rapport ‘Online seksueel geweld’ die recent aan uw Kamer is verzonden. Daarin ben ik ingegaan op het samenstel van toezicht en handhaving bij online seksueel geweld en de mogelijkheden én beperkingen op het gebied van handhaving en opsporing binnen de digitale context. Aanvullend daarop ga ik hieronder in op de handhaving van online (seksuele) intimidatie en </w:t>
      </w:r>
      <w:proofErr w:type="spellStart"/>
      <w:r w:rsidRPr="007A6CB7">
        <w:t>stalking</w:t>
      </w:r>
      <w:proofErr w:type="spellEnd"/>
      <w:r w:rsidRPr="007A6CB7">
        <w:t xml:space="preserve"> door de politie en relevante ontwikkelingen </w:t>
      </w:r>
      <w:r w:rsidRPr="007A6CB7" w:rsidR="0091095D">
        <w:t>waar door de politie op wordt ingezet</w:t>
      </w:r>
      <w:r w:rsidRPr="007A6CB7">
        <w:t>. Met die toelichting wordt de motie afgedaan.</w:t>
      </w:r>
    </w:p>
    <w:bookmarkEnd w:id="48"/>
    <w:p w:rsidRPr="007A6CB7" w:rsidR="00EA1DA5" w:rsidP="00EA1DA5" w:rsidRDefault="00EA1DA5" w14:paraId="566AA0A4" w14:textId="77777777"/>
    <w:p w:rsidRPr="007A6CB7" w:rsidR="00EA1DA5" w:rsidP="00EA1DA5" w:rsidRDefault="00EA1DA5" w14:paraId="53A187A6" w14:textId="44E39DD2">
      <w:r w:rsidRPr="007A6CB7">
        <w:t xml:space="preserve">Door de digitalisering van de samenleving zien we al geruime tijd dat veiligheidsproblemen steeds vaker een hybride of volledig online karakter hebben. We zien deze ontwikkeling ook terug op het terrein van seksueel geweld en </w:t>
      </w:r>
      <w:proofErr w:type="spellStart"/>
      <w:r w:rsidRPr="007A6CB7">
        <w:t>stalking</w:t>
      </w:r>
      <w:proofErr w:type="spellEnd"/>
      <w:r w:rsidRPr="007A6CB7">
        <w:t>. Dit eist een andere manier van werken door de politie. In de strategische agenda 2025-2030 van de politie ‘Stevig staan in deze tijd’ is het onderwerp digitale transformatie daarom aangewezen als één van de drie grote transformatiethema's. Met de gezagen vindt hierover het gesprek plaats in het Landelijk Overleg Veiligheid en Politie</w:t>
      </w:r>
      <w:r w:rsidRPr="007A6CB7" w:rsidR="006313BE">
        <w:t xml:space="preserve"> (LOVP)</w:t>
      </w:r>
      <w:r w:rsidRPr="007A6CB7">
        <w:t>. Als onderdeel van de digitale transformatie wordt bijvoorbeeld ingezet op het versterken van kennis en vaardigheden van digitale opsporing in de basisteams en het bouwen van een landelijke voorziening gedigitaliseerde criminaliteit, die zal zorgen voor meer regie op dit thema tussen de eenheden.</w:t>
      </w:r>
      <w:r w:rsidRPr="007A6CB7">
        <w:rPr>
          <w:rStyle w:val="Voetnootmarkering"/>
        </w:rPr>
        <w:footnoteReference w:id="41"/>
      </w:r>
      <w:r w:rsidRPr="007A6CB7">
        <w:t xml:space="preserve"> </w:t>
      </w:r>
    </w:p>
    <w:p w:rsidRPr="007A6CB7" w:rsidR="00EA1DA5" w:rsidP="00EA1DA5" w:rsidRDefault="00EA1DA5" w14:paraId="76DDBD7F" w14:textId="731943BA"/>
    <w:p w:rsidRPr="007A6CB7" w:rsidR="009B2830" w:rsidP="009B2830" w:rsidRDefault="009B2830" w14:paraId="3470868F" w14:textId="77777777">
      <w:pPr>
        <w:rPr>
          <w:i/>
          <w:iCs/>
        </w:rPr>
      </w:pPr>
      <w:r w:rsidRPr="007A6CB7">
        <w:rPr>
          <w:i/>
          <w:iCs/>
        </w:rPr>
        <w:t>Online (seksuele) intimidatie</w:t>
      </w:r>
    </w:p>
    <w:p w:rsidRPr="007A6CB7" w:rsidR="00EA1DA5" w:rsidP="00EA1DA5" w:rsidRDefault="00EA1DA5" w14:paraId="33BBBB4E" w14:textId="1BD44A6E">
      <w:r w:rsidRPr="007A6CB7">
        <w:t xml:space="preserve">Met de Wet seksuele misdrijven (WSM), die op 1 juli 2024 in werking is getreden, </w:t>
      </w:r>
      <w:r w:rsidRPr="007A6CB7" w:rsidR="0091095D">
        <w:t xml:space="preserve">zijn meer vormen van seksueel grensoverschrijdend gedrag, ook online, strafbaar gesteld. Onder andere </w:t>
      </w:r>
      <w:r w:rsidRPr="007A6CB7">
        <w:t xml:space="preserve">is seksuele intimidatie </w:t>
      </w:r>
      <w:r w:rsidRPr="007A6CB7" w:rsidR="0091095D">
        <w:t xml:space="preserve">in het openbaar </w:t>
      </w:r>
      <w:r w:rsidRPr="007A6CB7">
        <w:t>zelfstandig strafbaar gesteld als overtreding tegen de openbare orde.</w:t>
      </w:r>
      <w:r w:rsidRPr="007A6CB7">
        <w:rPr>
          <w:rStyle w:val="Voetnootmarkering"/>
        </w:rPr>
        <w:footnoteReference w:id="42"/>
      </w:r>
      <w:r w:rsidRPr="007A6CB7">
        <w:t xml:space="preserve"> Deze strafbaarstelling ziet zowel toe op de fysieke </w:t>
      </w:r>
      <w:r w:rsidRPr="007A6CB7" w:rsidR="0091095D">
        <w:t xml:space="preserve">als op de online </w:t>
      </w:r>
      <w:r w:rsidRPr="007A6CB7">
        <w:t>openbare ruimte. In het geval van online seksuele intimidatie gaat het om ongewenst seksueel gedrag dat plaatsvindt via het internet, zoals via sociale media, WhatsApp, (video)chat</w:t>
      </w:r>
      <w:r w:rsidRPr="007A6CB7" w:rsidR="0091095D">
        <w:t>,</w:t>
      </w:r>
      <w:r w:rsidRPr="007A6CB7">
        <w:t xml:space="preserve"> e-mail</w:t>
      </w:r>
      <w:r w:rsidRPr="007A6CB7" w:rsidR="0091095D">
        <w:t>, op websites of chatgroepen die voor een breed publiek toegankelijk zijn en daarmee met een (fysieke) openbare plaats gelijk te stellen zijn</w:t>
      </w:r>
      <w:r w:rsidRPr="007A6CB7">
        <w:t xml:space="preserve">. De handhaving en opsporing van </w:t>
      </w:r>
      <w:r w:rsidRPr="007A6CB7">
        <w:lastRenderedPageBreak/>
        <w:t xml:space="preserve">seksuele intimidatie wordt opgepakt binnen de </w:t>
      </w:r>
      <w:proofErr w:type="spellStart"/>
      <w:r w:rsidRPr="007A6CB7">
        <w:t>gebiedsgebonden</w:t>
      </w:r>
      <w:proofErr w:type="spellEnd"/>
      <w:r w:rsidRPr="007A6CB7">
        <w:t xml:space="preserve"> politie, waarbij de inzet lokaal wordt bepaald door het bevoegd gezag. Eerste ervaringen met de nieuwe strafbaarstelling laten zien dat strafrechtelijk optreden door de politie vooral aan de orde is in de fysieke wereld</w:t>
      </w:r>
      <w:r w:rsidRPr="007A6CB7" w:rsidR="002457B7">
        <w:t>, bijvoorbeeld</w:t>
      </w:r>
      <w:r w:rsidRPr="007A6CB7">
        <w:t xml:space="preserve"> bij heterdaadsituaties</w:t>
      </w:r>
      <w:r w:rsidRPr="007A6CB7" w:rsidR="002457B7">
        <w:t xml:space="preserve"> of naar aanleiding van een melding en/of aangifte</w:t>
      </w:r>
      <w:r w:rsidRPr="007A6CB7">
        <w:t>. Als het gaat om online seksuele intimidatie wijzen de eerste ervaringen erop dat de politie vooral op basis van een concrete melding en/of aangifte door het slachtoffer opsporingsonderzoeken opstart. Sinds de inwerkingtreding van de WSM is online seksuele intimidatie 236 keer als incident door de politie geregistreerd. Naar aanleiding van de motie van de leden Michon-Derkzen en Eerdmans</w:t>
      </w:r>
      <w:r w:rsidRPr="007A6CB7">
        <w:rPr>
          <w:rStyle w:val="Voetnootmarkering"/>
        </w:rPr>
        <w:footnoteReference w:id="43"/>
      </w:r>
      <w:r w:rsidRPr="007A6CB7">
        <w:t xml:space="preserve"> wordt de effectiviteit van de handhaving van de strafbaarstelling van seksuele intimidatie door de politie en – in het kader van een pilot – door boa’s geëvalueerd. Ik verwacht dat het onderzoek inzicht zal geven in de mogelijkheden om de handhaving en opsporing van seksuele intimidatie, zowel in de fysieke </w:t>
      </w:r>
      <w:r w:rsidRPr="007A6CB7" w:rsidR="002457B7">
        <w:t xml:space="preserve">als in de online </w:t>
      </w:r>
      <w:r w:rsidRPr="007A6CB7">
        <w:t xml:space="preserve">openbare ruimte, te versterken. </w:t>
      </w:r>
      <w:r w:rsidRPr="007A6CB7" w:rsidR="009B2830">
        <w:t xml:space="preserve">Het onderzoek dient daarmee ook als een verkenning hoe de handhaving op het gebied van online (seksuele) intimidatie eruit kan zien om effectiever op te treden en slachtoffers beter te beschermen. </w:t>
      </w:r>
      <w:r w:rsidRPr="007A6CB7">
        <w:t>De uitkomsten van het evaluatieonderzoek worden rond de zomer van 2026 verwacht en zullen met uw Kamer worden gedeeld.</w:t>
      </w:r>
    </w:p>
    <w:p w:rsidRPr="007A6CB7" w:rsidR="00EA1DA5" w:rsidP="00EA1DA5" w:rsidRDefault="00EA1DA5" w14:paraId="440D7714" w14:textId="77777777"/>
    <w:p w:rsidRPr="007A6CB7" w:rsidR="009B2830" w:rsidP="00EA1DA5" w:rsidRDefault="009B2830" w14:paraId="311BB838" w14:textId="0F770D6B">
      <w:r w:rsidRPr="007A6CB7">
        <w:rPr>
          <w:i/>
          <w:iCs/>
        </w:rPr>
        <w:t xml:space="preserve">Online </w:t>
      </w:r>
      <w:proofErr w:type="spellStart"/>
      <w:r w:rsidRPr="007A6CB7">
        <w:rPr>
          <w:i/>
          <w:iCs/>
        </w:rPr>
        <w:t>stalking</w:t>
      </w:r>
      <w:proofErr w:type="spellEnd"/>
    </w:p>
    <w:p w:rsidRPr="007A6CB7" w:rsidR="00DD1BF7" w:rsidP="00330753" w:rsidRDefault="00EA1DA5" w14:paraId="1CD61F9A" w14:textId="75ABFC79">
      <w:pPr>
        <w:spacing w:line="276" w:lineRule="auto"/>
      </w:pPr>
      <w:r w:rsidRPr="007A6CB7">
        <w:t xml:space="preserve">In het geval van (online) </w:t>
      </w:r>
      <w:proofErr w:type="spellStart"/>
      <w:r w:rsidRPr="007A6CB7">
        <w:t>stalking</w:t>
      </w:r>
      <w:proofErr w:type="spellEnd"/>
      <w:r w:rsidRPr="007A6CB7">
        <w:t xml:space="preserve"> kan een slachtoffer dit melden bij de politie. De politie overweegt dan per casus of een stopgesprek met de stalker zinvol is. Dit betreft veelal gevallen waarin de </w:t>
      </w:r>
      <w:proofErr w:type="spellStart"/>
      <w:r w:rsidRPr="007A6CB7">
        <w:t>stalking</w:t>
      </w:r>
      <w:proofErr w:type="spellEnd"/>
      <w:r w:rsidRPr="007A6CB7">
        <w:t xml:space="preserve"> nog niet lang aan de gang is en nog niet is geëscaleerd. De stalker moet na een stopgesprek ál het contact met het slachtoffer stoppen. Dit omvat ook het digitale contact.</w:t>
      </w:r>
      <w:r w:rsidRPr="007A6CB7">
        <w:rPr>
          <w:rFonts w:ascii="Arial" w:hAnsi="Arial" w:cs="Arial"/>
          <w:color w:val="202020"/>
          <w:shd w:val="clear" w:color="auto" w:fill="FFFFFF"/>
        </w:rPr>
        <w:t xml:space="preserve"> </w:t>
      </w:r>
      <w:r w:rsidRPr="007A6CB7">
        <w:t xml:space="preserve">De ervaring leert dat veel stalkers stoppen na een dergelijk gesprek. Als een stalker na een stopgesprek toch doorgaat, vraagt dit om een andere reactie. Het slachtoffer kan bijvoorbeeld aangifte doen en/of een contact- of locatieverbod aanvragen. </w:t>
      </w:r>
      <w:r w:rsidRPr="007A6CB7" w:rsidR="00DD1BF7">
        <w:t xml:space="preserve">Omdat er niet altijd voldoende bewijs is, heeft de politie soms (nog) geen mogelijkheden om de stalker bij een aangifte aan te houden en strafrechtelijk in te grijpen. In die gevallen is het toch belangrijk dat de politie meldingen blijft ontvangen zodat alle waarnemingen vastgelegd worden in een politieregister. De politie verzamelt informatie om daarmee uiteindelijk (met ‘gestapelde’ feiten) strafrechtelijk op te kunnen treden en de stalker te vervolgen. Voor het aanvragen van </w:t>
      </w:r>
      <w:r w:rsidRPr="007A6CB7" w:rsidR="00330753">
        <w:t xml:space="preserve">een contact- of locatieverbod </w:t>
      </w:r>
      <w:r w:rsidRPr="007A6CB7" w:rsidR="00DD1BF7">
        <w:t xml:space="preserve">kan een slachtoffer </w:t>
      </w:r>
      <w:r w:rsidRPr="007A6CB7" w:rsidR="00330753">
        <w:t xml:space="preserve">advies inwinnen bij het Juridisch Loket of een advocaat en kan er bijvoorbeeld hulp bij worden geboden door Slachtofferhulp Nederland. </w:t>
      </w:r>
      <w:r w:rsidRPr="007A6CB7">
        <w:t xml:space="preserve">Een contactverbod omvat elke vorm van contact, dus ook digitaal. </w:t>
      </w:r>
      <w:r w:rsidRPr="007A6CB7" w:rsidR="008A315A">
        <w:t xml:space="preserve">Met betrekking tot digitaal contact </w:t>
      </w:r>
      <w:r w:rsidRPr="007A6CB7" w:rsidR="008A315A">
        <w:rPr>
          <w:rFonts w:eastAsia="Aptos" w:cs="Aptos"/>
          <w:color w:val="auto"/>
          <w:lang w:eastAsia="en-US"/>
        </w:rPr>
        <w:t>ervaart de politie in de praktijk soms een gebrek aan bevoegdheden of mogelijkheden een contact- of locatieverbod online te handhaven, met name als er gebruik wordt gemaakt van</w:t>
      </w:r>
      <w:r w:rsidRPr="007A6CB7" w:rsidR="008A315A">
        <w:rPr>
          <w:i/>
          <w:iCs/>
        </w:rPr>
        <w:t xml:space="preserve"> </w:t>
      </w:r>
      <w:r w:rsidRPr="007A6CB7" w:rsidR="008A315A">
        <w:t xml:space="preserve">anonieme </w:t>
      </w:r>
      <w:proofErr w:type="spellStart"/>
      <w:r w:rsidRPr="007A6CB7" w:rsidR="008A315A">
        <w:t>social</w:t>
      </w:r>
      <w:proofErr w:type="spellEnd"/>
      <w:r w:rsidRPr="007A6CB7" w:rsidR="008A315A">
        <w:t xml:space="preserve"> media-accounts of onbekende telefoonnummers.</w:t>
      </w:r>
      <w:r w:rsidRPr="007A6CB7" w:rsidR="008A315A">
        <w:rPr>
          <w:rFonts w:eastAsia="Aptos" w:cs="Aptos"/>
          <w:color w:val="auto"/>
          <w:lang w:eastAsia="en-US"/>
        </w:rPr>
        <w:t xml:space="preserve"> Ik zal daarom in de komende periode in afstemming met de betrokken organisaties verkennen of de bestaande bevoegdheden volstaan of dat aanvullende beleidsmatige of wetgevende </w:t>
      </w:r>
      <w:r w:rsidRPr="007A6CB7" w:rsidR="008A315A">
        <w:rPr>
          <w:rFonts w:eastAsia="Aptos" w:cs="Aptos"/>
          <w:color w:val="auto"/>
          <w:lang w:eastAsia="en-US"/>
        </w:rPr>
        <w:lastRenderedPageBreak/>
        <w:t>maatregelen nodig zijn.</w:t>
      </w:r>
      <w:r w:rsidRPr="007A6CB7" w:rsidR="008A315A">
        <w:rPr>
          <w:rStyle w:val="Voetnootmarkering"/>
          <w:rFonts w:eastAsia="Aptos" w:cs="Aptos"/>
          <w:color w:val="auto"/>
          <w:lang w:eastAsia="en-US"/>
        </w:rPr>
        <w:footnoteReference w:id="44"/>
      </w:r>
      <w:r w:rsidRPr="007A6CB7" w:rsidR="008A315A">
        <w:rPr>
          <w:rFonts w:eastAsia="Aptos" w:cs="Aptos"/>
          <w:color w:val="auto"/>
          <w:lang w:eastAsia="en-US"/>
        </w:rPr>
        <w:t xml:space="preserve"> </w:t>
      </w:r>
      <w:r w:rsidRPr="007A6CB7">
        <w:t xml:space="preserve">Betreft de stalker een (ex-)partner dan is er sprake van een vroegtijdige samenwerking en gezamenlijke interventie vanuit de aanpak Veiligheid Voorop. </w:t>
      </w:r>
      <w:r w:rsidRPr="007A6CB7" w:rsidR="00DD1BF7">
        <w:t>Bovendien zijn er n</w:t>
      </w:r>
      <w:r w:rsidRPr="007A6CB7" w:rsidR="008A315A">
        <w:t>aar aanleiding van aanbevelingen van de Inspectie Justitie en Veiligheid ontwikkelingen op het gebied van</w:t>
      </w:r>
      <w:r w:rsidRPr="007A6CB7" w:rsidR="009D150E">
        <w:t xml:space="preserve"> het ver</w:t>
      </w:r>
      <w:r w:rsidRPr="007A6CB7" w:rsidR="008A315A">
        <w:t>beter</w:t>
      </w:r>
      <w:r w:rsidRPr="007A6CB7" w:rsidR="009D150E">
        <w:t xml:space="preserve">en van het </w:t>
      </w:r>
      <w:r w:rsidRPr="007A6CB7" w:rsidR="008A315A">
        <w:t>contact met en ondersteuning voor slachtoffers van (ex-)</w:t>
      </w:r>
      <w:proofErr w:type="spellStart"/>
      <w:r w:rsidRPr="007A6CB7" w:rsidR="008A315A">
        <w:t>partnerstalking</w:t>
      </w:r>
      <w:proofErr w:type="spellEnd"/>
      <w:r w:rsidRPr="007A6CB7" w:rsidR="008A315A">
        <w:t xml:space="preserve"> in gang gezet. </w:t>
      </w:r>
      <w:r w:rsidRPr="007A6CB7" w:rsidR="00B87507">
        <w:t xml:space="preserve">Daarbij zet de </w:t>
      </w:r>
      <w:r w:rsidRPr="007A6CB7" w:rsidR="008A315A">
        <w:t xml:space="preserve">politie </w:t>
      </w:r>
      <w:r w:rsidRPr="007A6CB7" w:rsidR="009D150E">
        <w:t xml:space="preserve">samen met partners </w:t>
      </w:r>
      <w:r w:rsidRPr="007A6CB7" w:rsidR="00B87507">
        <w:t xml:space="preserve">bijvoorbeeld </w:t>
      </w:r>
      <w:r w:rsidRPr="007A6CB7" w:rsidR="008A315A">
        <w:t>in</w:t>
      </w:r>
      <w:r w:rsidRPr="007A6CB7" w:rsidR="00B87507">
        <w:t xml:space="preserve"> </w:t>
      </w:r>
      <w:r w:rsidRPr="007A6CB7" w:rsidR="008A315A">
        <w:t>op het goed organiseren van interne casusregie</w:t>
      </w:r>
      <w:r w:rsidRPr="007A6CB7" w:rsidR="009D150E">
        <w:t xml:space="preserve"> waarbij </w:t>
      </w:r>
      <w:r w:rsidRPr="007A6CB7" w:rsidR="008A315A">
        <w:t>elk basisteam minimaal twee casusregisseurs</w:t>
      </w:r>
      <w:r w:rsidRPr="007A6CB7" w:rsidR="009D150E">
        <w:t xml:space="preserve"> (ex-)</w:t>
      </w:r>
      <w:proofErr w:type="spellStart"/>
      <w:r w:rsidRPr="007A6CB7" w:rsidR="009D150E">
        <w:t>partner</w:t>
      </w:r>
      <w:r w:rsidRPr="007A6CB7" w:rsidR="008A315A">
        <w:t>stalking</w:t>
      </w:r>
      <w:proofErr w:type="spellEnd"/>
      <w:r w:rsidRPr="007A6CB7" w:rsidR="008A315A">
        <w:t xml:space="preserve"> </w:t>
      </w:r>
      <w:r w:rsidRPr="007A6CB7" w:rsidR="009D150E">
        <w:t xml:space="preserve">moet </w:t>
      </w:r>
      <w:r w:rsidRPr="007A6CB7" w:rsidR="008A315A">
        <w:t>hebben</w:t>
      </w:r>
      <w:r w:rsidRPr="007A6CB7" w:rsidR="009D150E">
        <w:t xml:space="preserve">. </w:t>
      </w:r>
      <w:r w:rsidRPr="007A6CB7" w:rsidR="00B87507">
        <w:t>Hier hoort ook het zicht houden op overtredingen van (online) locatie-en gebiedsverboden bij.</w:t>
      </w:r>
    </w:p>
    <w:p w:rsidRPr="007A6CB7" w:rsidR="00234611" w:rsidP="00330753" w:rsidRDefault="00234611" w14:paraId="607A3036" w14:textId="77777777">
      <w:pPr>
        <w:spacing w:line="276" w:lineRule="auto"/>
      </w:pPr>
    </w:p>
    <w:p w:rsidRPr="007A6CB7" w:rsidR="00234611" w:rsidP="00330753" w:rsidRDefault="00234611" w14:paraId="4FA940B9" w14:textId="77777777">
      <w:pPr>
        <w:spacing w:line="276" w:lineRule="auto"/>
      </w:pPr>
    </w:p>
    <w:p w:rsidRPr="007A6CB7" w:rsidR="009A4713" w:rsidP="002979AF" w:rsidRDefault="002979AF" w14:paraId="73BB244C" w14:textId="1D289401">
      <w:pPr>
        <w:pStyle w:val="Kop1"/>
      </w:pPr>
      <w:bookmarkStart w:name="_Toc216278124" w:id="49"/>
      <w:r w:rsidRPr="007A6CB7">
        <w:t>Publiek-private samenwerking</w:t>
      </w:r>
      <w:bookmarkEnd w:id="49"/>
    </w:p>
    <w:p w:rsidRPr="007A6CB7" w:rsidR="002979AF" w:rsidP="002979AF" w:rsidRDefault="002979AF" w14:paraId="1C499582" w14:textId="77777777">
      <w:pPr>
        <w:pStyle w:val="Kop2"/>
      </w:pPr>
      <w:bookmarkStart w:name="_Toc216278125" w:id="50"/>
      <w:r w:rsidRPr="007A6CB7">
        <w:t xml:space="preserve">Toezegging </w:t>
      </w:r>
      <w:proofErr w:type="gramStart"/>
      <w:r w:rsidRPr="007A6CB7">
        <w:t>inzake</w:t>
      </w:r>
      <w:proofErr w:type="gramEnd"/>
      <w:r w:rsidRPr="007A6CB7">
        <w:t xml:space="preserve"> de korpscheftaken.</w:t>
      </w:r>
      <w:bookmarkEnd w:id="50"/>
      <w:r w:rsidRPr="007A6CB7">
        <w:t xml:space="preserve"> </w:t>
      </w:r>
    </w:p>
    <w:p w:rsidRPr="007A6CB7" w:rsidR="002979AF" w:rsidP="002979AF" w:rsidRDefault="002979AF" w14:paraId="4DF95A0B" w14:textId="5E4F749E">
      <w:r w:rsidRPr="007A6CB7">
        <w:t>Tijdens het commissiedebat politie 2 ju</w:t>
      </w:r>
      <w:r w:rsidRPr="007A6CB7" w:rsidR="009D75F4">
        <w:t>l</w:t>
      </w:r>
      <w:r w:rsidRPr="007A6CB7">
        <w:t>i jl. heeft mijn ambtsvoorganger toegezegd terug te komen op de vraag van het lid Aardema</w:t>
      </w:r>
      <w:r w:rsidRPr="007A6CB7" w:rsidR="003B1BE8">
        <w:t xml:space="preserve"> (PVV)</w:t>
      </w:r>
      <w:r w:rsidRPr="007A6CB7">
        <w:t xml:space="preserve"> over particuliere beveiligers ten dienste van betaald voetbalorganisaties</w:t>
      </w:r>
      <w:r w:rsidRPr="007A6CB7" w:rsidR="00B0157C">
        <w:rPr>
          <w:rStyle w:val="Voetnootmarkering"/>
        </w:rPr>
        <w:footnoteReference w:id="45"/>
      </w:r>
      <w:r w:rsidRPr="007A6CB7">
        <w:t>.</w:t>
      </w:r>
    </w:p>
    <w:p w:rsidRPr="007A6CB7" w:rsidR="002979AF" w:rsidP="002979AF" w:rsidRDefault="002979AF" w14:paraId="72002C36" w14:textId="77777777"/>
    <w:p w:rsidRPr="007A6CB7" w:rsidR="002979AF" w:rsidP="002979AF" w:rsidRDefault="002979AF" w14:paraId="4BA6C1B2" w14:textId="476C9BEB">
      <w:r w:rsidRPr="007A6CB7">
        <w:t>In 2024 is gestart met de ambtelijke voorbereiding wat betreft de herziening van de Wet particuliere beveiligingsorganisaties en recherchebureaus (</w:t>
      </w:r>
      <w:proofErr w:type="spellStart"/>
      <w:r w:rsidRPr="007A6CB7">
        <w:t>Wpbr</w:t>
      </w:r>
      <w:proofErr w:type="spellEnd"/>
      <w:r w:rsidRPr="007A6CB7">
        <w:t xml:space="preserve">) met alle betrokken partners (de branche, de politie, </w:t>
      </w:r>
      <w:proofErr w:type="spellStart"/>
      <w:r w:rsidRPr="007A6CB7">
        <w:t>KMar</w:t>
      </w:r>
      <w:proofErr w:type="spellEnd"/>
      <w:r w:rsidRPr="007A6CB7">
        <w:t xml:space="preserve">, DGPenV en </w:t>
      </w:r>
      <w:proofErr w:type="spellStart"/>
      <w:r w:rsidRPr="007A6CB7">
        <w:t>Justis</w:t>
      </w:r>
      <w:proofErr w:type="spellEnd"/>
      <w:r w:rsidRPr="007A6CB7">
        <w:t xml:space="preserve">) voor wat betreft de persoonsgebonden pas. Naar aanleiding hiervan is er een conceptwetsvoorstel opgesteld. De uitvoeringstoets van de politie is onlangs, begin oktober 2025 in concept, ontvangen. De consequenties van de uitvoeringstoets worden momenteel in kaart gebracht. Zodra de uitvoeringstoets definitief aangeleverd wordt door de politie zal de internetconsultatie worden gestart, uiterlijk het tweede kwartaal van 2026, maar naar verwachting zelfs al het eerste kwartaal van 2026. Hiermee beschouw ik de toezegging als afgedaan. </w:t>
      </w:r>
    </w:p>
    <w:p w:rsidRPr="007A6CB7" w:rsidR="002979AF" w:rsidP="002979AF" w:rsidRDefault="002979AF" w14:paraId="11CB0350" w14:textId="77777777">
      <w:pPr>
        <w:pStyle w:val="Kop2"/>
      </w:pPr>
      <w:bookmarkStart w:name="_Toc216278126" w:id="51"/>
      <w:r w:rsidRPr="007A6CB7">
        <w:t xml:space="preserve">Toezegging </w:t>
      </w:r>
      <w:proofErr w:type="gramStart"/>
      <w:r w:rsidRPr="007A6CB7">
        <w:t>inzake</w:t>
      </w:r>
      <w:proofErr w:type="gramEnd"/>
      <w:r w:rsidRPr="007A6CB7">
        <w:t xml:space="preserve"> publiek private samenwerking bij winkeldiefstal</w:t>
      </w:r>
      <w:bookmarkEnd w:id="51"/>
    </w:p>
    <w:p w:rsidRPr="007A6CB7" w:rsidR="002979AF" w:rsidP="002979AF" w:rsidRDefault="002979AF" w14:paraId="36486E9D" w14:textId="4CC40546">
      <w:r w:rsidRPr="007A6CB7">
        <w:t>Winkeldiefstal wordt ervaren als een groot probleem.</w:t>
      </w:r>
      <w:r w:rsidRPr="007A6CB7" w:rsidR="003B1BE8">
        <w:t xml:space="preserve"> </w:t>
      </w:r>
      <w:r w:rsidRPr="007A6CB7">
        <w:t xml:space="preserve">Binnen het Actieprogramma Veilig Ondernemen (AVO) 2023-2026 wordt door de overheid en het bedrijfsleven structureel en intensief samengewerkt om criminaliteit te voorkomen en terug te dringen, zo ook voor winkeldiefstal. Publieke en private partners hebben gezamenlijk een plan van aanpak opgesteld om de aanpak van winkeldiefstal </w:t>
      </w:r>
      <w:proofErr w:type="gramStart"/>
      <w:r w:rsidRPr="007A6CB7">
        <w:t>middels</w:t>
      </w:r>
      <w:proofErr w:type="gramEnd"/>
      <w:r w:rsidRPr="007A6CB7">
        <w:t xml:space="preserve"> PPS te versterken, conform de motie Michon-Derkzen</w:t>
      </w:r>
      <w:r w:rsidRPr="007A6CB7" w:rsidR="00A54CDA">
        <w:t xml:space="preserve"> (VVD)</w:t>
      </w:r>
      <w:r w:rsidRPr="007A6CB7">
        <w:t>.</w:t>
      </w:r>
      <w:r w:rsidRPr="007A6CB7">
        <w:rPr>
          <w:rStyle w:val="Voetnootmarkering"/>
        </w:rPr>
        <w:footnoteReference w:id="46"/>
      </w:r>
      <w:r w:rsidRPr="007A6CB7">
        <w:t xml:space="preserve"> </w:t>
      </w:r>
    </w:p>
    <w:p w:rsidRPr="007A6CB7" w:rsidR="002979AF" w:rsidP="002979AF" w:rsidRDefault="002979AF" w14:paraId="13C84665" w14:textId="77777777"/>
    <w:p w:rsidRPr="007A6CB7" w:rsidR="002979AF" w:rsidP="002979AF" w:rsidRDefault="002979AF" w14:paraId="05413D81" w14:textId="06F00364">
      <w:r w:rsidRPr="007A6CB7">
        <w:t xml:space="preserve">Voor de zomer </w:t>
      </w:r>
      <w:r w:rsidRPr="007A6CB7" w:rsidR="005460A0">
        <w:t xml:space="preserve">zijn de contouren van dit </w:t>
      </w:r>
      <w:r w:rsidRPr="007A6CB7">
        <w:t>plan in het eerste halfjaarbericht politie met de Tweede Kamer gedeeld.</w:t>
      </w:r>
      <w:r w:rsidRPr="007A6CB7">
        <w:rPr>
          <w:rStyle w:val="Voetnootmarkering"/>
        </w:rPr>
        <w:footnoteReference w:id="47"/>
      </w:r>
      <w:r w:rsidRPr="007A6CB7">
        <w:t xml:space="preserve"> In lijn met de toezegging</w:t>
      </w:r>
      <w:r w:rsidRPr="007A6CB7" w:rsidR="00F83354">
        <w:rPr>
          <w:rStyle w:val="Voetnootmarkering"/>
        </w:rPr>
        <w:footnoteReference w:id="48"/>
      </w:r>
      <w:r w:rsidRPr="007A6CB7">
        <w:t xml:space="preserve"> bij het commissiedebat politie van 2 juli 2025 </w:t>
      </w:r>
      <w:r w:rsidRPr="007A6CB7" w:rsidR="009F6F9F">
        <w:t xml:space="preserve">en naar aanleiding van uw informatieverzoek d.d. 27 november 2025 met betrekking tot de signalen van </w:t>
      </w:r>
      <w:r w:rsidRPr="007A6CB7" w:rsidR="009F6F9F">
        <w:lastRenderedPageBreak/>
        <w:t xml:space="preserve">Stichting Fraudeaanpak Detailhandel, </w:t>
      </w:r>
      <w:r w:rsidRPr="007A6CB7">
        <w:t xml:space="preserve">informeer ik u graag over de voortgang van dit plan. </w:t>
      </w:r>
    </w:p>
    <w:p w:rsidRPr="007A6CB7" w:rsidR="002979AF" w:rsidP="002979AF" w:rsidRDefault="002979AF" w14:paraId="0201015F" w14:textId="77777777"/>
    <w:p w:rsidRPr="007A6CB7" w:rsidR="009F6F9F" w:rsidP="009F6F9F" w:rsidRDefault="009F6F9F" w14:paraId="25F1C163" w14:textId="77777777">
      <w:r w:rsidRPr="007A6CB7">
        <w:t xml:space="preserve">Het plan kent vijf actielijnen: </w:t>
      </w:r>
    </w:p>
    <w:p w:rsidRPr="007A6CB7" w:rsidR="009F6F9F" w:rsidP="009F6F9F" w:rsidRDefault="009F6F9F" w14:paraId="4694B9D9" w14:textId="77777777"/>
    <w:p w:rsidRPr="007A6CB7" w:rsidR="009F6F9F" w:rsidP="009F6F9F" w:rsidRDefault="009F6F9F" w14:paraId="52AA8D3A" w14:textId="77777777">
      <w:r w:rsidRPr="007A6CB7">
        <w:t>(1)</w:t>
      </w:r>
      <w:r w:rsidRPr="007A6CB7">
        <w:tab/>
      </w:r>
      <w:r w:rsidRPr="007A6CB7">
        <w:rPr>
          <w:i/>
          <w:iCs/>
        </w:rPr>
        <w:t>Zicht op de problematiek</w:t>
      </w:r>
    </w:p>
    <w:p w:rsidRPr="007A6CB7" w:rsidR="009F6F9F" w:rsidP="009F6F9F" w:rsidRDefault="009F6F9F" w14:paraId="73F8CA47" w14:textId="77777777">
      <w:r w:rsidRPr="007A6CB7">
        <w:t xml:space="preserve">Het is onduidelijk hoe groot de problematiek rondom winkeldiefstal daadwerkelijk is, omdat er niet van alle winkeldiefstallen aangifte wordt gedaan bij de politie. Er wordt </w:t>
      </w:r>
      <w:proofErr w:type="gramStart"/>
      <w:r w:rsidRPr="007A6CB7">
        <w:t>middels</w:t>
      </w:r>
      <w:proofErr w:type="gramEnd"/>
      <w:r w:rsidRPr="007A6CB7">
        <w:t xml:space="preserve"> onderzoek en monitoring een beeld vergaard van de problematiek. Dit betreft onder andere het onderzoek naar de aard, omvang en modus operandi van het WODC. De verwachte oplevering van het rapport is begin volgend jaar. Daarnaast werken we in samenwerking met het Centraal Bureau voor de Statistiek aan het verkennen van de Monitor Criminaliteit Bedrijfsleven (MCB). De MCB is een slachtofferenquête onder ondernemers en moet een meer objectieve, cijfermatige basis gaan geven van de aard en omvang van criminaliteit tegen en via bedrijven (waaronder winkeldiefstal).</w:t>
      </w:r>
    </w:p>
    <w:p w:rsidRPr="007A6CB7" w:rsidR="009F6F9F" w:rsidP="009F6F9F" w:rsidRDefault="009F6F9F" w14:paraId="2A74E853" w14:textId="77777777"/>
    <w:p w:rsidRPr="007A6CB7" w:rsidR="009F6F9F" w:rsidP="009F6F9F" w:rsidRDefault="009F6F9F" w14:paraId="62018C98" w14:textId="77777777">
      <w:pPr>
        <w:rPr>
          <w:i/>
          <w:iCs/>
        </w:rPr>
      </w:pPr>
      <w:r w:rsidRPr="007A6CB7">
        <w:t>(2)</w:t>
      </w:r>
      <w:r w:rsidRPr="007A6CB7">
        <w:tab/>
      </w:r>
      <w:r w:rsidRPr="007A6CB7">
        <w:rPr>
          <w:i/>
          <w:iCs/>
        </w:rPr>
        <w:t>Bewustwording en handelingsperspectief</w:t>
      </w:r>
    </w:p>
    <w:p w:rsidRPr="007A6CB7" w:rsidR="009F6F9F" w:rsidP="009F6F9F" w:rsidRDefault="009F6F9F" w14:paraId="707B9841" w14:textId="77777777">
      <w:r w:rsidRPr="007A6CB7">
        <w:t xml:space="preserve">Er wordt ingezet op het bieden van handvatten aan ondernemers. We zijn volop bezig met het verspreiden van de </w:t>
      </w:r>
      <w:hyperlink w:history="1" r:id="rId9">
        <w:proofErr w:type="spellStart"/>
        <w:r w:rsidRPr="007A6CB7">
          <w:rPr>
            <w:rStyle w:val="Hyperlink"/>
          </w:rPr>
          <w:t>toolbox</w:t>
        </w:r>
        <w:proofErr w:type="spellEnd"/>
        <w:r w:rsidRPr="007A6CB7">
          <w:rPr>
            <w:rStyle w:val="Hyperlink"/>
          </w:rPr>
          <w:t xml:space="preserve"> winkelcriminaliteit</w:t>
        </w:r>
      </w:hyperlink>
      <w:r w:rsidRPr="007A6CB7">
        <w:t xml:space="preserve">. Daarnaast hebben we in oktober de </w:t>
      </w:r>
      <w:hyperlink w:history="1" r:id="rId10">
        <w:r w:rsidRPr="007A6CB7">
          <w:rPr>
            <w:rStyle w:val="Hyperlink"/>
          </w:rPr>
          <w:t>e-</w:t>
        </w:r>
        <w:proofErr w:type="spellStart"/>
        <w:r w:rsidRPr="007A6CB7">
          <w:rPr>
            <w:rStyle w:val="Hyperlink"/>
          </w:rPr>
          <w:t>learning</w:t>
        </w:r>
        <w:proofErr w:type="spellEnd"/>
        <w:r w:rsidRPr="007A6CB7">
          <w:rPr>
            <w:rStyle w:val="Hyperlink"/>
          </w:rPr>
          <w:t xml:space="preserve"> winkeldiefstal</w:t>
        </w:r>
      </w:hyperlink>
      <w:r w:rsidRPr="007A6CB7">
        <w:t xml:space="preserve"> van Platform Veilig Ondernemen (PVO-NL) gelanceerd, en zullen we deze ook verder delen. Ook richten we ons op de doorontwikkeling van het collectief winkelverbod en het trainen van winkelpersoneel.</w:t>
      </w:r>
    </w:p>
    <w:p w:rsidRPr="007A6CB7" w:rsidR="009F6F9F" w:rsidP="009F6F9F" w:rsidRDefault="009F6F9F" w14:paraId="508CEB2D" w14:textId="77777777"/>
    <w:p w:rsidRPr="007A6CB7" w:rsidR="009F6F9F" w:rsidP="009F6F9F" w:rsidRDefault="009F6F9F" w14:paraId="4926F709" w14:textId="77777777">
      <w:pPr>
        <w:rPr>
          <w:i/>
          <w:iCs/>
        </w:rPr>
      </w:pPr>
      <w:r w:rsidRPr="007A6CB7">
        <w:t>(3)</w:t>
      </w:r>
      <w:r w:rsidRPr="007A6CB7">
        <w:tab/>
      </w:r>
      <w:r w:rsidRPr="007A6CB7">
        <w:rPr>
          <w:i/>
          <w:iCs/>
        </w:rPr>
        <w:t>Gebiedsgerichte inzet</w:t>
      </w:r>
    </w:p>
    <w:p w:rsidRPr="007A6CB7" w:rsidR="009F6F9F" w:rsidP="009F6F9F" w:rsidRDefault="009F6F9F" w14:paraId="76DFFE5D" w14:textId="77777777">
      <w:r w:rsidRPr="007A6CB7">
        <w:t xml:space="preserve">De preventieve aanpak van winkeldiefstal kan verder worden versterkt door inzet te plegen op plaatsen waar de problematiek het grootst is. Met inzet die zich richt op de winkelgebieden waar de meeste incidenten plaatsvinden, kunnen maatregelen specifiek worden toegepast om daarmee de impact te vergroten. We zetten in op samenwerking met lokale ondernemers en regionale </w:t>
      </w:r>
      <w:proofErr w:type="gramStart"/>
      <w:r w:rsidRPr="007A6CB7">
        <w:t>PVO adviseurs</w:t>
      </w:r>
      <w:proofErr w:type="gramEnd"/>
      <w:r w:rsidRPr="007A6CB7">
        <w:t xml:space="preserve">. Daarnaast verkennen we in 2026 de rol van het lokale bestuur en ontwikkelen we handvatten voor gemeenteambtenaren. </w:t>
      </w:r>
    </w:p>
    <w:p w:rsidRPr="007A6CB7" w:rsidR="009F6F9F" w:rsidP="009F6F9F" w:rsidRDefault="009F6F9F" w14:paraId="0A2E3DC9" w14:textId="77777777"/>
    <w:p w:rsidRPr="007A6CB7" w:rsidR="009F6F9F" w:rsidP="009F6F9F" w:rsidRDefault="009F6F9F" w14:paraId="2B04EF35" w14:textId="77777777">
      <w:pPr>
        <w:rPr>
          <w:i/>
          <w:iCs/>
        </w:rPr>
      </w:pPr>
      <w:r w:rsidRPr="007A6CB7">
        <w:t>(4)</w:t>
      </w:r>
      <w:r w:rsidRPr="007A6CB7">
        <w:tab/>
      </w:r>
      <w:r w:rsidRPr="007A6CB7">
        <w:rPr>
          <w:i/>
          <w:iCs/>
        </w:rPr>
        <w:t>Verbeteren van de afhandeling</w:t>
      </w:r>
    </w:p>
    <w:p w:rsidRPr="007A6CB7" w:rsidR="00E45517" w:rsidP="00E45517" w:rsidRDefault="00E45517" w14:paraId="535B2F5E" w14:textId="0CCFEE02">
      <w:r w:rsidRPr="007A6CB7">
        <w:t xml:space="preserve">Vanuit de politiek, private en publieke partijen wordt er herhaaldelijk aandacht gevraagd voor de knelpunten in de (strafrechtelijke) afhandeling van winkeldiefstal. Er is de afgelopen maanden om deze reden door politie, OM en JenV gewerkt aan een concept leidraad winkeldiefstal als hulpmiddel voor de beoordeling om gelet op de situatie een afweging te maken welke interventie, het meest passend is. De leidraad winkeldiefstal is gericht op meer duidelijkheid aan de ondernemer te geven over de prioritering door de strafrechtsketen en een betere aansluiting daarop. Er zijn pilots vormgegeven die de werking van de leidraad in de praktijk toetst, voorafgaand aan de landelijke toepassing ervan. De pilots starten begin 2026. Hiernaast hebben de politie, OM en JenV de afgelopen maanden een verkenning gedaan naar het Belgische lik-op-stuk beleid. </w:t>
      </w:r>
    </w:p>
    <w:p w:rsidRPr="007A6CB7" w:rsidR="009F6F9F" w:rsidP="009F6F9F" w:rsidRDefault="009F6F9F" w14:paraId="440FF085" w14:textId="77777777"/>
    <w:p w:rsidRPr="007A6CB7" w:rsidR="009F6F9F" w:rsidP="009F6F9F" w:rsidRDefault="009F6F9F" w14:paraId="328AFBE7" w14:textId="77777777">
      <w:r w:rsidRPr="007A6CB7">
        <w:t>(5)</w:t>
      </w:r>
      <w:r w:rsidRPr="007A6CB7">
        <w:tab/>
      </w:r>
      <w:r w:rsidRPr="007A6CB7">
        <w:rPr>
          <w:i/>
          <w:iCs/>
        </w:rPr>
        <w:t>Handvatten uit het buitenland en de wetenschap</w:t>
      </w:r>
    </w:p>
    <w:p w:rsidRPr="007A6CB7" w:rsidR="009F6F9F" w:rsidP="009F6F9F" w:rsidRDefault="009F6F9F" w14:paraId="18EEA1BD" w14:textId="77777777">
      <w:r w:rsidRPr="007A6CB7">
        <w:lastRenderedPageBreak/>
        <w:t xml:space="preserve">Voor het versterken van de aanpak is nadrukkelijk gekeken naar effectieve inzet in het buitenland en vanuit (wetenschappelijk) onderzoek. We hebben een uitvraag gedaan naar PPS aanpakken van winkeldiefstal bij andere Europese lidstaten. De inzichten uit deze aanpakken zijn meegenomen in de verdere acties van het plan van aanpak. </w:t>
      </w:r>
    </w:p>
    <w:p w:rsidRPr="007A6CB7" w:rsidR="009F6F9F" w:rsidP="009F6F9F" w:rsidRDefault="009F6F9F" w14:paraId="15BF9AD1" w14:textId="77777777"/>
    <w:p w:rsidRPr="007A6CB7" w:rsidR="009F6F9F" w:rsidP="009F6F9F" w:rsidRDefault="009F6F9F" w14:paraId="72A2FE84" w14:textId="0951EC29">
      <w:r w:rsidRPr="007A6CB7">
        <w:t>In het Nationaal Platform Criminaliteitsbeheersing</w:t>
      </w:r>
      <w:r w:rsidRPr="007A6CB7" w:rsidR="00521942">
        <w:t xml:space="preserve"> (NPC)</w:t>
      </w:r>
      <w:r w:rsidRPr="007A6CB7">
        <w:t xml:space="preserve"> van 10 november </w:t>
      </w:r>
      <w:proofErr w:type="spellStart"/>
      <w:r w:rsidRPr="007A6CB7">
        <w:t>j.l</w:t>
      </w:r>
      <w:proofErr w:type="spellEnd"/>
      <w:r w:rsidRPr="007A6CB7">
        <w:t xml:space="preserve">. zijn de publieke en private partners in gesprek gegaan over de aanpak van winkeldiefstal. Het plan is daarbij vastgesteld, waarbij verschillende aandachtspunten in de uitvoering en evaluatie van de pilots (onder actielijn vier) en het Actieprogramma Veilig Ondernemen worden meegenomen. Daarbij worden ook de uitkomsten uit de pilots gezien als mogelijk voorbeeld voor andere sectoren met gelijksoortige problematiek, zoals binnen de horecabranche. </w:t>
      </w:r>
      <w:r w:rsidRPr="007A6CB7" w:rsidR="00521942">
        <w:t xml:space="preserve">Vanuit de </w:t>
      </w:r>
      <w:proofErr w:type="spellStart"/>
      <w:r w:rsidRPr="007A6CB7" w:rsidR="00521942">
        <w:t>detailhandelbranche</w:t>
      </w:r>
      <w:proofErr w:type="spellEnd"/>
      <w:r w:rsidRPr="007A6CB7" w:rsidR="00521942">
        <w:t xml:space="preserve"> zijn VNO-NCW/MKB-Nederland, </w:t>
      </w:r>
      <w:proofErr w:type="spellStart"/>
      <w:r w:rsidRPr="007A6CB7" w:rsidR="00521942">
        <w:t>InRetail</w:t>
      </w:r>
      <w:proofErr w:type="spellEnd"/>
      <w:r w:rsidRPr="007A6CB7" w:rsidR="00521942">
        <w:t xml:space="preserve"> en het Retail Veiligheidsoverleg vertegenwoordigd in het NPC.</w:t>
      </w:r>
    </w:p>
    <w:p w:rsidRPr="007A6CB7" w:rsidR="009F6F9F" w:rsidP="009F6F9F" w:rsidRDefault="009F6F9F" w14:paraId="720B0FCD" w14:textId="77777777"/>
    <w:p w:rsidRPr="007A6CB7" w:rsidR="009F6F9F" w:rsidP="009F6F9F" w:rsidRDefault="009F6F9F" w14:paraId="76B1C5E9" w14:textId="2D6A236F">
      <w:r w:rsidRPr="007A6CB7">
        <w:t>De inzet vanuit het plan sluit ten dele aan bij de bevindingen over winkeldiefstal in het WODC-onderzoek Met vereende krachten, waarvan de beleidsreactie is opgenomen in dit halfjaarbericht. In het NPC in het voorjaar van 2026 zal naar verwachting worden gesproken over de knelpunten in de publiek-private samenwerking bij de directe aansprakelijkstelling, waaronder de gegevenslevering. Winkeldiefstal is een van de delicten waarbij dit speelt. Dit blijft een complex vraagstuk, waarbij meer tijd nodig is voor afstemming met de PPS-partijen.</w:t>
      </w:r>
    </w:p>
    <w:p w:rsidRPr="007A6CB7" w:rsidR="00CF2E43" w:rsidP="00CF2E43" w:rsidRDefault="00CF2E43" w14:paraId="2DD607CE" w14:textId="77777777">
      <w:pPr>
        <w:pStyle w:val="Kop2"/>
      </w:pPr>
      <w:bookmarkStart w:name="_Toc216278127" w:id="52"/>
      <w:bookmarkStart w:name="_Hlk213939426" w:id="53"/>
      <w:r w:rsidRPr="007A6CB7">
        <w:t xml:space="preserve">Reactie </w:t>
      </w:r>
      <w:proofErr w:type="gramStart"/>
      <w:r w:rsidRPr="007A6CB7">
        <w:t>WODC rapport</w:t>
      </w:r>
      <w:proofErr w:type="gramEnd"/>
      <w:r w:rsidRPr="007A6CB7">
        <w:t xml:space="preserve"> Met vereende krachten</w:t>
      </w:r>
      <w:bookmarkEnd w:id="52"/>
    </w:p>
    <w:p w:rsidRPr="007A6CB7" w:rsidR="00CF2E43" w:rsidP="00CF2E43" w:rsidRDefault="00CF2E43" w14:paraId="746250B1" w14:textId="08CB0883">
      <w:r w:rsidRPr="007A6CB7">
        <w:t>Hierbij informeer ik u nader over het WODC-onderzoek ‘Met vereende krachten? Lessen uit praktijkervaringen met publiek-private samenwerking</w:t>
      </w:r>
      <w:r w:rsidRPr="007A6CB7" w:rsidR="002511B5">
        <w:t xml:space="preserve"> (PPS)</w:t>
      </w:r>
      <w:r w:rsidRPr="007A6CB7">
        <w:t xml:space="preserve"> in het kader van de politietaak’. </w:t>
      </w:r>
    </w:p>
    <w:p w:rsidRPr="007A6CB7" w:rsidR="002511B5" w:rsidP="00CF2E43" w:rsidRDefault="002511B5" w14:paraId="233C1E56" w14:textId="77777777"/>
    <w:p w:rsidRPr="007A6CB7" w:rsidR="00CF2E43" w:rsidP="00CF2E43" w:rsidRDefault="00CF2E43" w14:paraId="31CBB014" w14:textId="77777777">
      <w:pPr>
        <w:rPr>
          <w:i/>
          <w:iCs/>
        </w:rPr>
      </w:pPr>
      <w:r w:rsidRPr="007A6CB7">
        <w:rPr>
          <w:i/>
          <w:iCs/>
        </w:rPr>
        <w:t xml:space="preserve">Handreikingen </w:t>
      </w:r>
    </w:p>
    <w:p w:rsidRPr="007A6CB7" w:rsidR="00CF2E43" w:rsidP="00CF2E43" w:rsidRDefault="00CF2E43" w14:paraId="6E2EC030" w14:textId="77777777">
      <w:r w:rsidRPr="007A6CB7">
        <w:t xml:space="preserve">De onderzoekers geven de volgende algemene handreikingen mee voor de doorontwikkeling van PPS: </w:t>
      </w:r>
    </w:p>
    <w:p w:rsidRPr="007A6CB7" w:rsidR="00CF2E43" w:rsidP="00CF2E43" w:rsidRDefault="00CF2E43" w14:paraId="128FD1E0" w14:textId="77777777">
      <w:pPr>
        <w:spacing w:line="240" w:lineRule="auto"/>
      </w:pPr>
      <w:r w:rsidRPr="007A6CB7">
        <w:t xml:space="preserve">1. Ontwikkel een beleidsvisie met betrekking tot PPS op specifieke politietaken en specificeer hierin de doelen die de politieorganisatie hiermee voor ogen heeft. Er liggen nog belangrijke keuzes die deels politiek en deels binnen politie en justitie moeten worden gemaakt. </w:t>
      </w:r>
    </w:p>
    <w:p w:rsidRPr="007A6CB7" w:rsidR="00CF2E43" w:rsidP="00CF2E43" w:rsidRDefault="00CF2E43" w14:paraId="32732929" w14:textId="77777777">
      <w:pPr>
        <w:spacing w:line="240" w:lineRule="auto"/>
      </w:pPr>
      <w:r w:rsidRPr="007A6CB7">
        <w:t xml:space="preserve">2. Behoud laagdrempelige mogelijkheden om een PPS te starten, maar vereis een expliciete strategie om deze te bestendigen of op te schalen. </w:t>
      </w:r>
    </w:p>
    <w:p w:rsidRPr="007A6CB7" w:rsidR="00CF2E43" w:rsidP="00CF2E43" w:rsidRDefault="00CF2E43" w14:paraId="06FED8DF" w14:textId="77777777">
      <w:pPr>
        <w:spacing w:line="240" w:lineRule="auto"/>
      </w:pPr>
      <w:r w:rsidRPr="007A6CB7">
        <w:t xml:space="preserve">3. Organiseer regulering en toezicht </w:t>
      </w:r>
      <w:proofErr w:type="gramStart"/>
      <w:r w:rsidRPr="007A6CB7">
        <w:t>omtrent</w:t>
      </w:r>
      <w:proofErr w:type="gramEnd"/>
      <w:r w:rsidRPr="007A6CB7">
        <w:t xml:space="preserve"> de verantwoordelijkheden van private en maatschappelijke partners in, zonder disproportioneel optreden te legitimeren. </w:t>
      </w:r>
    </w:p>
    <w:p w:rsidRPr="007A6CB7" w:rsidR="00CF2E43" w:rsidP="00CF2E43" w:rsidRDefault="00CF2E43" w14:paraId="79D2A7B8" w14:textId="77777777">
      <w:pPr>
        <w:spacing w:line="240" w:lineRule="auto"/>
      </w:pPr>
      <w:r w:rsidRPr="007A6CB7">
        <w:t xml:space="preserve">4. Verduidelijk het mandaat van private partners, met name bij civielrechtelijke afdoening. </w:t>
      </w:r>
    </w:p>
    <w:p w:rsidRPr="007A6CB7" w:rsidR="00CF2E43" w:rsidP="00CF2E43" w:rsidRDefault="00CF2E43" w14:paraId="21792D57" w14:textId="77777777">
      <w:pPr>
        <w:spacing w:line="240" w:lineRule="auto"/>
      </w:pPr>
      <w:r w:rsidRPr="007A6CB7">
        <w:t xml:space="preserve">5. Zoek naar mogelijkheden voor gegevensdeling binnen PPS en overweeg hierbij (beperkte) verruiming van wet- en regelgeving. </w:t>
      </w:r>
    </w:p>
    <w:p w:rsidRPr="007A6CB7" w:rsidR="002511B5" w:rsidP="00CF2E43" w:rsidRDefault="002511B5" w14:paraId="0436C3F3" w14:textId="77777777"/>
    <w:p w:rsidRPr="007A6CB7" w:rsidR="00CF2E43" w:rsidP="00CF2E43" w:rsidRDefault="00CF2E43" w14:paraId="40CD20DF" w14:textId="70122C34">
      <w:r w:rsidRPr="007A6CB7">
        <w:t xml:space="preserve">Als de wens bestaat om de PPS zo door te ontwikkelen dat taken van de politie verder naar private en maatschappelijke partners moeten worden overgeheveld, is dit volgens onderzoekers nadrukkelijk een politieke vraag. Het ministerie van </w:t>
      </w:r>
      <w:r w:rsidRPr="007A6CB7">
        <w:lastRenderedPageBreak/>
        <w:t xml:space="preserve">Justitie en Veiligheid en de politieorganisatie moeten deze beantwoorden in interactie met politiek, mogelijke partners en samenleving. </w:t>
      </w:r>
    </w:p>
    <w:p w:rsidRPr="007A6CB7" w:rsidR="002511B5" w:rsidP="00CF2E43" w:rsidRDefault="002511B5" w14:paraId="30D77093" w14:textId="77777777"/>
    <w:p w:rsidRPr="007A6CB7" w:rsidR="00CF2E43" w:rsidP="00CF2E43" w:rsidRDefault="00CF2E43" w14:paraId="1872E2AE" w14:textId="77777777">
      <w:pPr>
        <w:rPr>
          <w:i/>
          <w:iCs/>
        </w:rPr>
      </w:pPr>
      <w:r w:rsidRPr="007A6CB7">
        <w:rPr>
          <w:i/>
          <w:iCs/>
        </w:rPr>
        <w:t>Reactie op de onderzoeksbevindingen</w:t>
      </w:r>
    </w:p>
    <w:p w:rsidRPr="007A6CB7" w:rsidR="00CF2E43" w:rsidP="00CF2E43" w:rsidRDefault="00CF2E43" w14:paraId="0A6EF49F" w14:textId="41266EA9">
      <w:r w:rsidRPr="007A6CB7">
        <w:t xml:space="preserve">Het rapport biedt goede handvaten voor het waar nodig verbeteren, </w:t>
      </w:r>
      <w:proofErr w:type="spellStart"/>
      <w:r w:rsidRPr="007A6CB7">
        <w:t>doorontwikkelen</w:t>
      </w:r>
      <w:proofErr w:type="spellEnd"/>
      <w:r w:rsidRPr="007A6CB7">
        <w:t xml:space="preserve"> of beëindigen van (PPS)verbanden, waarin de politie participeert. Deze publiek-private- samenwerkingen zijn op verschillende wijzen ontstaan en verschillende betrokkenen participeren, faciliteren, bevorderen of jagen deze samenwerking aan. Uit het rapport blijkt dat een (publiek-private) samenwerking complex is in relatie tot het doel van de samenwerking en de bijbehorende taakverdeling en de resultaten van de samenwerking. Daarover zijn geen algemene uitspraken te doen, maar is afhankelijk van het fenomeen waar het PPS verband op gericht is. Er zijn dan ook verschillende belangen die worden gediend en er kunnen diverse knelpunten ontstaan. De zienswijze van het bevoegd gezag is daarbij ook van belang. </w:t>
      </w:r>
      <w:r w:rsidRPr="007A6CB7">
        <w:br/>
      </w:r>
      <w:r w:rsidRPr="007A6CB7">
        <w:br/>
        <w:t xml:space="preserve">Waar het de gegevensdeling betreft, vind ik het belangrijk dat de onderzoekers constateren dat lang niet altijd vaststaat dat de privacywetgeving (AVG, </w:t>
      </w:r>
      <w:proofErr w:type="spellStart"/>
      <w:r w:rsidRPr="007A6CB7">
        <w:t>Wpg</w:t>
      </w:r>
      <w:proofErr w:type="spellEnd"/>
      <w:r w:rsidRPr="007A6CB7">
        <w:t xml:space="preserve">, </w:t>
      </w:r>
      <w:proofErr w:type="spellStart"/>
      <w:r w:rsidRPr="007A6CB7">
        <w:t>Wjsg</w:t>
      </w:r>
      <w:proofErr w:type="spellEnd"/>
      <w:r w:rsidRPr="007A6CB7">
        <w:t xml:space="preserve">) daadwerkelijk een juridische barrière vormt. In plaats daarvan lijkt er sprake van te grote terughoudendheid vanwege onzekerheden </w:t>
      </w:r>
      <w:proofErr w:type="gramStart"/>
      <w:r w:rsidRPr="007A6CB7">
        <w:t>omtrent</w:t>
      </w:r>
      <w:proofErr w:type="gramEnd"/>
      <w:r w:rsidRPr="007A6CB7">
        <w:t xml:space="preserve"> die wetgeving. De onderzoekers pleiten er in de eerste plaats dan ook voor om meer juridische duidelijkheid te verkrijgen voordat er gekeken wordt naar een verruiming van de bestaande regels of een uitzonderingspositie. Het is, al met al, volgens de onderzoekers de vraag of een uitzondering op de privacywetgeving het veelgenoemde knelpunt op het gebied van informatie-uitwisseling wegneemt: de insinuatie van wettelijke </w:t>
      </w:r>
      <w:r w:rsidRPr="007A6CB7" w:rsidR="002511B5">
        <w:t>belemmeringen</w:t>
      </w:r>
      <w:r w:rsidRPr="007A6CB7">
        <w:t xml:space="preserve"> maskeert wellicht andere drempels en onvolkomenheden binnen de PPS. </w:t>
      </w:r>
    </w:p>
    <w:p w:rsidRPr="007A6CB7" w:rsidR="002511B5" w:rsidP="00CF2E43" w:rsidRDefault="002511B5" w14:paraId="37E84A4B" w14:textId="77777777"/>
    <w:p w:rsidRPr="007A6CB7" w:rsidR="00CF2E43" w:rsidP="00CF2E43" w:rsidRDefault="00CF2E43" w14:paraId="5DAB2F35" w14:textId="43E068AC">
      <w:r w:rsidRPr="007A6CB7">
        <w:t>Dit betekent dat per PPS in beeld zal moeten worden gebracht of en in hoeverre gegevensdeling een knelpunt is voor de effectiviteit en in hoeverre wetgeving daarvoor een oplossing kan bieden. Dit past ook bij de oproep vanuit de Tweede Kamer om te onderzoeken wanneer gegevensdeling noodzakelijk is, maar nu niet kan plaatsvinden omdat (sectorale) wettelijke grondslagen onvoldoende zijn toegesneden op de mogelijkheden die de AVG biedt, en deze leemten te adresseren.</w:t>
      </w:r>
      <w:r w:rsidRPr="007A6CB7">
        <w:rPr>
          <w:rStyle w:val="Voetnootmarkering"/>
        </w:rPr>
        <w:footnoteReference w:id="49"/>
      </w:r>
      <w:r w:rsidRPr="007A6CB7">
        <w:t xml:space="preserve"> Verder heeft, bij het commissiedebat </w:t>
      </w:r>
      <w:r w:rsidRPr="007A6CB7" w:rsidR="002511B5">
        <w:t xml:space="preserve">bescherming persoonsgegevens en digitale grondrechten </w:t>
      </w:r>
      <w:r w:rsidRPr="007A6CB7">
        <w:t xml:space="preserve">van 18 maart 2025, de toenmalige </w:t>
      </w:r>
      <w:r w:rsidRPr="007A6CB7" w:rsidR="002511B5">
        <w:t>s</w:t>
      </w:r>
      <w:r w:rsidRPr="007A6CB7">
        <w:t>taatssecretaris Rechtsbescherming de toezegging gedaan te zullen kijken naar onderwerpen voor een revisie van de Uitvoeringswet AVG (UAVG).</w:t>
      </w:r>
      <w:r w:rsidRPr="007A6CB7">
        <w:rPr>
          <w:rStyle w:val="Voetnootmarkering"/>
        </w:rPr>
        <w:footnoteReference w:id="50"/>
      </w:r>
      <w:r w:rsidRPr="007A6CB7">
        <w:t xml:space="preserve"> Daarbij zullen waar mogelijk ook de conclusies uit het onderhavige rapport en de bevindingen uit de praktijk worden betrokken.</w:t>
      </w:r>
    </w:p>
    <w:p w:rsidRPr="007A6CB7" w:rsidR="00F57F85" w:rsidP="00CF2E43" w:rsidRDefault="00F57F85" w14:paraId="398535A8" w14:textId="77777777"/>
    <w:p w:rsidRPr="007A6CB7" w:rsidR="00CF2E43" w:rsidP="00CF2E43" w:rsidRDefault="00CF2E43" w14:paraId="0B3EEDFB" w14:textId="77777777">
      <w:pPr>
        <w:rPr>
          <w:i/>
          <w:iCs/>
        </w:rPr>
      </w:pPr>
      <w:r w:rsidRPr="007A6CB7">
        <w:rPr>
          <w:i/>
          <w:iCs/>
        </w:rPr>
        <w:t xml:space="preserve">Opvolging </w:t>
      </w:r>
    </w:p>
    <w:p w:rsidRPr="007A6CB7" w:rsidR="00CF2E43" w:rsidP="00CF2E43" w:rsidRDefault="00CF2E43" w14:paraId="083C74FA" w14:textId="77777777">
      <w:r w:rsidRPr="007A6CB7">
        <w:t>De bevindingen van dit onderzoek zullen daar waar relevant worden meegenomen in verschillende lopende (</w:t>
      </w:r>
      <w:proofErr w:type="spellStart"/>
      <w:r w:rsidRPr="007A6CB7">
        <w:t>beleids</w:t>
      </w:r>
      <w:proofErr w:type="spellEnd"/>
      <w:r w:rsidRPr="007A6CB7">
        <w:t xml:space="preserve">)trajecten. </w:t>
      </w:r>
    </w:p>
    <w:p w:rsidRPr="007A6CB7" w:rsidR="00CF2E43" w:rsidP="00CF2E43" w:rsidRDefault="00CF2E43" w14:paraId="1260568B" w14:textId="46682FD1">
      <w:pPr>
        <w:pStyle w:val="Lijstalinea"/>
        <w:numPr>
          <w:ilvl w:val="0"/>
          <w:numId w:val="24"/>
        </w:numPr>
        <w:autoSpaceDN/>
        <w:spacing w:after="160" w:line="278" w:lineRule="auto"/>
        <w:textAlignment w:val="auto"/>
      </w:pPr>
      <w:r w:rsidRPr="007A6CB7">
        <w:t>Ik heb u in het eerste halfjaarbericht politie 2025</w:t>
      </w:r>
      <w:r w:rsidRPr="007A6CB7">
        <w:rPr>
          <w:rStyle w:val="Voetnootmarkering"/>
        </w:rPr>
        <w:footnoteReference w:id="51"/>
      </w:r>
      <w:r w:rsidRPr="007A6CB7">
        <w:t xml:space="preserve"> geïnformeerd over het plan om de aanpak van winkeldiefstal te versterken middels publiek-</w:t>
      </w:r>
      <w:r w:rsidRPr="007A6CB7">
        <w:lastRenderedPageBreak/>
        <w:t xml:space="preserve">private samenwerking </w:t>
      </w:r>
      <w:proofErr w:type="gramStart"/>
      <w:r w:rsidRPr="007A6CB7">
        <w:t>conform</w:t>
      </w:r>
      <w:proofErr w:type="gramEnd"/>
      <w:r w:rsidRPr="007A6CB7">
        <w:t xml:space="preserve"> de motie Michon-Derksen.</w:t>
      </w:r>
      <w:r w:rsidRPr="007A6CB7">
        <w:rPr>
          <w:rStyle w:val="Voetnootmarkering"/>
        </w:rPr>
        <w:footnoteReference w:id="52"/>
      </w:r>
      <w:r w:rsidRPr="007A6CB7">
        <w:t xml:space="preserve"> De bevindingen uit dit rapport zijn en worden meegenomen in de gesprekken met de private partijen, politie en het Openbaar Ministerie. Op 10 november jl. is het versterken van de aanpak van winkeldiefstal besproken in het Nationaal Platform Criminaliteitsbeheersing. </w:t>
      </w:r>
    </w:p>
    <w:p w:rsidRPr="007A6CB7" w:rsidR="00CF2E43" w:rsidP="00CF2E43" w:rsidRDefault="00CF2E43" w14:paraId="14E4BD0F" w14:textId="77777777">
      <w:pPr>
        <w:pStyle w:val="Lijstalinea"/>
        <w:numPr>
          <w:ilvl w:val="0"/>
          <w:numId w:val="24"/>
        </w:numPr>
        <w:autoSpaceDN/>
        <w:spacing w:after="160" w:line="278" w:lineRule="auto"/>
        <w:textAlignment w:val="auto"/>
      </w:pPr>
      <w:r w:rsidRPr="007A6CB7">
        <w:t xml:space="preserve">Ten aanzien van mensenhandel sluiten enkele aanbevelingen aan op acties die worden opgepakt via het actieplan van het programma Samen tegen Mensenhandel. Zo staat onder actielijn 5 van het genoemde actieplan het verbeteren van informatiedeling en gegevensverwerking centraal. </w:t>
      </w:r>
    </w:p>
    <w:p w:rsidRPr="007A6CB7" w:rsidR="00CF2E43" w:rsidP="00CF2E43" w:rsidRDefault="00CF2E43" w14:paraId="2635A285" w14:textId="58AF1067">
      <w:pPr>
        <w:pStyle w:val="Lijstalinea"/>
        <w:numPr>
          <w:ilvl w:val="0"/>
          <w:numId w:val="24"/>
        </w:numPr>
        <w:autoSpaceDN/>
        <w:spacing w:after="160" w:line="278" w:lineRule="auto"/>
        <w:textAlignment w:val="auto"/>
      </w:pPr>
      <w:r w:rsidRPr="007A6CB7">
        <w:t xml:space="preserve">Waar het gaat om persoonsvermissingen zal de politie de constateringen gebruiken om haar werkwijze verder aan te scherpen. </w:t>
      </w:r>
      <w:r w:rsidRPr="007A6CB7" w:rsidR="0072090C">
        <w:t>In tegenstelling tot hetgeen</w:t>
      </w:r>
      <w:r w:rsidRPr="007A6CB7">
        <w:t xml:space="preserve"> het rapport aangeeft werkt mijn departement aan het wetsvoorstel zoekmiddelen urgente personen. </w:t>
      </w:r>
    </w:p>
    <w:p w:rsidRPr="007A6CB7" w:rsidR="00CF2E43" w:rsidP="00CF2E43" w:rsidRDefault="00CF2E43" w14:paraId="72A89963" w14:textId="49EBECF1">
      <w:pPr>
        <w:pStyle w:val="Lijstalinea"/>
        <w:numPr>
          <w:ilvl w:val="0"/>
          <w:numId w:val="24"/>
        </w:numPr>
        <w:autoSpaceDN/>
        <w:spacing w:after="160" w:line="278" w:lineRule="auto"/>
        <w:textAlignment w:val="auto"/>
      </w:pPr>
      <w:r w:rsidRPr="007A6CB7">
        <w:t>Het vraagstuk van de gegevensdeling tussen de betrokkenen bij de Electronic Crime Taskforce is onderwerp van overleg tussen mijn departement, financiële instellingen (o.a. de banken) en politie. Ik zal u</w:t>
      </w:r>
      <w:r w:rsidRPr="007A6CB7" w:rsidR="00F57F85">
        <w:t>w Kamer</w:t>
      </w:r>
      <w:r w:rsidRPr="007A6CB7">
        <w:t xml:space="preserve"> hier separaat over informeren.</w:t>
      </w:r>
    </w:p>
    <w:p w:rsidRPr="007A6CB7" w:rsidR="00CF2E43" w:rsidP="00CF2E43" w:rsidRDefault="00CF2E43" w14:paraId="49115956" w14:textId="77777777">
      <w:r w:rsidRPr="007A6CB7">
        <w:t xml:space="preserve">Daarnaast zal mijn departement met de politie verkennen in hoeverre de lessen uit dit rapport nog nader kunnen worden verdiept en vervolgens of ze ook toegepast kunnen worden bij andere publiek-private samenwerkingen waarin de politie participeert. </w:t>
      </w:r>
    </w:p>
    <w:p w:rsidRPr="007A6CB7" w:rsidR="00F57F85" w:rsidP="00CF2E43" w:rsidRDefault="00F57F85" w14:paraId="0B165FDE" w14:textId="77777777"/>
    <w:p w:rsidRPr="007A6CB7" w:rsidR="00CF2E43" w:rsidP="00CF2E43" w:rsidRDefault="00CF2E43" w14:paraId="06F642C8" w14:textId="675F4B43">
      <w:r w:rsidRPr="007A6CB7">
        <w:t xml:space="preserve">Het onderzoek biedt goede aangrijpingspunten voor het evalueren en </w:t>
      </w:r>
      <w:proofErr w:type="spellStart"/>
      <w:r w:rsidRPr="007A6CB7">
        <w:t>doorontwikkelen</w:t>
      </w:r>
      <w:proofErr w:type="spellEnd"/>
      <w:r w:rsidRPr="007A6CB7">
        <w:t xml:space="preserve"> van de verschillende (publiek-private) samenwerkingen tussen politie en private partijen. Mijn departement en de politie gaan hiermee voortvarend aan de slag zoals hierboven weergegeven. Daarbij zal mijn departement ook zoals hierboven aangegeven bezien in welke mate nieuwe wetgeving kan bijdragen aan het wegnemen van knelpunten. </w:t>
      </w:r>
    </w:p>
    <w:p w:rsidRPr="007A6CB7" w:rsidR="002979AF" w:rsidP="00CF2E43" w:rsidRDefault="00CF2E43" w14:paraId="09705062" w14:textId="55C4F89D">
      <w:pPr>
        <w:pStyle w:val="Kop1"/>
      </w:pPr>
      <w:bookmarkStart w:name="_Toc216278128" w:id="54"/>
      <w:bookmarkEnd w:id="53"/>
      <w:r w:rsidRPr="007A6CB7">
        <w:t>Overig</w:t>
      </w:r>
      <w:bookmarkEnd w:id="54"/>
    </w:p>
    <w:p w:rsidRPr="007A6CB7" w:rsidR="00480F4E" w:rsidP="00480F4E" w:rsidRDefault="00480F4E" w14:paraId="13E09B84" w14:textId="28F180B7">
      <w:pPr>
        <w:pStyle w:val="Kop2"/>
      </w:pPr>
      <w:bookmarkStart w:name="_Toc216278129" w:id="55"/>
      <w:r w:rsidRPr="007A6CB7">
        <w:t xml:space="preserve">Motie </w:t>
      </w:r>
      <w:proofErr w:type="gramStart"/>
      <w:r w:rsidRPr="007A6CB7">
        <w:t>inzake</w:t>
      </w:r>
      <w:proofErr w:type="gramEnd"/>
      <w:r w:rsidRPr="007A6CB7">
        <w:t xml:space="preserve"> de strafbaarstelling van de verkoop en aanschaf van nep politie-uniformen en toezegging inzake lacunes in de aanpak van nepagenten</w:t>
      </w:r>
      <w:bookmarkEnd w:id="55"/>
      <w:r w:rsidRPr="007A6CB7">
        <w:t xml:space="preserve"> </w:t>
      </w:r>
      <w:bookmarkStart w:name="_Hlk213939506" w:id="56"/>
    </w:p>
    <w:p w:rsidRPr="007A6CB7" w:rsidR="00480F4E" w:rsidP="00D01F03" w:rsidRDefault="00480F4E" w14:paraId="2ABAD9F1" w14:textId="1DBBFC6C">
      <w:bookmarkStart w:name="_Hlk213939489" w:id="57"/>
      <w:bookmarkStart w:name="_Hlk214548141" w:id="58"/>
      <w:bookmarkEnd w:id="56"/>
      <w:r w:rsidRPr="007A6CB7">
        <w:t xml:space="preserve">De motie </w:t>
      </w:r>
      <w:proofErr w:type="spellStart"/>
      <w:r w:rsidRPr="007A6CB7">
        <w:t>Boswijk</w:t>
      </w:r>
      <w:proofErr w:type="spellEnd"/>
      <w:r w:rsidRPr="007A6CB7">
        <w:t xml:space="preserve"> (CDA)</w:t>
      </w:r>
      <w:r w:rsidRPr="007A6CB7" w:rsidR="00731A85">
        <w:t xml:space="preserve"> c.s. </w:t>
      </w:r>
      <w:r w:rsidRPr="007A6CB7">
        <w:t>verzoekt de regering de verruiming van de strafbaarstelling van de verkoop en aanschaf van nep politie-uniformen te onderzoeken</w:t>
      </w:r>
      <w:r w:rsidRPr="007A6CB7">
        <w:rPr>
          <w:rStyle w:val="Voetnootmarkering"/>
        </w:rPr>
        <w:footnoteReference w:id="53"/>
      </w:r>
      <w:r w:rsidRPr="007A6CB7" w:rsidR="00D01F03">
        <w:t xml:space="preserve"> zodat ook de aanschaf van uniformen ter voorbereiding van misdrijven met een lagere strafmaat, zoals oplichting en identiteitsfraude, strafbaar kan worden gesteld</w:t>
      </w:r>
      <w:r w:rsidRPr="007A6CB7">
        <w:t>. Daarnaast heb ik toegezegd met de politie in gesprek te gaan over lacunes die zij ervaren in de aanpak van oplichting door nepagenten</w:t>
      </w:r>
      <w:r w:rsidRPr="007A6CB7">
        <w:rPr>
          <w:rStyle w:val="Voetnootmarkering"/>
        </w:rPr>
        <w:footnoteReference w:id="54"/>
      </w:r>
      <w:r w:rsidRPr="007A6CB7">
        <w:t xml:space="preserve">. </w:t>
      </w:r>
      <w:proofErr w:type="gramStart"/>
      <w:r w:rsidRPr="007A6CB7">
        <w:t>Middels</w:t>
      </w:r>
      <w:proofErr w:type="gramEnd"/>
      <w:r w:rsidRPr="007A6CB7">
        <w:t xml:space="preserve"> onderstaande tekst beschouw ik deze motie en toezegging als afgedaan. </w:t>
      </w:r>
    </w:p>
    <w:p w:rsidRPr="007A6CB7" w:rsidR="00480F4E" w:rsidP="00480F4E" w:rsidRDefault="00480F4E" w14:paraId="5D47B4DC" w14:textId="77777777"/>
    <w:p w:rsidRPr="007A6CB7" w:rsidR="00313891" w:rsidP="005A0A37" w:rsidRDefault="005A0A37" w14:paraId="5E7F577A" w14:textId="2C760953">
      <w:r w:rsidRPr="007A6CB7">
        <w:t xml:space="preserve">Wat betreft de ervaren lacunes door politie bij de aanpak van oplichting door ‘nepagenten’ heeft de politie aangegeven het vooral als een lacune te ervaren dat </w:t>
      </w:r>
      <w:r w:rsidRPr="007A6CB7">
        <w:lastRenderedPageBreak/>
        <w:t xml:space="preserve">de strafmaat van oplichting in eigen woning ten opzichte van oplichting buiten de </w:t>
      </w:r>
      <w:r w:rsidRPr="007A6CB7" w:rsidR="00313891">
        <w:t xml:space="preserve">eigen </w:t>
      </w:r>
      <w:r w:rsidRPr="007A6CB7">
        <w:t xml:space="preserve">woning gelijk is, terwijl oplichting in de eigen woning een veel grotere impact heeft op slachtoffers. Naar aanleiding van het signaal van de politie en de motie </w:t>
      </w:r>
      <w:proofErr w:type="spellStart"/>
      <w:r w:rsidRPr="007A6CB7">
        <w:t>Boswijk</w:t>
      </w:r>
      <w:proofErr w:type="spellEnd"/>
      <w:r w:rsidRPr="007A6CB7">
        <w:t xml:space="preserve"> en </w:t>
      </w:r>
      <w:proofErr w:type="spellStart"/>
      <w:r w:rsidRPr="007A6CB7">
        <w:t>Mutluer</w:t>
      </w:r>
      <w:proofErr w:type="spellEnd"/>
      <w:r w:rsidRPr="007A6CB7">
        <w:rPr>
          <w:rStyle w:val="Voetnootmarkering"/>
        </w:rPr>
        <w:footnoteReference w:id="55"/>
      </w:r>
      <w:r w:rsidRPr="007A6CB7">
        <w:t xml:space="preserve"> onderzoek ik </w:t>
      </w:r>
      <w:r w:rsidRPr="007A6CB7" w:rsidR="00313891">
        <w:t xml:space="preserve">daarom </w:t>
      </w:r>
      <w:r w:rsidRPr="007A6CB7">
        <w:t xml:space="preserve">de mogelijkheden voor een hogere </w:t>
      </w:r>
      <w:r w:rsidRPr="007A6CB7" w:rsidR="00313891">
        <w:t>strafmaat voor</w:t>
      </w:r>
      <w:r w:rsidRPr="007A6CB7">
        <w:t xml:space="preserve"> oplichting in eigen woning. </w:t>
      </w:r>
      <w:r w:rsidRPr="007A6CB7" w:rsidR="00313891">
        <w:t>Indien het mogelijk blijkt de strafmaat te verhogen voor oplichting in eigen woning dan wordt daarmee automatisch ook de aanschaf van ‘nepuniformen’ ter voorbereiding van oplichting in eigen woning strafbaar als voorbereidingshandeling.</w:t>
      </w:r>
    </w:p>
    <w:p w:rsidRPr="007A6CB7" w:rsidR="00234611" w:rsidP="005A0A37" w:rsidRDefault="00234611" w14:paraId="70D86802" w14:textId="77777777"/>
    <w:p w:rsidRPr="007A6CB7" w:rsidR="005A0A37" w:rsidP="00480F4E" w:rsidRDefault="005A0A37" w14:paraId="0BBB7C59" w14:textId="4C63C1DC">
      <w:r w:rsidRPr="007A6CB7">
        <w:t xml:space="preserve">Daarnaast is de politie zelf actief bezig met de aanpak van nepagenten. Op </w:t>
      </w:r>
      <w:hyperlink w:history="1" r:id="rId11">
        <w:r w:rsidRPr="007A6CB7">
          <w:rPr>
            <w:rStyle w:val="Hyperlink"/>
          </w:rPr>
          <w:t>www.politie.nl</w:t>
        </w:r>
      </w:hyperlink>
      <w:r w:rsidRPr="007A6CB7">
        <w:t xml:space="preserve"> staan tips over hoe je kan voorkomen dat je slachtoffer van nepagenten wordt en een handelingsperspectief </w:t>
      </w:r>
      <w:r w:rsidRPr="007A6CB7" w:rsidR="00313891">
        <w:t xml:space="preserve">voor </w:t>
      </w:r>
      <w:r w:rsidRPr="007A6CB7">
        <w:t xml:space="preserve">als je slachtoffer bent geworden van </w:t>
      </w:r>
      <w:r w:rsidRPr="007A6CB7" w:rsidR="00313891">
        <w:t>‘</w:t>
      </w:r>
      <w:r w:rsidRPr="007A6CB7">
        <w:t>nepagenten</w:t>
      </w:r>
      <w:r w:rsidRPr="007A6CB7" w:rsidR="00313891">
        <w:t>’</w:t>
      </w:r>
      <w:r w:rsidRPr="007A6CB7">
        <w:t xml:space="preserve">. </w:t>
      </w:r>
      <w:r w:rsidRPr="007A6CB7" w:rsidR="00313891">
        <w:t xml:space="preserve">Ook </w:t>
      </w:r>
      <w:r w:rsidRPr="007A6CB7">
        <w:t xml:space="preserve">liep </w:t>
      </w:r>
      <w:r w:rsidRPr="007A6CB7" w:rsidR="00313891">
        <w:t>in dit kader</w:t>
      </w:r>
      <w:r w:rsidRPr="007A6CB7">
        <w:t xml:space="preserve"> afgelopen zomer een succesvolle publiekscampagne met Omroep MAX</w:t>
      </w:r>
      <w:r w:rsidRPr="007A6CB7" w:rsidR="00313891">
        <w:t xml:space="preserve"> voor meer awareness</w:t>
      </w:r>
      <w:r w:rsidRPr="007A6CB7">
        <w:t xml:space="preserve">. </w:t>
      </w:r>
    </w:p>
    <w:p w:rsidRPr="007A6CB7" w:rsidR="00480F4E" w:rsidP="00480F4E" w:rsidRDefault="00480F4E" w14:paraId="4557F9B9" w14:textId="77777777"/>
    <w:p w:rsidRPr="007A6CB7" w:rsidR="00480F4E" w:rsidP="00480F4E" w:rsidRDefault="005A0A37" w14:paraId="5B13F9E2" w14:textId="6849266F">
      <w:r w:rsidRPr="007A6CB7">
        <w:t>Daarnaast is s</w:t>
      </w:r>
      <w:r w:rsidRPr="007A6CB7" w:rsidR="00D01F03">
        <w:t>trafrechtelijk</w:t>
      </w:r>
      <w:r w:rsidRPr="007A6CB7" w:rsidR="00313891">
        <w:t xml:space="preserve"> nu al zo geregeld dat</w:t>
      </w:r>
      <w:r w:rsidRPr="007A6CB7" w:rsidR="00D01F03">
        <w:t xml:space="preserve"> h</w:t>
      </w:r>
      <w:r w:rsidRPr="007A6CB7" w:rsidR="00480F4E">
        <w:t xml:space="preserve">et dragen van een (nep) </w:t>
      </w:r>
      <w:r w:rsidRPr="007A6CB7" w:rsidR="006A6ED1">
        <w:t>politie-</w:t>
      </w:r>
      <w:r w:rsidRPr="007A6CB7" w:rsidR="00480F4E">
        <w:t xml:space="preserve">uniform en het zich voordoen als politieagent strafbaar </w:t>
      </w:r>
      <w:r w:rsidRPr="007A6CB7">
        <w:t xml:space="preserve">kan </w:t>
      </w:r>
      <w:r w:rsidRPr="007A6CB7" w:rsidR="00480F4E">
        <w:t xml:space="preserve">zijn op grond van artikel 196 van het Wetboek van Strafrecht (Sr). Verder kan het dragen van een (nep) </w:t>
      </w:r>
      <w:r w:rsidRPr="007A6CB7" w:rsidR="006A6ED1">
        <w:t>politie-</w:t>
      </w:r>
      <w:r w:rsidRPr="007A6CB7" w:rsidR="00480F4E">
        <w:t>uniform onderdeel vormen van het delict oplichting als de betrokkene daarmee het oogmerk heeft om, kort gezegd, zichzelf of een ander wederrechtelijk te bevoordelen. Daarnaast kan het zich voordoen als een politieagent, strafverzwarend werken bij diefstal (artikel 311, eerste lid, onder 5⁰, en 312, tweede lid, onder 3⁰, Sr).</w:t>
      </w:r>
    </w:p>
    <w:p w:rsidRPr="007A6CB7" w:rsidR="004353E9" w:rsidP="00480F4E" w:rsidRDefault="004353E9" w14:paraId="1E4BF0D4" w14:textId="77777777"/>
    <w:p w:rsidRPr="007A6CB7" w:rsidR="00D01F03" w:rsidP="00480F4E" w:rsidRDefault="00480F4E" w14:paraId="2EBAADA7" w14:textId="2EAC2D20">
      <w:r w:rsidRPr="007A6CB7">
        <w:t xml:space="preserve">Ook de verkoop van nep </w:t>
      </w:r>
      <w:r w:rsidRPr="007A6CB7" w:rsidR="006A6ED1">
        <w:t>politie-</w:t>
      </w:r>
      <w:r w:rsidRPr="007A6CB7">
        <w:t xml:space="preserve">uniformen </w:t>
      </w:r>
      <w:r w:rsidRPr="007A6CB7" w:rsidR="006A6ED1">
        <w:t>kan</w:t>
      </w:r>
      <w:r w:rsidRPr="007A6CB7">
        <w:t xml:space="preserve"> strafbaar</w:t>
      </w:r>
      <w:r w:rsidRPr="007A6CB7" w:rsidR="006A6ED1">
        <w:t xml:space="preserve"> zijn</w:t>
      </w:r>
      <w:r w:rsidRPr="007A6CB7">
        <w:t xml:space="preserve">. Bij ernstige strafbare feiten (misdrijven waarop een gevangenisstraf van acht jaar of meer is gesteld) kan in voorkomende gevallen sprake zijn van een strafbare voorbereidingshandeling (artikel 46 Sr). Maar ook bij minder ernstige strafbare feiten kan sprake zijn van strafbaarheid. Zo is denkbaar dat degene die een ander een nep </w:t>
      </w:r>
      <w:r w:rsidRPr="007A6CB7" w:rsidR="006A6ED1">
        <w:t>politie-</w:t>
      </w:r>
      <w:r w:rsidRPr="007A6CB7">
        <w:t xml:space="preserve">uniform verschaft in voorkomende gevallen medeplichtig is aan het vervolgens daarmee gepleegde misdrijf (artikel 48 Sr). </w:t>
      </w:r>
    </w:p>
    <w:p w:rsidRPr="007A6CB7" w:rsidR="00D01F03" w:rsidP="00480F4E" w:rsidRDefault="00D01F03" w14:paraId="4B0CC5A0" w14:textId="77777777"/>
    <w:p w:rsidRPr="007A6CB7" w:rsidR="00480F4E" w:rsidP="00480F4E" w:rsidRDefault="00480F4E" w14:paraId="06678D84" w14:textId="6D81A998">
      <w:pPr>
        <w:rPr>
          <w:b/>
          <w:bCs/>
        </w:rPr>
      </w:pPr>
      <w:r w:rsidRPr="007A6CB7">
        <w:t>Verder geldt dat</w:t>
      </w:r>
      <w:r w:rsidRPr="007A6CB7">
        <w:rPr>
          <w:b/>
          <w:bCs/>
        </w:rPr>
        <w:t xml:space="preserve"> </w:t>
      </w:r>
      <w:r w:rsidRPr="007A6CB7">
        <w:t xml:space="preserve">de politiehuisstijl, waar onder andere het modelrecht van het politie-uniform en het merkrecht van het politielogo onder vallen, intellectueel eigendom van de politie is. </w:t>
      </w:r>
      <w:r w:rsidRPr="007A6CB7" w:rsidR="00A032A4">
        <w:t xml:space="preserve">Omdat (onder andere) het logo van de politie auteursrechtelijk is beschermd, kan het aanbieden van voorwerpen – waaronder bijvoorbeeld een uniform – waarop het politielogo voorkomt (zonder dat daarvoor vooraf toestemming is gegeven) strafbaar zijn op grond van artikel 31 e.v. van de Auteurswet. Verder is denkbaar dat de verkoop van nep politie-uniformen in voorkomende gevallen strafbaar is op grond van artikel 337 Sr. Daarnaast kan </w:t>
      </w:r>
      <w:r w:rsidRPr="007A6CB7" w:rsidR="006A6ED1">
        <w:t xml:space="preserve">tegen </w:t>
      </w:r>
      <w:r w:rsidRPr="007A6CB7">
        <w:t xml:space="preserve">de verkoop van nep </w:t>
      </w:r>
      <w:r w:rsidRPr="007A6CB7" w:rsidR="006A6ED1">
        <w:t>politie-</w:t>
      </w:r>
      <w:r w:rsidRPr="007A6CB7">
        <w:t xml:space="preserve">uniformen </w:t>
      </w:r>
      <w:r w:rsidRPr="007A6CB7" w:rsidR="006A6ED1">
        <w:t>worden opgetreden</w:t>
      </w:r>
      <w:r w:rsidRPr="007A6CB7">
        <w:t xml:space="preserve"> op grond van het eigendoms-/merkenrecht. De politie heeft haar merk en logo via een merkgemachtigde gedeponeerd bij het Benelux Merkenbureau om misbruik te voorkomen. Deze merkgemachtigde helpt ons in Nederland en Europa om op te treden tegen de verkoop van namaakuniformen. De politie handhaaft </w:t>
      </w:r>
      <w:proofErr w:type="gramStart"/>
      <w:r w:rsidRPr="007A6CB7">
        <w:t>reeds</w:t>
      </w:r>
      <w:proofErr w:type="gramEnd"/>
      <w:r w:rsidRPr="007A6CB7">
        <w:t xml:space="preserve"> op schendingen van het modelrecht op het politie-uniform en van het merkrecht op het politielogo, onder meer door aanbiedingen van namaakuniformen en namaakpolitielogo’s van internet te laten verwijderen. Daarnaast kan misbruik van </w:t>
      </w:r>
      <w:r w:rsidRPr="007A6CB7">
        <w:lastRenderedPageBreak/>
        <w:t xml:space="preserve">onechte politie-uniformen door iedereen gemeld worden op </w:t>
      </w:r>
      <w:r w:rsidRPr="007A6CB7" w:rsidR="006A6ED1">
        <w:t>www.</w:t>
      </w:r>
      <w:r w:rsidRPr="007A6CB7">
        <w:t>politie.nl</w:t>
      </w:r>
      <w:r w:rsidRPr="007A6CB7" w:rsidR="00B31C23">
        <w:t xml:space="preserve"> via het formulier ‘meld misbruik politiehuisstijl’</w:t>
      </w:r>
      <w:r w:rsidRPr="007A6CB7">
        <w:t xml:space="preserve">. Hier wordt </w:t>
      </w:r>
      <w:r w:rsidRPr="007A6CB7" w:rsidR="00B31C23">
        <w:t xml:space="preserve">volgens de politie </w:t>
      </w:r>
      <w:r w:rsidRPr="007A6CB7">
        <w:t xml:space="preserve">actief gebruik van gemaakt. </w:t>
      </w:r>
    </w:p>
    <w:p w:rsidRPr="007A6CB7" w:rsidR="00FC5E24" w:rsidP="00FC5E24" w:rsidRDefault="00FC5E24" w14:paraId="0CC302A7" w14:textId="1DC9C480">
      <w:pPr>
        <w:pStyle w:val="Kop2"/>
      </w:pPr>
      <w:bookmarkStart w:name="_Toc216278130" w:id="59"/>
      <w:bookmarkEnd w:id="57"/>
      <w:bookmarkEnd w:id="58"/>
      <w:r w:rsidRPr="007A6CB7">
        <w:t xml:space="preserve">Motie </w:t>
      </w:r>
      <w:proofErr w:type="gramStart"/>
      <w:r w:rsidRPr="007A6CB7">
        <w:t>inzake</w:t>
      </w:r>
      <w:proofErr w:type="gramEnd"/>
      <w:r w:rsidRPr="007A6CB7">
        <w:t xml:space="preserve"> aanbevelingen Ombudsman rapport "Blind vertrouwen?"</w:t>
      </w:r>
      <w:bookmarkEnd w:id="59"/>
      <w:r w:rsidRPr="007A6CB7">
        <w:t xml:space="preserve"> </w:t>
      </w:r>
    </w:p>
    <w:p w:rsidRPr="007A6CB7" w:rsidR="00EE4C18" w:rsidP="00EE4C18" w:rsidRDefault="00EE4C18" w14:paraId="3BA53024" w14:textId="1CE89498">
      <w:pPr>
        <w:spacing w:line="240" w:lineRule="auto"/>
      </w:pPr>
      <w:r w:rsidRPr="007A6CB7">
        <w:t>In het vorige halfjaarbericht politie heb ik uw Kamer toegezegd op de laatste aanbevelingen van het rapport ‘‘Blind vertrouwen?’ van de Nationale Ombudsman (hierna: Ombudsman) terug te komen. De overige aanbevelingen zijn behandeld in de beleidsreactie en in het eerste halfjaarbericht politie 2025</w:t>
      </w:r>
      <w:r w:rsidRPr="007A6CB7">
        <w:rPr>
          <w:rStyle w:val="Voetnootmarkering"/>
        </w:rPr>
        <w:footnoteReference w:id="56"/>
      </w:r>
      <w:r w:rsidRPr="007A6CB7">
        <w:t>. Ook is eerder in het tweede halfjaarbericht politie in 2023 een toelichting gegeven op de procedure om te komen tot registratie van Contra Terrorisme Extremisme en Radicalisering (CTER) incidenten, de rol van het Openbaar Ministerie als gezag en de kanalen voor informatie-uitwisseling en signaleringen</w:t>
      </w:r>
      <w:r w:rsidRPr="007A6CB7">
        <w:rPr>
          <w:rStyle w:val="Voetnootmarkering"/>
        </w:rPr>
        <w:footnoteReference w:id="57"/>
      </w:r>
      <w:r w:rsidRPr="007A6CB7">
        <w:t xml:space="preserve">. Zoals toegezegd in de beleidsreactie heeft er het afgelopen jaar een verkenning plaatsgevonden naar of en zo ja, hoe toezicht op registraties van </w:t>
      </w:r>
      <w:proofErr w:type="gramStart"/>
      <w:r w:rsidRPr="007A6CB7">
        <w:t>CTER incidenten</w:t>
      </w:r>
      <w:proofErr w:type="gramEnd"/>
      <w:r w:rsidRPr="007A6CB7">
        <w:t xml:space="preserve"> en signaleringen van de betrokken instanties versterkt moet worden, met als scope die onderdelen van het proces die uitstralingseffecten hebben voor burgers, zoals signaleringen en informatie-uitwisseling met het buitenland</w:t>
      </w:r>
      <w:r w:rsidRPr="007A6CB7">
        <w:rPr>
          <w:i/>
          <w:iCs/>
        </w:rPr>
        <w:t xml:space="preserve">. </w:t>
      </w:r>
    </w:p>
    <w:p w:rsidRPr="007A6CB7" w:rsidR="00EE4C18" w:rsidP="00EE4C18" w:rsidRDefault="00EE4C18" w14:paraId="4B34A4A7" w14:textId="77777777">
      <w:pPr>
        <w:spacing w:line="240" w:lineRule="auto"/>
      </w:pPr>
    </w:p>
    <w:p w:rsidRPr="007A6CB7" w:rsidR="00EE4C18" w:rsidP="00EE4C18" w:rsidRDefault="00EE4C18" w14:paraId="3D9D70C3" w14:textId="55D263B4">
      <w:pPr>
        <w:spacing w:line="240" w:lineRule="auto"/>
      </w:pPr>
      <w:r w:rsidRPr="007A6CB7">
        <w:t>De Inspectie van Justitie en Veiligheid (</w:t>
      </w:r>
      <w:proofErr w:type="spellStart"/>
      <w:r w:rsidRPr="007A6CB7">
        <w:t>IJenV</w:t>
      </w:r>
      <w:proofErr w:type="spellEnd"/>
      <w:r w:rsidRPr="007A6CB7">
        <w:t xml:space="preserve">) is verantwoordelijk </w:t>
      </w:r>
      <w:r w:rsidRPr="007A6CB7" w:rsidR="00731A85">
        <w:t xml:space="preserve">voor </w:t>
      </w:r>
      <w:r w:rsidRPr="007A6CB7">
        <w:t xml:space="preserve">toezicht op het CTER-domein als geheel, waarbij de focus ligt op de kwaliteit van de taakuitvoering van het systeem en niet op individuele casuïstiek. De Autoriteit Persoonsgegevens (AP) is verantwoordelijk voor toezicht op gegevensverwerking onder de Wet politiegegevens (waar registraties van CTER-incidenten onder vallen) en doet aan klachtbemiddeling voor burgers. De AP heeft daarbij de bevoegdheid over individuele casuïstiek te oordelen in het kader van de Wet politiegegevens. </w:t>
      </w:r>
      <w:bookmarkStart w:name="_Hlk213938993" w:id="60"/>
      <w:proofErr w:type="spellStart"/>
      <w:r w:rsidRPr="007A6CB7">
        <w:t>IJenV</w:t>
      </w:r>
      <w:proofErr w:type="spellEnd"/>
      <w:r w:rsidRPr="007A6CB7">
        <w:t xml:space="preserve"> heeft tijdens de verkenning aangegeven dat zij geen wettelijke beperking zien voor het uitoefenen van toezicht op systeemniveau bij de politie. Dit geldt niet voor toezicht op systeemniveau over het gehele CTER-domein</w:t>
      </w:r>
      <w:r w:rsidRPr="007A6CB7">
        <w:rPr>
          <w:rStyle w:val="Voetnootmarkering"/>
        </w:rPr>
        <w:t xml:space="preserve"> </w:t>
      </w:r>
      <w:bookmarkEnd w:id="60"/>
      <w:r w:rsidRPr="007A6CB7">
        <w:rPr>
          <w:rStyle w:val="Voetnootmarkering"/>
        </w:rPr>
        <w:footnoteReference w:id="58"/>
      </w:r>
      <w:r w:rsidRPr="007A6CB7">
        <w:t xml:space="preserve">. In algemene zin heeft </w:t>
      </w:r>
      <w:proofErr w:type="spellStart"/>
      <w:r w:rsidRPr="007A6CB7">
        <w:t>IJenV</w:t>
      </w:r>
      <w:proofErr w:type="spellEnd"/>
      <w:r w:rsidRPr="007A6CB7">
        <w:t xml:space="preserve"> wel aangegeven een eigenstandige informatiepositie te willen ten opzichte van politie. Dit punt komt aan de orde in de komende herziening van de Wet politiegegevens en is daarom buiten beschouwing van deze verkenning. Ook de AP heeft in de verkenning aangegeven geen leemte te zien in het toezicht en voldoende instrumenten in handen te hebben voor het uitoefenen van hun taak. </w:t>
      </w:r>
      <w:bookmarkStart w:name="_Hlk213931178" w:id="62"/>
      <w:r w:rsidRPr="007A6CB7">
        <w:t>Beide toezichthouders hebben slechts beperkte capaciteit en moeten daarom keuzes maken in wat ze wel en niet oppakken bij het vervullen van hun toezichtstaak</w:t>
      </w:r>
      <w:r w:rsidRPr="007A6CB7">
        <w:rPr>
          <w:i/>
          <w:iCs/>
        </w:rPr>
        <w:t>.</w:t>
      </w:r>
      <w:r w:rsidRPr="007A6CB7">
        <w:t xml:space="preserve"> </w:t>
      </w:r>
      <w:bookmarkEnd w:id="62"/>
      <w:r w:rsidRPr="007A6CB7">
        <w:t xml:space="preserve">Het CTER-domein is een complex werkveld. Zowel de Inspectie als AP zijn van mening dat er voldoende organisaties betrokken zijn bij het toezicht in dit domein. Zij geven aan dat het toevoegen van een extra toezichthouder geen extra waarborgen of extra duidelijkheid richting de burger zal opleveren. Zowel zij als andere partijen die zijn gesproken in het kader van de verkenning herkennen zich niet in de vergelijking die de Ombudsman maakt met het toezicht op de inlichtingen- en veiligheidsdiensten. Uit de verkenning is wel naar voren gekomen dat er op het vlak van CTER nog weinig wordt samengewerkt door beide betrokken toezichthouders. Ik zal vanuit mijn ministerie een gesprek faciliteren met deze partijen om, waar mogelijk en passend, de samenwerking op dit onderwerp op te zoeken, met specifieke aandacht voor het vinden van consensus bij overlappende </w:t>
      </w:r>
      <w:r w:rsidRPr="007A6CB7">
        <w:lastRenderedPageBreak/>
        <w:t xml:space="preserve">onderwerpen in toezicht. </w:t>
      </w:r>
      <w:r w:rsidRPr="007A6CB7" w:rsidR="00280AC2">
        <w:t xml:space="preserve">De AP heeft aan het ministerie laten weten dat zij ondertussen bezig zijn met een verkenning naar hoe het inzageproces in het algemeen meer integraal kan worden ingericht voor burgers. </w:t>
      </w:r>
      <w:r w:rsidRPr="007A6CB7">
        <w:t xml:space="preserve">Beide organisaties hebben tot slot aangegeven dat extra aandacht nodig is voor de proportionaliteit en subsidiariteit van gegevensverstrekking van en naar derde landen omdat wanneer informatie eenmaal gedeeld is met het buitenland er weinig tot geen grip meer op is. </w:t>
      </w:r>
    </w:p>
    <w:p w:rsidRPr="007A6CB7" w:rsidR="00EE4C18" w:rsidP="00EE4C18" w:rsidRDefault="00EE4C18" w14:paraId="5BFBB75D" w14:textId="77777777">
      <w:pPr>
        <w:spacing w:line="240" w:lineRule="auto"/>
        <w:rPr>
          <w:color w:val="FF0000"/>
        </w:rPr>
      </w:pPr>
    </w:p>
    <w:p w:rsidRPr="007A6CB7" w:rsidR="00EE4C18" w:rsidP="00EE4C18" w:rsidRDefault="00EE4C18" w14:paraId="62B65269" w14:textId="12A77A91">
      <w:pPr>
        <w:spacing w:line="240" w:lineRule="auto"/>
      </w:pPr>
      <w:r w:rsidRPr="007A6CB7">
        <w:t xml:space="preserve">De Ombudsman en mijn ambtsvoorganger hebben ook in een gesprek over deze materie benadrukt hoe cruciaal bewustwording is binnen betrokken organisaties over de mogelijke impact die maatregelen zoals signaleringen kunnen hebben op het leven van burgers. Juist deze eerste afweging binnen de betrokken taakorganisaties is een belangrijke waarborg binnen het proces in het kader van proportionaliteit en subsidiariteit van maatregelen met uitstralingseffecten richting burgers. Ik vind het van belang om juist daar extra op in te zetten. In het vorige halfjaarbericht heb ik </w:t>
      </w:r>
      <w:proofErr w:type="gramStart"/>
      <w:r w:rsidRPr="007A6CB7">
        <w:t>reeds</w:t>
      </w:r>
      <w:proofErr w:type="gramEnd"/>
      <w:r w:rsidRPr="007A6CB7">
        <w:t xml:space="preserve"> aangegeven dat zowel politie als de </w:t>
      </w:r>
      <w:proofErr w:type="spellStart"/>
      <w:r w:rsidRPr="007A6CB7">
        <w:t>KMar</w:t>
      </w:r>
      <w:proofErr w:type="spellEnd"/>
      <w:r w:rsidRPr="007A6CB7">
        <w:t xml:space="preserve"> inzetten op het vergroten van kennis over dit onderwerp bij medewerkers, bijvoorbeeld middels uitbreiding van periodieke trainingen. Het werkproces voor signaleringen is verder verbeterd, in afstemming met relevante instanties, waardoor een verplichte afweging op het gebied van proportionaliteit en subsidiariteit moet worden gegeven bij de aanvraag van een signalering. Om aanvragers te begeleiden op dit gebied, zijn aanvullende richtlijnen opgesteld die helpen bij het maken van een degelijke onderbouwing. De verwachting is dat met deze verbetering er een zorgvuldigere afweging gemaakt wordt op het gebied van subsidiariteit en proportionaliteit ten aanzien van de rechten van burgers. Eerdere aanpassingen in dit werkproces hebben onder andere geleid tot meer bewustwording over bijvoorbeeld de duur van een signalering en een betere herleidbaarheid van gegevens. Ook zal periodiek bij de politie een analyse gemaakt worden van alle op dat moment lopende art 36.3 signaleringen</w:t>
      </w:r>
      <w:r w:rsidRPr="007A6CB7">
        <w:rPr>
          <w:rStyle w:val="Voetnootmarkering"/>
        </w:rPr>
        <w:footnoteReference w:id="59"/>
      </w:r>
      <w:r w:rsidRPr="007A6CB7">
        <w:t xml:space="preserve">. Hoewel deze analyse arbeidsintensief is, kan deze van grote meerwaarde zijn omdat het kan dienen als input voor interne kwaliteitsmonitoring over signaleringen. Daarnaast hebben de politie en </w:t>
      </w:r>
      <w:proofErr w:type="spellStart"/>
      <w:r w:rsidRPr="007A6CB7">
        <w:t>KMar</w:t>
      </w:r>
      <w:proofErr w:type="spellEnd"/>
      <w:r w:rsidRPr="007A6CB7">
        <w:t xml:space="preserve"> een kwaliteitsoverleg her-ingesteld, waarin wordt gesproken over vastlegging van artikel 10 gegevens, zoals het themaregister CTER</w:t>
      </w:r>
      <w:r w:rsidRPr="007A6CB7">
        <w:rPr>
          <w:rStyle w:val="Voetnootmarkering"/>
        </w:rPr>
        <w:footnoteReference w:id="60"/>
      </w:r>
      <w:r w:rsidRPr="007A6CB7">
        <w:t>, het werkproces en opschoningen. Tenslotte vind ik het van belang om te benadrukken dat ook per individuele casus door het Openbaar Ministerie wordt afgewogen op grond van de voor hen geldende wetgeving of informatie-uitwisseling met het buitenland of een internationale signalering noodzakelijk en proportioneel wordt geacht.</w:t>
      </w:r>
    </w:p>
    <w:p w:rsidRPr="007A6CB7" w:rsidR="00EE4C18" w:rsidP="00EE4C18" w:rsidRDefault="00EE4C18" w14:paraId="07846801" w14:textId="77777777">
      <w:pPr>
        <w:spacing w:line="240" w:lineRule="auto"/>
      </w:pPr>
    </w:p>
    <w:p w:rsidRPr="007A6CB7" w:rsidR="00CF2E43" w:rsidP="00EE4C18" w:rsidRDefault="00EE4C18" w14:paraId="0637F052" w14:textId="721AB283">
      <w:pPr>
        <w:spacing w:line="240" w:lineRule="auto"/>
      </w:pPr>
      <w:r w:rsidRPr="007A6CB7">
        <w:t xml:space="preserve">Zoals ook toegelicht in de beleidsreactie hecht ik er waarde aan om te benadrukken dat de werkwijze ten opzichte van de start van de opkomst van CTER als fenomeen is aangepast, geprofessionaliseerd en waarborgen ten aanzien van deze processen zijn verbeterd. Ik heb er vertrouwen in dat met de eerdere en sinds het onderzoek van de Ombudsman genomen maatregelen er voldoende waarborgen in het proces zijn ingebouwd. Hiermee beschouw ik de motie van het lid El </w:t>
      </w:r>
      <w:proofErr w:type="spellStart"/>
      <w:r w:rsidRPr="007A6CB7">
        <w:t>Abassi</w:t>
      </w:r>
      <w:proofErr w:type="spellEnd"/>
      <w:r w:rsidRPr="007A6CB7">
        <w:t xml:space="preserve"> als afgedaan</w:t>
      </w:r>
      <w:r w:rsidRPr="007A6CB7">
        <w:rPr>
          <w:rStyle w:val="Voetnootmarkering"/>
        </w:rPr>
        <w:footnoteReference w:id="61"/>
      </w:r>
      <w:r w:rsidRPr="007A6CB7">
        <w:t xml:space="preserve">. </w:t>
      </w:r>
    </w:p>
    <w:p w:rsidRPr="007A6CB7" w:rsidR="00FC5E24" w:rsidP="00FC5E24" w:rsidRDefault="00FC5E24" w14:paraId="123B7F09" w14:textId="186D374F">
      <w:pPr>
        <w:pStyle w:val="Kop2"/>
      </w:pPr>
      <w:bookmarkStart w:name="_Toc216278131" w:id="63"/>
      <w:bookmarkStart w:name="_Hlk213939872" w:id="64"/>
      <w:r w:rsidRPr="007A6CB7">
        <w:lastRenderedPageBreak/>
        <w:t xml:space="preserve">Motie </w:t>
      </w:r>
      <w:proofErr w:type="gramStart"/>
      <w:r w:rsidRPr="007A6CB7">
        <w:t>inzake</w:t>
      </w:r>
      <w:proofErr w:type="gramEnd"/>
      <w:r w:rsidRPr="007A6CB7">
        <w:t xml:space="preserve"> forensische geneeskunde</w:t>
      </w:r>
      <w:bookmarkEnd w:id="63"/>
      <w:r w:rsidRPr="007A6CB7">
        <w:t xml:space="preserve"> </w:t>
      </w:r>
    </w:p>
    <w:bookmarkEnd w:id="64"/>
    <w:p w:rsidRPr="007A6CB7" w:rsidR="00521942" w:rsidP="00521942" w:rsidRDefault="00521942" w14:paraId="7A66D8DA" w14:textId="77777777">
      <w:pPr>
        <w:spacing w:line="240" w:lineRule="auto"/>
      </w:pPr>
      <w:r w:rsidRPr="007A6CB7">
        <w:t>De motie van de leden Van Nispen en Mutluer</w:t>
      </w:r>
      <w:r w:rsidRPr="007A6CB7">
        <w:rPr>
          <w:rStyle w:val="Voetnootmarkering"/>
        </w:rPr>
        <w:footnoteReference w:id="62"/>
      </w:r>
      <w:r w:rsidRPr="007A6CB7">
        <w:t xml:space="preserve"> verzoekt de regering “ervoor te zorgen dat de drie pijlers van de forensische geneeskunde bij elkaar gehouden worden”. De motie spreekt over de volgende drie pijlers: forensisch medisch onderzoek, lijkschouw en medische arrestantenzorg.  </w:t>
      </w:r>
    </w:p>
    <w:p w:rsidRPr="007A6CB7" w:rsidR="00521942" w:rsidP="00521942" w:rsidRDefault="00521942" w14:paraId="569A29B1" w14:textId="77777777">
      <w:pPr>
        <w:spacing w:line="240" w:lineRule="auto"/>
      </w:pPr>
    </w:p>
    <w:p w:rsidRPr="007A6CB7" w:rsidR="00521942" w:rsidP="00521942" w:rsidRDefault="00521942" w14:paraId="733E46EF" w14:textId="77777777">
      <w:r w:rsidRPr="007A6CB7">
        <w:t xml:space="preserve">Het is belangrijk om aan te geven dat forensisch medisch onderzoek en lijkschouw enerzijds en medische arrestantenzorg anderzijds naar aard en doel heel verschillende functies in het Nederlandse strafrechtelijke stelsel zijn. Forensisch medisch onderzoek en lijkschouw zijn gericht op de waarheidsvinding in het strafrechtelijke onderzoek. De medische arrestantenzorg dient een ander doel: het belang van de gezondheid van de arrestant in de politiecel. </w:t>
      </w:r>
    </w:p>
    <w:p w:rsidRPr="007A6CB7" w:rsidR="00521942" w:rsidP="00521942" w:rsidRDefault="00521942" w14:paraId="373444A6" w14:textId="77777777"/>
    <w:p w:rsidRPr="007A6CB7" w:rsidR="00521942" w:rsidP="00521942" w:rsidRDefault="00521942" w14:paraId="6B3A57AA" w14:textId="77777777">
      <w:pPr>
        <w:spacing w:line="240" w:lineRule="auto"/>
      </w:pPr>
      <w:proofErr w:type="gramStart"/>
      <w:r w:rsidRPr="007A6CB7">
        <w:t>Conform</w:t>
      </w:r>
      <w:proofErr w:type="gramEnd"/>
      <w:r w:rsidRPr="007A6CB7">
        <w:t xml:space="preserve"> het advies van de commissie Hoes ziet het kabinet de medische arrestantenzorg als een private taak vanuit een publieke verantwoordelijkheid.</w:t>
      </w:r>
      <w:r w:rsidRPr="007A6CB7">
        <w:rPr>
          <w:rStyle w:val="Voetnootmarkering"/>
        </w:rPr>
        <w:footnoteReference w:id="63"/>
      </w:r>
      <w:r w:rsidRPr="007A6CB7">
        <w:t xml:space="preserve"> Er zijn voldoende aanbieders om van een markt te kunnen spreken en daarmee bestaat er op grond van de Aanbestedingswet een verplichting om de medische arrestantenzorg aan te besteden. De aanbestedingsregels zorgen er juist voor dat de kwaliteit kan worden gewaarborgd en dat er een breder beroep kan worden gedaan op de arbeidsmarkt. </w:t>
      </w:r>
    </w:p>
    <w:p w:rsidRPr="007A6CB7" w:rsidR="00521942" w:rsidP="00521942" w:rsidRDefault="00521942" w14:paraId="3841F9E9" w14:textId="77777777">
      <w:pPr>
        <w:spacing w:line="240" w:lineRule="auto"/>
      </w:pPr>
    </w:p>
    <w:p w:rsidRPr="007A6CB7" w:rsidR="00521942" w:rsidP="00521942" w:rsidRDefault="00521942" w14:paraId="561D41E0" w14:textId="594804F8">
      <w:pPr>
        <w:spacing w:line="240" w:lineRule="auto"/>
      </w:pPr>
      <w:r w:rsidRPr="007A6CB7">
        <w:t xml:space="preserve">In </w:t>
      </w:r>
      <w:r w:rsidRPr="007A6CB7">
        <w:rPr>
          <w:rFonts w:cs="Times New Roman"/>
        </w:rPr>
        <w:t xml:space="preserve">maart 2025 heeft de politie het voorgenomen gunningsbesluit bekend gemaakt in het kader van de aanbesteding van de medische arrestantenzorg. In uitspraken in juli en december 2025 heeft de rechter uitgesproken dat dit gunningsbesluit in stand kan blijven. </w:t>
      </w:r>
    </w:p>
    <w:p w:rsidRPr="007A6CB7" w:rsidR="00521942" w:rsidP="00521942" w:rsidRDefault="00521942" w14:paraId="3B750D3C" w14:textId="77777777">
      <w:pPr>
        <w:spacing w:line="240" w:lineRule="auto"/>
      </w:pPr>
    </w:p>
    <w:p w:rsidRPr="007A6CB7" w:rsidR="00521942" w:rsidP="00521942" w:rsidRDefault="00521942" w14:paraId="14898EFE" w14:textId="77777777">
      <w:pPr>
        <w:spacing w:line="240" w:lineRule="auto"/>
      </w:pPr>
      <w:r w:rsidRPr="007A6CB7">
        <w:t>Momenteel wordt medische arrestantenzorg door forensisch artsen, basisartsen, huisartsen en verpleegkundigen uitgevoerd. Dit blijft ook na de aanbesteding mogelijk. Dus hoewel de medische arrestantenzorg niet exclusief is voorbehouden aan forensisch artsen blijft het mogelijk dat een aanbieder forensisch artsen inzet om medische arrestantenzorg te verlenen. Hiermee sluit de motie aan bij bestaand beleid en beschouw ik de motie als afgedaan.</w:t>
      </w:r>
    </w:p>
    <w:p w:rsidRPr="007A6CB7" w:rsidR="00263736" w:rsidP="00BD64D2" w:rsidRDefault="002A71CC" w14:paraId="363B610C" w14:textId="56340C15">
      <w:pPr>
        <w:pStyle w:val="Kop2"/>
      </w:pPr>
      <w:bookmarkStart w:name="_Toc216278132" w:id="65"/>
      <w:r w:rsidRPr="007A6CB7">
        <w:t>R</w:t>
      </w:r>
      <w:r w:rsidRPr="007A6CB7" w:rsidR="00025848">
        <w:t>apportage adviescommissie LO&amp;LX</w:t>
      </w:r>
      <w:bookmarkEnd w:id="65"/>
      <w:r w:rsidRPr="007A6CB7" w:rsidR="00FC5E24">
        <w:t xml:space="preserve"> </w:t>
      </w:r>
    </w:p>
    <w:p w:rsidRPr="007A6CB7" w:rsidR="00D2680A" w:rsidP="00D2680A" w:rsidRDefault="00D2680A" w14:paraId="2CF4D162" w14:textId="77777777">
      <w:r w:rsidRPr="007A6CB7">
        <w:t>De adviescommissie LO&amp;LX</w:t>
      </w:r>
      <w:r w:rsidRPr="007A6CB7">
        <w:rPr>
          <w:rStyle w:val="Voetnootmarkering"/>
        </w:rPr>
        <w:footnoteReference w:id="64"/>
      </w:r>
      <w:r w:rsidRPr="007A6CB7">
        <w:t xml:space="preserve"> onder leiding van dhr. Schneiders heeft sinds 1 november 2024 in opdracht van de korpschef de doorontwikkeling van de landelijke eenheden gevolgd. Op verzoek van de Kamer werd hierbij ook voorzien in rapportages die met de Kamer worden gedeeld. De rapportage is als bijlage 8 bij dit halfjaarbericht gevoegd. De doorontwikkeling van de twee landelijke eenheden gaat, aan de hand van twee veranderagenda’s, de afgelopen maanden de goede kant op. De commissie benoemt echter ook het risico dat de doorontwikkeling vanaf 2026 onder druk komt te staan van maatregelen die genomen moeten worden om de begroting van de politie in 2026 en verder sluitend te krijgen.</w:t>
      </w:r>
    </w:p>
    <w:p w:rsidRPr="007A6CB7" w:rsidR="00D2680A" w:rsidP="00D2680A" w:rsidRDefault="00D2680A" w14:paraId="386C583C" w14:textId="77777777"/>
    <w:p w:rsidRPr="007A6CB7" w:rsidR="00D2680A" w:rsidP="00D2680A" w:rsidRDefault="00D2680A" w14:paraId="47116DC0" w14:textId="77777777">
      <w:r w:rsidRPr="007A6CB7">
        <w:t>Na het verschijnen van de eerste rapportage</w:t>
      </w:r>
      <w:r w:rsidRPr="007A6CB7">
        <w:rPr>
          <w:rStyle w:val="Voetnootmarkering"/>
        </w:rPr>
        <w:footnoteReference w:id="65"/>
      </w:r>
      <w:r w:rsidRPr="007A6CB7">
        <w:t xml:space="preserve"> werd duidelijk dat er in het kader van het sluitend krijgen van de politiebegroting 2026 ook maatregelen worden </w:t>
      </w:r>
      <w:r w:rsidRPr="007A6CB7">
        <w:lastRenderedPageBreak/>
        <w:t xml:space="preserve">genomen die (de doorontwikkeling van) de landelijke eenheden raken. Beide landelijke eenheden leveren net als de regionale eenheden een bijdrage aan het oplossen van het tekort op de begroting voor 2026 door hun bezetting te beperken, wat voor de LO en vooral de LX betekent dat zij minder kunnen groeien dan oorspronkelijk beoogd. Daarnaast ondervinden de beide eenheden effect van de taakstelling bij het Politiedienstencentrum (PDC). Een fors aantal veranderopgaven vergt in meer of mindere mate extra inzet van het PDC, bijvoorbeeld bij herinrichting van domeinen of de invulling van nieuwe landelijke taken. De commissie constateert daarbij dat de inzet van speciaal voor de doorontwikkeling ingerichte capaciteit bij het PDC hapert en dringt aan op het geven van zekerheid over de mate waarin de eenheden in 2026 op ondersteuning vanuit het PDC kunnen rekenen. De korpschef heeft laten weten dat er niet zal worden getornd aan de capaciteit die bij het PDC is ingericht voor LX en LO en dat afspraken worden gemaakt over de gewenste dienstverlening.  </w:t>
      </w:r>
    </w:p>
    <w:p w:rsidRPr="007A6CB7" w:rsidR="00D2680A" w:rsidP="00D2680A" w:rsidRDefault="00D2680A" w14:paraId="3FABB8B2" w14:textId="77777777"/>
    <w:p w:rsidRPr="007A6CB7" w:rsidR="00D2680A" w:rsidP="00D2680A" w:rsidRDefault="00D2680A" w14:paraId="02AC2DBA" w14:textId="6219DE64">
      <w:r w:rsidRPr="007A6CB7">
        <w:t>Ik vind het goed om, zoals de commissie dat ook benoemt in haar rapportage, te erkennen dat er ontzettend veel werk is verzet om twee toekomstbestendige eenheden met een nieuwe werkcultuur en nieuw leiderschap te vormen, zowel in de betrokken eenheden als elders i</w:t>
      </w:r>
      <w:r w:rsidRPr="007A6CB7" w:rsidR="00025848">
        <w:t>n</w:t>
      </w:r>
      <w:r w:rsidRPr="007A6CB7">
        <w:t xml:space="preserve"> het korps. De eenheden hebben veranderagenda’s opgesteld om prioritering te geven aan de veranderopgaven en om in te zetten op een bestendige verbetering van werkcultuur en leiderschap. De afgelopen periode zijn mooie resultaten behaald, bijvoorbeeld het afronden van het ontwerp voor de landelijke voorziening Cybercrime van het domein High Tech </w:t>
      </w:r>
      <w:proofErr w:type="spellStart"/>
      <w:r w:rsidRPr="007A6CB7">
        <w:t>and</w:t>
      </w:r>
      <w:proofErr w:type="spellEnd"/>
      <w:r w:rsidRPr="007A6CB7">
        <w:t xml:space="preserve"> </w:t>
      </w:r>
      <w:proofErr w:type="spellStart"/>
      <w:r w:rsidRPr="007A6CB7">
        <w:t>Environmental</w:t>
      </w:r>
      <w:proofErr w:type="spellEnd"/>
      <w:r w:rsidRPr="007A6CB7">
        <w:t xml:space="preserve"> Crime of de vormgeving van de nieuwe organisatie binnen het domein Bewaken, Beveiligen &amp; Beschermen, die in samenspraak met medewerkers tot stand is gekomen. Zoals de commissie echter terecht aangeeft in haar rapport, kunnen de maatregelen die binnen het korps genomen moeten worden in het kader van de financiële opgave, ook impact hebben op de veranderagenda’s van de LO en de LX, en groei die eerder was voorzien. Ik begrijp dat dit hard kan aankomen bij al die mensen die zich inzetten om deze transitie mogelijk te maken. Naar aanleiding van de rapportage heeft de korpsleiding aangegeven nogmaals te kijken of de veranderopgaven bij de landelijke eenheden de juiste priortering hebben gekregen binnen de bredere afweging die wordt gemaakt binnen het korps. </w:t>
      </w:r>
    </w:p>
    <w:p w:rsidRPr="007A6CB7" w:rsidR="00D2680A" w:rsidP="00D2680A" w:rsidRDefault="00D2680A" w14:paraId="6E21A79D" w14:textId="77777777"/>
    <w:p w:rsidRPr="007A6CB7" w:rsidR="00D2680A" w:rsidP="00D2680A" w:rsidRDefault="00D2680A" w14:paraId="2262FD48" w14:textId="77777777">
      <w:r w:rsidRPr="007A6CB7">
        <w:t xml:space="preserve">De korpschef en ik zijn in gesprek over keuzes voor de langere termijn, uiteraard in afstemming met de gezagen. Ik vind het van belang dat de commissie de beweging ondersteunt die de korpschef in gang heeft gezet waar het gaat om het formuleren van een nieuwe organisatievisie (eerder benoemd in de hoofdbrief) en de bereidheid om fundamentele keuzes te maken als het nodig is. De commissie roept op, in geval blijkt dat het meerjarige financiële kader daartoe noodzaakt, dat het beter is om óók voor de twee landelijke eenheden fundamentele keuzes te maken vanuit het vak en niet vast te blijven houden aan de doorontwikkeling </w:t>
      </w:r>
      <w:proofErr w:type="gramStart"/>
      <w:r w:rsidRPr="007A6CB7">
        <w:t>conform</w:t>
      </w:r>
      <w:proofErr w:type="gramEnd"/>
      <w:r w:rsidRPr="007A6CB7">
        <w:t xml:space="preserve"> de oorspronkelijke plannen. Ik ben het daarmee eens.</w:t>
      </w:r>
    </w:p>
    <w:p w:rsidRPr="007A6CB7" w:rsidR="00D2680A" w:rsidP="00D2680A" w:rsidRDefault="00D2680A" w14:paraId="7C3A4667" w14:textId="77777777"/>
    <w:p w:rsidRPr="007A6CB7" w:rsidR="00D2680A" w:rsidP="003258E1" w:rsidRDefault="00D2680A" w14:paraId="18A1926E" w14:textId="617935C4">
      <w:r w:rsidRPr="007A6CB7">
        <w:t xml:space="preserve">De commissie heeft het afgelopen jaar een zeer waardevolle bijdrage geleverd aan het verder brengen van deze transitie. Ik wil, mede namens de korpschef en betrokken politiechefs, mijn diepe waardering uitspreken voor hun inzet. Zoals de commissie terecht aangeeft, is de transitie een proces van lange adem die op alle </w:t>
      </w:r>
      <w:r w:rsidRPr="007A6CB7">
        <w:lastRenderedPageBreak/>
        <w:t xml:space="preserve">niveaus om aandacht blijft vragen. De doorontwikkeling van de landelijke eenheden zal daarom ook de komende jaren onderwerp van gesprek blijven tussen de korpschef en mijzelf. </w:t>
      </w:r>
    </w:p>
    <w:p w:rsidRPr="007A6CB7" w:rsidR="00FC5E24" w:rsidP="00FC5E24" w:rsidRDefault="002A33AD" w14:paraId="212400CD" w14:textId="2F41115E">
      <w:pPr>
        <w:pStyle w:val="Kop2"/>
      </w:pPr>
      <w:bookmarkStart w:name="_Toc216278133" w:id="66"/>
      <w:r w:rsidRPr="007A6CB7">
        <w:t xml:space="preserve">Toezegging </w:t>
      </w:r>
      <w:proofErr w:type="gramStart"/>
      <w:r w:rsidRPr="007A6CB7">
        <w:t>inzake</w:t>
      </w:r>
      <w:proofErr w:type="gramEnd"/>
      <w:r w:rsidRPr="007A6CB7">
        <w:t xml:space="preserve"> </w:t>
      </w:r>
      <w:r w:rsidRPr="007A6CB7" w:rsidR="00A96F55">
        <w:t>visie</w:t>
      </w:r>
      <w:r w:rsidRPr="007A6CB7" w:rsidR="00FC5E24">
        <w:t xml:space="preserve"> </w:t>
      </w:r>
      <w:r w:rsidRPr="007A6CB7">
        <w:t>o</w:t>
      </w:r>
      <w:r w:rsidRPr="007A6CB7" w:rsidR="00FC5E24">
        <w:t>p de politiefunctie</w:t>
      </w:r>
      <w:bookmarkEnd w:id="66"/>
    </w:p>
    <w:p w:rsidRPr="007A6CB7" w:rsidR="00025848" w:rsidP="00A96F55" w:rsidRDefault="00A96F55" w14:paraId="5149F00C" w14:textId="7B2EC4B1">
      <w:r w:rsidRPr="007A6CB7">
        <w:t xml:space="preserve">Uw Kamer is eerder meegenomen in het </w:t>
      </w:r>
      <w:proofErr w:type="spellStart"/>
      <w:r w:rsidRPr="007A6CB7">
        <w:t>whitepaper</w:t>
      </w:r>
      <w:proofErr w:type="spellEnd"/>
      <w:r w:rsidRPr="007A6CB7">
        <w:t xml:space="preserve"> politiefunctie en daaruit volgende activiteiten die voortkomen uit de bijbehorende </w:t>
      </w:r>
      <w:proofErr w:type="gramStart"/>
      <w:r w:rsidRPr="007A6CB7">
        <w:t>ontwikkelagenda .</w:t>
      </w:r>
      <w:proofErr w:type="gramEnd"/>
      <w:r w:rsidRPr="007A6CB7">
        <w:t xml:space="preserve"> Trajecten voortkomend uit de visie op de politiefunctie zijn strategisch van aard en worden daarom betrokken bij de gesprekken die worden gevoerd in het LOVP over meer fundamentele keuzes waar de politie voor staat. Hierover zal, indien opportuun, uw Kamer in de halfjaarberichten politie worden geïnformeerd. Hiermee wordt uitvoering gegeven aan de toezegging om periodiek terug te komen op de politiefunctie</w:t>
      </w:r>
      <w:r w:rsidRPr="007A6CB7" w:rsidR="00154E5D">
        <w:rPr>
          <w:rStyle w:val="Voetnootmarkering"/>
        </w:rPr>
        <w:footnoteReference w:id="66"/>
      </w:r>
      <w:r w:rsidRPr="007A6CB7">
        <w:t xml:space="preserve"> en beschouw ik deze als afgedaan.</w:t>
      </w:r>
    </w:p>
    <w:p w:rsidRPr="007A6CB7" w:rsidR="00FC5E24" w:rsidP="00FC5E24" w:rsidRDefault="00FC5E24" w14:paraId="033BF489" w14:textId="0D3F8E41">
      <w:pPr>
        <w:pStyle w:val="Kop2"/>
      </w:pPr>
      <w:bookmarkStart w:name="_Toc216278134" w:id="67"/>
      <w:r w:rsidRPr="007A6CB7">
        <w:t>Herzieningstraject wet wapens en munitie</w:t>
      </w:r>
      <w:bookmarkEnd w:id="67"/>
    </w:p>
    <w:p w:rsidRPr="007A6CB7" w:rsidR="00EE58AC" w:rsidP="00EE58AC" w:rsidRDefault="00EE58AC" w14:paraId="60CC3E92" w14:textId="27E685BE">
      <w:r w:rsidRPr="007A6CB7">
        <w:t>Mijn voorganger heeft op 4 juli 2023</w:t>
      </w:r>
      <w:r w:rsidRPr="007A6CB7">
        <w:rPr>
          <w:rStyle w:val="Voetnootmarkering"/>
        </w:rPr>
        <w:footnoteReference w:id="67"/>
      </w:r>
      <w:r w:rsidRPr="007A6CB7">
        <w:t xml:space="preserve"> gereageerd op het eindrapport ‘Ringen rond de Roos’ opgesteld door commissie Wet wapens en munitie</w:t>
      </w:r>
      <w:r w:rsidRPr="007A6CB7" w:rsidR="00EE4C18">
        <w:t xml:space="preserve"> (</w:t>
      </w:r>
      <w:proofErr w:type="spellStart"/>
      <w:r w:rsidRPr="007A6CB7" w:rsidR="00EE4C18">
        <w:t>Wwm</w:t>
      </w:r>
      <w:proofErr w:type="spellEnd"/>
      <w:r w:rsidRPr="007A6CB7" w:rsidR="00EE4C18">
        <w:t>)</w:t>
      </w:r>
      <w:r w:rsidRPr="007A6CB7">
        <w:t xml:space="preserve">, geleid door de heer </w:t>
      </w:r>
      <w:r w:rsidRPr="007A6CB7" w:rsidR="00EE4C18">
        <w:t>v</w:t>
      </w:r>
      <w:r w:rsidRPr="007A6CB7">
        <w:t xml:space="preserve">an Dam. In deze brief is aangegeven dat de commissie </w:t>
      </w:r>
      <w:proofErr w:type="spellStart"/>
      <w:r w:rsidRPr="007A6CB7">
        <w:t>Wwm</w:t>
      </w:r>
      <w:proofErr w:type="spellEnd"/>
      <w:r w:rsidRPr="007A6CB7">
        <w:t>, gelet op de complexiteit van het onderwerp en de beperkte beschikbare tijd, de verschillende thema’s niet volledig heeft kunnen uitwerken. Op 7 december 2023</w:t>
      </w:r>
      <w:r w:rsidRPr="007A6CB7">
        <w:rPr>
          <w:rStyle w:val="Voetnootmarkering"/>
        </w:rPr>
        <w:footnoteReference w:id="68"/>
      </w:r>
      <w:r w:rsidRPr="007A6CB7">
        <w:t xml:space="preserve"> is uw Kamer geïnformeerd dat mijn ministerie de door de Commissie Wet wapens en munitie geconstateerde knelpunten en adviezen nader uitwerkt. Uit deze analyses bleek dat er achter de knelpunten fundamentele vraagstukken zitten die nader moeten worden onderzocht en waarvoor beleidskeuzes moeten worden gemaakt. Op basis van deze bevindingen is besloten dat deze fundamentele vraagstukken eerst moeten worden uitgewerkt aan de hand van het Beleidskompas, voordat met de knelpunten op een goed onderbouwde en beleidsverantwoordelijke wijze aan de slag kan worden gegaan.</w:t>
      </w:r>
    </w:p>
    <w:p w:rsidRPr="007A6CB7" w:rsidR="00EE58AC" w:rsidP="00EE58AC" w:rsidRDefault="00EE58AC" w14:paraId="584C7A77" w14:textId="77777777"/>
    <w:p w:rsidRPr="007A6CB7" w:rsidR="00EE58AC" w:rsidP="00EE58AC" w:rsidRDefault="00EE58AC" w14:paraId="1689400F" w14:textId="77777777">
      <w:r w:rsidRPr="007A6CB7">
        <w:t xml:space="preserve">Het huidige stelsel van legaal wapen- en munitiebezit bestaat uit samenhangende regels en verplichtingen voor vergunninghouders en betrokken overheden. Wijzigingen binnen dit stelsel dienen in samenhang te worden bezien, met als doel een proportioneel en toekomstbestendig stelsel en het beperken van de risico’s voor de veiligheid van de samenleving. Daarbij is zorgvuldigheid van groot belang bij de ontwikkeling van een nieuwe Wet wapens en munitie. </w:t>
      </w:r>
    </w:p>
    <w:p w:rsidRPr="007A6CB7" w:rsidR="00EE4C18" w:rsidP="00EE58AC" w:rsidRDefault="00EE4C18" w14:paraId="56F73036" w14:textId="77777777"/>
    <w:p w:rsidRPr="007A6CB7" w:rsidR="00EE58AC" w:rsidP="00EE58AC" w:rsidRDefault="00EE58AC" w14:paraId="198A1174" w14:textId="51A58BF6">
      <w:r w:rsidRPr="007A6CB7">
        <w:t xml:space="preserve">De nadere uitwerking binnen de kaders van het Beleidskompas vindt momenteel plaats. De uitgebrachte adviezen van de commissie </w:t>
      </w:r>
      <w:proofErr w:type="spellStart"/>
      <w:r w:rsidRPr="007A6CB7">
        <w:t>Wwm</w:t>
      </w:r>
      <w:proofErr w:type="spellEnd"/>
      <w:r w:rsidRPr="007A6CB7">
        <w:t xml:space="preserve"> worden hierin betrokken. Alle bestaande knelpunten in het vergunningstelsel zullen in kaart worden gebracht (inclusief de knelpunten uit het rapport ‘Ringen rond de Roos’) en er zal gekeken worden naar toekomstbestendige oplossingen voor deze knelpunten. Wijzigingen binnen dit stelsel worden in samenhang bezien. In het voorjaar van 2026 zal ik de Tweede Kamer informeren over deze uitwerking. Hierna zal de voorbereiding voor een wetsvoorstel starten.</w:t>
      </w:r>
    </w:p>
    <w:p w:rsidRPr="007A6CB7" w:rsidR="004400F8" w:rsidP="00FC5E24" w:rsidRDefault="00FC5E24" w14:paraId="20F300F2" w14:textId="3ED93D49">
      <w:pPr>
        <w:pStyle w:val="Kop2"/>
      </w:pPr>
      <w:bookmarkStart w:name="_Toc216278135" w:id="68"/>
      <w:r w:rsidRPr="007A6CB7">
        <w:t>Reactie rapport Aanhoudend dienstbaar</w:t>
      </w:r>
      <w:bookmarkEnd w:id="68"/>
    </w:p>
    <w:p w:rsidRPr="007A6CB7" w:rsidR="009A260C" w:rsidP="009A260C" w:rsidRDefault="009A260C" w14:paraId="3D9A7780" w14:textId="4E3A3598">
      <w:r w:rsidRPr="007A6CB7">
        <w:lastRenderedPageBreak/>
        <w:t xml:space="preserve">Op 15 mei jl. heb ik het </w:t>
      </w:r>
      <w:proofErr w:type="gramStart"/>
      <w:r w:rsidRPr="007A6CB7">
        <w:t>WODC rapport</w:t>
      </w:r>
      <w:proofErr w:type="gramEnd"/>
      <w:r w:rsidRPr="007A6CB7">
        <w:t xml:space="preserve"> Aanhoudend dienstbaar</w:t>
      </w:r>
      <w:r w:rsidRPr="007A6CB7" w:rsidR="00EE4590">
        <w:rPr>
          <w:rStyle w:val="Voetnootmarkering"/>
        </w:rPr>
        <w:footnoteReference w:id="69"/>
      </w:r>
      <w:r w:rsidRPr="007A6CB7">
        <w:t xml:space="preserve"> naar uw Kamer gestuurd. Het rapport biedt inzicht in de aard van de inzetten en werkzaamheden die Aanhoudings- en ondersteuningsteams respectievelijk Ondersteuningsgroepen in het jaar 2023 in Nederland hebben verricht. </w:t>
      </w:r>
    </w:p>
    <w:p w:rsidRPr="007A6CB7" w:rsidR="009A260C" w:rsidP="009A260C" w:rsidRDefault="009A260C" w14:paraId="5E3EA1E2" w14:textId="77777777"/>
    <w:p w:rsidRPr="007A6CB7" w:rsidR="009A260C" w:rsidP="009A260C" w:rsidRDefault="009A260C" w14:paraId="69E73ADF" w14:textId="4D30A26A">
      <w:r w:rsidRPr="007A6CB7">
        <w:t xml:space="preserve">Omdat voor 2002 Aanhoudings- en ondersteuningsteams (‘arrestatieteams’) alleen mochten worden ingezet om vuurwapengevaarlijke verdachten aan te houden, werden aanhoudingen die te risicovol werden geacht voor de basispolitiezorg, verricht door Aanhoudingseenheden van de Mobiele Eenheid (ME). Deze Aanhoudingseenheden traden dan buiten ME-verband op en werden intern bij de politie aangeduid als zogenoemde ‘Ondersteuningsgroepen’. De onderzoekers hebben vastgesteld dat deze groepen door de jaren heen zowel qua verschijningsvorm en uitrusting maar met name wanneer indringende werkwijzen werden toegepast, meer zijn gaan lijken op Aanhoudings- en ondersteuningsteams die thans deel uitmaken van de Dienst Speciale Interventies (DSI). Overigens wordt in het rapport aangegeven dat de Ondersteuningsgroepen hun taak professioneel uitvoeren. </w:t>
      </w:r>
    </w:p>
    <w:p w:rsidRPr="007A6CB7" w:rsidR="009A260C" w:rsidP="009A260C" w:rsidRDefault="009A260C" w14:paraId="73FC7FBE" w14:textId="77777777"/>
    <w:p w:rsidRPr="007A6CB7" w:rsidR="009A260C" w:rsidP="009A260C" w:rsidRDefault="009A260C" w14:paraId="6397482D" w14:textId="70D9C4E7">
      <w:r w:rsidRPr="007A6CB7">
        <w:t>Het optreden van deze groepen kan een grote impact hebben op verdachten en burgers. Daarom moet de beslissing om deze groepen in te zetten, zijn voorzien van daarbij passende waarborgen. Bij de behandeling van enkele strafzaken is dit onderwerp van debat geweest.</w:t>
      </w:r>
    </w:p>
    <w:p w:rsidRPr="007A6CB7" w:rsidR="009A260C" w:rsidP="009A260C" w:rsidRDefault="009A260C" w14:paraId="24EA87FE" w14:textId="77777777"/>
    <w:p w:rsidRPr="007A6CB7" w:rsidR="00280AC2" w:rsidP="009A260C" w:rsidRDefault="009A260C" w14:paraId="7F215C2C" w14:textId="582D147A">
      <w:r w:rsidRPr="007A6CB7">
        <w:t xml:space="preserve">Op basis van de conclusies en aanbevelingen uit het rapport Aanhoudend Dienstbaar zal het komende jaar beleidsmatig worden gekeken naar de plaats van de Ondersteuningsgroep binnen het geweldmonopolie </w:t>
      </w:r>
      <w:proofErr w:type="gramStart"/>
      <w:r w:rsidRPr="007A6CB7">
        <w:t>alsmede</w:t>
      </w:r>
      <w:proofErr w:type="gramEnd"/>
      <w:r w:rsidRPr="007A6CB7">
        <w:t xml:space="preserve"> de waarborgen die lichtvaardige inzet moeten voorkomen. Mijn departement doet dat in nauwe samenwerking met de politie. Over de uitkomst daarvan zal ik uw Kamer berichten.</w:t>
      </w:r>
    </w:p>
    <w:p w:rsidRPr="007A6CB7" w:rsidR="00280AC2" w:rsidP="00DE373E" w:rsidRDefault="00280AC2" w14:paraId="7853C1CF" w14:textId="77777777">
      <w:pPr>
        <w:pStyle w:val="Kop2"/>
        <w:rPr>
          <w:b w:val="0"/>
        </w:rPr>
      </w:pPr>
      <w:bookmarkStart w:name="_Toc216278136" w:id="69"/>
      <w:r w:rsidRPr="007A6CB7">
        <w:t>Onderzoek Nederlandse Arbeidsinspectie in relatie tot C2000</w:t>
      </w:r>
      <w:bookmarkEnd w:id="69"/>
    </w:p>
    <w:p w:rsidRPr="007A6CB7" w:rsidR="00280AC2" w:rsidP="00280AC2" w:rsidRDefault="00280AC2" w14:paraId="403F1E6E" w14:textId="77777777">
      <w:r w:rsidRPr="007A6CB7">
        <w:t xml:space="preserve">In maart 2023 hebben de politievakbonden in een gezamenlijke brief aan het Ministerie van Justitie en Veiligheid hun zorgen geuit over voorvallen waarbij agenten geen contact konden krijgen met collega’s en met de meldkamer. Daaropvolgend hebben de politievakbonden een klacht ingediend bij de Nederlandse Arbeidsinspectie over C2000. Naar aanleiding hiervan is de NLA gestart met een onderzoek naar C2000 in relatie tot de arbeidsveiligheid voor agenten. Op basis van dit onderzoek heeft de NLA in september 2023 een tweedelige eis tot naleving aan de korpschef van politie opgelegd. De politie is daaropvolgend via briefings medewerkers extra gaan inlichten over het gebruik van het C2000-systeem. Daarnaast zijn de meldkamers uitgerust met kaarten waarop te zien is wanneer hulpverleners in een gebied met verminderde dekking komen. Verder zijn in diverse opleidingen van de politie instructies opgenomen waardoor agenten leren wat ze moeten doen als C2000 niet werkt, bijvoorbeeld in gebieden met verminderde dekking. Het (veilig) gebruik van de systemen en middelen, door ervoor te zorgen dat hulpverleners de kennis en kunde hebben om met de randapparatuur zoals portofoons om te gaan, is een verantwoordelijkheid van de werkgever. Daarom heeft de </w:t>
      </w:r>
      <w:proofErr w:type="gramStart"/>
      <w:r w:rsidRPr="007A6CB7">
        <w:t>NLA handhavingsbesluiten</w:t>
      </w:r>
      <w:proofErr w:type="gramEnd"/>
      <w:r w:rsidRPr="007A6CB7">
        <w:t xml:space="preserve"> opgelegd aan de </w:t>
      </w:r>
      <w:r w:rsidRPr="007A6CB7">
        <w:lastRenderedPageBreak/>
        <w:t>politie, op basis van de werkgeversverantwoordelijkheid die de politie heeft voor de agenten op straat.</w:t>
      </w:r>
    </w:p>
    <w:p w:rsidRPr="007A6CB7" w:rsidR="00280AC2" w:rsidP="00280AC2" w:rsidRDefault="00280AC2" w14:paraId="507F4218" w14:textId="77777777"/>
    <w:p w:rsidRPr="007A6CB7" w:rsidR="00280AC2" w:rsidP="00280AC2" w:rsidRDefault="00280AC2" w14:paraId="3D176E48" w14:textId="2C633998">
      <w:r w:rsidRPr="007A6CB7">
        <w:t>Aangezien de politie volgens de NLA niet tijdig had voldaan aan de gestelde eisen, heeft de NLA in oktober 2024 een beschikking tot last onder dwangsom opgelegd. Over het verbeterprogramma en de getroffen maatregelen informeerde ik eerder per brief de Tweede Kamer op 11 april 2025</w:t>
      </w:r>
      <w:r w:rsidRPr="007A6CB7" w:rsidR="00996A9A">
        <w:rPr>
          <w:rStyle w:val="Voetnootmarkering"/>
        </w:rPr>
        <w:footnoteReference w:id="70"/>
      </w:r>
      <w:r w:rsidRPr="007A6CB7">
        <w:t>. Op 31 oktober 2025 is de deadline van de NLA verlopen. De NLA heeft de politie verteld dat zij in november 2025 het onderzoek zal voortzetten om vast te stellen of de politie al dan niet heeft voldaan aan de besluiten. Pas na afronding van het onderzoek hoort de politie of zij aan de handhavingsbesluiten heeft voldaan.</w:t>
      </w:r>
    </w:p>
    <w:p w:rsidRPr="007A6CB7" w:rsidR="00280AC2" w:rsidP="00280AC2" w:rsidRDefault="00280AC2" w14:paraId="46EE98A5" w14:textId="77777777"/>
    <w:p w:rsidRPr="00DE373E" w:rsidR="00280AC2" w:rsidP="00280AC2" w:rsidRDefault="00280AC2" w14:paraId="4A62DFA3" w14:textId="77777777">
      <w:r w:rsidRPr="007A6CB7">
        <w:t>De politie zet het verbeterprogramma ook de komende maanden voort. Er zijn namelijk nog meer maatregelen in voorbereiding (zoals een verplichte e-</w:t>
      </w:r>
      <w:proofErr w:type="spellStart"/>
      <w:r w:rsidRPr="007A6CB7">
        <w:t>learning</w:t>
      </w:r>
      <w:proofErr w:type="spellEnd"/>
      <w:r w:rsidRPr="007A6CB7">
        <w:t xml:space="preserve">) die </w:t>
      </w:r>
      <w:proofErr w:type="gramStart"/>
      <w:r w:rsidRPr="007A6CB7">
        <w:t>bovenop</w:t>
      </w:r>
      <w:proofErr w:type="gramEnd"/>
      <w:r w:rsidRPr="007A6CB7">
        <w:t xml:space="preserve"> de gerealiseerde verbeteringen komen. Het ministerie van Justitie en Veiligheid gaat, in samenwerking met de Landelijke Meldkamer Samenwerking, binnen het verbeterprogramma onverwijld door met het optimaliseren van de beschikbaarheid en dekking van C2000, zowel in de meldkamers als op straat. Voorbeelden daarvan zijn het verbeteren van de dekking van C2000 door het bijplaatsen van masten in gebieden met verminderde dekking, het robuuster maken van het </w:t>
      </w:r>
      <w:proofErr w:type="spellStart"/>
      <w:r w:rsidRPr="007A6CB7">
        <w:t>radiobediensysteem</w:t>
      </w:r>
      <w:proofErr w:type="spellEnd"/>
      <w:r w:rsidRPr="007A6CB7">
        <w:t xml:space="preserve"> van C2000, het sluiten van nieuwe C2000 contracten en het verminderen van verstoringen van C2000 door externe factoren zoals zonnepanelen. Het is daarbij goed te realiseren dat 100% dekking nooit mogelijk zal zijn, bijvoorbeeld door veranderingen in de bebouwde omgeving.</w:t>
      </w:r>
    </w:p>
    <w:p w:rsidRPr="00D50152" w:rsidR="00280AC2" w:rsidP="009A260C" w:rsidRDefault="00280AC2" w14:paraId="19D28C72" w14:textId="77777777"/>
    <w:sectPr w:rsidRPr="00D50152" w:rsidR="00280AC2">
      <w:headerReference w:type="default" r:id="rId12"/>
      <w:head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63D1" w14:textId="77777777" w:rsidR="00AD0965" w:rsidRDefault="00AD0965">
      <w:pPr>
        <w:spacing w:line="240" w:lineRule="auto"/>
      </w:pPr>
      <w:r>
        <w:separator/>
      </w:r>
    </w:p>
  </w:endnote>
  <w:endnote w:type="continuationSeparator" w:id="0">
    <w:p w14:paraId="06A2B54C" w14:textId="77777777" w:rsidR="00AD0965" w:rsidRDefault="00AD0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0B20" w14:textId="77777777" w:rsidR="00AD0965" w:rsidRDefault="00AD0965">
      <w:pPr>
        <w:spacing w:line="240" w:lineRule="auto"/>
      </w:pPr>
      <w:r>
        <w:separator/>
      </w:r>
    </w:p>
  </w:footnote>
  <w:footnote w:type="continuationSeparator" w:id="0">
    <w:p w14:paraId="57C2328A" w14:textId="77777777" w:rsidR="00AD0965" w:rsidRDefault="00AD0965">
      <w:pPr>
        <w:spacing w:line="240" w:lineRule="auto"/>
      </w:pPr>
      <w:r>
        <w:continuationSeparator/>
      </w:r>
    </w:p>
  </w:footnote>
  <w:footnote w:id="1">
    <w:p w14:paraId="313DA498" w14:textId="77777777" w:rsidR="00076212" w:rsidRPr="00A1440A" w:rsidRDefault="00076212" w:rsidP="00076212">
      <w:pPr>
        <w:pStyle w:val="Voetnoottekst"/>
        <w:rPr>
          <w:sz w:val="16"/>
          <w:szCs w:val="16"/>
        </w:rPr>
      </w:pPr>
      <w:r w:rsidRPr="00A1440A">
        <w:rPr>
          <w:rStyle w:val="Voetnootmarkering"/>
          <w:sz w:val="16"/>
          <w:szCs w:val="16"/>
        </w:rPr>
        <w:footnoteRef/>
      </w:r>
      <w:r w:rsidRPr="00A1440A">
        <w:rPr>
          <w:sz w:val="16"/>
          <w:szCs w:val="16"/>
        </w:rPr>
        <w:t xml:space="preserve"> Kamerstukken II 2025/26, TZ202509</w:t>
      </w:r>
      <w:r>
        <w:rPr>
          <w:sz w:val="16"/>
          <w:szCs w:val="16"/>
        </w:rPr>
        <w:t>, nr.</w:t>
      </w:r>
      <w:r w:rsidRPr="00A1440A">
        <w:rPr>
          <w:sz w:val="16"/>
          <w:szCs w:val="16"/>
        </w:rPr>
        <w:t>91</w:t>
      </w:r>
    </w:p>
  </w:footnote>
  <w:footnote w:id="2">
    <w:p w14:paraId="45D939AF" w14:textId="77777777" w:rsidR="00076212" w:rsidRPr="00373994" w:rsidRDefault="00076212" w:rsidP="00076212">
      <w:pPr>
        <w:pStyle w:val="Voetnoottekst"/>
        <w:rPr>
          <w:sz w:val="16"/>
          <w:szCs w:val="16"/>
        </w:rPr>
      </w:pPr>
      <w:r w:rsidRPr="00373994">
        <w:rPr>
          <w:rStyle w:val="Voetnootmarkering"/>
          <w:sz w:val="16"/>
          <w:szCs w:val="16"/>
        </w:rPr>
        <w:footnoteRef/>
      </w:r>
      <w:r w:rsidRPr="00373994">
        <w:rPr>
          <w:sz w:val="16"/>
          <w:szCs w:val="16"/>
        </w:rPr>
        <w:t xml:space="preserve"> Kamerstukken II 2025/26, 33552, nr. 147</w:t>
      </w:r>
    </w:p>
  </w:footnote>
  <w:footnote w:id="3">
    <w:p w14:paraId="3DE74472" w14:textId="04E93597" w:rsidR="007738BD" w:rsidRPr="00B133F6" w:rsidRDefault="007738BD" w:rsidP="007738BD">
      <w:pPr>
        <w:pStyle w:val="Voetnoottekst"/>
        <w:rPr>
          <w:sz w:val="16"/>
          <w:szCs w:val="16"/>
        </w:rPr>
      </w:pPr>
      <w:r w:rsidRPr="00D62686">
        <w:rPr>
          <w:rStyle w:val="Voetnootmarkering"/>
          <w:sz w:val="16"/>
          <w:szCs w:val="16"/>
        </w:rPr>
        <w:footnoteRef/>
      </w:r>
      <w:r>
        <w:rPr>
          <w:sz w:val="16"/>
          <w:szCs w:val="16"/>
        </w:rPr>
        <w:t xml:space="preserve"> </w:t>
      </w:r>
      <w:r w:rsidR="00373994">
        <w:rPr>
          <w:sz w:val="16"/>
          <w:szCs w:val="16"/>
        </w:rPr>
        <w:t>Kamerstukken II 2024/25, 29628, nr. 1264</w:t>
      </w:r>
      <w:r w:rsidRPr="00B133F6">
        <w:rPr>
          <w:sz w:val="16"/>
          <w:szCs w:val="16"/>
        </w:rPr>
        <w:t xml:space="preserve"> </w:t>
      </w:r>
    </w:p>
  </w:footnote>
  <w:footnote w:id="4">
    <w:p w14:paraId="492F3349" w14:textId="2129A5D9" w:rsidR="00743F87" w:rsidRPr="00D85828" w:rsidRDefault="00743F87" w:rsidP="00743F87">
      <w:pPr>
        <w:pStyle w:val="Voetnoottekst"/>
        <w:rPr>
          <w:sz w:val="16"/>
          <w:szCs w:val="16"/>
        </w:rPr>
      </w:pPr>
      <w:r w:rsidRPr="00C06D65">
        <w:rPr>
          <w:rStyle w:val="Voetnootmarkering"/>
          <w:sz w:val="16"/>
          <w:szCs w:val="16"/>
        </w:rPr>
        <w:footnoteRef/>
      </w:r>
      <w:r w:rsidRPr="00C06D65">
        <w:rPr>
          <w:sz w:val="16"/>
          <w:szCs w:val="16"/>
        </w:rPr>
        <w:t xml:space="preserve"> </w:t>
      </w:r>
      <w:r w:rsidR="00200B72">
        <w:rPr>
          <w:sz w:val="16"/>
          <w:szCs w:val="16"/>
        </w:rPr>
        <w:t xml:space="preserve">Kamerstukken I 2020/21, 34641, </w:t>
      </w:r>
      <w:r w:rsidRPr="00C06D65">
        <w:rPr>
          <w:sz w:val="16"/>
          <w:szCs w:val="16"/>
        </w:rPr>
        <w:t>Handelingen</w:t>
      </w:r>
      <w:r w:rsidRPr="00D85828">
        <w:rPr>
          <w:sz w:val="16"/>
          <w:szCs w:val="16"/>
        </w:rPr>
        <w:t>, nr. 35, item 7</w:t>
      </w:r>
    </w:p>
  </w:footnote>
  <w:footnote w:id="5">
    <w:p w14:paraId="1910D70F" w14:textId="072D5C98" w:rsidR="008924C4" w:rsidRPr="008924C4" w:rsidRDefault="008924C4">
      <w:pPr>
        <w:pStyle w:val="Voetnoottekst"/>
        <w:rPr>
          <w:sz w:val="16"/>
          <w:szCs w:val="16"/>
        </w:rPr>
      </w:pPr>
      <w:r w:rsidRPr="008924C4">
        <w:rPr>
          <w:rStyle w:val="Voetnootmarkering"/>
          <w:sz w:val="16"/>
          <w:szCs w:val="16"/>
        </w:rPr>
        <w:footnoteRef/>
      </w:r>
      <w:r w:rsidRPr="008924C4">
        <w:rPr>
          <w:sz w:val="16"/>
          <w:szCs w:val="16"/>
        </w:rPr>
        <w:t xml:space="preserve"> Kamerstukken I 2020/21, T03305</w:t>
      </w:r>
    </w:p>
  </w:footnote>
  <w:footnote w:id="6">
    <w:p w14:paraId="54F69A91" w14:textId="77777777" w:rsidR="00076212" w:rsidRPr="003258E1" w:rsidRDefault="00076212" w:rsidP="00076212">
      <w:pPr>
        <w:rPr>
          <w:sz w:val="16"/>
          <w:szCs w:val="16"/>
        </w:rPr>
      </w:pPr>
      <w:r w:rsidRPr="003258E1">
        <w:rPr>
          <w:rStyle w:val="Voetnootmarkering"/>
          <w:sz w:val="16"/>
          <w:szCs w:val="16"/>
        </w:rPr>
        <w:footnoteRef/>
      </w:r>
      <w:r w:rsidRPr="003258E1">
        <w:rPr>
          <w:sz w:val="16"/>
          <w:szCs w:val="16"/>
        </w:rPr>
        <w:t xml:space="preserve"> Kamerstukken II, 2024-2025, 29628, nr. 1284</w:t>
      </w:r>
    </w:p>
    <w:p w14:paraId="13948611" w14:textId="77777777" w:rsidR="00076212" w:rsidRDefault="00076212" w:rsidP="00076212">
      <w:pPr>
        <w:pStyle w:val="Voetnoottekst"/>
        <w:tabs>
          <w:tab w:val="left" w:pos="823"/>
        </w:tabs>
      </w:pPr>
    </w:p>
  </w:footnote>
  <w:footnote w:id="7">
    <w:p w14:paraId="1062EDA1" w14:textId="61AFBCF5" w:rsidR="008C52A0" w:rsidRPr="006A7291" w:rsidRDefault="008C52A0" w:rsidP="008C52A0">
      <w:pPr>
        <w:pStyle w:val="Voetnoottekst"/>
        <w:rPr>
          <w:sz w:val="16"/>
          <w:szCs w:val="16"/>
        </w:rPr>
      </w:pPr>
      <w:r w:rsidRPr="006A7291">
        <w:rPr>
          <w:rStyle w:val="Voetnootmarkering"/>
          <w:sz w:val="16"/>
          <w:szCs w:val="16"/>
        </w:rPr>
        <w:footnoteRef/>
      </w:r>
      <w:r w:rsidRPr="006A7291">
        <w:rPr>
          <w:sz w:val="16"/>
          <w:szCs w:val="16"/>
        </w:rPr>
        <w:t xml:space="preserve"> Kamerstukken II 2024/25, 29628, nr. 1253</w:t>
      </w:r>
    </w:p>
  </w:footnote>
  <w:footnote w:id="8">
    <w:p w14:paraId="3E42F9C7" w14:textId="0F1DFC12" w:rsidR="008C52A0" w:rsidRPr="006A7291" w:rsidRDefault="008C52A0" w:rsidP="008C52A0">
      <w:pPr>
        <w:pStyle w:val="Voetnoottekst"/>
        <w:rPr>
          <w:sz w:val="16"/>
          <w:szCs w:val="16"/>
        </w:rPr>
      </w:pPr>
      <w:r w:rsidRPr="006A7291">
        <w:rPr>
          <w:rStyle w:val="Voetnootmarkering"/>
          <w:sz w:val="16"/>
          <w:szCs w:val="16"/>
        </w:rPr>
        <w:footnoteRef/>
      </w:r>
      <w:r w:rsidRPr="006A7291">
        <w:rPr>
          <w:sz w:val="16"/>
          <w:szCs w:val="16"/>
        </w:rPr>
        <w:t xml:space="preserve"> Kamerstukken II 2024/25, 29628, nr. 1277</w:t>
      </w:r>
    </w:p>
  </w:footnote>
  <w:footnote w:id="9">
    <w:p w14:paraId="11F34833" w14:textId="3FE9C19B" w:rsidR="008924C4" w:rsidRPr="008924C4" w:rsidRDefault="008924C4">
      <w:pPr>
        <w:pStyle w:val="Voetnoottekst"/>
        <w:rPr>
          <w:sz w:val="16"/>
          <w:szCs w:val="16"/>
        </w:rPr>
      </w:pPr>
      <w:r w:rsidRPr="008924C4">
        <w:rPr>
          <w:rStyle w:val="Voetnootmarkering"/>
          <w:sz w:val="16"/>
          <w:szCs w:val="16"/>
        </w:rPr>
        <w:footnoteRef/>
      </w:r>
      <w:r w:rsidRPr="008924C4">
        <w:rPr>
          <w:sz w:val="16"/>
          <w:szCs w:val="16"/>
        </w:rPr>
        <w:t xml:space="preserve"> Kamerstukken II 2025/26, 29628, nr. 1283</w:t>
      </w:r>
    </w:p>
  </w:footnote>
  <w:footnote w:id="10">
    <w:p w14:paraId="28B9E9FD" w14:textId="7BFB46B8" w:rsidR="00B4555C" w:rsidRPr="00B4555C" w:rsidRDefault="00B4555C">
      <w:pPr>
        <w:pStyle w:val="Voetnoottekst"/>
        <w:rPr>
          <w:sz w:val="16"/>
          <w:szCs w:val="16"/>
        </w:rPr>
      </w:pPr>
      <w:r w:rsidRPr="00B4555C">
        <w:rPr>
          <w:rStyle w:val="Voetnootmarkering"/>
          <w:sz w:val="16"/>
          <w:szCs w:val="16"/>
        </w:rPr>
        <w:footnoteRef/>
      </w:r>
      <w:r w:rsidRPr="00B4555C">
        <w:rPr>
          <w:sz w:val="16"/>
          <w:szCs w:val="16"/>
        </w:rPr>
        <w:t xml:space="preserve"> Kamerstukken II 2024/25, 29628, nr. 1231</w:t>
      </w:r>
    </w:p>
  </w:footnote>
  <w:footnote w:id="11">
    <w:p w14:paraId="26BF0686" w14:textId="0C5BFF5B" w:rsidR="00B4555C" w:rsidRPr="00B4555C" w:rsidRDefault="00B4555C">
      <w:pPr>
        <w:pStyle w:val="Voetnoottekst"/>
        <w:rPr>
          <w:sz w:val="16"/>
          <w:szCs w:val="16"/>
        </w:rPr>
      </w:pPr>
      <w:r w:rsidRPr="00B4555C">
        <w:rPr>
          <w:rStyle w:val="Voetnootmarkering"/>
          <w:sz w:val="16"/>
          <w:szCs w:val="16"/>
        </w:rPr>
        <w:footnoteRef/>
      </w:r>
      <w:r w:rsidRPr="00B4555C">
        <w:rPr>
          <w:sz w:val="16"/>
          <w:szCs w:val="16"/>
        </w:rPr>
        <w:t xml:space="preserve"> Kamerstukken II 2024/25, 29628, nr. 1277</w:t>
      </w:r>
    </w:p>
  </w:footnote>
  <w:footnote w:id="12">
    <w:p w14:paraId="67A6EFDB" w14:textId="151F2DD2" w:rsidR="00DE6E1D" w:rsidRPr="00B4555C" w:rsidRDefault="00DE6E1D" w:rsidP="00DE6E1D">
      <w:pPr>
        <w:pStyle w:val="Voetnoottekst"/>
        <w:rPr>
          <w:sz w:val="16"/>
          <w:szCs w:val="16"/>
        </w:rPr>
      </w:pPr>
      <w:r w:rsidRPr="00B4555C">
        <w:rPr>
          <w:rStyle w:val="Voetnootmarkering"/>
          <w:sz w:val="16"/>
          <w:szCs w:val="16"/>
        </w:rPr>
        <w:footnoteRef/>
      </w:r>
      <w:r w:rsidRPr="00B4555C">
        <w:rPr>
          <w:sz w:val="16"/>
          <w:szCs w:val="16"/>
        </w:rPr>
        <w:t xml:space="preserve"> Kamerstukken II 2022/23, 36200, nr. 87</w:t>
      </w:r>
    </w:p>
  </w:footnote>
  <w:footnote w:id="13">
    <w:p w14:paraId="0A4C8572" w14:textId="485343EE" w:rsidR="00DE6E1D" w:rsidRPr="00B4555C" w:rsidRDefault="00DE6E1D" w:rsidP="00DE6E1D">
      <w:pPr>
        <w:pStyle w:val="Voetnoottekst"/>
        <w:rPr>
          <w:sz w:val="16"/>
          <w:szCs w:val="16"/>
        </w:rPr>
      </w:pPr>
      <w:r w:rsidRPr="00B4555C">
        <w:rPr>
          <w:rStyle w:val="Voetnootmarkering"/>
          <w:sz w:val="16"/>
          <w:szCs w:val="16"/>
        </w:rPr>
        <w:footnoteRef/>
      </w:r>
      <w:r w:rsidRPr="00B4555C">
        <w:rPr>
          <w:sz w:val="16"/>
          <w:szCs w:val="16"/>
        </w:rPr>
        <w:t xml:space="preserve"> Kamerstukken II 2022/23, 29628, nr. 1176</w:t>
      </w:r>
    </w:p>
  </w:footnote>
  <w:footnote w:id="14">
    <w:p w14:paraId="34A81492" w14:textId="3D61DE73" w:rsidR="00DE6E1D" w:rsidRPr="00B4555C" w:rsidRDefault="00DE6E1D" w:rsidP="00DE6E1D">
      <w:pPr>
        <w:pStyle w:val="Voetnoottekst"/>
        <w:rPr>
          <w:sz w:val="16"/>
          <w:szCs w:val="16"/>
        </w:rPr>
      </w:pPr>
      <w:r w:rsidRPr="00B4555C">
        <w:rPr>
          <w:rStyle w:val="Voetnootmarkering"/>
          <w:sz w:val="16"/>
          <w:szCs w:val="16"/>
        </w:rPr>
        <w:footnoteRef/>
      </w:r>
      <w:r w:rsidRPr="00B4555C">
        <w:rPr>
          <w:sz w:val="16"/>
          <w:szCs w:val="16"/>
        </w:rPr>
        <w:t xml:space="preserve"> Kamerstukken II 2022/23, 36251, nr. 10</w:t>
      </w:r>
    </w:p>
  </w:footnote>
  <w:footnote w:id="15">
    <w:p w14:paraId="2F29FAAF" w14:textId="1FA7B47A" w:rsidR="00DE6E1D" w:rsidRPr="00B4555C" w:rsidRDefault="00DE6E1D" w:rsidP="00DE6E1D">
      <w:pPr>
        <w:pStyle w:val="Voetnoottekst"/>
        <w:rPr>
          <w:sz w:val="16"/>
          <w:szCs w:val="16"/>
        </w:rPr>
      </w:pPr>
      <w:r w:rsidRPr="00B4555C">
        <w:rPr>
          <w:rStyle w:val="Voetnootmarkering"/>
          <w:sz w:val="16"/>
          <w:szCs w:val="16"/>
        </w:rPr>
        <w:footnoteRef/>
      </w:r>
      <w:r w:rsidRPr="00B4555C">
        <w:rPr>
          <w:sz w:val="16"/>
          <w:szCs w:val="16"/>
        </w:rPr>
        <w:t xml:space="preserve"> In de praktijk is het onderscheid tussen OS en NOS niet altijd gemakkelijk te maken. Er is daarom voor gekozen om het onderzoek te richten op alle sterkte, behalve de staf en de bedrijfsvoering. Dit is </w:t>
      </w:r>
      <w:r w:rsidR="00586460" w:rsidRPr="00B4555C">
        <w:rPr>
          <w:sz w:val="16"/>
          <w:szCs w:val="16"/>
        </w:rPr>
        <w:t xml:space="preserve">komt </w:t>
      </w:r>
      <w:r w:rsidRPr="00B4555C">
        <w:rPr>
          <w:sz w:val="16"/>
          <w:szCs w:val="16"/>
        </w:rPr>
        <w:t>het dichts</w:t>
      </w:r>
      <w:r w:rsidR="00586460" w:rsidRPr="00B4555C">
        <w:rPr>
          <w:sz w:val="16"/>
          <w:szCs w:val="16"/>
        </w:rPr>
        <w:t>t</w:t>
      </w:r>
      <w:r w:rsidRPr="00B4555C">
        <w:rPr>
          <w:sz w:val="16"/>
          <w:szCs w:val="16"/>
        </w:rPr>
        <w:t xml:space="preserve"> bij het onderscheid tussen OS en NOS.</w:t>
      </w:r>
    </w:p>
  </w:footnote>
  <w:footnote w:id="16">
    <w:p w14:paraId="7882D6A6" w14:textId="06875249" w:rsidR="00DE6E1D" w:rsidRPr="00B4555C" w:rsidRDefault="00DE6E1D" w:rsidP="00DE6E1D">
      <w:pPr>
        <w:pStyle w:val="Voetnoottekst"/>
        <w:rPr>
          <w:sz w:val="16"/>
          <w:szCs w:val="16"/>
        </w:rPr>
      </w:pPr>
      <w:r w:rsidRPr="00B4555C">
        <w:rPr>
          <w:rStyle w:val="Voetnootmarkering"/>
          <w:sz w:val="16"/>
          <w:szCs w:val="16"/>
        </w:rPr>
        <w:footnoteRef/>
      </w:r>
      <w:r w:rsidRPr="00B4555C">
        <w:rPr>
          <w:sz w:val="16"/>
          <w:szCs w:val="16"/>
        </w:rPr>
        <w:t xml:space="preserve"> Kamerstukken II 2024/25, 29628, nr.</w:t>
      </w:r>
      <w:r w:rsidR="008D7EC2">
        <w:rPr>
          <w:sz w:val="16"/>
          <w:szCs w:val="16"/>
        </w:rPr>
        <w:t xml:space="preserve"> </w:t>
      </w:r>
      <w:r w:rsidRPr="00B4555C">
        <w:rPr>
          <w:sz w:val="16"/>
          <w:szCs w:val="16"/>
        </w:rPr>
        <w:t>1275</w:t>
      </w:r>
    </w:p>
  </w:footnote>
  <w:footnote w:id="17">
    <w:p w14:paraId="297BB428" w14:textId="67CF7784" w:rsidR="00347588" w:rsidRPr="00E97DA7" w:rsidRDefault="00347588">
      <w:pPr>
        <w:pStyle w:val="Voetnoottekst"/>
        <w:rPr>
          <w:sz w:val="16"/>
          <w:szCs w:val="16"/>
        </w:rPr>
      </w:pPr>
      <w:r w:rsidRPr="00E97DA7">
        <w:rPr>
          <w:rStyle w:val="Voetnootmarkering"/>
          <w:sz w:val="16"/>
          <w:szCs w:val="16"/>
        </w:rPr>
        <w:footnoteRef/>
      </w:r>
      <w:r w:rsidRPr="00E97DA7">
        <w:rPr>
          <w:sz w:val="16"/>
          <w:szCs w:val="16"/>
        </w:rPr>
        <w:t xml:space="preserve"> Kamerstukken II 2024/25, TZ20250</w:t>
      </w:r>
      <w:r w:rsidR="00A8195A">
        <w:rPr>
          <w:sz w:val="16"/>
          <w:szCs w:val="16"/>
        </w:rPr>
        <w:t>4</w:t>
      </w:r>
      <w:r w:rsidRPr="00E97DA7">
        <w:rPr>
          <w:sz w:val="16"/>
          <w:szCs w:val="16"/>
        </w:rPr>
        <w:t>, nr. 122</w:t>
      </w:r>
    </w:p>
  </w:footnote>
  <w:footnote w:id="18">
    <w:p w14:paraId="6FCDE273" w14:textId="23C0BF43" w:rsidR="00347588" w:rsidRPr="00E97DA7" w:rsidRDefault="00347588">
      <w:pPr>
        <w:pStyle w:val="Voetnoottekst"/>
        <w:rPr>
          <w:sz w:val="16"/>
          <w:szCs w:val="16"/>
        </w:rPr>
      </w:pPr>
      <w:r w:rsidRPr="00E97DA7">
        <w:rPr>
          <w:rStyle w:val="Voetnootmarkering"/>
          <w:sz w:val="16"/>
          <w:szCs w:val="16"/>
        </w:rPr>
        <w:footnoteRef/>
      </w:r>
      <w:r w:rsidRPr="00E97DA7">
        <w:rPr>
          <w:sz w:val="16"/>
          <w:szCs w:val="16"/>
        </w:rPr>
        <w:t xml:space="preserve"> Kamerstukken II 2025/26, 29628, nr. 1258</w:t>
      </w:r>
    </w:p>
  </w:footnote>
  <w:footnote w:id="19">
    <w:p w14:paraId="5F81849C" w14:textId="368CFD97" w:rsidR="00065841" w:rsidRPr="00065841" w:rsidRDefault="00065841">
      <w:pPr>
        <w:pStyle w:val="Voetnoottekst"/>
        <w:rPr>
          <w:sz w:val="16"/>
          <w:szCs w:val="16"/>
        </w:rPr>
      </w:pPr>
      <w:r w:rsidRPr="00065841">
        <w:rPr>
          <w:rStyle w:val="Voetnootmarkering"/>
          <w:sz w:val="16"/>
          <w:szCs w:val="16"/>
        </w:rPr>
        <w:footnoteRef/>
      </w:r>
      <w:r w:rsidRPr="00065841">
        <w:rPr>
          <w:sz w:val="16"/>
          <w:szCs w:val="16"/>
        </w:rPr>
        <w:t xml:space="preserve"> Kamerstukken II, 2024/25, 29628, nr. 1292</w:t>
      </w:r>
    </w:p>
  </w:footnote>
  <w:footnote w:id="20">
    <w:p w14:paraId="67B12BB5" w14:textId="45D7660F" w:rsidR="00065841" w:rsidRPr="00065841" w:rsidRDefault="00065841">
      <w:pPr>
        <w:pStyle w:val="Voetnoottekst"/>
        <w:rPr>
          <w:sz w:val="16"/>
          <w:szCs w:val="16"/>
        </w:rPr>
      </w:pPr>
      <w:r w:rsidRPr="00065841">
        <w:rPr>
          <w:rStyle w:val="Voetnootmarkering"/>
          <w:sz w:val="16"/>
          <w:szCs w:val="16"/>
        </w:rPr>
        <w:footnoteRef/>
      </w:r>
      <w:r w:rsidRPr="00065841">
        <w:rPr>
          <w:sz w:val="16"/>
          <w:szCs w:val="16"/>
        </w:rPr>
        <w:t xml:space="preserve"> Kamerstukken II 2024/25, 29628, nr. 1254</w:t>
      </w:r>
    </w:p>
  </w:footnote>
  <w:footnote w:id="21">
    <w:p w14:paraId="0784C1FC" w14:textId="4E3E6DA5" w:rsidR="00065841" w:rsidRDefault="00065841">
      <w:pPr>
        <w:pStyle w:val="Voetnoottekst"/>
      </w:pPr>
      <w:r w:rsidRPr="00065841">
        <w:rPr>
          <w:rStyle w:val="Voetnootmarkering"/>
          <w:sz w:val="16"/>
          <w:szCs w:val="16"/>
        </w:rPr>
        <w:footnoteRef/>
      </w:r>
      <w:r w:rsidRPr="00065841">
        <w:rPr>
          <w:sz w:val="16"/>
          <w:szCs w:val="16"/>
        </w:rPr>
        <w:t xml:space="preserve"> Kamerstukken II 2024/25, TZ202504, nr. 122</w:t>
      </w:r>
    </w:p>
  </w:footnote>
  <w:footnote w:id="22">
    <w:p w14:paraId="13C4E9C5" w14:textId="77777777" w:rsidR="007A6CB7" w:rsidRDefault="007A6CB7" w:rsidP="007A6CB7"/>
  </w:footnote>
  <w:footnote w:id="23">
    <w:p w14:paraId="56AF1AEC" w14:textId="376187B6" w:rsidR="00435698" w:rsidRDefault="00435698" w:rsidP="00435698">
      <w:pPr>
        <w:pStyle w:val="Voetnoottekst"/>
      </w:pPr>
    </w:p>
  </w:footnote>
  <w:footnote w:id="24">
    <w:p w14:paraId="16A8B677" w14:textId="6F865779" w:rsidR="00435698" w:rsidRPr="00247A53" w:rsidRDefault="00435698" w:rsidP="00435698">
      <w:pPr>
        <w:pStyle w:val="Voetnoottekst"/>
        <w:rPr>
          <w:color w:val="auto"/>
        </w:rPr>
      </w:pPr>
      <w:r w:rsidRPr="00247A53">
        <w:rPr>
          <w:rStyle w:val="Voetnootmarkering"/>
          <w:color w:val="auto"/>
          <w:sz w:val="16"/>
          <w:szCs w:val="16"/>
        </w:rPr>
        <w:footnoteRef/>
      </w:r>
      <w:r w:rsidR="00247A53">
        <w:rPr>
          <w:color w:val="auto"/>
        </w:rPr>
        <w:t xml:space="preserve"> </w:t>
      </w:r>
      <w:r w:rsidR="00247A53" w:rsidRPr="00247A53">
        <w:rPr>
          <w:color w:val="auto"/>
          <w:sz w:val="16"/>
          <w:szCs w:val="16"/>
        </w:rPr>
        <w:t>Kamer</w:t>
      </w:r>
      <w:r w:rsidR="00247A53">
        <w:rPr>
          <w:color w:val="auto"/>
          <w:sz w:val="16"/>
          <w:szCs w:val="16"/>
        </w:rPr>
        <w:t>stukken II 2025/26, 29911, nr. 487</w:t>
      </w:r>
      <w:r w:rsidRPr="00247A53">
        <w:rPr>
          <w:color w:val="auto"/>
        </w:rPr>
        <w:t xml:space="preserve"> </w:t>
      </w:r>
    </w:p>
  </w:footnote>
  <w:footnote w:id="25">
    <w:p w14:paraId="22AE768C" w14:textId="054D4DDD" w:rsidR="002305C6" w:rsidRPr="00E97DA7" w:rsidRDefault="002305C6">
      <w:pPr>
        <w:pStyle w:val="Voetnoottekst"/>
        <w:rPr>
          <w:sz w:val="16"/>
          <w:szCs w:val="16"/>
        </w:rPr>
      </w:pPr>
      <w:r w:rsidRPr="00E97DA7">
        <w:rPr>
          <w:rStyle w:val="Voetnootmarkering"/>
          <w:sz w:val="16"/>
          <w:szCs w:val="16"/>
        </w:rPr>
        <w:footnoteRef/>
      </w:r>
      <w:r w:rsidRPr="00E97DA7">
        <w:rPr>
          <w:sz w:val="16"/>
          <w:szCs w:val="16"/>
        </w:rPr>
        <w:t xml:space="preserve"> Kamerstukken II 2024/25, TZ202507, nr. 015</w:t>
      </w:r>
    </w:p>
  </w:footnote>
  <w:footnote w:id="26">
    <w:p w14:paraId="5AC77616" w14:textId="405FFE1B" w:rsidR="005D2940" w:rsidRPr="00DE373E" w:rsidRDefault="005D2940" w:rsidP="005D2940">
      <w:pPr>
        <w:pStyle w:val="Voetnoottekst"/>
        <w:rPr>
          <w:sz w:val="16"/>
          <w:szCs w:val="16"/>
        </w:rPr>
      </w:pPr>
      <w:r w:rsidRPr="00E97DA7">
        <w:rPr>
          <w:rStyle w:val="Voetnootmarkering"/>
          <w:sz w:val="16"/>
          <w:szCs w:val="16"/>
        </w:rPr>
        <w:footnoteRef/>
      </w:r>
      <w:r w:rsidRPr="00E97DA7">
        <w:rPr>
          <w:sz w:val="16"/>
          <w:szCs w:val="16"/>
        </w:rPr>
        <w:t xml:space="preserve"> Kamerstukken </w:t>
      </w:r>
      <w:r w:rsidR="00365E3B" w:rsidRPr="00821C8D">
        <w:rPr>
          <w:sz w:val="16"/>
          <w:szCs w:val="16"/>
        </w:rPr>
        <w:t xml:space="preserve">II 2024/25, </w:t>
      </w:r>
      <w:r w:rsidRPr="00E97DA7">
        <w:rPr>
          <w:sz w:val="16"/>
          <w:szCs w:val="16"/>
        </w:rPr>
        <w:t>29628</w:t>
      </w:r>
      <w:r w:rsidR="00365E3B" w:rsidRPr="00821C8D">
        <w:rPr>
          <w:sz w:val="16"/>
          <w:szCs w:val="16"/>
        </w:rPr>
        <w:t xml:space="preserve">, nr. </w:t>
      </w:r>
      <w:r w:rsidRPr="00DE373E">
        <w:rPr>
          <w:sz w:val="16"/>
          <w:szCs w:val="16"/>
        </w:rPr>
        <w:t>1277</w:t>
      </w:r>
    </w:p>
  </w:footnote>
  <w:footnote w:id="27">
    <w:p w14:paraId="4F1EAC92" w14:textId="0C96B044" w:rsidR="00821C8D" w:rsidRPr="00E97DA7" w:rsidRDefault="00821C8D">
      <w:pPr>
        <w:pStyle w:val="Voetnoottekst"/>
        <w:rPr>
          <w:sz w:val="16"/>
          <w:szCs w:val="16"/>
        </w:rPr>
      </w:pPr>
      <w:r w:rsidRPr="00E97DA7">
        <w:rPr>
          <w:rStyle w:val="Voetnootmarkering"/>
          <w:sz w:val="16"/>
          <w:szCs w:val="16"/>
        </w:rPr>
        <w:footnoteRef/>
      </w:r>
      <w:r w:rsidRPr="00E97DA7">
        <w:rPr>
          <w:sz w:val="16"/>
          <w:szCs w:val="16"/>
        </w:rPr>
        <w:t xml:space="preserve"> Kamerstukken II 2024/25, 26643, nr. 1251</w:t>
      </w:r>
    </w:p>
  </w:footnote>
  <w:footnote w:id="28">
    <w:p w14:paraId="783F4CD6" w14:textId="5D67D9C5" w:rsidR="00901A89" w:rsidRPr="00E97DA7" w:rsidRDefault="00901A89" w:rsidP="00901A89">
      <w:pPr>
        <w:pStyle w:val="Voetnoottekst"/>
        <w:rPr>
          <w:sz w:val="16"/>
          <w:szCs w:val="16"/>
        </w:rPr>
      </w:pPr>
      <w:r w:rsidRPr="00E97DA7">
        <w:rPr>
          <w:rStyle w:val="Voetnootmarkering"/>
          <w:sz w:val="16"/>
          <w:szCs w:val="16"/>
        </w:rPr>
        <w:footnoteRef/>
      </w:r>
      <w:r w:rsidRPr="00E97DA7">
        <w:rPr>
          <w:sz w:val="16"/>
          <w:szCs w:val="16"/>
        </w:rPr>
        <w:t xml:space="preserve"> Kamerstukken</w:t>
      </w:r>
      <w:r w:rsidR="00821C8D">
        <w:rPr>
          <w:sz w:val="16"/>
          <w:szCs w:val="16"/>
        </w:rPr>
        <w:t xml:space="preserve"> II 2025/26, </w:t>
      </w:r>
      <w:r w:rsidRPr="00DE373E">
        <w:rPr>
          <w:sz w:val="16"/>
          <w:szCs w:val="16"/>
        </w:rPr>
        <w:t>29628</w:t>
      </w:r>
      <w:r w:rsidR="00821C8D">
        <w:rPr>
          <w:sz w:val="16"/>
          <w:szCs w:val="16"/>
        </w:rPr>
        <w:t xml:space="preserve">, nr. </w:t>
      </w:r>
      <w:r w:rsidRPr="00E97DA7">
        <w:rPr>
          <w:sz w:val="16"/>
          <w:szCs w:val="16"/>
        </w:rPr>
        <w:t>1298</w:t>
      </w:r>
    </w:p>
  </w:footnote>
  <w:footnote w:id="29">
    <w:p w14:paraId="2A71EAB3" w14:textId="538127ED" w:rsidR="00821C8D" w:rsidRPr="00267CBD" w:rsidRDefault="00821C8D">
      <w:pPr>
        <w:pStyle w:val="Voetnoottekst"/>
        <w:rPr>
          <w:sz w:val="16"/>
          <w:szCs w:val="16"/>
        </w:rPr>
      </w:pPr>
      <w:r w:rsidRPr="00267CBD">
        <w:rPr>
          <w:rStyle w:val="Voetnootmarkering"/>
          <w:sz w:val="16"/>
          <w:szCs w:val="16"/>
        </w:rPr>
        <w:footnoteRef/>
      </w:r>
      <w:r w:rsidRPr="00267CBD">
        <w:rPr>
          <w:sz w:val="16"/>
          <w:szCs w:val="16"/>
        </w:rPr>
        <w:t xml:space="preserve"> Kamerstukken II 2024/25, TZ202411, nr. 121</w:t>
      </w:r>
    </w:p>
  </w:footnote>
  <w:footnote w:id="30">
    <w:p w14:paraId="1C2A5EB0" w14:textId="2E08780E" w:rsidR="002979AF" w:rsidRPr="00DE373E" w:rsidRDefault="002979AF" w:rsidP="002979AF">
      <w:pPr>
        <w:pStyle w:val="Voetnoottekst"/>
        <w:rPr>
          <w:sz w:val="16"/>
          <w:szCs w:val="16"/>
        </w:rPr>
      </w:pPr>
      <w:r w:rsidRPr="00267CBD">
        <w:rPr>
          <w:rStyle w:val="Voetnootmarkering"/>
          <w:sz w:val="16"/>
          <w:szCs w:val="16"/>
        </w:rPr>
        <w:footnoteRef/>
      </w:r>
      <w:r w:rsidRPr="00267CBD">
        <w:rPr>
          <w:sz w:val="16"/>
          <w:szCs w:val="16"/>
        </w:rPr>
        <w:t xml:space="preserve"> Kamerstukken II 2024</w:t>
      </w:r>
      <w:r w:rsidR="00821C8D">
        <w:rPr>
          <w:sz w:val="16"/>
          <w:szCs w:val="16"/>
        </w:rPr>
        <w:t>/</w:t>
      </w:r>
      <w:r w:rsidRPr="00DE373E">
        <w:rPr>
          <w:sz w:val="16"/>
          <w:szCs w:val="16"/>
        </w:rPr>
        <w:t>25, 29628, nr. 1256</w:t>
      </w:r>
    </w:p>
  </w:footnote>
  <w:footnote w:id="31">
    <w:p w14:paraId="1D678AEE" w14:textId="3BD56B83" w:rsidR="00F12E04" w:rsidRPr="00616FCB" w:rsidRDefault="00F12E04" w:rsidP="00F12E04">
      <w:pPr>
        <w:pStyle w:val="Voetnoottekst"/>
        <w:rPr>
          <w:sz w:val="16"/>
          <w:szCs w:val="16"/>
        </w:rPr>
      </w:pPr>
      <w:r w:rsidRPr="00616FCB">
        <w:rPr>
          <w:rStyle w:val="Voetnootmarkering"/>
          <w:sz w:val="16"/>
          <w:szCs w:val="16"/>
        </w:rPr>
        <w:footnoteRef/>
      </w:r>
      <w:r w:rsidRPr="00616FCB">
        <w:rPr>
          <w:sz w:val="16"/>
          <w:szCs w:val="16"/>
        </w:rPr>
        <w:t xml:space="preserve"> </w:t>
      </w:r>
      <w:r w:rsidR="000B2EFC" w:rsidRPr="00267CBD">
        <w:rPr>
          <w:sz w:val="16"/>
          <w:szCs w:val="16"/>
        </w:rPr>
        <w:t>Kamerstukken II 2024</w:t>
      </w:r>
      <w:r w:rsidR="000B2EFC">
        <w:rPr>
          <w:sz w:val="16"/>
          <w:szCs w:val="16"/>
        </w:rPr>
        <w:t>/</w:t>
      </w:r>
      <w:r w:rsidR="000B2EFC" w:rsidRPr="00DE373E">
        <w:rPr>
          <w:sz w:val="16"/>
          <w:szCs w:val="16"/>
        </w:rPr>
        <w:t>25</w:t>
      </w:r>
      <w:r w:rsidR="000B2EFC" w:rsidRPr="000B2EFC">
        <w:rPr>
          <w:sz w:val="16"/>
          <w:szCs w:val="16"/>
        </w:rPr>
        <w:t>, 34843, nr. 122</w:t>
      </w:r>
    </w:p>
  </w:footnote>
  <w:footnote w:id="32">
    <w:p w14:paraId="47D01262" w14:textId="48D61812" w:rsidR="000C3933" w:rsidRPr="00267CBD" w:rsidRDefault="000C3933" w:rsidP="000C3933">
      <w:pPr>
        <w:pStyle w:val="Voetnoottekst"/>
        <w:rPr>
          <w:sz w:val="16"/>
          <w:szCs w:val="16"/>
        </w:rPr>
      </w:pPr>
      <w:r w:rsidRPr="00267CBD">
        <w:rPr>
          <w:rStyle w:val="Voetnootmarkering"/>
          <w:sz w:val="16"/>
          <w:szCs w:val="16"/>
        </w:rPr>
        <w:footnoteRef/>
      </w:r>
      <w:r w:rsidRPr="00267CBD">
        <w:rPr>
          <w:sz w:val="16"/>
          <w:szCs w:val="16"/>
        </w:rPr>
        <w:t xml:space="preserve"> Zie bijlage</w:t>
      </w:r>
      <w:r w:rsidR="005F48C9" w:rsidRPr="00267CBD">
        <w:rPr>
          <w:sz w:val="16"/>
          <w:szCs w:val="16"/>
        </w:rPr>
        <w:t xml:space="preserve"> 1</w:t>
      </w:r>
      <w:r w:rsidRPr="00267CBD">
        <w:rPr>
          <w:sz w:val="16"/>
          <w:szCs w:val="16"/>
        </w:rPr>
        <w:t xml:space="preserve"> voor het actuele beeld van de bezetting van de teams seksuele misdrijven.</w:t>
      </w:r>
    </w:p>
  </w:footnote>
  <w:footnote w:id="33">
    <w:p w14:paraId="5CDD2FF7" w14:textId="74F2DDA7" w:rsidR="00EA1DA5" w:rsidRPr="00CB495F" w:rsidRDefault="00EA1DA5" w:rsidP="00EA1DA5">
      <w:pPr>
        <w:pStyle w:val="Voetnoottekst"/>
        <w:rPr>
          <w:sz w:val="16"/>
          <w:szCs w:val="16"/>
        </w:rPr>
      </w:pPr>
      <w:r w:rsidRPr="00CB495F">
        <w:rPr>
          <w:rStyle w:val="Voetnootmarkering"/>
          <w:sz w:val="16"/>
          <w:szCs w:val="16"/>
        </w:rPr>
        <w:footnoteRef/>
      </w:r>
      <w:r w:rsidRPr="00CB495F">
        <w:rPr>
          <w:sz w:val="16"/>
          <w:szCs w:val="16"/>
        </w:rPr>
        <w:t xml:space="preserve"> </w:t>
      </w:r>
      <w:r w:rsidRPr="00F12E04">
        <w:rPr>
          <w:sz w:val="16"/>
          <w:szCs w:val="16"/>
        </w:rPr>
        <w:t>Kamerstukken II</w:t>
      </w:r>
      <w:r w:rsidRPr="00CB495F">
        <w:rPr>
          <w:sz w:val="16"/>
          <w:szCs w:val="16"/>
        </w:rPr>
        <w:t xml:space="preserve"> 2021/22, 31015 nr. 249.</w:t>
      </w:r>
    </w:p>
  </w:footnote>
  <w:footnote w:id="34">
    <w:p w14:paraId="2C85F2E5" w14:textId="77777777" w:rsidR="00EA1DA5" w:rsidRDefault="00EA1DA5" w:rsidP="00EA1DA5">
      <w:pPr>
        <w:pStyle w:val="Voetnoottekst"/>
      </w:pPr>
      <w:r w:rsidRPr="00B9272B">
        <w:rPr>
          <w:rStyle w:val="Voetnootmarkering"/>
          <w:sz w:val="16"/>
          <w:szCs w:val="16"/>
        </w:rPr>
        <w:footnoteRef/>
      </w:r>
      <w:r w:rsidRPr="00B9272B">
        <w:rPr>
          <w:sz w:val="16"/>
          <w:szCs w:val="16"/>
        </w:rPr>
        <w:t xml:space="preserve"> Dit zijn niet allemaal strafbare feiten, want niet elke vorm van seksueel grensoverschrijdend gedrag is strafbaar en zedenincidenten bestaan niet alleen uit meldingen van burgers. Als een wijkagent een bezoek brengt aan een veroordeelde zedendelinquent of als een agent een bekende schennispleger in een afgelegen gebied aantreft, dan wordt dat ook vastgelegd en als incident geregistreerd. Dit verklaart waarom lang niet alle geregistreerde zedenincidenten resulteren in een aangifte maar wel werk met zich meebrengt voor de politie.</w:t>
      </w:r>
    </w:p>
  </w:footnote>
  <w:footnote w:id="35">
    <w:p w14:paraId="29C3FEB4" w14:textId="77777777" w:rsidR="00EA1DA5" w:rsidRDefault="00EA1DA5" w:rsidP="00EA1DA5">
      <w:pPr>
        <w:pStyle w:val="Voetnoottekst"/>
      </w:pPr>
      <w:r>
        <w:rPr>
          <w:rStyle w:val="Voetnootmarkering"/>
        </w:rPr>
        <w:footnoteRef/>
      </w:r>
      <w:r>
        <w:t xml:space="preserve"> </w:t>
      </w:r>
      <w:r w:rsidRPr="00837DE7">
        <w:rPr>
          <w:sz w:val="16"/>
          <w:szCs w:val="16"/>
        </w:rPr>
        <w:t xml:space="preserve">De cijfers in deze tabel over het aantal aangiftes langer dan zes maanden in voorraad zijn (voor alle jaren) aangepast ten opzichte van eerder verstrekte cijfers. De politie heeft ook de zaken in beeld willen brengen die al in behandeling waren, maar </w:t>
      </w:r>
      <w:r>
        <w:rPr>
          <w:sz w:val="16"/>
          <w:szCs w:val="16"/>
        </w:rPr>
        <w:t xml:space="preserve">waaraan </w:t>
      </w:r>
      <w:r w:rsidRPr="00837DE7">
        <w:rPr>
          <w:sz w:val="16"/>
          <w:szCs w:val="16"/>
        </w:rPr>
        <w:t xml:space="preserve">in het registratiesysteem nog </w:t>
      </w:r>
      <w:r>
        <w:rPr>
          <w:sz w:val="16"/>
          <w:szCs w:val="16"/>
        </w:rPr>
        <w:t xml:space="preserve">geen </w:t>
      </w:r>
      <w:r w:rsidRPr="00837DE7">
        <w:rPr>
          <w:sz w:val="16"/>
          <w:szCs w:val="16"/>
        </w:rPr>
        <w:t>een team seksuele misdrijven gekoppeld was.</w:t>
      </w:r>
    </w:p>
  </w:footnote>
  <w:footnote w:id="36">
    <w:p w14:paraId="5F0F0C1E" w14:textId="15F28622" w:rsidR="00EA1DA5" w:rsidRPr="000F787F" w:rsidRDefault="00EA1DA5" w:rsidP="00EA1DA5">
      <w:pPr>
        <w:pStyle w:val="Voetnoottekst"/>
        <w:rPr>
          <w:sz w:val="16"/>
          <w:szCs w:val="16"/>
        </w:rPr>
      </w:pPr>
      <w:r w:rsidRPr="000F787F">
        <w:rPr>
          <w:rStyle w:val="Voetnootmarkering"/>
        </w:rPr>
        <w:footnoteRef/>
      </w:r>
      <w:r w:rsidRPr="000F787F">
        <w:t xml:space="preserve"> </w:t>
      </w:r>
      <w:r w:rsidRPr="00E97DA7">
        <w:rPr>
          <w:sz w:val="16"/>
          <w:szCs w:val="16"/>
        </w:rPr>
        <w:t>Kamerstukken II</w:t>
      </w:r>
      <w:r w:rsidRPr="000F787F">
        <w:rPr>
          <w:sz w:val="16"/>
          <w:szCs w:val="16"/>
        </w:rPr>
        <w:t xml:space="preserve"> 2024/25, 29279, nr. 974.</w:t>
      </w:r>
    </w:p>
  </w:footnote>
  <w:footnote w:id="37">
    <w:p w14:paraId="76F08A89" w14:textId="5A4CF11E" w:rsidR="000F787F" w:rsidRPr="00E97DA7" w:rsidRDefault="000F787F">
      <w:pPr>
        <w:pStyle w:val="Voetnoottekst"/>
        <w:rPr>
          <w:sz w:val="16"/>
          <w:szCs w:val="16"/>
        </w:rPr>
      </w:pPr>
      <w:r w:rsidRPr="00E97DA7">
        <w:rPr>
          <w:rStyle w:val="Voetnootmarkering"/>
          <w:sz w:val="16"/>
          <w:szCs w:val="16"/>
        </w:rPr>
        <w:footnoteRef/>
      </w:r>
      <w:r w:rsidRPr="00E97DA7">
        <w:rPr>
          <w:sz w:val="16"/>
          <w:szCs w:val="16"/>
        </w:rPr>
        <w:t xml:space="preserve"> Kamerstukken II 2024/25, 29279, nr. 968</w:t>
      </w:r>
    </w:p>
  </w:footnote>
  <w:footnote w:id="38">
    <w:p w14:paraId="47645403" w14:textId="36D37C6F" w:rsidR="000F787F" w:rsidRPr="00E97DA7" w:rsidRDefault="000F787F">
      <w:pPr>
        <w:pStyle w:val="Voetnoottekst"/>
        <w:rPr>
          <w:sz w:val="16"/>
          <w:szCs w:val="16"/>
        </w:rPr>
      </w:pPr>
      <w:r w:rsidRPr="00E97DA7">
        <w:rPr>
          <w:rStyle w:val="Voetnootmarkering"/>
          <w:sz w:val="16"/>
          <w:szCs w:val="16"/>
        </w:rPr>
        <w:footnoteRef/>
      </w:r>
      <w:r w:rsidRPr="00E97DA7">
        <w:rPr>
          <w:sz w:val="16"/>
          <w:szCs w:val="16"/>
        </w:rPr>
        <w:t xml:space="preserve"> Kamerstukken II 2024/25, 29279, nr. 970</w:t>
      </w:r>
    </w:p>
  </w:footnote>
  <w:footnote w:id="39">
    <w:p w14:paraId="50D9FBCD" w14:textId="77777777" w:rsidR="00EA1DA5" w:rsidRPr="00E97DA7" w:rsidRDefault="00EA1DA5" w:rsidP="00EA1DA5">
      <w:pPr>
        <w:pStyle w:val="Voetnoottekst"/>
        <w:rPr>
          <w:sz w:val="16"/>
          <w:szCs w:val="16"/>
        </w:rPr>
      </w:pPr>
      <w:r w:rsidRPr="00E97DA7">
        <w:rPr>
          <w:rStyle w:val="Voetnootmarkering"/>
          <w:sz w:val="16"/>
          <w:szCs w:val="16"/>
        </w:rPr>
        <w:footnoteRef/>
      </w:r>
      <w:r w:rsidRPr="00E97DA7">
        <w:rPr>
          <w:sz w:val="16"/>
          <w:szCs w:val="16"/>
        </w:rPr>
        <w:t xml:space="preserve"> Kamerstukken II</w:t>
      </w:r>
      <w:r w:rsidRPr="000F787F">
        <w:rPr>
          <w:sz w:val="16"/>
          <w:szCs w:val="16"/>
        </w:rPr>
        <w:t xml:space="preserve"> 2024/25, 29 279, nr. 970.</w:t>
      </w:r>
    </w:p>
  </w:footnote>
  <w:footnote w:id="40">
    <w:p w14:paraId="559DC91A" w14:textId="77777777" w:rsidR="00EA1DA5" w:rsidRPr="00E97DA7" w:rsidRDefault="00EA1DA5" w:rsidP="00EA1DA5">
      <w:pPr>
        <w:pStyle w:val="Voetnoottekst"/>
        <w:rPr>
          <w:sz w:val="16"/>
          <w:szCs w:val="16"/>
        </w:rPr>
      </w:pPr>
      <w:r w:rsidRPr="00E97DA7">
        <w:rPr>
          <w:rStyle w:val="Voetnootmarkering"/>
          <w:sz w:val="16"/>
          <w:szCs w:val="16"/>
        </w:rPr>
        <w:footnoteRef/>
      </w:r>
      <w:r w:rsidRPr="00E97DA7">
        <w:rPr>
          <w:sz w:val="16"/>
          <w:szCs w:val="16"/>
        </w:rPr>
        <w:t xml:space="preserve"> Kamerstukken II </w:t>
      </w:r>
      <w:r w:rsidRPr="000F787F">
        <w:rPr>
          <w:sz w:val="16"/>
          <w:szCs w:val="16"/>
        </w:rPr>
        <w:t xml:space="preserve">2024/25, 34 843, nr. </w:t>
      </w:r>
      <w:r w:rsidRPr="002457B7">
        <w:rPr>
          <w:sz w:val="16"/>
          <w:szCs w:val="16"/>
        </w:rPr>
        <w:t>128.</w:t>
      </w:r>
    </w:p>
  </w:footnote>
  <w:footnote w:id="41">
    <w:p w14:paraId="2138DE49" w14:textId="7B76848E" w:rsidR="00EA1DA5" w:rsidRPr="00E97DA7" w:rsidRDefault="00EA1DA5" w:rsidP="00EA1DA5">
      <w:pPr>
        <w:pStyle w:val="Voetnoottekst"/>
        <w:rPr>
          <w:sz w:val="16"/>
          <w:szCs w:val="16"/>
        </w:rPr>
      </w:pPr>
      <w:r w:rsidRPr="00E97DA7">
        <w:rPr>
          <w:rStyle w:val="Voetnootmarkering"/>
          <w:sz w:val="16"/>
          <w:szCs w:val="16"/>
        </w:rPr>
        <w:footnoteRef/>
      </w:r>
      <w:r w:rsidRPr="00E97DA7">
        <w:rPr>
          <w:sz w:val="16"/>
          <w:szCs w:val="16"/>
        </w:rPr>
        <w:t xml:space="preserve"> Kamerstukken II </w:t>
      </w:r>
      <w:r w:rsidRPr="000F787F">
        <w:rPr>
          <w:sz w:val="16"/>
          <w:szCs w:val="16"/>
        </w:rPr>
        <w:t>2024/25, 36600 VI, nr. 32.</w:t>
      </w:r>
    </w:p>
  </w:footnote>
  <w:footnote w:id="42">
    <w:p w14:paraId="1DB46951" w14:textId="77777777" w:rsidR="00EA1DA5" w:rsidRPr="00E97DA7" w:rsidRDefault="00EA1DA5" w:rsidP="00EA1DA5">
      <w:pPr>
        <w:pStyle w:val="Voetnoottekst"/>
        <w:rPr>
          <w:sz w:val="16"/>
          <w:szCs w:val="16"/>
        </w:rPr>
      </w:pPr>
      <w:r w:rsidRPr="00E97DA7">
        <w:rPr>
          <w:rStyle w:val="Voetnootmarkering"/>
          <w:sz w:val="16"/>
          <w:szCs w:val="16"/>
        </w:rPr>
        <w:footnoteRef/>
      </w:r>
      <w:r w:rsidRPr="00E97DA7">
        <w:rPr>
          <w:sz w:val="16"/>
          <w:szCs w:val="16"/>
        </w:rPr>
        <w:t xml:space="preserve"> </w:t>
      </w:r>
      <w:r w:rsidRPr="000F787F">
        <w:rPr>
          <w:sz w:val="16"/>
          <w:szCs w:val="16"/>
        </w:rPr>
        <w:t>Artikel 429ter Wetboek van Strafrecht.</w:t>
      </w:r>
    </w:p>
  </w:footnote>
  <w:footnote w:id="43">
    <w:p w14:paraId="2D391740" w14:textId="1410800D" w:rsidR="00EA1DA5" w:rsidRPr="00E97DA7" w:rsidRDefault="00EA1DA5" w:rsidP="00EA1DA5">
      <w:pPr>
        <w:pStyle w:val="Voetnoottekst"/>
        <w:rPr>
          <w:sz w:val="16"/>
          <w:szCs w:val="16"/>
        </w:rPr>
      </w:pPr>
      <w:r w:rsidRPr="00E97DA7">
        <w:rPr>
          <w:rStyle w:val="Voetnootmarkering"/>
          <w:sz w:val="16"/>
          <w:szCs w:val="16"/>
        </w:rPr>
        <w:footnoteRef/>
      </w:r>
      <w:r w:rsidRPr="00E97DA7">
        <w:rPr>
          <w:sz w:val="16"/>
          <w:szCs w:val="16"/>
        </w:rPr>
        <w:t xml:space="preserve"> Kamerstukken II</w:t>
      </w:r>
      <w:r w:rsidRPr="000F787F">
        <w:rPr>
          <w:sz w:val="16"/>
          <w:szCs w:val="16"/>
        </w:rPr>
        <w:t xml:space="preserve"> 2022/23, 36222, nr. 37.</w:t>
      </w:r>
    </w:p>
  </w:footnote>
  <w:footnote w:id="44">
    <w:p w14:paraId="23587A56" w14:textId="78868E43" w:rsidR="008A315A" w:rsidRDefault="008A315A">
      <w:pPr>
        <w:pStyle w:val="Voetnoottekst"/>
      </w:pPr>
      <w:r w:rsidRPr="008A315A">
        <w:rPr>
          <w:rStyle w:val="Voetnootmarkering"/>
          <w:sz w:val="16"/>
          <w:szCs w:val="16"/>
        </w:rPr>
        <w:footnoteRef/>
      </w:r>
      <w:r w:rsidRPr="008A315A">
        <w:rPr>
          <w:rStyle w:val="Voetnootmarkering"/>
          <w:sz w:val="16"/>
          <w:szCs w:val="16"/>
        </w:rPr>
        <w:t xml:space="preserve"> </w:t>
      </w:r>
      <w:r w:rsidRPr="008A315A">
        <w:rPr>
          <w:sz w:val="16"/>
          <w:szCs w:val="16"/>
        </w:rPr>
        <w:t xml:space="preserve">Zie ook de beantwoording </w:t>
      </w:r>
      <w:r>
        <w:rPr>
          <w:sz w:val="16"/>
          <w:szCs w:val="16"/>
        </w:rPr>
        <w:t xml:space="preserve">van </w:t>
      </w:r>
      <w:r w:rsidRPr="008A315A">
        <w:rPr>
          <w:sz w:val="16"/>
          <w:szCs w:val="16"/>
        </w:rPr>
        <w:t xml:space="preserve">de </w:t>
      </w:r>
      <w:r w:rsidR="00330753">
        <w:rPr>
          <w:sz w:val="16"/>
          <w:szCs w:val="16"/>
        </w:rPr>
        <w:t xml:space="preserve">schriftelijke </w:t>
      </w:r>
      <w:r w:rsidRPr="008A315A">
        <w:rPr>
          <w:sz w:val="16"/>
          <w:szCs w:val="16"/>
        </w:rPr>
        <w:t>vragen van het lid Mutluer (G</w:t>
      </w:r>
      <w:r>
        <w:rPr>
          <w:sz w:val="16"/>
          <w:szCs w:val="16"/>
        </w:rPr>
        <w:t>L/</w:t>
      </w:r>
      <w:r w:rsidRPr="008A315A">
        <w:rPr>
          <w:sz w:val="16"/>
          <w:szCs w:val="16"/>
        </w:rPr>
        <w:t>PvdA) over de effectiviteit en handhaafbaarheid van contact- en locatieverboden, met name in digitale context</w:t>
      </w:r>
      <w:r>
        <w:rPr>
          <w:sz w:val="16"/>
          <w:szCs w:val="16"/>
        </w:rPr>
        <w:t>; Kamerstukken II</w:t>
      </w:r>
      <w:r w:rsidR="00330753">
        <w:rPr>
          <w:sz w:val="16"/>
          <w:szCs w:val="16"/>
        </w:rPr>
        <w:t xml:space="preserve"> 2025/26, </w:t>
      </w:r>
      <w:r w:rsidR="00330753" w:rsidRPr="00330753">
        <w:rPr>
          <w:sz w:val="16"/>
          <w:szCs w:val="16"/>
        </w:rPr>
        <w:t>2025D47930</w:t>
      </w:r>
      <w:r w:rsidR="00330753">
        <w:rPr>
          <w:sz w:val="16"/>
          <w:szCs w:val="16"/>
        </w:rPr>
        <w:t>.</w:t>
      </w:r>
    </w:p>
  </w:footnote>
  <w:footnote w:id="45">
    <w:p w14:paraId="380A1E2B" w14:textId="064FD155" w:rsidR="00B0157C" w:rsidRPr="00E97DA7" w:rsidRDefault="00B0157C">
      <w:pPr>
        <w:pStyle w:val="Voetnoottekst"/>
        <w:rPr>
          <w:sz w:val="16"/>
          <w:szCs w:val="16"/>
        </w:rPr>
      </w:pPr>
      <w:r w:rsidRPr="00E97DA7">
        <w:rPr>
          <w:rStyle w:val="Voetnootmarkering"/>
          <w:sz w:val="16"/>
          <w:szCs w:val="16"/>
        </w:rPr>
        <w:footnoteRef/>
      </w:r>
      <w:r w:rsidRPr="00E97DA7">
        <w:rPr>
          <w:sz w:val="16"/>
          <w:szCs w:val="16"/>
        </w:rPr>
        <w:t xml:space="preserve"> </w:t>
      </w:r>
      <w:r w:rsidR="009D75F4" w:rsidRPr="00E97DA7">
        <w:rPr>
          <w:sz w:val="16"/>
          <w:szCs w:val="16"/>
        </w:rPr>
        <w:t>Kamerstukken II 2024/25, TZ202507, nr. 015</w:t>
      </w:r>
    </w:p>
  </w:footnote>
  <w:footnote w:id="46">
    <w:p w14:paraId="7918691A" w14:textId="0AB60D41" w:rsidR="002979AF" w:rsidRPr="00DE373E" w:rsidRDefault="002979AF" w:rsidP="002979AF">
      <w:pPr>
        <w:pStyle w:val="Voetnoottekst"/>
        <w:rPr>
          <w:sz w:val="16"/>
          <w:szCs w:val="16"/>
        </w:rPr>
      </w:pPr>
      <w:r w:rsidRPr="00DE373E">
        <w:rPr>
          <w:rStyle w:val="Voetnootmarkering"/>
          <w:sz w:val="16"/>
          <w:szCs w:val="16"/>
        </w:rPr>
        <w:footnoteRef/>
      </w:r>
      <w:r w:rsidRPr="00DE373E">
        <w:rPr>
          <w:sz w:val="16"/>
          <w:szCs w:val="16"/>
        </w:rPr>
        <w:t xml:space="preserve"> Kamerstukken II 2024/25, 36600, nr. 81</w:t>
      </w:r>
    </w:p>
  </w:footnote>
  <w:footnote w:id="47">
    <w:p w14:paraId="3884FE36" w14:textId="05273D93" w:rsidR="002979AF" w:rsidRPr="00DE373E" w:rsidRDefault="002979AF" w:rsidP="002979AF">
      <w:pPr>
        <w:pStyle w:val="Voetnoottekst"/>
        <w:rPr>
          <w:sz w:val="16"/>
          <w:szCs w:val="16"/>
        </w:rPr>
      </w:pPr>
      <w:r w:rsidRPr="00DE373E">
        <w:rPr>
          <w:rStyle w:val="Voetnootmarkering"/>
          <w:sz w:val="16"/>
          <w:szCs w:val="16"/>
        </w:rPr>
        <w:footnoteRef/>
      </w:r>
      <w:r w:rsidRPr="00DE373E">
        <w:rPr>
          <w:sz w:val="16"/>
          <w:szCs w:val="16"/>
        </w:rPr>
        <w:t xml:space="preserve"> Kamerstukken II 2024/25, 29628, nr. 1277, bijlage 1200262.</w:t>
      </w:r>
    </w:p>
  </w:footnote>
  <w:footnote w:id="48">
    <w:p w14:paraId="46D0A1F5" w14:textId="77777777" w:rsidR="00F83354" w:rsidRPr="005733DF" w:rsidRDefault="00F83354" w:rsidP="00F83354">
      <w:pPr>
        <w:pStyle w:val="Voetnoottekst"/>
        <w:rPr>
          <w:sz w:val="16"/>
          <w:szCs w:val="16"/>
        </w:rPr>
      </w:pPr>
      <w:r w:rsidRPr="005733DF">
        <w:rPr>
          <w:rStyle w:val="Voetnootmarkering"/>
          <w:sz w:val="16"/>
          <w:szCs w:val="16"/>
        </w:rPr>
        <w:footnoteRef/>
      </w:r>
      <w:r w:rsidRPr="005733DF">
        <w:rPr>
          <w:sz w:val="16"/>
          <w:szCs w:val="16"/>
        </w:rPr>
        <w:t xml:space="preserve"> Kamerstukken II 2024/25, TZ202507, nr. 014</w:t>
      </w:r>
    </w:p>
  </w:footnote>
  <w:footnote w:id="49">
    <w:p w14:paraId="420C0D97" w14:textId="48F7A86A" w:rsidR="00CF2E43" w:rsidRPr="00DE373E" w:rsidRDefault="00CF2E43" w:rsidP="00CF2E43">
      <w:pPr>
        <w:pStyle w:val="Voetnoottekst"/>
        <w:rPr>
          <w:sz w:val="16"/>
          <w:szCs w:val="16"/>
        </w:rPr>
      </w:pPr>
      <w:r w:rsidRPr="00DE373E">
        <w:rPr>
          <w:rStyle w:val="Voetnootmarkering"/>
          <w:sz w:val="16"/>
          <w:szCs w:val="16"/>
        </w:rPr>
        <w:footnoteRef/>
      </w:r>
      <w:r w:rsidRPr="00DE373E">
        <w:rPr>
          <w:sz w:val="16"/>
          <w:szCs w:val="16"/>
        </w:rPr>
        <w:t xml:space="preserve"> Kamerstukken II 2024</w:t>
      </w:r>
      <w:r w:rsidR="00657F82" w:rsidRPr="00DE373E">
        <w:rPr>
          <w:sz w:val="16"/>
          <w:szCs w:val="16"/>
        </w:rPr>
        <w:t>/</w:t>
      </w:r>
      <w:r w:rsidRPr="00DE373E">
        <w:rPr>
          <w:sz w:val="16"/>
          <w:szCs w:val="16"/>
        </w:rPr>
        <w:t>25</w:t>
      </w:r>
      <w:r w:rsidR="00657F82" w:rsidRPr="00DE373E">
        <w:rPr>
          <w:sz w:val="16"/>
          <w:szCs w:val="16"/>
        </w:rPr>
        <w:t xml:space="preserve">, </w:t>
      </w:r>
      <w:r w:rsidRPr="00DE373E">
        <w:rPr>
          <w:sz w:val="16"/>
          <w:szCs w:val="16"/>
        </w:rPr>
        <w:t>36264</w:t>
      </w:r>
    </w:p>
  </w:footnote>
  <w:footnote w:id="50">
    <w:p w14:paraId="63723963" w14:textId="6004C3F8" w:rsidR="00CF2E43" w:rsidRPr="00DE373E" w:rsidRDefault="00CF2E43" w:rsidP="00CF2E43">
      <w:pPr>
        <w:pStyle w:val="Voetnoottekst"/>
        <w:rPr>
          <w:sz w:val="16"/>
          <w:szCs w:val="16"/>
        </w:rPr>
      </w:pPr>
      <w:r w:rsidRPr="00DE373E">
        <w:rPr>
          <w:rStyle w:val="Voetnootmarkering"/>
          <w:sz w:val="16"/>
          <w:szCs w:val="16"/>
        </w:rPr>
        <w:footnoteRef/>
      </w:r>
      <w:r w:rsidRPr="00DE373E">
        <w:rPr>
          <w:sz w:val="16"/>
          <w:szCs w:val="16"/>
        </w:rPr>
        <w:t xml:space="preserve"> </w:t>
      </w:r>
      <w:r w:rsidR="009D5159">
        <w:rPr>
          <w:sz w:val="16"/>
          <w:szCs w:val="16"/>
        </w:rPr>
        <w:t>Kamerstukken II 2024/25, TZ202504, nr. 081</w:t>
      </w:r>
    </w:p>
  </w:footnote>
  <w:footnote w:id="51">
    <w:p w14:paraId="30107B82" w14:textId="31DEFCA7" w:rsidR="00CF2E43" w:rsidRPr="00DE373E" w:rsidRDefault="00CF2E43" w:rsidP="00CF2E43">
      <w:pPr>
        <w:pStyle w:val="Voetnoottekst"/>
        <w:rPr>
          <w:sz w:val="16"/>
          <w:szCs w:val="16"/>
        </w:rPr>
      </w:pPr>
      <w:r w:rsidRPr="00DE373E">
        <w:rPr>
          <w:rStyle w:val="Voetnootmarkering"/>
          <w:sz w:val="16"/>
          <w:szCs w:val="16"/>
        </w:rPr>
        <w:footnoteRef/>
      </w:r>
      <w:r w:rsidRPr="00DE373E">
        <w:rPr>
          <w:sz w:val="16"/>
          <w:szCs w:val="16"/>
        </w:rPr>
        <w:t xml:space="preserve"> </w:t>
      </w:r>
      <w:r w:rsidR="009D5159">
        <w:rPr>
          <w:sz w:val="16"/>
          <w:szCs w:val="16"/>
        </w:rPr>
        <w:t>Kamerstukken II 2024/25, 29628, nr. 1277</w:t>
      </w:r>
    </w:p>
  </w:footnote>
  <w:footnote w:id="52">
    <w:p w14:paraId="035EFD53" w14:textId="6C376AE1" w:rsidR="00CF2E43" w:rsidRPr="00DE373E" w:rsidRDefault="00CF2E43" w:rsidP="00CF2E43">
      <w:pPr>
        <w:pStyle w:val="Voetnoottekst"/>
        <w:rPr>
          <w:sz w:val="16"/>
          <w:szCs w:val="16"/>
        </w:rPr>
      </w:pPr>
      <w:r w:rsidRPr="00DE373E">
        <w:rPr>
          <w:rStyle w:val="Voetnootmarkering"/>
          <w:sz w:val="16"/>
          <w:szCs w:val="16"/>
        </w:rPr>
        <w:footnoteRef/>
      </w:r>
      <w:r w:rsidRPr="00DE373E">
        <w:rPr>
          <w:sz w:val="16"/>
          <w:szCs w:val="16"/>
        </w:rPr>
        <w:t xml:space="preserve"> </w:t>
      </w:r>
      <w:r w:rsidR="009D5159" w:rsidRPr="005733DF">
        <w:rPr>
          <w:sz w:val="16"/>
          <w:szCs w:val="16"/>
        </w:rPr>
        <w:t>Kamerstukken II 2024/25, 36600, nr. 81</w:t>
      </w:r>
    </w:p>
  </w:footnote>
  <w:footnote w:id="53">
    <w:p w14:paraId="25821E1E" w14:textId="528F5A4C" w:rsidR="00480F4E" w:rsidRPr="00DE373E" w:rsidRDefault="00480F4E" w:rsidP="00480F4E">
      <w:pPr>
        <w:pStyle w:val="Voetnoottekst"/>
        <w:rPr>
          <w:sz w:val="16"/>
          <w:szCs w:val="16"/>
        </w:rPr>
      </w:pPr>
      <w:r w:rsidRPr="00DE373E">
        <w:rPr>
          <w:rStyle w:val="Voetnootmarkering"/>
          <w:sz w:val="16"/>
          <w:szCs w:val="16"/>
        </w:rPr>
        <w:footnoteRef/>
      </w:r>
      <w:r w:rsidRPr="00DE373E">
        <w:rPr>
          <w:sz w:val="16"/>
          <w:szCs w:val="16"/>
        </w:rPr>
        <w:t xml:space="preserve"> </w:t>
      </w:r>
      <w:r w:rsidR="0029065C">
        <w:rPr>
          <w:sz w:val="16"/>
          <w:szCs w:val="16"/>
        </w:rPr>
        <w:t>Kamerstukken II 2025/26, 29628, nr. 1266</w:t>
      </w:r>
    </w:p>
  </w:footnote>
  <w:footnote w:id="54">
    <w:p w14:paraId="0BCA3034" w14:textId="60880853" w:rsidR="00480F4E" w:rsidRPr="00DE373E" w:rsidRDefault="00480F4E" w:rsidP="00480F4E">
      <w:pPr>
        <w:pStyle w:val="Voetnoottekst"/>
        <w:rPr>
          <w:sz w:val="16"/>
          <w:szCs w:val="16"/>
        </w:rPr>
      </w:pPr>
      <w:r w:rsidRPr="00DE373E">
        <w:rPr>
          <w:rStyle w:val="Voetnootmarkering"/>
          <w:sz w:val="16"/>
          <w:szCs w:val="16"/>
        </w:rPr>
        <w:footnoteRef/>
      </w:r>
      <w:r w:rsidRPr="00DE373E">
        <w:rPr>
          <w:sz w:val="16"/>
          <w:szCs w:val="16"/>
        </w:rPr>
        <w:t xml:space="preserve"> Kamerstuk</w:t>
      </w:r>
      <w:r w:rsidR="0029065C">
        <w:rPr>
          <w:sz w:val="16"/>
          <w:szCs w:val="16"/>
        </w:rPr>
        <w:t>ken II 2024/25, TZ202504, nr. 123</w:t>
      </w:r>
    </w:p>
  </w:footnote>
  <w:footnote w:id="55">
    <w:p w14:paraId="62A90FC3" w14:textId="77777777" w:rsidR="005A0A37" w:rsidRPr="00DE373E" w:rsidRDefault="005A0A37" w:rsidP="005A0A37">
      <w:pPr>
        <w:pStyle w:val="Voetnoottekst"/>
        <w:rPr>
          <w:sz w:val="16"/>
          <w:szCs w:val="16"/>
        </w:rPr>
      </w:pPr>
      <w:r w:rsidRPr="00DE373E">
        <w:rPr>
          <w:rStyle w:val="Voetnootmarkering"/>
          <w:sz w:val="16"/>
          <w:szCs w:val="16"/>
        </w:rPr>
        <w:footnoteRef/>
      </w:r>
      <w:r w:rsidRPr="00DE373E">
        <w:rPr>
          <w:sz w:val="16"/>
          <w:szCs w:val="16"/>
        </w:rPr>
        <w:t xml:space="preserve"> </w:t>
      </w:r>
      <w:r w:rsidRPr="00F32179">
        <w:rPr>
          <w:sz w:val="16"/>
          <w:szCs w:val="16"/>
        </w:rPr>
        <w:t>K</w:t>
      </w:r>
      <w:r w:rsidRPr="00DE373E">
        <w:rPr>
          <w:sz w:val="16"/>
          <w:szCs w:val="16"/>
        </w:rPr>
        <w:t>amerstuk</w:t>
      </w:r>
      <w:r w:rsidRPr="00F32179">
        <w:rPr>
          <w:sz w:val="16"/>
          <w:szCs w:val="16"/>
        </w:rPr>
        <w:t>ken II 2024/25, 29628, nr. 1266</w:t>
      </w:r>
    </w:p>
  </w:footnote>
  <w:footnote w:id="56">
    <w:p w14:paraId="18133809" w14:textId="2315FB34" w:rsidR="00EE4C18" w:rsidRPr="00DE373E" w:rsidRDefault="00EE4C18" w:rsidP="00EE4C18">
      <w:pPr>
        <w:pStyle w:val="Voetnoottekst"/>
        <w:rPr>
          <w:sz w:val="16"/>
          <w:szCs w:val="16"/>
        </w:rPr>
      </w:pPr>
      <w:r w:rsidRPr="00DE373E">
        <w:rPr>
          <w:rStyle w:val="Voetnootmarkering"/>
          <w:sz w:val="16"/>
          <w:szCs w:val="16"/>
        </w:rPr>
        <w:footnoteRef/>
      </w:r>
      <w:r w:rsidRPr="00DE373E">
        <w:rPr>
          <w:sz w:val="16"/>
          <w:szCs w:val="16"/>
        </w:rPr>
        <w:t xml:space="preserve"> Kamerstuk</w:t>
      </w:r>
      <w:r w:rsidR="00F32179" w:rsidRPr="00F32179">
        <w:rPr>
          <w:sz w:val="16"/>
          <w:szCs w:val="16"/>
        </w:rPr>
        <w:t xml:space="preserve">ken II 2024/25, </w:t>
      </w:r>
      <w:r w:rsidRPr="00DE373E">
        <w:rPr>
          <w:sz w:val="16"/>
          <w:szCs w:val="16"/>
        </w:rPr>
        <w:t>29754</w:t>
      </w:r>
      <w:r w:rsidR="00F32179" w:rsidRPr="00F32179">
        <w:rPr>
          <w:sz w:val="16"/>
          <w:szCs w:val="16"/>
        </w:rPr>
        <w:t xml:space="preserve">, nr. </w:t>
      </w:r>
      <w:r w:rsidRPr="00DE373E">
        <w:rPr>
          <w:sz w:val="16"/>
          <w:szCs w:val="16"/>
        </w:rPr>
        <w:t xml:space="preserve">733 en </w:t>
      </w:r>
      <w:r w:rsidR="00F32179" w:rsidRPr="00F32179">
        <w:rPr>
          <w:sz w:val="16"/>
          <w:szCs w:val="16"/>
        </w:rPr>
        <w:t>Kamerstukken II 2024/25,</w:t>
      </w:r>
      <w:r w:rsidRPr="00DE373E">
        <w:rPr>
          <w:sz w:val="16"/>
          <w:szCs w:val="16"/>
        </w:rPr>
        <w:t xml:space="preserve"> 29628</w:t>
      </w:r>
      <w:r w:rsidR="00F32179" w:rsidRPr="00F32179">
        <w:rPr>
          <w:sz w:val="16"/>
          <w:szCs w:val="16"/>
        </w:rPr>
        <w:t>, nr.</w:t>
      </w:r>
      <w:r w:rsidRPr="00DE373E">
        <w:rPr>
          <w:sz w:val="16"/>
          <w:szCs w:val="16"/>
        </w:rPr>
        <w:t xml:space="preserve">1277 </w:t>
      </w:r>
    </w:p>
  </w:footnote>
  <w:footnote w:id="57">
    <w:p w14:paraId="34598138" w14:textId="7CF45AF2" w:rsidR="00EE4C18" w:rsidRPr="00DE373E" w:rsidRDefault="00EE4C18" w:rsidP="00EE4C18">
      <w:pPr>
        <w:pStyle w:val="Voetnoottekst"/>
        <w:rPr>
          <w:sz w:val="16"/>
          <w:szCs w:val="16"/>
        </w:rPr>
      </w:pPr>
      <w:r w:rsidRPr="00DE373E">
        <w:rPr>
          <w:rStyle w:val="Voetnootmarkering"/>
          <w:sz w:val="16"/>
          <w:szCs w:val="16"/>
        </w:rPr>
        <w:footnoteRef/>
      </w:r>
      <w:r w:rsidR="00F32179">
        <w:rPr>
          <w:sz w:val="16"/>
          <w:szCs w:val="16"/>
        </w:rPr>
        <w:t xml:space="preserve"> </w:t>
      </w:r>
      <w:r w:rsidRPr="00DE373E">
        <w:rPr>
          <w:sz w:val="16"/>
          <w:szCs w:val="16"/>
        </w:rPr>
        <w:t>Kamerstuk</w:t>
      </w:r>
      <w:r w:rsidR="00F32179">
        <w:rPr>
          <w:sz w:val="16"/>
          <w:szCs w:val="16"/>
        </w:rPr>
        <w:t xml:space="preserve">ken II 2023/24, </w:t>
      </w:r>
      <w:r w:rsidRPr="00DE373E">
        <w:rPr>
          <w:sz w:val="16"/>
          <w:szCs w:val="16"/>
        </w:rPr>
        <w:t>29628</w:t>
      </w:r>
      <w:r w:rsidR="00F32179">
        <w:rPr>
          <w:sz w:val="16"/>
          <w:szCs w:val="16"/>
        </w:rPr>
        <w:t xml:space="preserve">, nr. </w:t>
      </w:r>
      <w:r w:rsidRPr="00DE373E">
        <w:rPr>
          <w:sz w:val="16"/>
          <w:szCs w:val="16"/>
        </w:rPr>
        <w:t xml:space="preserve">1193 </w:t>
      </w:r>
    </w:p>
  </w:footnote>
  <w:footnote w:id="58">
    <w:p w14:paraId="68BF13EA" w14:textId="77777777" w:rsidR="00EE4C18" w:rsidRPr="00DE373E" w:rsidRDefault="00EE4C18" w:rsidP="00EE4C18">
      <w:pPr>
        <w:pStyle w:val="Voetnoottekst"/>
        <w:rPr>
          <w:sz w:val="16"/>
          <w:szCs w:val="16"/>
        </w:rPr>
      </w:pPr>
      <w:r w:rsidRPr="00DE373E">
        <w:rPr>
          <w:rStyle w:val="Voetnootmarkering"/>
          <w:sz w:val="16"/>
          <w:szCs w:val="16"/>
        </w:rPr>
        <w:footnoteRef/>
      </w:r>
      <w:r w:rsidRPr="00DE373E">
        <w:rPr>
          <w:sz w:val="16"/>
          <w:szCs w:val="16"/>
        </w:rPr>
        <w:t xml:space="preserve"> </w:t>
      </w:r>
      <w:bookmarkStart w:id="61" w:name="_Hlk213939033"/>
      <w:r w:rsidRPr="00DE373E">
        <w:rPr>
          <w:sz w:val="16"/>
          <w:szCs w:val="16"/>
        </w:rPr>
        <w:t xml:space="preserve">IJenV heeft geen wettelijke grondslag voor toezicht op de inlichtingen- en veiligheidsdiensten, gemeenten, Koninklijke Marechaussee en Openbaar Ministerie (er is wel een afstemmingsprotocol Inspectie JenV – OM)). </w:t>
      </w:r>
      <w:bookmarkEnd w:id="61"/>
    </w:p>
  </w:footnote>
  <w:footnote w:id="59">
    <w:p w14:paraId="056BD84B" w14:textId="7632D36E" w:rsidR="00EE4C18" w:rsidRPr="00DE373E" w:rsidRDefault="00EE4C18" w:rsidP="00EE4C18">
      <w:pPr>
        <w:pStyle w:val="Voetnoottekst"/>
        <w:rPr>
          <w:sz w:val="16"/>
          <w:szCs w:val="16"/>
        </w:rPr>
      </w:pPr>
      <w:r w:rsidRPr="00DE373E">
        <w:rPr>
          <w:rStyle w:val="Voetnootmarkering"/>
          <w:sz w:val="16"/>
          <w:szCs w:val="16"/>
        </w:rPr>
        <w:footnoteRef/>
      </w:r>
      <w:r w:rsidRPr="00DE373E">
        <w:rPr>
          <w:sz w:val="16"/>
          <w:szCs w:val="16"/>
        </w:rPr>
        <w:t xml:space="preserve"> Dit zijn signaleringen van personen met het oog op onopvallende controles, </w:t>
      </w:r>
      <w:r w:rsidRPr="00DE373E">
        <w:rPr>
          <w:sz w:val="16"/>
          <w:szCs w:val="16"/>
        </w:rPr>
        <w:t>onderzoekscontrole of gerichte controles is toegestaan met het oog op de voorkoming, de opsporing, het onderzoek of de vervolging van strafbare feiten, met het oog op de tenuitvoerlegging van een strafrechtelijk vonnis en ter voorkoming van gevaar voor de openbare veiligheid. Zie voor een uitgebreide uitleg de Vero</w:t>
      </w:r>
      <w:r w:rsidR="00F32179">
        <w:rPr>
          <w:sz w:val="16"/>
          <w:szCs w:val="16"/>
        </w:rPr>
        <w:t>r</w:t>
      </w:r>
      <w:r w:rsidRPr="00DE373E">
        <w:rPr>
          <w:sz w:val="16"/>
          <w:szCs w:val="16"/>
        </w:rPr>
        <w:t xml:space="preserve">dening (EU) nr. 2018/1862. </w:t>
      </w:r>
    </w:p>
  </w:footnote>
  <w:footnote w:id="60">
    <w:p w14:paraId="15557863" w14:textId="5F254AFA" w:rsidR="00EE4C18" w:rsidRPr="00DE373E" w:rsidRDefault="00EE4C18" w:rsidP="00EE4C18">
      <w:pPr>
        <w:pStyle w:val="Voetnoottekst"/>
        <w:rPr>
          <w:sz w:val="16"/>
          <w:szCs w:val="16"/>
        </w:rPr>
      </w:pPr>
      <w:r w:rsidRPr="00DE373E">
        <w:rPr>
          <w:rStyle w:val="Voetnootmarkering"/>
          <w:sz w:val="16"/>
          <w:szCs w:val="16"/>
        </w:rPr>
        <w:footnoteRef/>
      </w:r>
      <w:r w:rsidRPr="00DE373E">
        <w:rPr>
          <w:sz w:val="16"/>
          <w:szCs w:val="16"/>
        </w:rPr>
        <w:t xml:space="preserve"> </w:t>
      </w:r>
      <w:r w:rsidR="00F32179">
        <w:rPr>
          <w:sz w:val="16"/>
          <w:szCs w:val="16"/>
        </w:rPr>
        <w:t xml:space="preserve">Kamerstukken II 2023/24, </w:t>
      </w:r>
      <w:r w:rsidRPr="00DE373E">
        <w:rPr>
          <w:sz w:val="16"/>
          <w:szCs w:val="16"/>
        </w:rPr>
        <w:t>29628</w:t>
      </w:r>
      <w:r w:rsidR="00F32179">
        <w:rPr>
          <w:sz w:val="16"/>
          <w:szCs w:val="16"/>
        </w:rPr>
        <w:t xml:space="preserve">, nr. </w:t>
      </w:r>
      <w:r w:rsidRPr="00DE373E">
        <w:rPr>
          <w:sz w:val="16"/>
          <w:szCs w:val="16"/>
        </w:rPr>
        <w:t xml:space="preserve">1193 </w:t>
      </w:r>
    </w:p>
  </w:footnote>
  <w:footnote w:id="61">
    <w:p w14:paraId="0AF817DA" w14:textId="68B1927C" w:rsidR="00EE4C18" w:rsidRPr="00DE373E" w:rsidRDefault="00EE4C18" w:rsidP="00EE4C18">
      <w:pPr>
        <w:pStyle w:val="Voetnoottekst"/>
        <w:rPr>
          <w:sz w:val="16"/>
          <w:szCs w:val="16"/>
        </w:rPr>
      </w:pPr>
      <w:r w:rsidRPr="00DE373E">
        <w:rPr>
          <w:rStyle w:val="Voetnootmarkering"/>
          <w:sz w:val="16"/>
          <w:szCs w:val="16"/>
        </w:rPr>
        <w:footnoteRef/>
      </w:r>
      <w:r w:rsidRPr="00DE373E">
        <w:rPr>
          <w:sz w:val="16"/>
          <w:szCs w:val="16"/>
        </w:rPr>
        <w:t xml:space="preserve"> Kamerstuk</w:t>
      </w:r>
      <w:r w:rsidR="00F32179">
        <w:rPr>
          <w:sz w:val="16"/>
          <w:szCs w:val="16"/>
        </w:rPr>
        <w:t xml:space="preserve">ken II 2024/25, </w:t>
      </w:r>
      <w:r w:rsidRPr="00DE373E">
        <w:rPr>
          <w:sz w:val="16"/>
          <w:szCs w:val="16"/>
        </w:rPr>
        <w:t xml:space="preserve">36600 VI, nr. 97 </w:t>
      </w:r>
    </w:p>
  </w:footnote>
  <w:footnote w:id="62">
    <w:p w14:paraId="242F5A43" w14:textId="77777777" w:rsidR="00521942" w:rsidRPr="00F32179" w:rsidRDefault="00521942" w:rsidP="00521942">
      <w:pPr>
        <w:pStyle w:val="Voetnoottekst"/>
        <w:rPr>
          <w:sz w:val="16"/>
          <w:szCs w:val="16"/>
        </w:rPr>
      </w:pPr>
      <w:r w:rsidRPr="00F32179">
        <w:rPr>
          <w:rStyle w:val="Voetnootmarkering"/>
          <w:sz w:val="16"/>
          <w:szCs w:val="16"/>
        </w:rPr>
        <w:footnoteRef/>
      </w:r>
      <w:r w:rsidRPr="00F32179">
        <w:rPr>
          <w:sz w:val="16"/>
          <w:szCs w:val="16"/>
        </w:rPr>
        <w:t xml:space="preserve"> Kamerstukken II 2025/26, 29628, nr. 1287</w:t>
      </w:r>
    </w:p>
  </w:footnote>
  <w:footnote w:id="63">
    <w:p w14:paraId="47A68266" w14:textId="77777777" w:rsidR="00521942" w:rsidRPr="00DE373E" w:rsidRDefault="00521942" w:rsidP="00521942">
      <w:pPr>
        <w:pStyle w:val="Voetnoottekst"/>
        <w:rPr>
          <w:sz w:val="16"/>
          <w:szCs w:val="16"/>
        </w:rPr>
      </w:pPr>
      <w:r w:rsidRPr="00F32179">
        <w:rPr>
          <w:rStyle w:val="Voetnootmarkering"/>
          <w:sz w:val="16"/>
          <w:szCs w:val="16"/>
        </w:rPr>
        <w:footnoteRef/>
      </w:r>
      <w:r w:rsidRPr="00F32179">
        <w:rPr>
          <w:sz w:val="16"/>
          <w:szCs w:val="16"/>
        </w:rPr>
        <w:t xml:space="preserve"> Kamerstukken II, 2018/19, 22628, nr. 38.</w:t>
      </w:r>
    </w:p>
  </w:footnote>
  <w:footnote w:id="64">
    <w:p w14:paraId="49FBF827" w14:textId="77777777" w:rsidR="00D2680A" w:rsidRPr="003258E1" w:rsidRDefault="00D2680A" w:rsidP="00D2680A">
      <w:pPr>
        <w:pStyle w:val="Voetnoottekst"/>
        <w:rPr>
          <w:sz w:val="16"/>
          <w:szCs w:val="16"/>
        </w:rPr>
      </w:pPr>
      <w:r w:rsidRPr="003258E1">
        <w:rPr>
          <w:rStyle w:val="Voetnootmarkering"/>
          <w:sz w:val="16"/>
          <w:szCs w:val="16"/>
        </w:rPr>
        <w:footnoteRef/>
      </w:r>
      <w:r w:rsidRPr="003258E1">
        <w:rPr>
          <w:sz w:val="16"/>
          <w:szCs w:val="16"/>
        </w:rPr>
        <w:t xml:space="preserve"> Het betreft hier de eenheid Landelijke Expertise en Operaties (LX) en de eenheid Landelijke Opsporing en Interventies (LO).</w:t>
      </w:r>
    </w:p>
  </w:footnote>
  <w:footnote w:id="65">
    <w:p w14:paraId="626BBEC4" w14:textId="77777777" w:rsidR="00D2680A" w:rsidRPr="003258E1" w:rsidRDefault="00D2680A" w:rsidP="00D2680A">
      <w:pPr>
        <w:pStyle w:val="Voetnoottekst"/>
        <w:rPr>
          <w:sz w:val="18"/>
          <w:szCs w:val="18"/>
        </w:rPr>
      </w:pPr>
      <w:r w:rsidRPr="003258E1">
        <w:rPr>
          <w:rStyle w:val="Voetnootmarkering"/>
          <w:sz w:val="16"/>
          <w:szCs w:val="16"/>
        </w:rPr>
        <w:footnoteRef/>
      </w:r>
      <w:r w:rsidRPr="003258E1">
        <w:rPr>
          <w:sz w:val="16"/>
          <w:szCs w:val="16"/>
        </w:rPr>
        <w:t xml:space="preserve"> Kamerstukken II, 2024/25, 29 628, nr. 1227</w:t>
      </w:r>
      <w:r w:rsidRPr="003258E1">
        <w:rPr>
          <w:sz w:val="18"/>
          <w:szCs w:val="18"/>
        </w:rPr>
        <w:t xml:space="preserve"> </w:t>
      </w:r>
    </w:p>
  </w:footnote>
  <w:footnote w:id="66">
    <w:p w14:paraId="1FFDFA6F" w14:textId="2ECD3E38" w:rsidR="00154E5D" w:rsidRPr="00DE373E" w:rsidRDefault="00154E5D">
      <w:pPr>
        <w:pStyle w:val="Voetnoottekst"/>
        <w:rPr>
          <w:sz w:val="16"/>
          <w:szCs w:val="16"/>
        </w:rPr>
      </w:pPr>
      <w:r w:rsidRPr="00DE373E">
        <w:rPr>
          <w:rStyle w:val="Voetnootmarkering"/>
          <w:sz w:val="16"/>
          <w:szCs w:val="16"/>
        </w:rPr>
        <w:footnoteRef/>
      </w:r>
      <w:r w:rsidRPr="00DE373E">
        <w:rPr>
          <w:sz w:val="16"/>
          <w:szCs w:val="16"/>
        </w:rPr>
        <w:t xml:space="preserve"> Kamerstukken II 2022/23, TZ202210, nr. 185 </w:t>
      </w:r>
    </w:p>
  </w:footnote>
  <w:footnote w:id="67">
    <w:p w14:paraId="6C570DBC" w14:textId="776EF153" w:rsidR="00EE58AC" w:rsidRPr="00DE373E" w:rsidRDefault="00EE58AC" w:rsidP="00EE58AC">
      <w:pPr>
        <w:pStyle w:val="Voetnoottekst"/>
        <w:rPr>
          <w:sz w:val="16"/>
          <w:szCs w:val="16"/>
        </w:rPr>
      </w:pPr>
      <w:r w:rsidRPr="00DE373E">
        <w:rPr>
          <w:rStyle w:val="Voetnootmarkering"/>
          <w:sz w:val="16"/>
          <w:szCs w:val="16"/>
        </w:rPr>
        <w:footnoteRef/>
      </w:r>
      <w:r w:rsidRPr="00DE373E">
        <w:rPr>
          <w:sz w:val="16"/>
          <w:szCs w:val="16"/>
        </w:rPr>
        <w:t xml:space="preserve"> Kamerstukken </w:t>
      </w:r>
      <w:r w:rsidR="00247A53">
        <w:rPr>
          <w:sz w:val="16"/>
          <w:szCs w:val="16"/>
        </w:rPr>
        <w:t>II</w:t>
      </w:r>
      <w:r w:rsidRPr="00DE373E">
        <w:rPr>
          <w:sz w:val="16"/>
          <w:szCs w:val="16"/>
        </w:rPr>
        <w:t xml:space="preserve"> 20</w:t>
      </w:r>
      <w:r w:rsidR="00417637">
        <w:rPr>
          <w:sz w:val="16"/>
          <w:szCs w:val="16"/>
        </w:rPr>
        <w:t>22/23</w:t>
      </w:r>
      <w:r w:rsidRPr="00DE373E">
        <w:rPr>
          <w:sz w:val="16"/>
          <w:szCs w:val="16"/>
        </w:rPr>
        <w:t>, 33033, nr. 37.</w:t>
      </w:r>
    </w:p>
  </w:footnote>
  <w:footnote w:id="68">
    <w:p w14:paraId="62B6D5C3" w14:textId="09605942" w:rsidR="00EE58AC" w:rsidRPr="00DE373E" w:rsidRDefault="00EE58AC" w:rsidP="00EE58AC">
      <w:pPr>
        <w:pStyle w:val="Voetnoottekst"/>
        <w:rPr>
          <w:sz w:val="16"/>
          <w:szCs w:val="16"/>
        </w:rPr>
      </w:pPr>
      <w:r w:rsidRPr="00DE373E">
        <w:rPr>
          <w:rStyle w:val="Voetnootmarkering"/>
          <w:sz w:val="16"/>
          <w:szCs w:val="16"/>
        </w:rPr>
        <w:footnoteRef/>
      </w:r>
      <w:r w:rsidRPr="00DE373E">
        <w:rPr>
          <w:sz w:val="16"/>
          <w:szCs w:val="16"/>
        </w:rPr>
        <w:t xml:space="preserve"> Kamerstukken </w:t>
      </w:r>
      <w:r w:rsidR="00247A53">
        <w:rPr>
          <w:sz w:val="16"/>
          <w:szCs w:val="16"/>
        </w:rPr>
        <w:t>II</w:t>
      </w:r>
      <w:r w:rsidRPr="00DE373E">
        <w:rPr>
          <w:sz w:val="16"/>
          <w:szCs w:val="16"/>
        </w:rPr>
        <w:t xml:space="preserve"> 2023</w:t>
      </w:r>
      <w:r w:rsidR="00417637">
        <w:rPr>
          <w:sz w:val="16"/>
          <w:szCs w:val="16"/>
        </w:rPr>
        <w:t>/</w:t>
      </w:r>
      <w:r w:rsidRPr="00DE373E">
        <w:rPr>
          <w:sz w:val="16"/>
          <w:szCs w:val="16"/>
        </w:rPr>
        <w:t>24, 29628, nr. 1193, bijlage 2.</w:t>
      </w:r>
    </w:p>
  </w:footnote>
  <w:footnote w:id="69">
    <w:p w14:paraId="2A26DA91" w14:textId="21B651F9" w:rsidR="00EE4590" w:rsidRPr="00DE373E" w:rsidRDefault="00EE4590">
      <w:pPr>
        <w:pStyle w:val="Voetnoottekst"/>
        <w:rPr>
          <w:sz w:val="16"/>
          <w:szCs w:val="16"/>
        </w:rPr>
      </w:pPr>
      <w:r w:rsidRPr="00DE373E">
        <w:rPr>
          <w:rStyle w:val="Voetnootmarkering"/>
          <w:sz w:val="16"/>
          <w:szCs w:val="16"/>
        </w:rPr>
        <w:footnoteRef/>
      </w:r>
      <w:r w:rsidRPr="00DE373E">
        <w:rPr>
          <w:sz w:val="16"/>
          <w:szCs w:val="16"/>
        </w:rPr>
        <w:t xml:space="preserve"> Kamerstukken II 2024/25, 2025D21522</w:t>
      </w:r>
    </w:p>
  </w:footnote>
  <w:footnote w:id="70">
    <w:p w14:paraId="5F221B6B" w14:textId="084A828C" w:rsidR="00996A9A" w:rsidRDefault="00996A9A">
      <w:pPr>
        <w:pStyle w:val="Voetnoottekst"/>
      </w:pPr>
      <w:r>
        <w:rPr>
          <w:rStyle w:val="Voetnootmarkering"/>
        </w:rPr>
        <w:footnoteRef/>
      </w:r>
      <w:r>
        <w:t xml:space="preserve"> </w:t>
      </w:r>
      <w:r>
        <w:rPr>
          <w:sz w:val="16"/>
          <w:szCs w:val="16"/>
        </w:rPr>
        <w:t>Kamerstukken II 2024/5, 29628, nr. 1254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1FC1" w14:textId="77777777" w:rsidR="0011251A" w:rsidRDefault="004450DB">
    <w:r>
      <w:rPr>
        <w:noProof/>
      </w:rPr>
      <mc:AlternateContent>
        <mc:Choice Requires="wps">
          <w:drawing>
            <wp:anchor distT="0" distB="0" distL="0" distR="0" simplePos="0" relativeHeight="251652096" behindDoc="0" locked="1" layoutInCell="1" allowOverlap="1" wp14:anchorId="432716DD" wp14:editId="4DA4E9D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6EFE26" w14:textId="77777777" w:rsidR="0011251A" w:rsidRDefault="004450DB">
                          <w:pPr>
                            <w:pStyle w:val="Referentiegegevensbold"/>
                          </w:pPr>
                          <w:r>
                            <w:t>Directoraat-Generaal Politie en Veiligheidsregio's</w:t>
                          </w:r>
                        </w:p>
                        <w:p w14:paraId="2418B0C1" w14:textId="77777777" w:rsidR="0011251A" w:rsidRDefault="004450DB">
                          <w:pPr>
                            <w:pStyle w:val="Referentiegegevens"/>
                          </w:pPr>
                          <w:r>
                            <w:t>Portefeuille Politieorganisatie en -Middelen</w:t>
                          </w:r>
                        </w:p>
                        <w:p w14:paraId="62419163" w14:textId="77777777" w:rsidR="0011251A" w:rsidRDefault="0011251A">
                          <w:pPr>
                            <w:pStyle w:val="WitregelW2"/>
                          </w:pPr>
                        </w:p>
                        <w:p w14:paraId="0873626D" w14:textId="77777777" w:rsidR="0011251A" w:rsidRDefault="004450DB">
                          <w:pPr>
                            <w:pStyle w:val="Referentiegegevensbold"/>
                          </w:pPr>
                          <w:r>
                            <w:t>Datum</w:t>
                          </w:r>
                        </w:p>
                        <w:p w14:paraId="4D93B2CF" w14:textId="6A1B65CB" w:rsidR="0011251A" w:rsidRDefault="00000000">
                          <w:pPr>
                            <w:pStyle w:val="Referentiegegevens"/>
                          </w:pPr>
                          <w:sdt>
                            <w:sdtPr>
                              <w:id w:val="-1310085891"/>
                              <w:date w:fullDate="2025-12-10T00:00:00Z">
                                <w:dateFormat w:val="d MMMM yyyy"/>
                                <w:lid w:val="nl"/>
                                <w:storeMappedDataAs w:val="dateTime"/>
                                <w:calendar w:val="gregorian"/>
                              </w:date>
                            </w:sdtPr>
                            <w:sdtContent>
                              <w:r w:rsidR="007D5165">
                                <w:rPr>
                                  <w:lang w:val="nl"/>
                                </w:rPr>
                                <w:t>10 december 2025</w:t>
                              </w:r>
                            </w:sdtContent>
                          </w:sdt>
                        </w:p>
                        <w:p w14:paraId="363F866B" w14:textId="77777777" w:rsidR="0011251A" w:rsidRDefault="0011251A">
                          <w:pPr>
                            <w:pStyle w:val="WitregelW1"/>
                          </w:pPr>
                        </w:p>
                        <w:p w14:paraId="3E147AD5" w14:textId="77777777" w:rsidR="0011251A" w:rsidRDefault="004450DB">
                          <w:pPr>
                            <w:pStyle w:val="Referentiegegevensbold"/>
                          </w:pPr>
                          <w:r>
                            <w:t>Onze referentie</w:t>
                          </w:r>
                        </w:p>
                        <w:p w14:paraId="32B90D8E" w14:textId="77777777" w:rsidR="0011251A" w:rsidRDefault="004450DB">
                          <w:pPr>
                            <w:pStyle w:val="Referentiegegevens"/>
                          </w:pPr>
                          <w:r>
                            <w:t>6882033</w:t>
                          </w:r>
                        </w:p>
                      </w:txbxContent>
                    </wps:txbx>
                    <wps:bodyPr vert="horz" wrap="square" lIns="0" tIns="0" rIns="0" bIns="0" anchor="t" anchorCtr="0"/>
                  </wps:wsp>
                </a:graphicData>
              </a:graphic>
            </wp:anchor>
          </w:drawing>
        </mc:Choice>
        <mc:Fallback>
          <w:pict>
            <v:shapetype w14:anchorId="432716D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36EFE26" w14:textId="77777777" w:rsidR="0011251A" w:rsidRDefault="004450DB">
                    <w:pPr>
                      <w:pStyle w:val="Referentiegegevensbold"/>
                    </w:pPr>
                    <w:r>
                      <w:t>Directoraat-Generaal Politie en Veiligheidsregio's</w:t>
                    </w:r>
                  </w:p>
                  <w:p w14:paraId="2418B0C1" w14:textId="77777777" w:rsidR="0011251A" w:rsidRDefault="004450DB">
                    <w:pPr>
                      <w:pStyle w:val="Referentiegegevens"/>
                    </w:pPr>
                    <w:r>
                      <w:t>Portefeuille Politieorganisatie en -Middelen</w:t>
                    </w:r>
                  </w:p>
                  <w:p w14:paraId="62419163" w14:textId="77777777" w:rsidR="0011251A" w:rsidRDefault="0011251A">
                    <w:pPr>
                      <w:pStyle w:val="WitregelW2"/>
                    </w:pPr>
                  </w:p>
                  <w:p w14:paraId="0873626D" w14:textId="77777777" w:rsidR="0011251A" w:rsidRDefault="004450DB">
                    <w:pPr>
                      <w:pStyle w:val="Referentiegegevensbold"/>
                    </w:pPr>
                    <w:r>
                      <w:t>Datum</w:t>
                    </w:r>
                  </w:p>
                  <w:p w14:paraId="4D93B2CF" w14:textId="6A1B65CB" w:rsidR="0011251A" w:rsidRDefault="00000000">
                    <w:pPr>
                      <w:pStyle w:val="Referentiegegevens"/>
                    </w:pPr>
                    <w:sdt>
                      <w:sdtPr>
                        <w:id w:val="-1310085891"/>
                        <w:date w:fullDate="2025-12-10T00:00:00Z">
                          <w:dateFormat w:val="d MMMM yyyy"/>
                          <w:lid w:val="nl"/>
                          <w:storeMappedDataAs w:val="dateTime"/>
                          <w:calendar w:val="gregorian"/>
                        </w:date>
                      </w:sdtPr>
                      <w:sdtContent>
                        <w:r w:rsidR="007D5165">
                          <w:rPr>
                            <w:lang w:val="nl"/>
                          </w:rPr>
                          <w:t>10 december 2025</w:t>
                        </w:r>
                      </w:sdtContent>
                    </w:sdt>
                  </w:p>
                  <w:p w14:paraId="363F866B" w14:textId="77777777" w:rsidR="0011251A" w:rsidRDefault="0011251A">
                    <w:pPr>
                      <w:pStyle w:val="WitregelW1"/>
                    </w:pPr>
                  </w:p>
                  <w:p w14:paraId="3E147AD5" w14:textId="77777777" w:rsidR="0011251A" w:rsidRDefault="004450DB">
                    <w:pPr>
                      <w:pStyle w:val="Referentiegegevensbold"/>
                    </w:pPr>
                    <w:r>
                      <w:t>Onze referentie</w:t>
                    </w:r>
                  </w:p>
                  <w:p w14:paraId="32B90D8E" w14:textId="77777777" w:rsidR="0011251A" w:rsidRDefault="004450DB">
                    <w:pPr>
                      <w:pStyle w:val="Referentiegegevens"/>
                    </w:pPr>
                    <w:r>
                      <w:t>6882033</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AB9082" wp14:editId="32D395E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898C3F3" w14:textId="77777777" w:rsidR="00E64D4D" w:rsidRDefault="00E64D4D"/>
                      </w:txbxContent>
                    </wps:txbx>
                    <wps:bodyPr vert="horz" wrap="square" lIns="0" tIns="0" rIns="0" bIns="0" anchor="t" anchorCtr="0"/>
                  </wps:wsp>
                </a:graphicData>
              </a:graphic>
            </wp:anchor>
          </w:drawing>
        </mc:Choice>
        <mc:Fallback>
          <w:pict>
            <v:shape w14:anchorId="4AAB9082"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898C3F3"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2BA8F8" wp14:editId="77FE264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BB5333" w14:textId="1F5968F6" w:rsidR="0011251A" w:rsidRDefault="004450DB">
                          <w:pPr>
                            <w:pStyle w:val="Referentiegegevens"/>
                          </w:pPr>
                          <w:r>
                            <w:t xml:space="preserve">Pagina </w:t>
                          </w:r>
                          <w:r>
                            <w:fldChar w:fldCharType="begin"/>
                          </w:r>
                          <w:r>
                            <w:instrText>PAGE</w:instrText>
                          </w:r>
                          <w:r>
                            <w:fldChar w:fldCharType="separate"/>
                          </w:r>
                          <w:r w:rsidR="006C4D97">
                            <w:rPr>
                              <w:noProof/>
                            </w:rPr>
                            <w:t>2</w:t>
                          </w:r>
                          <w:r>
                            <w:fldChar w:fldCharType="end"/>
                          </w:r>
                          <w:r>
                            <w:t xml:space="preserve"> van </w:t>
                          </w:r>
                          <w:r>
                            <w:fldChar w:fldCharType="begin"/>
                          </w:r>
                          <w:r>
                            <w:instrText>NUMPAGES</w:instrText>
                          </w:r>
                          <w:r>
                            <w:fldChar w:fldCharType="separate"/>
                          </w:r>
                          <w:r w:rsidR="00154CCA">
                            <w:rPr>
                              <w:noProof/>
                            </w:rPr>
                            <w:t>1</w:t>
                          </w:r>
                          <w:r>
                            <w:fldChar w:fldCharType="end"/>
                          </w:r>
                        </w:p>
                      </w:txbxContent>
                    </wps:txbx>
                    <wps:bodyPr vert="horz" wrap="square" lIns="0" tIns="0" rIns="0" bIns="0" anchor="t" anchorCtr="0"/>
                  </wps:wsp>
                </a:graphicData>
              </a:graphic>
            </wp:anchor>
          </w:drawing>
        </mc:Choice>
        <mc:Fallback>
          <w:pict>
            <v:shape w14:anchorId="7A2BA8F8"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BB5333" w14:textId="1F5968F6" w:rsidR="0011251A" w:rsidRDefault="004450DB">
                    <w:pPr>
                      <w:pStyle w:val="Referentiegegevens"/>
                    </w:pPr>
                    <w:r>
                      <w:t xml:space="preserve">Pagina </w:t>
                    </w:r>
                    <w:r>
                      <w:fldChar w:fldCharType="begin"/>
                    </w:r>
                    <w:r>
                      <w:instrText>PAGE</w:instrText>
                    </w:r>
                    <w:r>
                      <w:fldChar w:fldCharType="separate"/>
                    </w:r>
                    <w:r w:rsidR="006C4D97">
                      <w:rPr>
                        <w:noProof/>
                      </w:rPr>
                      <w:t>2</w:t>
                    </w:r>
                    <w:r>
                      <w:fldChar w:fldCharType="end"/>
                    </w:r>
                    <w:r>
                      <w:t xml:space="preserve"> van </w:t>
                    </w:r>
                    <w:r>
                      <w:fldChar w:fldCharType="begin"/>
                    </w:r>
                    <w:r>
                      <w:instrText>NUMPAGES</w:instrText>
                    </w:r>
                    <w:r>
                      <w:fldChar w:fldCharType="separate"/>
                    </w:r>
                    <w:r w:rsidR="00154C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10740C" wp14:editId="4E40D7FC">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23663DF" w14:textId="77777777" w:rsidR="00E64D4D" w:rsidRDefault="00E64D4D"/>
                      </w:txbxContent>
                    </wps:txbx>
                    <wps:bodyPr vert="horz" wrap="square" lIns="0" tIns="0" rIns="0" bIns="0" anchor="t" anchorCtr="0"/>
                  </wps:wsp>
                </a:graphicData>
              </a:graphic>
            </wp:anchor>
          </w:drawing>
        </mc:Choice>
        <mc:Fallback>
          <w:pict>
            <v:shape w14:anchorId="6C10740C"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23663DF" w14:textId="77777777" w:rsidR="00E64D4D" w:rsidRDefault="00E64D4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CF8F" w14:textId="77777777" w:rsidR="0011251A" w:rsidRDefault="004450DB">
    <w:pPr>
      <w:spacing w:after="4835" w:line="14" w:lineRule="exact"/>
    </w:pPr>
    <w:r>
      <w:rPr>
        <w:noProof/>
      </w:rPr>
      <mc:AlternateContent>
        <mc:Choice Requires="wps">
          <w:drawing>
            <wp:anchor distT="0" distB="0" distL="0" distR="0" simplePos="0" relativeHeight="251656192" behindDoc="0" locked="1" layoutInCell="1" allowOverlap="1" wp14:anchorId="28AAC07B" wp14:editId="39A6F1AC">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7A99C375" w14:textId="77777777" w:rsidR="00E64D4D" w:rsidRDefault="00E64D4D"/>
                      </w:txbxContent>
                    </wps:txbx>
                    <wps:bodyPr vert="horz" wrap="square" lIns="0" tIns="0" rIns="0" bIns="0" anchor="t" anchorCtr="0"/>
                  </wps:wsp>
                </a:graphicData>
              </a:graphic>
            </wp:anchor>
          </w:drawing>
        </mc:Choice>
        <mc:Fallback>
          <w:pict>
            <v:shapetype w14:anchorId="28AAC07B"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7A99C375"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9215CC" wp14:editId="035B0370">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2291430" w14:textId="77777777" w:rsidR="0011251A" w:rsidRDefault="004450DB">
                          <w:r>
                            <w:t>Moties, toezeggingen en aanvullende verzoeken</w:t>
                          </w:r>
                        </w:p>
                      </w:txbxContent>
                    </wps:txbx>
                    <wps:bodyPr vert="horz" wrap="square" lIns="0" tIns="0" rIns="0" bIns="0" anchor="t" anchorCtr="0"/>
                  </wps:wsp>
                </a:graphicData>
              </a:graphic>
            </wp:anchor>
          </w:drawing>
        </mc:Choice>
        <mc:Fallback>
          <w:pict>
            <v:shape w14:anchorId="549215CC"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2291430" w14:textId="77777777" w:rsidR="0011251A" w:rsidRDefault="004450DB">
                    <w:r>
                      <w:t>Moties, toezeggingen en aanvullende verzoeken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9F885F" wp14:editId="643F968D">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342666" w14:textId="77777777" w:rsidR="0011251A" w:rsidRDefault="004450DB">
                          <w:pPr>
                            <w:pStyle w:val="Referentiegegevensbold"/>
                          </w:pPr>
                          <w:r>
                            <w:t>Directoraat-Generaal Politie en Veiligheidsregio's</w:t>
                          </w:r>
                        </w:p>
                        <w:p w14:paraId="74B1D4DE" w14:textId="77777777" w:rsidR="0011251A" w:rsidRDefault="004450DB">
                          <w:pPr>
                            <w:pStyle w:val="Referentiegegevens"/>
                          </w:pPr>
                          <w:r>
                            <w:t>Portefeuille Politieorganisatie en -Middelen</w:t>
                          </w:r>
                        </w:p>
                        <w:p w14:paraId="6540433B" w14:textId="77777777" w:rsidR="0011251A" w:rsidRDefault="0011251A">
                          <w:pPr>
                            <w:pStyle w:val="WitregelW1"/>
                          </w:pPr>
                        </w:p>
                        <w:p w14:paraId="655B72CB" w14:textId="77777777" w:rsidR="0011251A" w:rsidRDefault="0011251A">
                          <w:pPr>
                            <w:pStyle w:val="WitregelW2"/>
                          </w:pPr>
                        </w:p>
                        <w:p w14:paraId="004FB881" w14:textId="77777777" w:rsidR="0011251A" w:rsidRDefault="004450DB">
                          <w:pPr>
                            <w:pStyle w:val="Referentiegegevensbold"/>
                          </w:pPr>
                          <w:r>
                            <w:t>Onze referentie</w:t>
                          </w:r>
                        </w:p>
                        <w:p w14:paraId="0D65EFC7" w14:textId="77777777" w:rsidR="0011251A" w:rsidRDefault="004450DB">
                          <w:pPr>
                            <w:pStyle w:val="Referentiegegevens"/>
                          </w:pPr>
                          <w:r w:rsidRPr="00B95AC1">
                            <w:t>6882033</w:t>
                          </w:r>
                        </w:p>
                      </w:txbxContent>
                    </wps:txbx>
                    <wps:bodyPr vert="horz" wrap="square" lIns="0" tIns="0" rIns="0" bIns="0" anchor="t" anchorCtr="0"/>
                  </wps:wsp>
                </a:graphicData>
              </a:graphic>
            </wp:anchor>
          </w:drawing>
        </mc:Choice>
        <mc:Fallback>
          <w:pict>
            <v:shape w14:anchorId="559F885F"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D342666" w14:textId="77777777" w:rsidR="0011251A" w:rsidRDefault="004450DB">
                    <w:pPr>
                      <w:pStyle w:val="Referentiegegevensbold"/>
                    </w:pPr>
                    <w:r>
                      <w:t>Directoraat-Generaal Politie en Veiligheidsregio's</w:t>
                    </w:r>
                  </w:p>
                  <w:p w14:paraId="74B1D4DE" w14:textId="77777777" w:rsidR="0011251A" w:rsidRDefault="004450DB">
                    <w:pPr>
                      <w:pStyle w:val="Referentiegegevens"/>
                    </w:pPr>
                    <w:r>
                      <w:t>Portefeuille Politieorganisatie en -Middelen</w:t>
                    </w:r>
                  </w:p>
                  <w:p w14:paraId="6540433B" w14:textId="77777777" w:rsidR="0011251A" w:rsidRDefault="0011251A">
                    <w:pPr>
                      <w:pStyle w:val="WitregelW1"/>
                    </w:pPr>
                  </w:p>
                  <w:p w14:paraId="655B72CB" w14:textId="77777777" w:rsidR="0011251A" w:rsidRDefault="0011251A">
                    <w:pPr>
                      <w:pStyle w:val="WitregelW2"/>
                    </w:pPr>
                  </w:p>
                  <w:p w14:paraId="004FB881" w14:textId="77777777" w:rsidR="0011251A" w:rsidRDefault="004450DB">
                    <w:pPr>
                      <w:pStyle w:val="Referentiegegevensbold"/>
                    </w:pPr>
                    <w:r>
                      <w:t>Onze referentie</w:t>
                    </w:r>
                  </w:p>
                  <w:p w14:paraId="0D65EFC7" w14:textId="77777777" w:rsidR="0011251A" w:rsidRDefault="004450DB">
                    <w:pPr>
                      <w:pStyle w:val="Referentiegegevens"/>
                    </w:pPr>
                    <w:r w:rsidRPr="00B95AC1">
                      <w:t>6882033</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7F8A98" wp14:editId="15F4CE3A">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2043006" w14:textId="77777777" w:rsidR="00E64D4D" w:rsidRDefault="00E64D4D"/>
                      </w:txbxContent>
                    </wps:txbx>
                    <wps:bodyPr vert="horz" wrap="square" lIns="0" tIns="0" rIns="0" bIns="0" anchor="t" anchorCtr="0"/>
                  </wps:wsp>
                </a:graphicData>
              </a:graphic>
            </wp:anchor>
          </w:drawing>
        </mc:Choice>
        <mc:Fallback>
          <w:pict>
            <v:shape w14:anchorId="767F8A98"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2043006"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9834D9" wp14:editId="4930685C">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CE954A" w14:textId="77777777" w:rsidR="0011251A" w:rsidRDefault="004450DB">
                          <w:pPr>
                            <w:pStyle w:val="Referentiegegevens"/>
                          </w:pPr>
                          <w:r>
                            <w:t xml:space="preserve">Pagina </w:t>
                          </w:r>
                          <w:r>
                            <w:fldChar w:fldCharType="begin"/>
                          </w:r>
                          <w:r>
                            <w:instrText>PAGE</w:instrText>
                          </w:r>
                          <w:r>
                            <w:fldChar w:fldCharType="separate"/>
                          </w:r>
                          <w:r w:rsidR="00154CCA">
                            <w:rPr>
                              <w:noProof/>
                            </w:rPr>
                            <w:t>1</w:t>
                          </w:r>
                          <w:r>
                            <w:fldChar w:fldCharType="end"/>
                          </w:r>
                          <w:r>
                            <w:t xml:space="preserve"> van </w:t>
                          </w:r>
                          <w:r>
                            <w:fldChar w:fldCharType="begin"/>
                          </w:r>
                          <w:r>
                            <w:instrText>NUMPAGES</w:instrText>
                          </w:r>
                          <w:r>
                            <w:fldChar w:fldCharType="separate"/>
                          </w:r>
                          <w:r w:rsidR="00154CCA">
                            <w:rPr>
                              <w:noProof/>
                            </w:rPr>
                            <w:t>1</w:t>
                          </w:r>
                          <w:r>
                            <w:fldChar w:fldCharType="end"/>
                          </w:r>
                        </w:p>
                      </w:txbxContent>
                    </wps:txbx>
                    <wps:bodyPr vert="horz" wrap="square" lIns="0" tIns="0" rIns="0" bIns="0" anchor="t" anchorCtr="0"/>
                  </wps:wsp>
                </a:graphicData>
              </a:graphic>
            </wp:anchor>
          </w:drawing>
        </mc:Choice>
        <mc:Fallback>
          <w:pict>
            <v:shape w14:anchorId="6B9834D9"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ACE954A" w14:textId="77777777" w:rsidR="0011251A" w:rsidRDefault="004450DB">
                    <w:pPr>
                      <w:pStyle w:val="Referentiegegevens"/>
                    </w:pPr>
                    <w:r>
                      <w:t xml:space="preserve">Pagina </w:t>
                    </w:r>
                    <w:r>
                      <w:fldChar w:fldCharType="begin"/>
                    </w:r>
                    <w:r>
                      <w:instrText>PAGE</w:instrText>
                    </w:r>
                    <w:r>
                      <w:fldChar w:fldCharType="separate"/>
                    </w:r>
                    <w:r w:rsidR="00154CCA">
                      <w:rPr>
                        <w:noProof/>
                      </w:rPr>
                      <w:t>1</w:t>
                    </w:r>
                    <w:r>
                      <w:fldChar w:fldCharType="end"/>
                    </w:r>
                    <w:r>
                      <w:t xml:space="preserve"> van </w:t>
                    </w:r>
                    <w:r>
                      <w:fldChar w:fldCharType="begin"/>
                    </w:r>
                    <w:r>
                      <w:instrText>NUMPAGES</w:instrText>
                    </w:r>
                    <w:r>
                      <w:fldChar w:fldCharType="separate"/>
                    </w:r>
                    <w:r w:rsidR="00154C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207141" wp14:editId="34A5B0AB">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7D2C09" w14:textId="77777777" w:rsidR="0011251A" w:rsidRDefault="004450DB">
                          <w:pPr>
                            <w:spacing w:line="240" w:lineRule="auto"/>
                          </w:pPr>
                          <w:r>
                            <w:rPr>
                              <w:noProof/>
                            </w:rPr>
                            <w:drawing>
                              <wp:inline distT="0" distB="0" distL="0" distR="0" wp14:anchorId="0634AC52" wp14:editId="2DC3772B">
                                <wp:extent cx="467995" cy="1583865"/>
                                <wp:effectExtent l="0" t="0" r="0" b="0"/>
                                <wp:docPr id="16510606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207141"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F7D2C09" w14:textId="77777777" w:rsidR="0011251A" w:rsidRDefault="004450DB">
                    <w:pPr>
                      <w:spacing w:line="240" w:lineRule="auto"/>
                    </w:pPr>
                    <w:r>
                      <w:rPr>
                        <w:noProof/>
                      </w:rPr>
                      <w:drawing>
                        <wp:inline distT="0" distB="0" distL="0" distR="0" wp14:anchorId="0634AC52" wp14:editId="2DC3772B">
                          <wp:extent cx="467995" cy="1583865"/>
                          <wp:effectExtent l="0" t="0" r="0" b="0"/>
                          <wp:docPr id="16510606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7752BB" wp14:editId="23ADBC22">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D950F3" w14:textId="77777777" w:rsidR="0011251A" w:rsidRDefault="004450DB">
                          <w:pPr>
                            <w:spacing w:line="240" w:lineRule="auto"/>
                          </w:pPr>
                          <w:r>
                            <w:rPr>
                              <w:noProof/>
                            </w:rPr>
                            <w:drawing>
                              <wp:inline distT="0" distB="0" distL="0" distR="0" wp14:anchorId="3EBF7AFF" wp14:editId="52DE6253">
                                <wp:extent cx="2339975" cy="1582834"/>
                                <wp:effectExtent l="0" t="0" r="0" b="0"/>
                                <wp:docPr id="20908091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7752BB"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4D950F3" w14:textId="77777777" w:rsidR="0011251A" w:rsidRDefault="004450DB">
                    <w:pPr>
                      <w:spacing w:line="240" w:lineRule="auto"/>
                    </w:pPr>
                    <w:r>
                      <w:rPr>
                        <w:noProof/>
                      </w:rPr>
                      <w:drawing>
                        <wp:inline distT="0" distB="0" distL="0" distR="0" wp14:anchorId="3EBF7AFF" wp14:editId="52DE6253">
                          <wp:extent cx="2339975" cy="1582834"/>
                          <wp:effectExtent l="0" t="0" r="0" b="0"/>
                          <wp:docPr id="20908091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1722EA" wp14:editId="21A35E8D">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1DB2E032" w14:textId="77777777" w:rsidR="0011251A" w:rsidRDefault="004450DB">
                          <w:pPr>
                            <w:spacing w:line="240" w:lineRule="auto"/>
                          </w:pPr>
                          <w:r>
                            <w:rPr>
                              <w:noProof/>
                            </w:rPr>
                            <w:drawing>
                              <wp:inline distT="0" distB="0" distL="0" distR="0" wp14:anchorId="386EF440" wp14:editId="139D1CE2">
                                <wp:extent cx="1238250" cy="536370"/>
                                <wp:effectExtent l="0" t="0" r="0" b="0"/>
                                <wp:docPr id="277234678"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1722EA"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1DB2E032" w14:textId="77777777" w:rsidR="0011251A" w:rsidRDefault="004450DB">
                    <w:pPr>
                      <w:spacing w:line="240" w:lineRule="auto"/>
                    </w:pPr>
                    <w:r>
                      <w:rPr>
                        <w:noProof/>
                      </w:rPr>
                      <w:drawing>
                        <wp:inline distT="0" distB="0" distL="0" distR="0" wp14:anchorId="386EF440" wp14:editId="139D1CE2">
                          <wp:extent cx="1238250" cy="536370"/>
                          <wp:effectExtent l="0" t="0" r="0" b="0"/>
                          <wp:docPr id="277234678"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936EC"/>
    <w:multiLevelType w:val="multilevel"/>
    <w:tmpl w:val="0F8248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3E78FB"/>
    <w:multiLevelType w:val="multilevel"/>
    <w:tmpl w:val="8A49A9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D6836A"/>
    <w:multiLevelType w:val="multilevel"/>
    <w:tmpl w:val="5763A0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73FBDDE"/>
    <w:multiLevelType w:val="multilevel"/>
    <w:tmpl w:val="D2ECC0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2E6450F"/>
    <w:multiLevelType w:val="hybridMultilevel"/>
    <w:tmpl w:val="EB26B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16463"/>
    <w:multiLevelType w:val="multilevel"/>
    <w:tmpl w:val="B879F5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69B51D1"/>
    <w:multiLevelType w:val="multilevel"/>
    <w:tmpl w:val="19B62A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7913FF3"/>
    <w:multiLevelType w:val="hybridMultilevel"/>
    <w:tmpl w:val="24CCF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DD14AE"/>
    <w:multiLevelType w:val="hybridMultilevel"/>
    <w:tmpl w:val="9E8266C2"/>
    <w:lvl w:ilvl="0" w:tplc="83302BD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713306"/>
    <w:multiLevelType w:val="hybridMultilevel"/>
    <w:tmpl w:val="732CC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6247F5"/>
    <w:multiLevelType w:val="hybridMultilevel"/>
    <w:tmpl w:val="D54C7D32"/>
    <w:lvl w:ilvl="0" w:tplc="7F26748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0D45BF"/>
    <w:multiLevelType w:val="hybridMultilevel"/>
    <w:tmpl w:val="C8F60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8D5910"/>
    <w:multiLevelType w:val="hybridMultilevel"/>
    <w:tmpl w:val="B8D40F28"/>
    <w:lvl w:ilvl="0" w:tplc="85908FB8">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9A47E3"/>
    <w:multiLevelType w:val="hybridMultilevel"/>
    <w:tmpl w:val="4956D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D21DB3"/>
    <w:multiLevelType w:val="hybridMultilevel"/>
    <w:tmpl w:val="1A4C5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5F41B3"/>
    <w:multiLevelType w:val="hybridMultilevel"/>
    <w:tmpl w:val="A49C9560"/>
    <w:lvl w:ilvl="0" w:tplc="B994F312">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617506"/>
    <w:multiLevelType w:val="hybridMultilevel"/>
    <w:tmpl w:val="678CE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F00CEB"/>
    <w:multiLevelType w:val="hybridMultilevel"/>
    <w:tmpl w:val="17022490"/>
    <w:lvl w:ilvl="0" w:tplc="85908FB8">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D46621"/>
    <w:multiLevelType w:val="hybridMultilevel"/>
    <w:tmpl w:val="94F858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48EF2DF5"/>
    <w:multiLevelType w:val="hybridMultilevel"/>
    <w:tmpl w:val="906C2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8B1B49"/>
    <w:multiLevelType w:val="hybridMultilevel"/>
    <w:tmpl w:val="E116C84A"/>
    <w:lvl w:ilvl="0" w:tplc="58EE3B3E">
      <w:start w:val="1"/>
      <w:numFmt w:val="decimal"/>
      <w:lvlText w:val="%1."/>
      <w:lvlJc w:val="left"/>
      <w:pPr>
        <w:ind w:left="1440" w:hanging="360"/>
      </w:pPr>
    </w:lvl>
    <w:lvl w:ilvl="1" w:tplc="280004E4">
      <w:start w:val="1"/>
      <w:numFmt w:val="decimal"/>
      <w:lvlText w:val="%2."/>
      <w:lvlJc w:val="left"/>
      <w:pPr>
        <w:ind w:left="1440" w:hanging="360"/>
      </w:pPr>
    </w:lvl>
    <w:lvl w:ilvl="2" w:tplc="20BC521A">
      <w:start w:val="1"/>
      <w:numFmt w:val="decimal"/>
      <w:lvlText w:val="%3."/>
      <w:lvlJc w:val="left"/>
      <w:pPr>
        <w:ind w:left="1440" w:hanging="360"/>
      </w:pPr>
    </w:lvl>
    <w:lvl w:ilvl="3" w:tplc="314A41D8">
      <w:start w:val="1"/>
      <w:numFmt w:val="decimal"/>
      <w:lvlText w:val="%4."/>
      <w:lvlJc w:val="left"/>
      <w:pPr>
        <w:ind w:left="1440" w:hanging="360"/>
      </w:pPr>
    </w:lvl>
    <w:lvl w:ilvl="4" w:tplc="83640284">
      <w:start w:val="1"/>
      <w:numFmt w:val="decimal"/>
      <w:lvlText w:val="%5."/>
      <w:lvlJc w:val="left"/>
      <w:pPr>
        <w:ind w:left="1440" w:hanging="360"/>
      </w:pPr>
    </w:lvl>
    <w:lvl w:ilvl="5" w:tplc="E670FDAE">
      <w:start w:val="1"/>
      <w:numFmt w:val="decimal"/>
      <w:lvlText w:val="%6."/>
      <w:lvlJc w:val="left"/>
      <w:pPr>
        <w:ind w:left="1440" w:hanging="360"/>
      </w:pPr>
    </w:lvl>
    <w:lvl w:ilvl="6" w:tplc="8F72AC46">
      <w:start w:val="1"/>
      <w:numFmt w:val="decimal"/>
      <w:lvlText w:val="%7."/>
      <w:lvlJc w:val="left"/>
      <w:pPr>
        <w:ind w:left="1440" w:hanging="360"/>
      </w:pPr>
    </w:lvl>
    <w:lvl w:ilvl="7" w:tplc="938E396C">
      <w:start w:val="1"/>
      <w:numFmt w:val="decimal"/>
      <w:lvlText w:val="%8."/>
      <w:lvlJc w:val="left"/>
      <w:pPr>
        <w:ind w:left="1440" w:hanging="360"/>
      </w:pPr>
    </w:lvl>
    <w:lvl w:ilvl="8" w:tplc="4D40DF12">
      <w:start w:val="1"/>
      <w:numFmt w:val="decimal"/>
      <w:lvlText w:val="%9."/>
      <w:lvlJc w:val="left"/>
      <w:pPr>
        <w:ind w:left="1440" w:hanging="360"/>
      </w:pPr>
    </w:lvl>
  </w:abstractNum>
  <w:abstractNum w:abstractNumId="21" w15:restartNumberingAfterBreak="0">
    <w:nsid w:val="579E1065"/>
    <w:multiLevelType w:val="hybridMultilevel"/>
    <w:tmpl w:val="5726B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E35543"/>
    <w:multiLevelType w:val="hybridMultilevel"/>
    <w:tmpl w:val="82C8B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945D13"/>
    <w:multiLevelType w:val="multilevel"/>
    <w:tmpl w:val="CA5EF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9E434E"/>
    <w:multiLevelType w:val="hybridMultilevel"/>
    <w:tmpl w:val="815AF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475D75"/>
    <w:multiLevelType w:val="hybridMultilevel"/>
    <w:tmpl w:val="87F2C1B8"/>
    <w:lvl w:ilvl="0" w:tplc="1F48909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A27578"/>
    <w:multiLevelType w:val="hybridMultilevel"/>
    <w:tmpl w:val="35F2EB00"/>
    <w:lvl w:ilvl="0" w:tplc="CDD4B87E">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9D793E"/>
    <w:multiLevelType w:val="hybridMultilevel"/>
    <w:tmpl w:val="4594C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347346F"/>
    <w:multiLevelType w:val="hybridMultilevel"/>
    <w:tmpl w:val="90686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6FD11A4"/>
    <w:multiLevelType w:val="hybridMultilevel"/>
    <w:tmpl w:val="78BAE6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9828415">
    <w:abstractNumId w:val="2"/>
  </w:num>
  <w:num w:numId="2" w16cid:durableId="274212096">
    <w:abstractNumId w:val="5"/>
  </w:num>
  <w:num w:numId="3" w16cid:durableId="1075778837">
    <w:abstractNumId w:val="6"/>
  </w:num>
  <w:num w:numId="4" w16cid:durableId="484903174">
    <w:abstractNumId w:val="3"/>
  </w:num>
  <w:num w:numId="5" w16cid:durableId="913469915">
    <w:abstractNumId w:val="0"/>
  </w:num>
  <w:num w:numId="6" w16cid:durableId="739519819">
    <w:abstractNumId w:val="1"/>
  </w:num>
  <w:num w:numId="7" w16cid:durableId="1826586329">
    <w:abstractNumId w:val="7"/>
  </w:num>
  <w:num w:numId="8" w16cid:durableId="308364540">
    <w:abstractNumId w:val="8"/>
  </w:num>
  <w:num w:numId="9" w16cid:durableId="569732094">
    <w:abstractNumId w:val="9"/>
  </w:num>
  <w:num w:numId="10" w16cid:durableId="154153984">
    <w:abstractNumId w:val="16"/>
  </w:num>
  <w:num w:numId="11" w16cid:durableId="509373153">
    <w:abstractNumId w:val="29"/>
  </w:num>
  <w:num w:numId="12" w16cid:durableId="218708157">
    <w:abstractNumId w:val="24"/>
  </w:num>
  <w:num w:numId="13" w16cid:durableId="949094257">
    <w:abstractNumId w:val="13"/>
  </w:num>
  <w:num w:numId="14" w16cid:durableId="2120642682">
    <w:abstractNumId w:val="23"/>
  </w:num>
  <w:num w:numId="15" w16cid:durableId="957299878">
    <w:abstractNumId w:val="22"/>
  </w:num>
  <w:num w:numId="16" w16cid:durableId="232467588">
    <w:abstractNumId w:val="27"/>
  </w:num>
  <w:num w:numId="17" w16cid:durableId="1668366770">
    <w:abstractNumId w:val="14"/>
  </w:num>
  <w:num w:numId="18" w16cid:durableId="801460203">
    <w:abstractNumId w:val="17"/>
  </w:num>
  <w:num w:numId="19" w16cid:durableId="1718700839">
    <w:abstractNumId w:val="12"/>
  </w:num>
  <w:num w:numId="20" w16cid:durableId="711002800">
    <w:abstractNumId w:val="20"/>
  </w:num>
  <w:num w:numId="21" w16cid:durableId="361170638">
    <w:abstractNumId w:val="28"/>
  </w:num>
  <w:num w:numId="22" w16cid:durableId="1632899844">
    <w:abstractNumId w:val="11"/>
  </w:num>
  <w:num w:numId="23" w16cid:durableId="449478129">
    <w:abstractNumId w:val="21"/>
  </w:num>
  <w:num w:numId="24" w16cid:durableId="888227455">
    <w:abstractNumId w:val="19"/>
  </w:num>
  <w:num w:numId="25" w16cid:durableId="670834784">
    <w:abstractNumId w:val="18"/>
  </w:num>
  <w:num w:numId="26" w16cid:durableId="1247032620">
    <w:abstractNumId w:val="25"/>
  </w:num>
  <w:num w:numId="27" w16cid:durableId="83845394">
    <w:abstractNumId w:val="10"/>
  </w:num>
  <w:num w:numId="28" w16cid:durableId="1994403989">
    <w:abstractNumId w:val="4"/>
  </w:num>
  <w:num w:numId="29" w16cid:durableId="377976108">
    <w:abstractNumId w:val="15"/>
  </w:num>
  <w:num w:numId="30" w16cid:durableId="16858628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CA"/>
    <w:rsid w:val="00007834"/>
    <w:rsid w:val="00013F16"/>
    <w:rsid w:val="00014C0B"/>
    <w:rsid w:val="00016231"/>
    <w:rsid w:val="00016303"/>
    <w:rsid w:val="00025848"/>
    <w:rsid w:val="000322E5"/>
    <w:rsid w:val="0003793A"/>
    <w:rsid w:val="00056C6C"/>
    <w:rsid w:val="000570E9"/>
    <w:rsid w:val="0005765C"/>
    <w:rsid w:val="0005778A"/>
    <w:rsid w:val="00065841"/>
    <w:rsid w:val="0006648E"/>
    <w:rsid w:val="00066ACC"/>
    <w:rsid w:val="000678B6"/>
    <w:rsid w:val="000710D1"/>
    <w:rsid w:val="00073555"/>
    <w:rsid w:val="00076212"/>
    <w:rsid w:val="0008543D"/>
    <w:rsid w:val="000973FF"/>
    <w:rsid w:val="000A295E"/>
    <w:rsid w:val="000A51F7"/>
    <w:rsid w:val="000A6C88"/>
    <w:rsid w:val="000A797A"/>
    <w:rsid w:val="000B2EFC"/>
    <w:rsid w:val="000B56FC"/>
    <w:rsid w:val="000C02AA"/>
    <w:rsid w:val="000C0C7E"/>
    <w:rsid w:val="000C205C"/>
    <w:rsid w:val="000C3933"/>
    <w:rsid w:val="000C4D7E"/>
    <w:rsid w:val="000C5818"/>
    <w:rsid w:val="000C5B11"/>
    <w:rsid w:val="000C684D"/>
    <w:rsid w:val="000C7A4F"/>
    <w:rsid w:val="000D53CD"/>
    <w:rsid w:val="000E207C"/>
    <w:rsid w:val="000E5640"/>
    <w:rsid w:val="000E5F4F"/>
    <w:rsid w:val="000E7E11"/>
    <w:rsid w:val="000F27B1"/>
    <w:rsid w:val="000F2A0E"/>
    <w:rsid w:val="000F787F"/>
    <w:rsid w:val="001017F4"/>
    <w:rsid w:val="0010381C"/>
    <w:rsid w:val="001041B4"/>
    <w:rsid w:val="001079D2"/>
    <w:rsid w:val="001117B1"/>
    <w:rsid w:val="0011251A"/>
    <w:rsid w:val="001200D1"/>
    <w:rsid w:val="001221F6"/>
    <w:rsid w:val="0012304C"/>
    <w:rsid w:val="00126AB1"/>
    <w:rsid w:val="00137FD5"/>
    <w:rsid w:val="00142641"/>
    <w:rsid w:val="00151BA2"/>
    <w:rsid w:val="00153325"/>
    <w:rsid w:val="00154CCA"/>
    <w:rsid w:val="00154E5D"/>
    <w:rsid w:val="0016135D"/>
    <w:rsid w:val="00166060"/>
    <w:rsid w:val="00173295"/>
    <w:rsid w:val="00181DC9"/>
    <w:rsid w:val="00182208"/>
    <w:rsid w:val="001846A5"/>
    <w:rsid w:val="00186C5C"/>
    <w:rsid w:val="00186CD4"/>
    <w:rsid w:val="00187E83"/>
    <w:rsid w:val="001915A9"/>
    <w:rsid w:val="001950AA"/>
    <w:rsid w:val="001A73A8"/>
    <w:rsid w:val="001B1AE6"/>
    <w:rsid w:val="001C1F79"/>
    <w:rsid w:val="001C3EEA"/>
    <w:rsid w:val="001C7E0B"/>
    <w:rsid w:val="001D0A50"/>
    <w:rsid w:val="001D164E"/>
    <w:rsid w:val="001D3750"/>
    <w:rsid w:val="001D3FC6"/>
    <w:rsid w:val="001D4DEB"/>
    <w:rsid w:val="001D6D5A"/>
    <w:rsid w:val="001D7919"/>
    <w:rsid w:val="001E14B5"/>
    <w:rsid w:val="001E209B"/>
    <w:rsid w:val="001E23FB"/>
    <w:rsid w:val="001F6B7F"/>
    <w:rsid w:val="002004DB"/>
    <w:rsid w:val="00200B72"/>
    <w:rsid w:val="00205795"/>
    <w:rsid w:val="0020684D"/>
    <w:rsid w:val="0020728A"/>
    <w:rsid w:val="00223FE3"/>
    <w:rsid w:val="002241F9"/>
    <w:rsid w:val="002248DE"/>
    <w:rsid w:val="002259CB"/>
    <w:rsid w:val="002305C6"/>
    <w:rsid w:val="00231770"/>
    <w:rsid w:val="00234526"/>
    <w:rsid w:val="00234611"/>
    <w:rsid w:val="00237F0C"/>
    <w:rsid w:val="00242361"/>
    <w:rsid w:val="00242B84"/>
    <w:rsid w:val="00243D30"/>
    <w:rsid w:val="0024491C"/>
    <w:rsid w:val="0024534A"/>
    <w:rsid w:val="002457B7"/>
    <w:rsid w:val="00247A53"/>
    <w:rsid w:val="002504BD"/>
    <w:rsid w:val="002511B5"/>
    <w:rsid w:val="002513FC"/>
    <w:rsid w:val="00253457"/>
    <w:rsid w:val="00254143"/>
    <w:rsid w:val="0025478F"/>
    <w:rsid w:val="00263736"/>
    <w:rsid w:val="00266E49"/>
    <w:rsid w:val="00267BF9"/>
    <w:rsid w:val="00267CBD"/>
    <w:rsid w:val="00270FFA"/>
    <w:rsid w:val="00275182"/>
    <w:rsid w:val="00280AC2"/>
    <w:rsid w:val="002817F1"/>
    <w:rsid w:val="00283393"/>
    <w:rsid w:val="002858F1"/>
    <w:rsid w:val="0029065C"/>
    <w:rsid w:val="00292EE7"/>
    <w:rsid w:val="002979AF"/>
    <w:rsid w:val="002A07AB"/>
    <w:rsid w:val="002A14AA"/>
    <w:rsid w:val="002A18FA"/>
    <w:rsid w:val="002A2A98"/>
    <w:rsid w:val="002A317D"/>
    <w:rsid w:val="002A32FF"/>
    <w:rsid w:val="002A33AD"/>
    <w:rsid w:val="002A405C"/>
    <w:rsid w:val="002A4CF3"/>
    <w:rsid w:val="002A51F9"/>
    <w:rsid w:val="002A684A"/>
    <w:rsid w:val="002A71CC"/>
    <w:rsid w:val="002B08F8"/>
    <w:rsid w:val="002B35C1"/>
    <w:rsid w:val="002B36BC"/>
    <w:rsid w:val="002B5B63"/>
    <w:rsid w:val="002C1F6F"/>
    <w:rsid w:val="002C41E7"/>
    <w:rsid w:val="002D1A36"/>
    <w:rsid w:val="002D1AF5"/>
    <w:rsid w:val="002E03FC"/>
    <w:rsid w:val="002E6AE8"/>
    <w:rsid w:val="002E74A2"/>
    <w:rsid w:val="002F2790"/>
    <w:rsid w:val="002F2CDD"/>
    <w:rsid w:val="002F4DBA"/>
    <w:rsid w:val="002F64F2"/>
    <w:rsid w:val="00306353"/>
    <w:rsid w:val="003122EF"/>
    <w:rsid w:val="003135C4"/>
    <w:rsid w:val="00313891"/>
    <w:rsid w:val="00314335"/>
    <w:rsid w:val="00314654"/>
    <w:rsid w:val="00314C3B"/>
    <w:rsid w:val="0031594B"/>
    <w:rsid w:val="00315BCC"/>
    <w:rsid w:val="003222A5"/>
    <w:rsid w:val="00324E23"/>
    <w:rsid w:val="003252BA"/>
    <w:rsid w:val="003258E1"/>
    <w:rsid w:val="00330753"/>
    <w:rsid w:val="0033319D"/>
    <w:rsid w:val="00335596"/>
    <w:rsid w:val="00335A6D"/>
    <w:rsid w:val="0034013C"/>
    <w:rsid w:val="00345F14"/>
    <w:rsid w:val="00347588"/>
    <w:rsid w:val="00351D21"/>
    <w:rsid w:val="00353462"/>
    <w:rsid w:val="0035411B"/>
    <w:rsid w:val="00362538"/>
    <w:rsid w:val="00363AC4"/>
    <w:rsid w:val="0036434B"/>
    <w:rsid w:val="00365E3B"/>
    <w:rsid w:val="0036790F"/>
    <w:rsid w:val="00367F47"/>
    <w:rsid w:val="00373044"/>
    <w:rsid w:val="00373994"/>
    <w:rsid w:val="0037599D"/>
    <w:rsid w:val="00377AF1"/>
    <w:rsid w:val="00386508"/>
    <w:rsid w:val="00390B15"/>
    <w:rsid w:val="003919DC"/>
    <w:rsid w:val="003944B6"/>
    <w:rsid w:val="003A2D36"/>
    <w:rsid w:val="003B12D0"/>
    <w:rsid w:val="003B1672"/>
    <w:rsid w:val="003B1BA1"/>
    <w:rsid w:val="003B1BE8"/>
    <w:rsid w:val="003C1267"/>
    <w:rsid w:val="003C2C38"/>
    <w:rsid w:val="003C38CE"/>
    <w:rsid w:val="003C4180"/>
    <w:rsid w:val="003C4F60"/>
    <w:rsid w:val="003C7943"/>
    <w:rsid w:val="003D1554"/>
    <w:rsid w:val="003E2161"/>
    <w:rsid w:val="003F0D72"/>
    <w:rsid w:val="003F2BAD"/>
    <w:rsid w:val="003F37D1"/>
    <w:rsid w:val="003F592F"/>
    <w:rsid w:val="00400C5B"/>
    <w:rsid w:val="0040394B"/>
    <w:rsid w:val="004067F9"/>
    <w:rsid w:val="004077CA"/>
    <w:rsid w:val="00411983"/>
    <w:rsid w:val="004153E6"/>
    <w:rsid w:val="004159DE"/>
    <w:rsid w:val="00417637"/>
    <w:rsid w:val="00420A78"/>
    <w:rsid w:val="0042192F"/>
    <w:rsid w:val="00427E69"/>
    <w:rsid w:val="00430BB2"/>
    <w:rsid w:val="004312E8"/>
    <w:rsid w:val="004342F4"/>
    <w:rsid w:val="004346C1"/>
    <w:rsid w:val="004353E9"/>
    <w:rsid w:val="00435698"/>
    <w:rsid w:val="004400F8"/>
    <w:rsid w:val="004407C7"/>
    <w:rsid w:val="00444EFB"/>
    <w:rsid w:val="004450DB"/>
    <w:rsid w:val="00445878"/>
    <w:rsid w:val="00445930"/>
    <w:rsid w:val="00446003"/>
    <w:rsid w:val="0045239C"/>
    <w:rsid w:val="004530D5"/>
    <w:rsid w:val="00460571"/>
    <w:rsid w:val="00461656"/>
    <w:rsid w:val="00464A39"/>
    <w:rsid w:val="004663F9"/>
    <w:rsid w:val="004739D9"/>
    <w:rsid w:val="00474C56"/>
    <w:rsid w:val="00476FA6"/>
    <w:rsid w:val="00480F46"/>
    <w:rsid w:val="00480F4E"/>
    <w:rsid w:val="00483AFC"/>
    <w:rsid w:val="00483BC0"/>
    <w:rsid w:val="0049307F"/>
    <w:rsid w:val="00496916"/>
    <w:rsid w:val="00497C1E"/>
    <w:rsid w:val="004A0D30"/>
    <w:rsid w:val="004A1F2E"/>
    <w:rsid w:val="004B048F"/>
    <w:rsid w:val="004B0595"/>
    <w:rsid w:val="004B0B62"/>
    <w:rsid w:val="004B22AA"/>
    <w:rsid w:val="004B3BBD"/>
    <w:rsid w:val="004B5834"/>
    <w:rsid w:val="004B6248"/>
    <w:rsid w:val="004C5225"/>
    <w:rsid w:val="004C57C8"/>
    <w:rsid w:val="004D2252"/>
    <w:rsid w:val="004D725E"/>
    <w:rsid w:val="004E29B7"/>
    <w:rsid w:val="004E3596"/>
    <w:rsid w:val="004E7010"/>
    <w:rsid w:val="004F291F"/>
    <w:rsid w:val="004F2DA8"/>
    <w:rsid w:val="00502985"/>
    <w:rsid w:val="00505E78"/>
    <w:rsid w:val="00514FE1"/>
    <w:rsid w:val="00515436"/>
    <w:rsid w:val="00516840"/>
    <w:rsid w:val="00516C88"/>
    <w:rsid w:val="00516D7B"/>
    <w:rsid w:val="0051727A"/>
    <w:rsid w:val="00521942"/>
    <w:rsid w:val="0052456D"/>
    <w:rsid w:val="0052486F"/>
    <w:rsid w:val="00531BE1"/>
    <w:rsid w:val="00532754"/>
    <w:rsid w:val="00533137"/>
    <w:rsid w:val="0053332C"/>
    <w:rsid w:val="005410BE"/>
    <w:rsid w:val="00542E99"/>
    <w:rsid w:val="00542F96"/>
    <w:rsid w:val="0054490A"/>
    <w:rsid w:val="005460A0"/>
    <w:rsid w:val="005467D4"/>
    <w:rsid w:val="00560AF8"/>
    <w:rsid w:val="0056107E"/>
    <w:rsid w:val="0056166C"/>
    <w:rsid w:val="00561F97"/>
    <w:rsid w:val="005624D0"/>
    <w:rsid w:val="00571403"/>
    <w:rsid w:val="005736EC"/>
    <w:rsid w:val="005755A7"/>
    <w:rsid w:val="0057597E"/>
    <w:rsid w:val="00575A50"/>
    <w:rsid w:val="0057638F"/>
    <w:rsid w:val="0058257D"/>
    <w:rsid w:val="00583E48"/>
    <w:rsid w:val="005843CC"/>
    <w:rsid w:val="00586460"/>
    <w:rsid w:val="005864AE"/>
    <w:rsid w:val="00590557"/>
    <w:rsid w:val="00590AF9"/>
    <w:rsid w:val="00594112"/>
    <w:rsid w:val="005A0A37"/>
    <w:rsid w:val="005A52AF"/>
    <w:rsid w:val="005A57B4"/>
    <w:rsid w:val="005A78C7"/>
    <w:rsid w:val="005A7E6F"/>
    <w:rsid w:val="005B2C87"/>
    <w:rsid w:val="005C0CAE"/>
    <w:rsid w:val="005D2940"/>
    <w:rsid w:val="005D2D89"/>
    <w:rsid w:val="005E14E3"/>
    <w:rsid w:val="005E1F5C"/>
    <w:rsid w:val="005E539C"/>
    <w:rsid w:val="005F3AC5"/>
    <w:rsid w:val="005F48C9"/>
    <w:rsid w:val="00601A47"/>
    <w:rsid w:val="00602C56"/>
    <w:rsid w:val="00603F3B"/>
    <w:rsid w:val="00610100"/>
    <w:rsid w:val="00610B69"/>
    <w:rsid w:val="00613B0C"/>
    <w:rsid w:val="0061458C"/>
    <w:rsid w:val="00616FCB"/>
    <w:rsid w:val="00620ABA"/>
    <w:rsid w:val="0062143F"/>
    <w:rsid w:val="00622022"/>
    <w:rsid w:val="0062285B"/>
    <w:rsid w:val="00622FCF"/>
    <w:rsid w:val="006238B9"/>
    <w:rsid w:val="00624BC4"/>
    <w:rsid w:val="00625158"/>
    <w:rsid w:val="00625B50"/>
    <w:rsid w:val="0062709D"/>
    <w:rsid w:val="006300BF"/>
    <w:rsid w:val="006313BE"/>
    <w:rsid w:val="00632521"/>
    <w:rsid w:val="006349C5"/>
    <w:rsid w:val="00634C15"/>
    <w:rsid w:val="0064010C"/>
    <w:rsid w:val="00647439"/>
    <w:rsid w:val="0065343F"/>
    <w:rsid w:val="00653B9F"/>
    <w:rsid w:val="00657F82"/>
    <w:rsid w:val="0066743A"/>
    <w:rsid w:val="00671609"/>
    <w:rsid w:val="006717E5"/>
    <w:rsid w:val="00674547"/>
    <w:rsid w:val="00681987"/>
    <w:rsid w:val="00681A0A"/>
    <w:rsid w:val="00687C40"/>
    <w:rsid w:val="006914DC"/>
    <w:rsid w:val="0069763C"/>
    <w:rsid w:val="006A10AD"/>
    <w:rsid w:val="006A1373"/>
    <w:rsid w:val="006A5EE0"/>
    <w:rsid w:val="006A6ED1"/>
    <w:rsid w:val="006A7291"/>
    <w:rsid w:val="006B1E44"/>
    <w:rsid w:val="006B4C73"/>
    <w:rsid w:val="006B7713"/>
    <w:rsid w:val="006C4289"/>
    <w:rsid w:val="006C4D97"/>
    <w:rsid w:val="006D112A"/>
    <w:rsid w:val="006D120D"/>
    <w:rsid w:val="006E1050"/>
    <w:rsid w:val="006E2A99"/>
    <w:rsid w:val="006E4291"/>
    <w:rsid w:val="006E6CCA"/>
    <w:rsid w:val="006F511F"/>
    <w:rsid w:val="00700680"/>
    <w:rsid w:val="007018DF"/>
    <w:rsid w:val="007048D6"/>
    <w:rsid w:val="00706085"/>
    <w:rsid w:val="00706BDB"/>
    <w:rsid w:val="007102DA"/>
    <w:rsid w:val="0071095D"/>
    <w:rsid w:val="00710C74"/>
    <w:rsid w:val="007112AF"/>
    <w:rsid w:val="007144B0"/>
    <w:rsid w:val="007157B4"/>
    <w:rsid w:val="007173D8"/>
    <w:rsid w:val="0072090C"/>
    <w:rsid w:val="00726B99"/>
    <w:rsid w:val="00730447"/>
    <w:rsid w:val="00731A85"/>
    <w:rsid w:val="00732153"/>
    <w:rsid w:val="007411BD"/>
    <w:rsid w:val="00743F87"/>
    <w:rsid w:val="00745023"/>
    <w:rsid w:val="0074631D"/>
    <w:rsid w:val="007555E3"/>
    <w:rsid w:val="0075635E"/>
    <w:rsid w:val="00762BA3"/>
    <w:rsid w:val="00762F85"/>
    <w:rsid w:val="007646A6"/>
    <w:rsid w:val="007673ED"/>
    <w:rsid w:val="00771F6D"/>
    <w:rsid w:val="0077371F"/>
    <w:rsid w:val="007738BD"/>
    <w:rsid w:val="00774A42"/>
    <w:rsid w:val="00775771"/>
    <w:rsid w:val="007762D1"/>
    <w:rsid w:val="007770E2"/>
    <w:rsid w:val="00781677"/>
    <w:rsid w:val="00782C12"/>
    <w:rsid w:val="00786281"/>
    <w:rsid w:val="0079154D"/>
    <w:rsid w:val="007959D1"/>
    <w:rsid w:val="007974F6"/>
    <w:rsid w:val="007A1CFB"/>
    <w:rsid w:val="007A57EA"/>
    <w:rsid w:val="007A6967"/>
    <w:rsid w:val="007A6CB7"/>
    <w:rsid w:val="007B1626"/>
    <w:rsid w:val="007B4F72"/>
    <w:rsid w:val="007B6F37"/>
    <w:rsid w:val="007D17FA"/>
    <w:rsid w:val="007D36C4"/>
    <w:rsid w:val="007D40F3"/>
    <w:rsid w:val="007D5165"/>
    <w:rsid w:val="007E37BD"/>
    <w:rsid w:val="007E4B1D"/>
    <w:rsid w:val="007E70CD"/>
    <w:rsid w:val="007F0E36"/>
    <w:rsid w:val="00800457"/>
    <w:rsid w:val="00801909"/>
    <w:rsid w:val="0080414E"/>
    <w:rsid w:val="00805555"/>
    <w:rsid w:val="00810DB4"/>
    <w:rsid w:val="0081569F"/>
    <w:rsid w:val="008202FF"/>
    <w:rsid w:val="00821C8D"/>
    <w:rsid w:val="00821DBB"/>
    <w:rsid w:val="008263FF"/>
    <w:rsid w:val="00827187"/>
    <w:rsid w:val="00827C40"/>
    <w:rsid w:val="00827FA0"/>
    <w:rsid w:val="00832345"/>
    <w:rsid w:val="00832AC0"/>
    <w:rsid w:val="00833A6D"/>
    <w:rsid w:val="008349CD"/>
    <w:rsid w:val="0084410A"/>
    <w:rsid w:val="00844C29"/>
    <w:rsid w:val="00851FC4"/>
    <w:rsid w:val="00852CEA"/>
    <w:rsid w:val="00852E1D"/>
    <w:rsid w:val="008530DB"/>
    <w:rsid w:val="0086460D"/>
    <w:rsid w:val="00870149"/>
    <w:rsid w:val="00872AF9"/>
    <w:rsid w:val="008737C3"/>
    <w:rsid w:val="00874BFD"/>
    <w:rsid w:val="008777AC"/>
    <w:rsid w:val="00881197"/>
    <w:rsid w:val="00881E8C"/>
    <w:rsid w:val="008825AD"/>
    <w:rsid w:val="008922A3"/>
    <w:rsid w:val="008924C4"/>
    <w:rsid w:val="008924EB"/>
    <w:rsid w:val="00892A76"/>
    <w:rsid w:val="008A1B3E"/>
    <w:rsid w:val="008A315A"/>
    <w:rsid w:val="008B05CD"/>
    <w:rsid w:val="008B1DA5"/>
    <w:rsid w:val="008B23C1"/>
    <w:rsid w:val="008B537E"/>
    <w:rsid w:val="008B70FF"/>
    <w:rsid w:val="008C52A0"/>
    <w:rsid w:val="008D1A7C"/>
    <w:rsid w:val="008D24EE"/>
    <w:rsid w:val="008D2CE0"/>
    <w:rsid w:val="008D47F8"/>
    <w:rsid w:val="008D7EC2"/>
    <w:rsid w:val="008E1478"/>
    <w:rsid w:val="008E1721"/>
    <w:rsid w:val="008E4E90"/>
    <w:rsid w:val="008E5D66"/>
    <w:rsid w:val="008E67CA"/>
    <w:rsid w:val="008F0C26"/>
    <w:rsid w:val="008F1366"/>
    <w:rsid w:val="008F5B97"/>
    <w:rsid w:val="008F65F2"/>
    <w:rsid w:val="00901702"/>
    <w:rsid w:val="00901A89"/>
    <w:rsid w:val="00903883"/>
    <w:rsid w:val="00907AED"/>
    <w:rsid w:val="00910113"/>
    <w:rsid w:val="0091095D"/>
    <w:rsid w:val="009159B8"/>
    <w:rsid w:val="009173AA"/>
    <w:rsid w:val="00920E39"/>
    <w:rsid w:val="00921AA9"/>
    <w:rsid w:val="0093095A"/>
    <w:rsid w:val="00933604"/>
    <w:rsid w:val="00934A66"/>
    <w:rsid w:val="00937B1B"/>
    <w:rsid w:val="009414C2"/>
    <w:rsid w:val="00941D7B"/>
    <w:rsid w:val="00942F6D"/>
    <w:rsid w:val="00946BE6"/>
    <w:rsid w:val="009474B0"/>
    <w:rsid w:val="00950D7F"/>
    <w:rsid w:val="009514AF"/>
    <w:rsid w:val="0095242E"/>
    <w:rsid w:val="00954F62"/>
    <w:rsid w:val="00956194"/>
    <w:rsid w:val="009619D7"/>
    <w:rsid w:val="00964DB0"/>
    <w:rsid w:val="00966BCF"/>
    <w:rsid w:val="00973A36"/>
    <w:rsid w:val="00974765"/>
    <w:rsid w:val="0097499E"/>
    <w:rsid w:val="0098256E"/>
    <w:rsid w:val="00986753"/>
    <w:rsid w:val="00993F05"/>
    <w:rsid w:val="00995E7F"/>
    <w:rsid w:val="00996A9A"/>
    <w:rsid w:val="009A045F"/>
    <w:rsid w:val="009A260C"/>
    <w:rsid w:val="009A4713"/>
    <w:rsid w:val="009A6655"/>
    <w:rsid w:val="009A73AA"/>
    <w:rsid w:val="009A762B"/>
    <w:rsid w:val="009B0EEE"/>
    <w:rsid w:val="009B2830"/>
    <w:rsid w:val="009B4222"/>
    <w:rsid w:val="009C326F"/>
    <w:rsid w:val="009C5537"/>
    <w:rsid w:val="009C6230"/>
    <w:rsid w:val="009C6B07"/>
    <w:rsid w:val="009D150E"/>
    <w:rsid w:val="009D3AAF"/>
    <w:rsid w:val="009D5159"/>
    <w:rsid w:val="009D75F4"/>
    <w:rsid w:val="009E0A27"/>
    <w:rsid w:val="009E1F61"/>
    <w:rsid w:val="009E26A3"/>
    <w:rsid w:val="009E4FC1"/>
    <w:rsid w:val="009E5231"/>
    <w:rsid w:val="009E6E52"/>
    <w:rsid w:val="009F4617"/>
    <w:rsid w:val="009F63B3"/>
    <w:rsid w:val="009F6F9F"/>
    <w:rsid w:val="00A032A4"/>
    <w:rsid w:val="00A05075"/>
    <w:rsid w:val="00A12E2C"/>
    <w:rsid w:val="00A1440A"/>
    <w:rsid w:val="00A15EED"/>
    <w:rsid w:val="00A1646A"/>
    <w:rsid w:val="00A16D98"/>
    <w:rsid w:val="00A22A09"/>
    <w:rsid w:val="00A23626"/>
    <w:rsid w:val="00A238F7"/>
    <w:rsid w:val="00A33E35"/>
    <w:rsid w:val="00A34DF5"/>
    <w:rsid w:val="00A406AD"/>
    <w:rsid w:val="00A42EDC"/>
    <w:rsid w:val="00A42F94"/>
    <w:rsid w:val="00A50A7E"/>
    <w:rsid w:val="00A5390A"/>
    <w:rsid w:val="00A5494F"/>
    <w:rsid w:val="00A54CDA"/>
    <w:rsid w:val="00A54EDF"/>
    <w:rsid w:val="00A5797C"/>
    <w:rsid w:val="00A62C4F"/>
    <w:rsid w:val="00A6483B"/>
    <w:rsid w:val="00A66F34"/>
    <w:rsid w:val="00A67DBB"/>
    <w:rsid w:val="00A73C18"/>
    <w:rsid w:val="00A75BC4"/>
    <w:rsid w:val="00A8195A"/>
    <w:rsid w:val="00A81EC6"/>
    <w:rsid w:val="00A87616"/>
    <w:rsid w:val="00A87847"/>
    <w:rsid w:val="00A96F55"/>
    <w:rsid w:val="00AA0725"/>
    <w:rsid w:val="00AA7DA5"/>
    <w:rsid w:val="00AB46EE"/>
    <w:rsid w:val="00AB6032"/>
    <w:rsid w:val="00AB69A1"/>
    <w:rsid w:val="00AC1F44"/>
    <w:rsid w:val="00AD0004"/>
    <w:rsid w:val="00AD0965"/>
    <w:rsid w:val="00AD1A62"/>
    <w:rsid w:val="00AD4172"/>
    <w:rsid w:val="00AD56CC"/>
    <w:rsid w:val="00AD6F20"/>
    <w:rsid w:val="00AE2E0C"/>
    <w:rsid w:val="00AE66D6"/>
    <w:rsid w:val="00AF7C7D"/>
    <w:rsid w:val="00B00533"/>
    <w:rsid w:val="00B0157C"/>
    <w:rsid w:val="00B01AC8"/>
    <w:rsid w:val="00B07041"/>
    <w:rsid w:val="00B12860"/>
    <w:rsid w:val="00B12BFB"/>
    <w:rsid w:val="00B136FB"/>
    <w:rsid w:val="00B14D68"/>
    <w:rsid w:val="00B177CF"/>
    <w:rsid w:val="00B204AB"/>
    <w:rsid w:val="00B20710"/>
    <w:rsid w:val="00B238C7"/>
    <w:rsid w:val="00B25EA2"/>
    <w:rsid w:val="00B27565"/>
    <w:rsid w:val="00B31C23"/>
    <w:rsid w:val="00B34827"/>
    <w:rsid w:val="00B41E1F"/>
    <w:rsid w:val="00B44507"/>
    <w:rsid w:val="00B4555C"/>
    <w:rsid w:val="00B45568"/>
    <w:rsid w:val="00B46C25"/>
    <w:rsid w:val="00B55F78"/>
    <w:rsid w:val="00B60CD2"/>
    <w:rsid w:val="00B650D5"/>
    <w:rsid w:val="00B71BD3"/>
    <w:rsid w:val="00B7568A"/>
    <w:rsid w:val="00B86FE3"/>
    <w:rsid w:val="00B87507"/>
    <w:rsid w:val="00B90132"/>
    <w:rsid w:val="00B9040D"/>
    <w:rsid w:val="00B9079E"/>
    <w:rsid w:val="00B92891"/>
    <w:rsid w:val="00B928FD"/>
    <w:rsid w:val="00B93464"/>
    <w:rsid w:val="00B95323"/>
    <w:rsid w:val="00B957AF"/>
    <w:rsid w:val="00B95AC1"/>
    <w:rsid w:val="00BA0DCD"/>
    <w:rsid w:val="00BA4B1A"/>
    <w:rsid w:val="00BA7E16"/>
    <w:rsid w:val="00BB373A"/>
    <w:rsid w:val="00BC04A2"/>
    <w:rsid w:val="00BC0D8E"/>
    <w:rsid w:val="00BC3058"/>
    <w:rsid w:val="00BC44EC"/>
    <w:rsid w:val="00BC5E27"/>
    <w:rsid w:val="00BC6315"/>
    <w:rsid w:val="00BC735D"/>
    <w:rsid w:val="00BD0B83"/>
    <w:rsid w:val="00BD2EC7"/>
    <w:rsid w:val="00BD64D2"/>
    <w:rsid w:val="00BE0CE6"/>
    <w:rsid w:val="00BE15E5"/>
    <w:rsid w:val="00BE63F0"/>
    <w:rsid w:val="00BE667F"/>
    <w:rsid w:val="00BE725E"/>
    <w:rsid w:val="00BF0F19"/>
    <w:rsid w:val="00BF2936"/>
    <w:rsid w:val="00BF4C58"/>
    <w:rsid w:val="00BF5E7D"/>
    <w:rsid w:val="00C01250"/>
    <w:rsid w:val="00C013F0"/>
    <w:rsid w:val="00C110A0"/>
    <w:rsid w:val="00C13645"/>
    <w:rsid w:val="00C25A76"/>
    <w:rsid w:val="00C260AF"/>
    <w:rsid w:val="00C265FC"/>
    <w:rsid w:val="00C31DF7"/>
    <w:rsid w:val="00C32F3C"/>
    <w:rsid w:val="00C33A31"/>
    <w:rsid w:val="00C35DFB"/>
    <w:rsid w:val="00C417AA"/>
    <w:rsid w:val="00C421B0"/>
    <w:rsid w:val="00C42FCE"/>
    <w:rsid w:val="00C43F05"/>
    <w:rsid w:val="00C44842"/>
    <w:rsid w:val="00C44885"/>
    <w:rsid w:val="00C47A91"/>
    <w:rsid w:val="00C52F81"/>
    <w:rsid w:val="00C616C8"/>
    <w:rsid w:val="00C632DA"/>
    <w:rsid w:val="00C70BB6"/>
    <w:rsid w:val="00C70CC2"/>
    <w:rsid w:val="00C71B89"/>
    <w:rsid w:val="00C71DBE"/>
    <w:rsid w:val="00C7338B"/>
    <w:rsid w:val="00C73B95"/>
    <w:rsid w:val="00C742AD"/>
    <w:rsid w:val="00C76344"/>
    <w:rsid w:val="00C80B5E"/>
    <w:rsid w:val="00C82CCF"/>
    <w:rsid w:val="00C84216"/>
    <w:rsid w:val="00C868A0"/>
    <w:rsid w:val="00C869A6"/>
    <w:rsid w:val="00C86AE2"/>
    <w:rsid w:val="00C9000F"/>
    <w:rsid w:val="00CA5A50"/>
    <w:rsid w:val="00CB1897"/>
    <w:rsid w:val="00CB29E6"/>
    <w:rsid w:val="00CB495F"/>
    <w:rsid w:val="00CB6224"/>
    <w:rsid w:val="00CB73E1"/>
    <w:rsid w:val="00CC2F12"/>
    <w:rsid w:val="00CC37A6"/>
    <w:rsid w:val="00CC7715"/>
    <w:rsid w:val="00CD45CE"/>
    <w:rsid w:val="00CD4E9C"/>
    <w:rsid w:val="00CF242F"/>
    <w:rsid w:val="00CF2542"/>
    <w:rsid w:val="00CF2E43"/>
    <w:rsid w:val="00D01319"/>
    <w:rsid w:val="00D016D0"/>
    <w:rsid w:val="00D01F03"/>
    <w:rsid w:val="00D138DB"/>
    <w:rsid w:val="00D14E10"/>
    <w:rsid w:val="00D22ADE"/>
    <w:rsid w:val="00D23641"/>
    <w:rsid w:val="00D25F5F"/>
    <w:rsid w:val="00D2680A"/>
    <w:rsid w:val="00D32650"/>
    <w:rsid w:val="00D3272B"/>
    <w:rsid w:val="00D3350A"/>
    <w:rsid w:val="00D34982"/>
    <w:rsid w:val="00D373F3"/>
    <w:rsid w:val="00D377D6"/>
    <w:rsid w:val="00D4156F"/>
    <w:rsid w:val="00D424A0"/>
    <w:rsid w:val="00D50152"/>
    <w:rsid w:val="00D50711"/>
    <w:rsid w:val="00D52333"/>
    <w:rsid w:val="00D54CF8"/>
    <w:rsid w:val="00D6276B"/>
    <w:rsid w:val="00D65362"/>
    <w:rsid w:val="00D67AE7"/>
    <w:rsid w:val="00D762BF"/>
    <w:rsid w:val="00D765E8"/>
    <w:rsid w:val="00D775F1"/>
    <w:rsid w:val="00D8593B"/>
    <w:rsid w:val="00D86570"/>
    <w:rsid w:val="00D87A87"/>
    <w:rsid w:val="00D91E52"/>
    <w:rsid w:val="00D92EAA"/>
    <w:rsid w:val="00D931A3"/>
    <w:rsid w:val="00DA1490"/>
    <w:rsid w:val="00DA4F49"/>
    <w:rsid w:val="00DB0D6E"/>
    <w:rsid w:val="00DC0F6E"/>
    <w:rsid w:val="00DC3BF7"/>
    <w:rsid w:val="00DC6E6C"/>
    <w:rsid w:val="00DD1BF7"/>
    <w:rsid w:val="00DD2133"/>
    <w:rsid w:val="00DD2C40"/>
    <w:rsid w:val="00DD34D5"/>
    <w:rsid w:val="00DD44DF"/>
    <w:rsid w:val="00DD6738"/>
    <w:rsid w:val="00DE1D61"/>
    <w:rsid w:val="00DE373E"/>
    <w:rsid w:val="00DE3944"/>
    <w:rsid w:val="00DE6E1D"/>
    <w:rsid w:val="00DF3959"/>
    <w:rsid w:val="00DF3DA3"/>
    <w:rsid w:val="00DF40E7"/>
    <w:rsid w:val="00DF4359"/>
    <w:rsid w:val="00DF6238"/>
    <w:rsid w:val="00E00B60"/>
    <w:rsid w:val="00E0318D"/>
    <w:rsid w:val="00E0594B"/>
    <w:rsid w:val="00E06D54"/>
    <w:rsid w:val="00E201F6"/>
    <w:rsid w:val="00E2099E"/>
    <w:rsid w:val="00E210F1"/>
    <w:rsid w:val="00E241BF"/>
    <w:rsid w:val="00E32A6F"/>
    <w:rsid w:val="00E40ACD"/>
    <w:rsid w:val="00E419D1"/>
    <w:rsid w:val="00E420B4"/>
    <w:rsid w:val="00E42BA1"/>
    <w:rsid w:val="00E45517"/>
    <w:rsid w:val="00E4580D"/>
    <w:rsid w:val="00E46F3E"/>
    <w:rsid w:val="00E52E99"/>
    <w:rsid w:val="00E5703D"/>
    <w:rsid w:val="00E577A8"/>
    <w:rsid w:val="00E627A6"/>
    <w:rsid w:val="00E64D4D"/>
    <w:rsid w:val="00E65E76"/>
    <w:rsid w:val="00E667EA"/>
    <w:rsid w:val="00E66F3B"/>
    <w:rsid w:val="00E73A94"/>
    <w:rsid w:val="00E80505"/>
    <w:rsid w:val="00E82F38"/>
    <w:rsid w:val="00E90788"/>
    <w:rsid w:val="00E942B1"/>
    <w:rsid w:val="00E9758A"/>
    <w:rsid w:val="00E97C56"/>
    <w:rsid w:val="00E97DA7"/>
    <w:rsid w:val="00EA1477"/>
    <w:rsid w:val="00EA1DA5"/>
    <w:rsid w:val="00EB2735"/>
    <w:rsid w:val="00EB2F85"/>
    <w:rsid w:val="00EB595C"/>
    <w:rsid w:val="00EB6EAF"/>
    <w:rsid w:val="00EC26E5"/>
    <w:rsid w:val="00EC5310"/>
    <w:rsid w:val="00EC670E"/>
    <w:rsid w:val="00EC6FA0"/>
    <w:rsid w:val="00ED1D9C"/>
    <w:rsid w:val="00ED2571"/>
    <w:rsid w:val="00EE0164"/>
    <w:rsid w:val="00EE0A88"/>
    <w:rsid w:val="00EE21FD"/>
    <w:rsid w:val="00EE383F"/>
    <w:rsid w:val="00EE4590"/>
    <w:rsid w:val="00EE4C18"/>
    <w:rsid w:val="00EE58AC"/>
    <w:rsid w:val="00EE5C1C"/>
    <w:rsid w:val="00EE6D5D"/>
    <w:rsid w:val="00EE6D5E"/>
    <w:rsid w:val="00EE7CEA"/>
    <w:rsid w:val="00EF112D"/>
    <w:rsid w:val="00EF1411"/>
    <w:rsid w:val="00EF15BD"/>
    <w:rsid w:val="00F049AE"/>
    <w:rsid w:val="00F11665"/>
    <w:rsid w:val="00F12208"/>
    <w:rsid w:val="00F12E04"/>
    <w:rsid w:val="00F16430"/>
    <w:rsid w:val="00F232B2"/>
    <w:rsid w:val="00F23677"/>
    <w:rsid w:val="00F272DF"/>
    <w:rsid w:val="00F306E8"/>
    <w:rsid w:val="00F3113A"/>
    <w:rsid w:val="00F32179"/>
    <w:rsid w:val="00F32AA7"/>
    <w:rsid w:val="00F32C7B"/>
    <w:rsid w:val="00F35212"/>
    <w:rsid w:val="00F358F3"/>
    <w:rsid w:val="00F361D8"/>
    <w:rsid w:val="00F37059"/>
    <w:rsid w:val="00F41B06"/>
    <w:rsid w:val="00F460BC"/>
    <w:rsid w:val="00F526C2"/>
    <w:rsid w:val="00F52FD9"/>
    <w:rsid w:val="00F57F85"/>
    <w:rsid w:val="00F60389"/>
    <w:rsid w:val="00F616F6"/>
    <w:rsid w:val="00F6685C"/>
    <w:rsid w:val="00F7357D"/>
    <w:rsid w:val="00F74109"/>
    <w:rsid w:val="00F8095A"/>
    <w:rsid w:val="00F81C22"/>
    <w:rsid w:val="00F82A35"/>
    <w:rsid w:val="00F83354"/>
    <w:rsid w:val="00F90109"/>
    <w:rsid w:val="00F93E4F"/>
    <w:rsid w:val="00F96223"/>
    <w:rsid w:val="00FA2189"/>
    <w:rsid w:val="00FA6BA5"/>
    <w:rsid w:val="00FA6E5D"/>
    <w:rsid w:val="00FA6E82"/>
    <w:rsid w:val="00FB00AD"/>
    <w:rsid w:val="00FB0582"/>
    <w:rsid w:val="00FB1507"/>
    <w:rsid w:val="00FC1937"/>
    <w:rsid w:val="00FC3C04"/>
    <w:rsid w:val="00FC5E24"/>
    <w:rsid w:val="00FC6CC5"/>
    <w:rsid w:val="00FD11DC"/>
    <w:rsid w:val="00FD1EB2"/>
    <w:rsid w:val="00FD2647"/>
    <w:rsid w:val="00FE2E7E"/>
    <w:rsid w:val="00FE52FA"/>
    <w:rsid w:val="00FE6B50"/>
    <w:rsid w:val="00FE778B"/>
    <w:rsid w:val="00FF0FFE"/>
    <w:rsid w:val="00FF6639"/>
    <w:rsid w:val="00FF6B50"/>
    <w:rsid w:val="00FF70EA"/>
    <w:rsid w:val="00FF7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1B90"/>
  <w15:docId w15:val="{E2124B20-4C83-4D0A-88CE-42E442E8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rsid w:val="00D931A3"/>
    <w:pPr>
      <w:tabs>
        <w:tab w:val="left" w:pos="0"/>
      </w:tabs>
      <w:spacing w:before="240" w:line="240" w:lineRule="exact"/>
      <w:outlineLvl w:val="1"/>
    </w:pPr>
    <w:rPr>
      <w:b/>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style>
  <w:style w:type="paragraph" w:styleId="Inhopg3">
    <w:name w:val="toc 3"/>
    <w:basedOn w:val="Inhopg2"/>
    <w:next w:val="Standaard"/>
    <w:uiPriority w:val="39"/>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C4D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4D97"/>
    <w:rPr>
      <w:rFonts w:ascii="Verdana" w:hAnsi="Verdana"/>
      <w:color w:val="000000"/>
      <w:sz w:val="18"/>
      <w:szCs w:val="18"/>
    </w:rPr>
  </w:style>
  <w:style w:type="paragraph" w:styleId="Kopvaninhoudsopgave">
    <w:name w:val="TOC Heading"/>
    <w:basedOn w:val="Kop1"/>
    <w:next w:val="Standaard"/>
    <w:uiPriority w:val="39"/>
    <w:unhideWhenUsed/>
    <w:qFormat/>
    <w:rsid w:val="006C4D97"/>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6C4D97"/>
    <w:pPr>
      <w:ind w:left="720"/>
      <w:contextualSpacing/>
    </w:pPr>
  </w:style>
  <w:style w:type="paragraph" w:customStyle="1" w:styleId="Voetnoottekst1">
    <w:name w:val="Voetnoottekst1"/>
    <w:basedOn w:val="Standaard"/>
    <w:next w:val="Voetnoottekst"/>
    <w:link w:val="VoetnoottekstChar"/>
    <w:uiPriority w:val="99"/>
    <w:semiHidden/>
    <w:unhideWhenUsed/>
    <w:rsid w:val="00C7338B"/>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C7338B"/>
    <w:rPr>
      <w:sz w:val="20"/>
      <w:szCs w:val="20"/>
    </w:rPr>
  </w:style>
  <w:style w:type="character" w:styleId="Voetnootmarkering">
    <w:name w:val="footnote reference"/>
    <w:aliases w:val="Voetnootmarkering Openbaar Ministerie"/>
    <w:basedOn w:val="Standaardalinea-lettertype"/>
    <w:uiPriority w:val="99"/>
    <w:semiHidden/>
    <w:unhideWhenUsed/>
    <w:rsid w:val="00C7338B"/>
    <w:rPr>
      <w:vertAlign w:val="superscript"/>
    </w:rPr>
  </w:style>
  <w:style w:type="paragraph" w:styleId="Voetnoottekst">
    <w:name w:val="footnote text"/>
    <w:basedOn w:val="Standaard"/>
    <w:link w:val="VoetnoottekstChar1"/>
    <w:uiPriority w:val="99"/>
    <w:unhideWhenUsed/>
    <w:rsid w:val="00C7338B"/>
    <w:pPr>
      <w:spacing w:line="240" w:lineRule="auto"/>
    </w:pPr>
    <w:rPr>
      <w:sz w:val="20"/>
      <w:szCs w:val="20"/>
    </w:rPr>
  </w:style>
  <w:style w:type="character" w:customStyle="1" w:styleId="VoetnoottekstChar1">
    <w:name w:val="Voetnoottekst Char1"/>
    <w:basedOn w:val="Standaardalinea-lettertype"/>
    <w:link w:val="Voetnoottekst"/>
    <w:uiPriority w:val="99"/>
    <w:rsid w:val="00C7338B"/>
    <w:rPr>
      <w:rFonts w:ascii="Verdana" w:hAnsi="Verdana"/>
      <w:color w:val="000000"/>
    </w:rPr>
  </w:style>
  <w:style w:type="character" w:styleId="Verwijzingopmerking">
    <w:name w:val="annotation reference"/>
    <w:basedOn w:val="Standaardalinea-lettertype"/>
    <w:uiPriority w:val="99"/>
    <w:semiHidden/>
    <w:unhideWhenUsed/>
    <w:rsid w:val="00C7338B"/>
    <w:rPr>
      <w:sz w:val="16"/>
      <w:szCs w:val="16"/>
    </w:rPr>
  </w:style>
  <w:style w:type="paragraph" w:styleId="Tekstopmerking">
    <w:name w:val="annotation text"/>
    <w:basedOn w:val="Standaard"/>
    <w:link w:val="TekstopmerkingChar"/>
    <w:uiPriority w:val="99"/>
    <w:unhideWhenUsed/>
    <w:rsid w:val="00C7338B"/>
    <w:pPr>
      <w:spacing w:line="240" w:lineRule="auto"/>
    </w:pPr>
    <w:rPr>
      <w:sz w:val="20"/>
      <w:szCs w:val="20"/>
    </w:rPr>
  </w:style>
  <w:style w:type="character" w:customStyle="1" w:styleId="TekstopmerkingChar">
    <w:name w:val="Tekst opmerking Char"/>
    <w:basedOn w:val="Standaardalinea-lettertype"/>
    <w:link w:val="Tekstopmerking"/>
    <w:uiPriority w:val="99"/>
    <w:rsid w:val="00C733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338B"/>
    <w:rPr>
      <w:b/>
      <w:bCs/>
    </w:rPr>
  </w:style>
  <w:style w:type="character" w:customStyle="1" w:styleId="OnderwerpvanopmerkingChar">
    <w:name w:val="Onderwerp van opmerking Char"/>
    <w:basedOn w:val="TekstopmerkingChar"/>
    <w:link w:val="Onderwerpvanopmerking"/>
    <w:uiPriority w:val="99"/>
    <w:semiHidden/>
    <w:rsid w:val="00C7338B"/>
    <w:rPr>
      <w:rFonts w:ascii="Verdana" w:hAnsi="Verdana"/>
      <w:b/>
      <w:bCs/>
      <w:color w:val="000000"/>
    </w:rPr>
  </w:style>
  <w:style w:type="paragraph" w:styleId="Revisie">
    <w:name w:val="Revision"/>
    <w:hidden/>
    <w:uiPriority w:val="99"/>
    <w:semiHidden/>
    <w:rsid w:val="00CA5A50"/>
    <w:pPr>
      <w:autoSpaceDN/>
      <w:textAlignment w:val="auto"/>
    </w:pPr>
    <w:rPr>
      <w:rFonts w:ascii="Verdana" w:hAnsi="Verdana"/>
      <w:color w:val="000000"/>
      <w:sz w:val="18"/>
      <w:szCs w:val="18"/>
    </w:rPr>
  </w:style>
  <w:style w:type="paragraph" w:styleId="Geenafstand">
    <w:name w:val="No Spacing"/>
    <w:uiPriority w:val="1"/>
    <w:qFormat/>
    <w:rsid w:val="00910113"/>
    <w:pPr>
      <w:autoSpaceDN/>
      <w:textAlignment w:val="auto"/>
    </w:pPr>
    <w:rPr>
      <w:rFonts w:ascii="Arial" w:eastAsiaTheme="minorHAnsi" w:hAnsi="Arial" w:cstheme="minorBidi"/>
      <w:sz w:val="18"/>
      <w:szCs w:val="22"/>
      <w:lang w:eastAsia="en-US"/>
    </w:rPr>
  </w:style>
  <w:style w:type="table" w:styleId="Rastertabel1licht-Accent1">
    <w:name w:val="Grid Table 1 Light Accent 1"/>
    <w:basedOn w:val="Standaardtabel"/>
    <w:uiPriority w:val="46"/>
    <w:rsid w:val="00315BCC"/>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link w:val="Lijstalinea"/>
    <w:uiPriority w:val="34"/>
    <w:qFormat/>
    <w:rsid w:val="00315BCC"/>
    <w:rPr>
      <w:rFonts w:ascii="Verdana" w:hAnsi="Verdana"/>
      <w:color w:val="000000"/>
      <w:sz w:val="18"/>
      <w:szCs w:val="18"/>
    </w:rPr>
  </w:style>
  <w:style w:type="table" w:customStyle="1" w:styleId="Tabelraster1">
    <w:name w:val="Tabelraster1"/>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EC26E5"/>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153E6"/>
    <w:rPr>
      <w:color w:val="96607D" w:themeColor="followedHyperlink"/>
      <w:u w:val="single"/>
    </w:rPr>
  </w:style>
  <w:style w:type="character" w:styleId="Onopgelostemelding">
    <w:name w:val="Unresolved Mention"/>
    <w:basedOn w:val="Standaardalinea-lettertype"/>
    <w:uiPriority w:val="99"/>
    <w:semiHidden/>
    <w:unhideWhenUsed/>
    <w:rsid w:val="00F9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287">
      <w:bodyDiv w:val="1"/>
      <w:marLeft w:val="0"/>
      <w:marRight w:val="0"/>
      <w:marTop w:val="0"/>
      <w:marBottom w:val="0"/>
      <w:divBdr>
        <w:top w:val="none" w:sz="0" w:space="0" w:color="auto"/>
        <w:left w:val="none" w:sz="0" w:space="0" w:color="auto"/>
        <w:bottom w:val="none" w:sz="0" w:space="0" w:color="auto"/>
        <w:right w:val="none" w:sz="0" w:space="0" w:color="auto"/>
      </w:divBdr>
    </w:div>
    <w:div w:id="83186689">
      <w:bodyDiv w:val="1"/>
      <w:marLeft w:val="0"/>
      <w:marRight w:val="0"/>
      <w:marTop w:val="0"/>
      <w:marBottom w:val="0"/>
      <w:divBdr>
        <w:top w:val="none" w:sz="0" w:space="0" w:color="auto"/>
        <w:left w:val="none" w:sz="0" w:space="0" w:color="auto"/>
        <w:bottom w:val="none" w:sz="0" w:space="0" w:color="auto"/>
        <w:right w:val="none" w:sz="0" w:space="0" w:color="auto"/>
      </w:divBdr>
    </w:div>
    <w:div w:id="87821141">
      <w:bodyDiv w:val="1"/>
      <w:marLeft w:val="0"/>
      <w:marRight w:val="0"/>
      <w:marTop w:val="0"/>
      <w:marBottom w:val="0"/>
      <w:divBdr>
        <w:top w:val="none" w:sz="0" w:space="0" w:color="auto"/>
        <w:left w:val="none" w:sz="0" w:space="0" w:color="auto"/>
        <w:bottom w:val="none" w:sz="0" w:space="0" w:color="auto"/>
        <w:right w:val="none" w:sz="0" w:space="0" w:color="auto"/>
      </w:divBdr>
    </w:div>
    <w:div w:id="119341347">
      <w:bodyDiv w:val="1"/>
      <w:marLeft w:val="0"/>
      <w:marRight w:val="0"/>
      <w:marTop w:val="0"/>
      <w:marBottom w:val="0"/>
      <w:divBdr>
        <w:top w:val="none" w:sz="0" w:space="0" w:color="auto"/>
        <w:left w:val="none" w:sz="0" w:space="0" w:color="auto"/>
        <w:bottom w:val="none" w:sz="0" w:space="0" w:color="auto"/>
        <w:right w:val="none" w:sz="0" w:space="0" w:color="auto"/>
      </w:divBdr>
    </w:div>
    <w:div w:id="173300480">
      <w:bodyDiv w:val="1"/>
      <w:marLeft w:val="0"/>
      <w:marRight w:val="0"/>
      <w:marTop w:val="0"/>
      <w:marBottom w:val="0"/>
      <w:divBdr>
        <w:top w:val="none" w:sz="0" w:space="0" w:color="auto"/>
        <w:left w:val="none" w:sz="0" w:space="0" w:color="auto"/>
        <w:bottom w:val="none" w:sz="0" w:space="0" w:color="auto"/>
        <w:right w:val="none" w:sz="0" w:space="0" w:color="auto"/>
      </w:divBdr>
    </w:div>
    <w:div w:id="180709116">
      <w:bodyDiv w:val="1"/>
      <w:marLeft w:val="0"/>
      <w:marRight w:val="0"/>
      <w:marTop w:val="0"/>
      <w:marBottom w:val="0"/>
      <w:divBdr>
        <w:top w:val="none" w:sz="0" w:space="0" w:color="auto"/>
        <w:left w:val="none" w:sz="0" w:space="0" w:color="auto"/>
        <w:bottom w:val="none" w:sz="0" w:space="0" w:color="auto"/>
        <w:right w:val="none" w:sz="0" w:space="0" w:color="auto"/>
      </w:divBdr>
    </w:div>
    <w:div w:id="192504120">
      <w:bodyDiv w:val="1"/>
      <w:marLeft w:val="0"/>
      <w:marRight w:val="0"/>
      <w:marTop w:val="0"/>
      <w:marBottom w:val="0"/>
      <w:divBdr>
        <w:top w:val="none" w:sz="0" w:space="0" w:color="auto"/>
        <w:left w:val="none" w:sz="0" w:space="0" w:color="auto"/>
        <w:bottom w:val="none" w:sz="0" w:space="0" w:color="auto"/>
        <w:right w:val="none" w:sz="0" w:space="0" w:color="auto"/>
      </w:divBdr>
    </w:div>
    <w:div w:id="356778494">
      <w:bodyDiv w:val="1"/>
      <w:marLeft w:val="0"/>
      <w:marRight w:val="0"/>
      <w:marTop w:val="0"/>
      <w:marBottom w:val="0"/>
      <w:divBdr>
        <w:top w:val="none" w:sz="0" w:space="0" w:color="auto"/>
        <w:left w:val="none" w:sz="0" w:space="0" w:color="auto"/>
        <w:bottom w:val="none" w:sz="0" w:space="0" w:color="auto"/>
        <w:right w:val="none" w:sz="0" w:space="0" w:color="auto"/>
      </w:divBdr>
    </w:div>
    <w:div w:id="371926941">
      <w:bodyDiv w:val="1"/>
      <w:marLeft w:val="0"/>
      <w:marRight w:val="0"/>
      <w:marTop w:val="0"/>
      <w:marBottom w:val="0"/>
      <w:divBdr>
        <w:top w:val="none" w:sz="0" w:space="0" w:color="auto"/>
        <w:left w:val="none" w:sz="0" w:space="0" w:color="auto"/>
        <w:bottom w:val="none" w:sz="0" w:space="0" w:color="auto"/>
        <w:right w:val="none" w:sz="0" w:space="0" w:color="auto"/>
      </w:divBdr>
    </w:div>
    <w:div w:id="383217358">
      <w:bodyDiv w:val="1"/>
      <w:marLeft w:val="0"/>
      <w:marRight w:val="0"/>
      <w:marTop w:val="0"/>
      <w:marBottom w:val="0"/>
      <w:divBdr>
        <w:top w:val="none" w:sz="0" w:space="0" w:color="auto"/>
        <w:left w:val="none" w:sz="0" w:space="0" w:color="auto"/>
        <w:bottom w:val="none" w:sz="0" w:space="0" w:color="auto"/>
        <w:right w:val="none" w:sz="0" w:space="0" w:color="auto"/>
      </w:divBdr>
    </w:div>
    <w:div w:id="419789261">
      <w:bodyDiv w:val="1"/>
      <w:marLeft w:val="0"/>
      <w:marRight w:val="0"/>
      <w:marTop w:val="0"/>
      <w:marBottom w:val="0"/>
      <w:divBdr>
        <w:top w:val="none" w:sz="0" w:space="0" w:color="auto"/>
        <w:left w:val="none" w:sz="0" w:space="0" w:color="auto"/>
        <w:bottom w:val="none" w:sz="0" w:space="0" w:color="auto"/>
        <w:right w:val="none" w:sz="0" w:space="0" w:color="auto"/>
      </w:divBdr>
    </w:div>
    <w:div w:id="421417612">
      <w:bodyDiv w:val="1"/>
      <w:marLeft w:val="0"/>
      <w:marRight w:val="0"/>
      <w:marTop w:val="0"/>
      <w:marBottom w:val="0"/>
      <w:divBdr>
        <w:top w:val="none" w:sz="0" w:space="0" w:color="auto"/>
        <w:left w:val="none" w:sz="0" w:space="0" w:color="auto"/>
        <w:bottom w:val="none" w:sz="0" w:space="0" w:color="auto"/>
        <w:right w:val="none" w:sz="0" w:space="0" w:color="auto"/>
      </w:divBdr>
    </w:div>
    <w:div w:id="503596520">
      <w:bodyDiv w:val="1"/>
      <w:marLeft w:val="0"/>
      <w:marRight w:val="0"/>
      <w:marTop w:val="0"/>
      <w:marBottom w:val="0"/>
      <w:divBdr>
        <w:top w:val="none" w:sz="0" w:space="0" w:color="auto"/>
        <w:left w:val="none" w:sz="0" w:space="0" w:color="auto"/>
        <w:bottom w:val="none" w:sz="0" w:space="0" w:color="auto"/>
        <w:right w:val="none" w:sz="0" w:space="0" w:color="auto"/>
      </w:divBdr>
    </w:div>
    <w:div w:id="514420198">
      <w:bodyDiv w:val="1"/>
      <w:marLeft w:val="0"/>
      <w:marRight w:val="0"/>
      <w:marTop w:val="0"/>
      <w:marBottom w:val="0"/>
      <w:divBdr>
        <w:top w:val="none" w:sz="0" w:space="0" w:color="auto"/>
        <w:left w:val="none" w:sz="0" w:space="0" w:color="auto"/>
        <w:bottom w:val="none" w:sz="0" w:space="0" w:color="auto"/>
        <w:right w:val="none" w:sz="0" w:space="0" w:color="auto"/>
      </w:divBdr>
    </w:div>
    <w:div w:id="521629514">
      <w:bodyDiv w:val="1"/>
      <w:marLeft w:val="0"/>
      <w:marRight w:val="0"/>
      <w:marTop w:val="0"/>
      <w:marBottom w:val="0"/>
      <w:divBdr>
        <w:top w:val="none" w:sz="0" w:space="0" w:color="auto"/>
        <w:left w:val="none" w:sz="0" w:space="0" w:color="auto"/>
        <w:bottom w:val="none" w:sz="0" w:space="0" w:color="auto"/>
        <w:right w:val="none" w:sz="0" w:space="0" w:color="auto"/>
      </w:divBdr>
    </w:div>
    <w:div w:id="524292916">
      <w:bodyDiv w:val="1"/>
      <w:marLeft w:val="0"/>
      <w:marRight w:val="0"/>
      <w:marTop w:val="0"/>
      <w:marBottom w:val="0"/>
      <w:divBdr>
        <w:top w:val="none" w:sz="0" w:space="0" w:color="auto"/>
        <w:left w:val="none" w:sz="0" w:space="0" w:color="auto"/>
        <w:bottom w:val="none" w:sz="0" w:space="0" w:color="auto"/>
        <w:right w:val="none" w:sz="0" w:space="0" w:color="auto"/>
      </w:divBdr>
    </w:div>
    <w:div w:id="537468998">
      <w:bodyDiv w:val="1"/>
      <w:marLeft w:val="0"/>
      <w:marRight w:val="0"/>
      <w:marTop w:val="0"/>
      <w:marBottom w:val="0"/>
      <w:divBdr>
        <w:top w:val="none" w:sz="0" w:space="0" w:color="auto"/>
        <w:left w:val="none" w:sz="0" w:space="0" w:color="auto"/>
        <w:bottom w:val="none" w:sz="0" w:space="0" w:color="auto"/>
        <w:right w:val="none" w:sz="0" w:space="0" w:color="auto"/>
      </w:divBdr>
    </w:div>
    <w:div w:id="550313571">
      <w:bodyDiv w:val="1"/>
      <w:marLeft w:val="0"/>
      <w:marRight w:val="0"/>
      <w:marTop w:val="0"/>
      <w:marBottom w:val="0"/>
      <w:divBdr>
        <w:top w:val="none" w:sz="0" w:space="0" w:color="auto"/>
        <w:left w:val="none" w:sz="0" w:space="0" w:color="auto"/>
        <w:bottom w:val="none" w:sz="0" w:space="0" w:color="auto"/>
        <w:right w:val="none" w:sz="0" w:space="0" w:color="auto"/>
      </w:divBdr>
    </w:div>
    <w:div w:id="710766960">
      <w:bodyDiv w:val="1"/>
      <w:marLeft w:val="0"/>
      <w:marRight w:val="0"/>
      <w:marTop w:val="0"/>
      <w:marBottom w:val="0"/>
      <w:divBdr>
        <w:top w:val="none" w:sz="0" w:space="0" w:color="auto"/>
        <w:left w:val="none" w:sz="0" w:space="0" w:color="auto"/>
        <w:bottom w:val="none" w:sz="0" w:space="0" w:color="auto"/>
        <w:right w:val="none" w:sz="0" w:space="0" w:color="auto"/>
      </w:divBdr>
    </w:div>
    <w:div w:id="731536578">
      <w:bodyDiv w:val="1"/>
      <w:marLeft w:val="0"/>
      <w:marRight w:val="0"/>
      <w:marTop w:val="0"/>
      <w:marBottom w:val="0"/>
      <w:divBdr>
        <w:top w:val="none" w:sz="0" w:space="0" w:color="auto"/>
        <w:left w:val="none" w:sz="0" w:space="0" w:color="auto"/>
        <w:bottom w:val="none" w:sz="0" w:space="0" w:color="auto"/>
        <w:right w:val="none" w:sz="0" w:space="0" w:color="auto"/>
      </w:divBdr>
    </w:div>
    <w:div w:id="751976485">
      <w:bodyDiv w:val="1"/>
      <w:marLeft w:val="0"/>
      <w:marRight w:val="0"/>
      <w:marTop w:val="0"/>
      <w:marBottom w:val="0"/>
      <w:divBdr>
        <w:top w:val="none" w:sz="0" w:space="0" w:color="auto"/>
        <w:left w:val="none" w:sz="0" w:space="0" w:color="auto"/>
        <w:bottom w:val="none" w:sz="0" w:space="0" w:color="auto"/>
        <w:right w:val="none" w:sz="0" w:space="0" w:color="auto"/>
      </w:divBdr>
    </w:div>
    <w:div w:id="766316059">
      <w:bodyDiv w:val="1"/>
      <w:marLeft w:val="0"/>
      <w:marRight w:val="0"/>
      <w:marTop w:val="0"/>
      <w:marBottom w:val="0"/>
      <w:divBdr>
        <w:top w:val="none" w:sz="0" w:space="0" w:color="auto"/>
        <w:left w:val="none" w:sz="0" w:space="0" w:color="auto"/>
        <w:bottom w:val="none" w:sz="0" w:space="0" w:color="auto"/>
        <w:right w:val="none" w:sz="0" w:space="0" w:color="auto"/>
      </w:divBdr>
    </w:div>
    <w:div w:id="978652040">
      <w:bodyDiv w:val="1"/>
      <w:marLeft w:val="0"/>
      <w:marRight w:val="0"/>
      <w:marTop w:val="0"/>
      <w:marBottom w:val="0"/>
      <w:divBdr>
        <w:top w:val="none" w:sz="0" w:space="0" w:color="auto"/>
        <w:left w:val="none" w:sz="0" w:space="0" w:color="auto"/>
        <w:bottom w:val="none" w:sz="0" w:space="0" w:color="auto"/>
        <w:right w:val="none" w:sz="0" w:space="0" w:color="auto"/>
      </w:divBdr>
    </w:div>
    <w:div w:id="1036739121">
      <w:bodyDiv w:val="1"/>
      <w:marLeft w:val="0"/>
      <w:marRight w:val="0"/>
      <w:marTop w:val="0"/>
      <w:marBottom w:val="0"/>
      <w:divBdr>
        <w:top w:val="none" w:sz="0" w:space="0" w:color="auto"/>
        <w:left w:val="none" w:sz="0" w:space="0" w:color="auto"/>
        <w:bottom w:val="none" w:sz="0" w:space="0" w:color="auto"/>
        <w:right w:val="none" w:sz="0" w:space="0" w:color="auto"/>
      </w:divBdr>
    </w:div>
    <w:div w:id="1062098308">
      <w:bodyDiv w:val="1"/>
      <w:marLeft w:val="0"/>
      <w:marRight w:val="0"/>
      <w:marTop w:val="0"/>
      <w:marBottom w:val="0"/>
      <w:divBdr>
        <w:top w:val="none" w:sz="0" w:space="0" w:color="auto"/>
        <w:left w:val="none" w:sz="0" w:space="0" w:color="auto"/>
        <w:bottom w:val="none" w:sz="0" w:space="0" w:color="auto"/>
        <w:right w:val="none" w:sz="0" w:space="0" w:color="auto"/>
      </w:divBdr>
    </w:div>
    <w:div w:id="1103763082">
      <w:bodyDiv w:val="1"/>
      <w:marLeft w:val="0"/>
      <w:marRight w:val="0"/>
      <w:marTop w:val="0"/>
      <w:marBottom w:val="0"/>
      <w:divBdr>
        <w:top w:val="none" w:sz="0" w:space="0" w:color="auto"/>
        <w:left w:val="none" w:sz="0" w:space="0" w:color="auto"/>
        <w:bottom w:val="none" w:sz="0" w:space="0" w:color="auto"/>
        <w:right w:val="none" w:sz="0" w:space="0" w:color="auto"/>
      </w:divBdr>
    </w:div>
    <w:div w:id="1111125957">
      <w:bodyDiv w:val="1"/>
      <w:marLeft w:val="0"/>
      <w:marRight w:val="0"/>
      <w:marTop w:val="0"/>
      <w:marBottom w:val="0"/>
      <w:divBdr>
        <w:top w:val="none" w:sz="0" w:space="0" w:color="auto"/>
        <w:left w:val="none" w:sz="0" w:space="0" w:color="auto"/>
        <w:bottom w:val="none" w:sz="0" w:space="0" w:color="auto"/>
        <w:right w:val="none" w:sz="0" w:space="0" w:color="auto"/>
      </w:divBdr>
    </w:div>
    <w:div w:id="1145971330">
      <w:bodyDiv w:val="1"/>
      <w:marLeft w:val="0"/>
      <w:marRight w:val="0"/>
      <w:marTop w:val="0"/>
      <w:marBottom w:val="0"/>
      <w:divBdr>
        <w:top w:val="none" w:sz="0" w:space="0" w:color="auto"/>
        <w:left w:val="none" w:sz="0" w:space="0" w:color="auto"/>
        <w:bottom w:val="none" w:sz="0" w:space="0" w:color="auto"/>
        <w:right w:val="none" w:sz="0" w:space="0" w:color="auto"/>
      </w:divBdr>
    </w:div>
    <w:div w:id="1158955265">
      <w:bodyDiv w:val="1"/>
      <w:marLeft w:val="0"/>
      <w:marRight w:val="0"/>
      <w:marTop w:val="0"/>
      <w:marBottom w:val="0"/>
      <w:divBdr>
        <w:top w:val="none" w:sz="0" w:space="0" w:color="auto"/>
        <w:left w:val="none" w:sz="0" w:space="0" w:color="auto"/>
        <w:bottom w:val="none" w:sz="0" w:space="0" w:color="auto"/>
        <w:right w:val="none" w:sz="0" w:space="0" w:color="auto"/>
      </w:divBdr>
    </w:div>
    <w:div w:id="1194000843">
      <w:bodyDiv w:val="1"/>
      <w:marLeft w:val="0"/>
      <w:marRight w:val="0"/>
      <w:marTop w:val="0"/>
      <w:marBottom w:val="0"/>
      <w:divBdr>
        <w:top w:val="none" w:sz="0" w:space="0" w:color="auto"/>
        <w:left w:val="none" w:sz="0" w:space="0" w:color="auto"/>
        <w:bottom w:val="none" w:sz="0" w:space="0" w:color="auto"/>
        <w:right w:val="none" w:sz="0" w:space="0" w:color="auto"/>
      </w:divBdr>
    </w:div>
    <w:div w:id="1236936556">
      <w:bodyDiv w:val="1"/>
      <w:marLeft w:val="0"/>
      <w:marRight w:val="0"/>
      <w:marTop w:val="0"/>
      <w:marBottom w:val="0"/>
      <w:divBdr>
        <w:top w:val="none" w:sz="0" w:space="0" w:color="auto"/>
        <w:left w:val="none" w:sz="0" w:space="0" w:color="auto"/>
        <w:bottom w:val="none" w:sz="0" w:space="0" w:color="auto"/>
        <w:right w:val="none" w:sz="0" w:space="0" w:color="auto"/>
      </w:divBdr>
    </w:div>
    <w:div w:id="1255823276">
      <w:bodyDiv w:val="1"/>
      <w:marLeft w:val="0"/>
      <w:marRight w:val="0"/>
      <w:marTop w:val="0"/>
      <w:marBottom w:val="0"/>
      <w:divBdr>
        <w:top w:val="none" w:sz="0" w:space="0" w:color="auto"/>
        <w:left w:val="none" w:sz="0" w:space="0" w:color="auto"/>
        <w:bottom w:val="none" w:sz="0" w:space="0" w:color="auto"/>
        <w:right w:val="none" w:sz="0" w:space="0" w:color="auto"/>
      </w:divBdr>
    </w:div>
    <w:div w:id="1270813033">
      <w:bodyDiv w:val="1"/>
      <w:marLeft w:val="0"/>
      <w:marRight w:val="0"/>
      <w:marTop w:val="0"/>
      <w:marBottom w:val="0"/>
      <w:divBdr>
        <w:top w:val="none" w:sz="0" w:space="0" w:color="auto"/>
        <w:left w:val="none" w:sz="0" w:space="0" w:color="auto"/>
        <w:bottom w:val="none" w:sz="0" w:space="0" w:color="auto"/>
        <w:right w:val="none" w:sz="0" w:space="0" w:color="auto"/>
      </w:divBdr>
    </w:div>
    <w:div w:id="1293056051">
      <w:bodyDiv w:val="1"/>
      <w:marLeft w:val="0"/>
      <w:marRight w:val="0"/>
      <w:marTop w:val="0"/>
      <w:marBottom w:val="0"/>
      <w:divBdr>
        <w:top w:val="none" w:sz="0" w:space="0" w:color="auto"/>
        <w:left w:val="none" w:sz="0" w:space="0" w:color="auto"/>
        <w:bottom w:val="none" w:sz="0" w:space="0" w:color="auto"/>
        <w:right w:val="none" w:sz="0" w:space="0" w:color="auto"/>
      </w:divBdr>
    </w:div>
    <w:div w:id="1329746063">
      <w:bodyDiv w:val="1"/>
      <w:marLeft w:val="0"/>
      <w:marRight w:val="0"/>
      <w:marTop w:val="0"/>
      <w:marBottom w:val="0"/>
      <w:divBdr>
        <w:top w:val="none" w:sz="0" w:space="0" w:color="auto"/>
        <w:left w:val="none" w:sz="0" w:space="0" w:color="auto"/>
        <w:bottom w:val="none" w:sz="0" w:space="0" w:color="auto"/>
        <w:right w:val="none" w:sz="0" w:space="0" w:color="auto"/>
      </w:divBdr>
    </w:div>
    <w:div w:id="1396733626">
      <w:bodyDiv w:val="1"/>
      <w:marLeft w:val="0"/>
      <w:marRight w:val="0"/>
      <w:marTop w:val="0"/>
      <w:marBottom w:val="0"/>
      <w:divBdr>
        <w:top w:val="none" w:sz="0" w:space="0" w:color="auto"/>
        <w:left w:val="none" w:sz="0" w:space="0" w:color="auto"/>
        <w:bottom w:val="none" w:sz="0" w:space="0" w:color="auto"/>
        <w:right w:val="none" w:sz="0" w:space="0" w:color="auto"/>
      </w:divBdr>
    </w:div>
    <w:div w:id="1399523243">
      <w:bodyDiv w:val="1"/>
      <w:marLeft w:val="0"/>
      <w:marRight w:val="0"/>
      <w:marTop w:val="0"/>
      <w:marBottom w:val="0"/>
      <w:divBdr>
        <w:top w:val="none" w:sz="0" w:space="0" w:color="auto"/>
        <w:left w:val="none" w:sz="0" w:space="0" w:color="auto"/>
        <w:bottom w:val="none" w:sz="0" w:space="0" w:color="auto"/>
        <w:right w:val="none" w:sz="0" w:space="0" w:color="auto"/>
      </w:divBdr>
    </w:div>
    <w:div w:id="1432311891">
      <w:bodyDiv w:val="1"/>
      <w:marLeft w:val="0"/>
      <w:marRight w:val="0"/>
      <w:marTop w:val="0"/>
      <w:marBottom w:val="0"/>
      <w:divBdr>
        <w:top w:val="none" w:sz="0" w:space="0" w:color="auto"/>
        <w:left w:val="none" w:sz="0" w:space="0" w:color="auto"/>
        <w:bottom w:val="none" w:sz="0" w:space="0" w:color="auto"/>
        <w:right w:val="none" w:sz="0" w:space="0" w:color="auto"/>
      </w:divBdr>
    </w:div>
    <w:div w:id="1453590946">
      <w:bodyDiv w:val="1"/>
      <w:marLeft w:val="0"/>
      <w:marRight w:val="0"/>
      <w:marTop w:val="0"/>
      <w:marBottom w:val="0"/>
      <w:divBdr>
        <w:top w:val="none" w:sz="0" w:space="0" w:color="auto"/>
        <w:left w:val="none" w:sz="0" w:space="0" w:color="auto"/>
        <w:bottom w:val="none" w:sz="0" w:space="0" w:color="auto"/>
        <w:right w:val="none" w:sz="0" w:space="0" w:color="auto"/>
      </w:divBdr>
    </w:div>
    <w:div w:id="1477795837">
      <w:bodyDiv w:val="1"/>
      <w:marLeft w:val="0"/>
      <w:marRight w:val="0"/>
      <w:marTop w:val="0"/>
      <w:marBottom w:val="0"/>
      <w:divBdr>
        <w:top w:val="none" w:sz="0" w:space="0" w:color="auto"/>
        <w:left w:val="none" w:sz="0" w:space="0" w:color="auto"/>
        <w:bottom w:val="none" w:sz="0" w:space="0" w:color="auto"/>
        <w:right w:val="none" w:sz="0" w:space="0" w:color="auto"/>
      </w:divBdr>
    </w:div>
    <w:div w:id="1479570383">
      <w:bodyDiv w:val="1"/>
      <w:marLeft w:val="0"/>
      <w:marRight w:val="0"/>
      <w:marTop w:val="0"/>
      <w:marBottom w:val="0"/>
      <w:divBdr>
        <w:top w:val="none" w:sz="0" w:space="0" w:color="auto"/>
        <w:left w:val="none" w:sz="0" w:space="0" w:color="auto"/>
        <w:bottom w:val="none" w:sz="0" w:space="0" w:color="auto"/>
        <w:right w:val="none" w:sz="0" w:space="0" w:color="auto"/>
      </w:divBdr>
    </w:div>
    <w:div w:id="1492872266">
      <w:bodyDiv w:val="1"/>
      <w:marLeft w:val="0"/>
      <w:marRight w:val="0"/>
      <w:marTop w:val="0"/>
      <w:marBottom w:val="0"/>
      <w:divBdr>
        <w:top w:val="none" w:sz="0" w:space="0" w:color="auto"/>
        <w:left w:val="none" w:sz="0" w:space="0" w:color="auto"/>
        <w:bottom w:val="none" w:sz="0" w:space="0" w:color="auto"/>
        <w:right w:val="none" w:sz="0" w:space="0" w:color="auto"/>
      </w:divBdr>
    </w:div>
    <w:div w:id="1521044769">
      <w:bodyDiv w:val="1"/>
      <w:marLeft w:val="0"/>
      <w:marRight w:val="0"/>
      <w:marTop w:val="0"/>
      <w:marBottom w:val="0"/>
      <w:divBdr>
        <w:top w:val="none" w:sz="0" w:space="0" w:color="auto"/>
        <w:left w:val="none" w:sz="0" w:space="0" w:color="auto"/>
        <w:bottom w:val="none" w:sz="0" w:space="0" w:color="auto"/>
        <w:right w:val="none" w:sz="0" w:space="0" w:color="auto"/>
      </w:divBdr>
    </w:div>
    <w:div w:id="1593851442">
      <w:bodyDiv w:val="1"/>
      <w:marLeft w:val="0"/>
      <w:marRight w:val="0"/>
      <w:marTop w:val="0"/>
      <w:marBottom w:val="0"/>
      <w:divBdr>
        <w:top w:val="none" w:sz="0" w:space="0" w:color="auto"/>
        <w:left w:val="none" w:sz="0" w:space="0" w:color="auto"/>
        <w:bottom w:val="none" w:sz="0" w:space="0" w:color="auto"/>
        <w:right w:val="none" w:sz="0" w:space="0" w:color="auto"/>
      </w:divBdr>
    </w:div>
    <w:div w:id="1600022547">
      <w:bodyDiv w:val="1"/>
      <w:marLeft w:val="0"/>
      <w:marRight w:val="0"/>
      <w:marTop w:val="0"/>
      <w:marBottom w:val="0"/>
      <w:divBdr>
        <w:top w:val="none" w:sz="0" w:space="0" w:color="auto"/>
        <w:left w:val="none" w:sz="0" w:space="0" w:color="auto"/>
        <w:bottom w:val="none" w:sz="0" w:space="0" w:color="auto"/>
        <w:right w:val="none" w:sz="0" w:space="0" w:color="auto"/>
      </w:divBdr>
    </w:div>
    <w:div w:id="1603997915">
      <w:bodyDiv w:val="1"/>
      <w:marLeft w:val="0"/>
      <w:marRight w:val="0"/>
      <w:marTop w:val="0"/>
      <w:marBottom w:val="0"/>
      <w:divBdr>
        <w:top w:val="none" w:sz="0" w:space="0" w:color="auto"/>
        <w:left w:val="none" w:sz="0" w:space="0" w:color="auto"/>
        <w:bottom w:val="none" w:sz="0" w:space="0" w:color="auto"/>
        <w:right w:val="none" w:sz="0" w:space="0" w:color="auto"/>
      </w:divBdr>
    </w:div>
    <w:div w:id="1611401376">
      <w:bodyDiv w:val="1"/>
      <w:marLeft w:val="0"/>
      <w:marRight w:val="0"/>
      <w:marTop w:val="0"/>
      <w:marBottom w:val="0"/>
      <w:divBdr>
        <w:top w:val="none" w:sz="0" w:space="0" w:color="auto"/>
        <w:left w:val="none" w:sz="0" w:space="0" w:color="auto"/>
        <w:bottom w:val="none" w:sz="0" w:space="0" w:color="auto"/>
        <w:right w:val="none" w:sz="0" w:space="0" w:color="auto"/>
      </w:divBdr>
    </w:div>
    <w:div w:id="1695419568">
      <w:bodyDiv w:val="1"/>
      <w:marLeft w:val="0"/>
      <w:marRight w:val="0"/>
      <w:marTop w:val="0"/>
      <w:marBottom w:val="0"/>
      <w:divBdr>
        <w:top w:val="none" w:sz="0" w:space="0" w:color="auto"/>
        <w:left w:val="none" w:sz="0" w:space="0" w:color="auto"/>
        <w:bottom w:val="none" w:sz="0" w:space="0" w:color="auto"/>
        <w:right w:val="none" w:sz="0" w:space="0" w:color="auto"/>
      </w:divBdr>
    </w:div>
    <w:div w:id="1859268051">
      <w:bodyDiv w:val="1"/>
      <w:marLeft w:val="0"/>
      <w:marRight w:val="0"/>
      <w:marTop w:val="0"/>
      <w:marBottom w:val="0"/>
      <w:divBdr>
        <w:top w:val="none" w:sz="0" w:space="0" w:color="auto"/>
        <w:left w:val="none" w:sz="0" w:space="0" w:color="auto"/>
        <w:bottom w:val="none" w:sz="0" w:space="0" w:color="auto"/>
        <w:right w:val="none" w:sz="0" w:space="0" w:color="auto"/>
      </w:divBdr>
    </w:div>
    <w:div w:id="1889873874">
      <w:bodyDiv w:val="1"/>
      <w:marLeft w:val="0"/>
      <w:marRight w:val="0"/>
      <w:marTop w:val="0"/>
      <w:marBottom w:val="0"/>
      <w:divBdr>
        <w:top w:val="none" w:sz="0" w:space="0" w:color="auto"/>
        <w:left w:val="none" w:sz="0" w:space="0" w:color="auto"/>
        <w:bottom w:val="none" w:sz="0" w:space="0" w:color="auto"/>
        <w:right w:val="none" w:sz="0" w:space="0" w:color="auto"/>
      </w:divBdr>
    </w:div>
    <w:div w:id="1891378782">
      <w:bodyDiv w:val="1"/>
      <w:marLeft w:val="0"/>
      <w:marRight w:val="0"/>
      <w:marTop w:val="0"/>
      <w:marBottom w:val="0"/>
      <w:divBdr>
        <w:top w:val="none" w:sz="0" w:space="0" w:color="auto"/>
        <w:left w:val="none" w:sz="0" w:space="0" w:color="auto"/>
        <w:bottom w:val="none" w:sz="0" w:space="0" w:color="auto"/>
        <w:right w:val="none" w:sz="0" w:space="0" w:color="auto"/>
      </w:divBdr>
    </w:div>
    <w:div w:id="1915774333">
      <w:bodyDiv w:val="1"/>
      <w:marLeft w:val="0"/>
      <w:marRight w:val="0"/>
      <w:marTop w:val="0"/>
      <w:marBottom w:val="0"/>
      <w:divBdr>
        <w:top w:val="none" w:sz="0" w:space="0" w:color="auto"/>
        <w:left w:val="none" w:sz="0" w:space="0" w:color="auto"/>
        <w:bottom w:val="none" w:sz="0" w:space="0" w:color="auto"/>
        <w:right w:val="none" w:sz="0" w:space="0" w:color="auto"/>
      </w:divBdr>
    </w:div>
    <w:div w:id="1925914537">
      <w:bodyDiv w:val="1"/>
      <w:marLeft w:val="0"/>
      <w:marRight w:val="0"/>
      <w:marTop w:val="0"/>
      <w:marBottom w:val="0"/>
      <w:divBdr>
        <w:top w:val="none" w:sz="0" w:space="0" w:color="auto"/>
        <w:left w:val="none" w:sz="0" w:space="0" w:color="auto"/>
        <w:bottom w:val="none" w:sz="0" w:space="0" w:color="auto"/>
        <w:right w:val="none" w:sz="0" w:space="0" w:color="auto"/>
      </w:divBdr>
    </w:div>
    <w:div w:id="1954360864">
      <w:bodyDiv w:val="1"/>
      <w:marLeft w:val="0"/>
      <w:marRight w:val="0"/>
      <w:marTop w:val="0"/>
      <w:marBottom w:val="0"/>
      <w:divBdr>
        <w:top w:val="none" w:sz="0" w:space="0" w:color="auto"/>
        <w:left w:val="none" w:sz="0" w:space="0" w:color="auto"/>
        <w:bottom w:val="none" w:sz="0" w:space="0" w:color="auto"/>
        <w:right w:val="none" w:sz="0" w:space="0" w:color="auto"/>
      </w:divBdr>
    </w:div>
    <w:div w:id="2010403904">
      <w:bodyDiv w:val="1"/>
      <w:marLeft w:val="0"/>
      <w:marRight w:val="0"/>
      <w:marTop w:val="0"/>
      <w:marBottom w:val="0"/>
      <w:divBdr>
        <w:top w:val="none" w:sz="0" w:space="0" w:color="auto"/>
        <w:left w:val="none" w:sz="0" w:space="0" w:color="auto"/>
        <w:bottom w:val="none" w:sz="0" w:space="0" w:color="auto"/>
        <w:right w:val="none" w:sz="0" w:space="0" w:color="auto"/>
      </w:divBdr>
    </w:div>
    <w:div w:id="2011979065">
      <w:bodyDiv w:val="1"/>
      <w:marLeft w:val="0"/>
      <w:marRight w:val="0"/>
      <w:marTop w:val="0"/>
      <w:marBottom w:val="0"/>
      <w:divBdr>
        <w:top w:val="none" w:sz="0" w:space="0" w:color="auto"/>
        <w:left w:val="none" w:sz="0" w:space="0" w:color="auto"/>
        <w:bottom w:val="none" w:sz="0" w:space="0" w:color="auto"/>
        <w:right w:val="none" w:sz="0" w:space="0" w:color="auto"/>
      </w:divBdr>
    </w:div>
    <w:div w:id="2028673102">
      <w:bodyDiv w:val="1"/>
      <w:marLeft w:val="0"/>
      <w:marRight w:val="0"/>
      <w:marTop w:val="0"/>
      <w:marBottom w:val="0"/>
      <w:divBdr>
        <w:top w:val="none" w:sz="0" w:space="0" w:color="auto"/>
        <w:left w:val="none" w:sz="0" w:space="0" w:color="auto"/>
        <w:bottom w:val="none" w:sz="0" w:space="0" w:color="auto"/>
        <w:right w:val="none" w:sz="0" w:space="0" w:color="auto"/>
      </w:divBdr>
    </w:div>
    <w:div w:id="2053530249">
      <w:bodyDiv w:val="1"/>
      <w:marLeft w:val="0"/>
      <w:marRight w:val="0"/>
      <w:marTop w:val="0"/>
      <w:marBottom w:val="0"/>
      <w:divBdr>
        <w:top w:val="none" w:sz="0" w:space="0" w:color="auto"/>
        <w:left w:val="none" w:sz="0" w:space="0" w:color="auto"/>
        <w:bottom w:val="none" w:sz="0" w:space="0" w:color="auto"/>
        <w:right w:val="none" w:sz="0" w:space="0" w:color="auto"/>
      </w:divBdr>
      <w:divsChild>
        <w:div w:id="485708735">
          <w:marLeft w:val="0"/>
          <w:marRight w:val="0"/>
          <w:marTop w:val="0"/>
          <w:marBottom w:val="0"/>
          <w:divBdr>
            <w:top w:val="none" w:sz="0" w:space="0" w:color="auto"/>
            <w:left w:val="none" w:sz="0" w:space="0" w:color="auto"/>
            <w:bottom w:val="none" w:sz="0" w:space="0" w:color="auto"/>
            <w:right w:val="none" w:sz="0" w:space="0" w:color="auto"/>
          </w:divBdr>
          <w:divsChild>
            <w:div w:id="898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235">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www.politie.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pvo-denhaag.nl/nieuws/nieuwe-e-learning-voorkom-winkeldiefstal-in-jouw-winkel/" TargetMode="External" Id="rId10" /><Relationship Type="http://schemas.openxmlformats.org/officeDocument/2006/relationships/styles" Target="styles.xml" Id="rId4" /><Relationship Type="http://schemas.openxmlformats.org/officeDocument/2006/relationships/hyperlink" Target="https://pvo-nl.nl/onze-producten-en-diensten/toolbox-winkeldiefstal/https:/pvo-nl.nl/onze-producten-en-diensten/toolbox-winkeldiefstal/"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34</ap:Pages>
  <ap:Words>15240</ap:Words>
  <ap:Characters>83826</ap:Characters>
  <ap:DocSecurity>0</ap:DocSecurity>
  <ap:Lines>698</ap:Lines>
  <ap:Paragraphs>197</ap:Paragraphs>
  <ap:ScaleCrop>false</ap:ScaleCrop>
  <ap:HeadingPairs>
    <vt:vector baseType="variant" size="2">
      <vt:variant>
        <vt:lpstr>Titel</vt:lpstr>
      </vt:variant>
      <vt:variant>
        <vt:i4>1</vt:i4>
      </vt:variant>
    </vt:vector>
  </ap:HeadingPairs>
  <ap:TitlesOfParts>
    <vt:vector baseType="lpstr" size="1">
      <vt:lpstr>Bijlage  - Moties, toezeggingen en aanvullende verzoeken</vt:lpstr>
    </vt:vector>
  </ap:TitlesOfParts>
  <ap:LinksUpToDate>false</ap:LinksUpToDate>
  <ap:CharactersWithSpaces>98869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2025-12-10T16:01:00.0000000Z</dcterms:created>
  <dcterms:modified xsi:type="dcterms:W3CDTF">2025-12-10T16:01:00.0000000Z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Moties, toezeggingen en aanvullende verzoeken</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juni 2025</vt:lpwstr>
  </property>
  <property fmtid="{D5CDD505-2E9C-101B-9397-08002B2CF9AE}" pid="13" name="Opgesteld door, Naam">
    <vt:lpwstr>Noud van Bolderen</vt:lpwstr>
  </property>
  <property fmtid="{D5CDD505-2E9C-101B-9397-08002B2CF9AE}" pid="14" name="Opgesteld door, Telefoonnummer">
    <vt:lpwstr>0625547934</vt:lpwstr>
  </property>
  <property fmtid="{D5CDD505-2E9C-101B-9397-08002B2CF9AE}" pid="15" name="Kenmerk">
    <vt:lpwstr>6882033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