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008B2E6E" w:rsidTr="00AC5E68" w14:paraId="0FC8872A" w14:textId="77777777">
        <w:trPr>
          <w:trHeight w:val="200"/>
        </w:trPr>
        <w:tc>
          <w:tcPr>
            <w:tcW w:w="2440" w:type="dxa"/>
            <w:tcBorders>
              <w:bottom w:val="dotted" w:color="000000" w:sz="6" w:space="0"/>
            </w:tcBorders>
          </w:tcPr>
          <w:p w:rsidR="008B2E6E" w:rsidRDefault="008B2E6E" w14:paraId="6FDA6FEC" w14:textId="77777777"/>
        </w:tc>
        <w:tc>
          <w:tcPr>
            <w:tcW w:w="5240" w:type="dxa"/>
            <w:tcBorders>
              <w:bottom w:val="dotted" w:color="000000" w:sz="6" w:space="0"/>
            </w:tcBorders>
          </w:tcPr>
          <w:p w:rsidR="008B2E6E" w:rsidRDefault="008B2E6E" w14:paraId="2A04A8B2" w14:textId="77777777"/>
        </w:tc>
      </w:tr>
      <w:tr w:rsidR="008B2E6E" w:rsidTr="00AC5E68" w14:paraId="11891840" w14:textId="77777777">
        <w:trPr>
          <w:trHeight w:val="200"/>
        </w:trPr>
        <w:tc>
          <w:tcPr>
            <w:tcW w:w="2440" w:type="dxa"/>
            <w:tcBorders>
              <w:top w:val="dotted" w:color="000000" w:sz="6" w:space="0"/>
            </w:tcBorders>
          </w:tcPr>
          <w:p w:rsidR="008B2E6E" w:rsidRDefault="008B2E6E" w14:paraId="1AF60936" w14:textId="77777777"/>
        </w:tc>
        <w:tc>
          <w:tcPr>
            <w:tcW w:w="5240" w:type="dxa"/>
            <w:tcBorders>
              <w:top w:val="dotted" w:color="000000" w:sz="6" w:space="0"/>
            </w:tcBorders>
          </w:tcPr>
          <w:p w:rsidR="008B2E6E" w:rsidRDefault="008B2E6E" w14:paraId="6BCC23DF" w14:textId="77777777"/>
        </w:tc>
      </w:tr>
      <w:tr w:rsidR="008B2E6E" w:rsidTr="00AC5E68" w14:paraId="3DD2077D" w14:textId="77777777">
        <w:trPr>
          <w:trHeight w:val="240"/>
        </w:trPr>
        <w:tc>
          <w:tcPr>
            <w:tcW w:w="2440" w:type="dxa"/>
          </w:tcPr>
          <w:p w:rsidR="008B2E6E" w:rsidRDefault="00A073FD" w14:paraId="53741B00" w14:textId="77777777">
            <w:pPr>
              <w:pStyle w:val="Referentiegegevens"/>
            </w:pPr>
            <w:r>
              <w:t>Bijlage nummer</w:t>
            </w:r>
          </w:p>
        </w:tc>
        <w:tc>
          <w:tcPr>
            <w:tcW w:w="5240" w:type="dxa"/>
          </w:tcPr>
          <w:p w:rsidR="008B2E6E" w:rsidRDefault="00F54970" w14:paraId="283CC158" w14:textId="2AD2910C">
            <w:r>
              <w:t>7a</w:t>
            </w:r>
          </w:p>
        </w:tc>
      </w:tr>
      <w:tr w:rsidR="008B2E6E" w:rsidTr="00AC5E68" w14:paraId="079BC0E4" w14:textId="77777777">
        <w:trPr>
          <w:trHeight w:val="240"/>
        </w:trPr>
        <w:tc>
          <w:tcPr>
            <w:tcW w:w="2440" w:type="dxa"/>
          </w:tcPr>
          <w:p w:rsidR="008B2E6E" w:rsidRDefault="00A073FD" w14:paraId="3D761AEE" w14:textId="77777777">
            <w:pPr>
              <w:pStyle w:val="Referentiegegevens"/>
            </w:pPr>
            <w:r>
              <w:t>Horend bij</w:t>
            </w:r>
          </w:p>
        </w:tc>
        <w:tc>
          <w:tcPr>
            <w:tcW w:w="5240" w:type="dxa"/>
          </w:tcPr>
          <w:p w:rsidR="008B2E6E" w:rsidRDefault="00A073FD" w14:paraId="76F3F21A" w14:textId="77777777">
            <w:r>
              <w:t xml:space="preserve">Tweede Halfjaarbericht Politie 2025 </w:t>
            </w:r>
          </w:p>
        </w:tc>
      </w:tr>
      <w:tr w:rsidR="008B2E6E" w:rsidTr="00AC5E68" w14:paraId="771715D3" w14:textId="77777777">
        <w:trPr>
          <w:trHeight w:val="240"/>
        </w:trPr>
        <w:tc>
          <w:tcPr>
            <w:tcW w:w="2440" w:type="dxa"/>
          </w:tcPr>
          <w:p w:rsidR="008B2E6E" w:rsidRDefault="00A073FD" w14:paraId="7D439E9A" w14:textId="77777777">
            <w:pPr>
              <w:pStyle w:val="Referentiegegevens"/>
            </w:pPr>
            <w:r>
              <w:t>Datum</w:t>
            </w:r>
          </w:p>
        </w:tc>
        <w:tc>
          <w:tcPr>
            <w:tcW w:w="5240" w:type="dxa"/>
          </w:tcPr>
          <w:p w:rsidR="008B2E6E" w:rsidRDefault="00D25EBB" w14:paraId="2628677E" w14:textId="77777777">
            <w:sdt>
              <w:sdtPr>
                <w:id w:val="821168146"/>
                <w:date w:fullDate="2025-12-05T00:00:00Z">
                  <w:dateFormat w:val="d MMMM yyyy"/>
                  <w:lid w:val="nl"/>
                  <w:storeMappedDataAs w:val="dateTime"/>
                  <w:calendar w:val="gregorian"/>
                </w:date>
              </w:sdtPr>
              <w:sdtEndPr/>
              <w:sdtContent>
                <w:r w:rsidR="00A073FD">
                  <w:t>5 december 2025</w:t>
                </w:r>
              </w:sdtContent>
            </w:sdt>
          </w:p>
        </w:tc>
      </w:tr>
      <w:tr w:rsidR="008B2E6E" w:rsidTr="00AC5E68" w14:paraId="0C7236FE" w14:textId="77777777">
        <w:trPr>
          <w:trHeight w:val="240"/>
        </w:trPr>
        <w:tc>
          <w:tcPr>
            <w:tcW w:w="2440" w:type="dxa"/>
          </w:tcPr>
          <w:p w:rsidR="008B2E6E" w:rsidRDefault="00A073FD" w14:paraId="4BAD43AD" w14:textId="77777777">
            <w:pPr>
              <w:pStyle w:val="Referentiegegevens"/>
            </w:pPr>
            <w:r>
              <w:t>Onze referentie</w:t>
            </w:r>
          </w:p>
        </w:tc>
        <w:tc>
          <w:tcPr>
            <w:tcW w:w="5240" w:type="dxa"/>
          </w:tcPr>
          <w:p w:rsidR="008B2E6E" w:rsidRDefault="00A073FD" w14:paraId="510A1FC9" w14:textId="77777777">
            <w:proofErr w:type="gramStart"/>
            <w:r>
              <w:t>x</w:t>
            </w:r>
            <w:proofErr w:type="gramEnd"/>
          </w:p>
        </w:tc>
      </w:tr>
      <w:tr w:rsidR="008B2E6E" w:rsidTr="00AC5E68" w14:paraId="5CA4D6B0" w14:textId="77777777">
        <w:trPr>
          <w:trHeight w:val="200"/>
        </w:trPr>
        <w:tc>
          <w:tcPr>
            <w:tcW w:w="2440" w:type="dxa"/>
            <w:tcBorders>
              <w:bottom w:val="dotted" w:color="000000" w:sz="6" w:space="0"/>
            </w:tcBorders>
          </w:tcPr>
          <w:p w:rsidR="008B2E6E" w:rsidRDefault="008B2E6E" w14:paraId="1A560253" w14:textId="77777777"/>
        </w:tc>
        <w:tc>
          <w:tcPr>
            <w:tcW w:w="5240" w:type="dxa"/>
            <w:tcBorders>
              <w:bottom w:val="dotted" w:color="000000" w:sz="6" w:space="0"/>
            </w:tcBorders>
          </w:tcPr>
          <w:p w:rsidR="008B2E6E" w:rsidRDefault="008B2E6E" w14:paraId="70A3F2C1" w14:textId="77777777"/>
        </w:tc>
      </w:tr>
      <w:tr w:rsidR="008B2E6E" w:rsidTr="00AC5E68" w14:paraId="6E154432" w14:textId="77777777">
        <w:trPr>
          <w:trHeight w:val="200"/>
        </w:trPr>
        <w:tc>
          <w:tcPr>
            <w:tcW w:w="2440" w:type="dxa"/>
          </w:tcPr>
          <w:p w:rsidR="008B2E6E" w:rsidRDefault="008B2E6E" w14:paraId="3ACD1274" w14:textId="77777777"/>
        </w:tc>
        <w:tc>
          <w:tcPr>
            <w:tcW w:w="5240" w:type="dxa"/>
          </w:tcPr>
          <w:p w:rsidR="008B2E6E" w:rsidRDefault="008B2E6E" w14:paraId="6849B0EC" w14:textId="77777777"/>
        </w:tc>
      </w:tr>
    </w:tbl>
    <w:p w:rsidR="00E6303B" w:rsidP="00E6303B" w:rsidRDefault="00E6303B" w14:paraId="0A87892C" w14:textId="77777777">
      <w:pPr>
        <w:tabs>
          <w:tab w:val="num" w:pos="720"/>
        </w:tabs>
        <w:spacing w:line="360" w:lineRule="auto"/>
      </w:pPr>
    </w:p>
    <w:p w:rsidR="00E6303B" w:rsidP="00E6303B" w:rsidRDefault="00E6303B" w14:paraId="6EF59616" w14:textId="777F3740">
      <w:pPr>
        <w:tabs>
          <w:tab w:val="num" w:pos="720"/>
        </w:tabs>
        <w:spacing w:line="360" w:lineRule="auto"/>
      </w:pPr>
      <w:r>
        <w:t xml:space="preserve">In de afgelopen jaren is door politie en het OM gewerkt aan de professionalisering van het heimelijk domein. Sinds het voorjaar van 2024 is dit proces gemonitord door de commissie Monitoring Waarborgen Heimelijk Werk onder voorzitterschap van mevr. Mr. Winnie Sorgdrager. Dit heeft geresulteerd in bijgaand rapport.  Samen met de Korpschef en het College van procureurs-generaal dank ik de commissie voor haar grondige werk en het gegeven advies. Alvorens in te gaan op de constateringen en conclusies van de commissie, ga ik in op </w:t>
      </w:r>
      <w:r w:rsidR="00F665DE">
        <w:t>het traject</w:t>
      </w:r>
      <w:r>
        <w:t xml:space="preserve"> dat tot dit punt geleid heeft. </w:t>
      </w:r>
    </w:p>
    <w:p w:rsidR="00E90B7D" w:rsidP="00E90B7D" w:rsidRDefault="00E90B7D" w14:paraId="373A1D2D" w14:textId="77777777">
      <w:pPr>
        <w:tabs>
          <w:tab w:val="num" w:pos="720"/>
        </w:tabs>
        <w:spacing w:line="360" w:lineRule="auto"/>
      </w:pPr>
    </w:p>
    <w:p w:rsidRPr="00471AEF" w:rsidR="00A609D0" w:rsidP="00E90B7D" w:rsidRDefault="00E6303B" w14:paraId="5920A829" w14:textId="31D3F75A">
      <w:pPr>
        <w:tabs>
          <w:tab w:val="num" w:pos="720"/>
        </w:tabs>
        <w:spacing w:line="360" w:lineRule="auto"/>
        <w:rPr>
          <w:i/>
          <w:iCs/>
        </w:rPr>
      </w:pPr>
      <w:r w:rsidRPr="00471AEF">
        <w:rPr>
          <w:i/>
          <w:iCs/>
        </w:rPr>
        <w:t>Voortraject</w:t>
      </w:r>
    </w:p>
    <w:p w:rsidR="0029390F" w:rsidP="0029390F" w:rsidRDefault="0029390F" w14:paraId="523C7BA7" w14:textId="1929FB5F">
      <w:pPr>
        <w:tabs>
          <w:tab w:val="num" w:pos="720"/>
        </w:tabs>
        <w:spacing w:line="360" w:lineRule="auto"/>
      </w:pPr>
      <w:r>
        <w:t xml:space="preserve">In 2021 deed de commissie Brouwer onderzoek naar de werkwijze van het toenmalige team Werken Onder Dekmantel van de Landelijke Eenheid. Uit het onderzoek van deze commissie </w:t>
      </w:r>
      <w:r w:rsidRPr="00F73E58">
        <w:t xml:space="preserve">bleek dat de professionaliteit van de organisatie </w:t>
      </w:r>
      <w:r>
        <w:t xml:space="preserve">als geheel </w:t>
      </w:r>
      <w:r w:rsidRPr="00F73E58">
        <w:t xml:space="preserve">ernstig te wensen overliet en dat de organisatorische en ethische waarborgen voor de inzet van heimelijke bevoegdheden onvoldoende waren. </w:t>
      </w:r>
    </w:p>
    <w:p w:rsidR="0029390F" w:rsidP="00E90B7D" w:rsidRDefault="0029390F" w14:paraId="3DACF4C2" w14:textId="77777777">
      <w:pPr>
        <w:tabs>
          <w:tab w:val="num" w:pos="720"/>
        </w:tabs>
        <w:spacing w:line="360" w:lineRule="auto"/>
      </w:pPr>
    </w:p>
    <w:p w:rsidR="0029390F" w:rsidP="0029390F" w:rsidRDefault="0029390F" w14:paraId="6E636190" w14:textId="74298BE2">
      <w:pPr>
        <w:tabs>
          <w:tab w:val="num" w:pos="720"/>
        </w:tabs>
        <w:spacing w:line="360" w:lineRule="auto"/>
      </w:pPr>
      <w:r>
        <w:t xml:space="preserve">In zijn reactie op het rapport van de commissie Brouwer constateerde de toenmalige minister van Justitie en Veiligheid dat de inzet van heimelijke bevoegdheden van groot belang is voor de bestrijding van ernstige vormen van (georganiseerde) criminaliteit, maar brengt ook risico’s met zich mee die kenmerkend zijn voor het werkveld. Het middel moet daarom worden omgeven door een sluitend stelsel van waarborgen. De toenmalige minister stelde een externe commissie (de commissie Waarborgen Werken Onder Dekmantel ovv </w:t>
      </w:r>
      <w:r w:rsidRPr="00AC7F25">
        <w:t>mevr. mr.</w:t>
      </w:r>
      <w:r>
        <w:t xml:space="preserve"> Winnie Sorgdrager) in met als doel te adviseren over een sluitend stelsel van waarborgen. </w:t>
      </w:r>
    </w:p>
    <w:p w:rsidR="0004219C" w:rsidP="00E90B7D" w:rsidRDefault="0004219C" w14:paraId="45EFA627" w14:textId="77777777">
      <w:pPr>
        <w:tabs>
          <w:tab w:val="num" w:pos="720"/>
        </w:tabs>
        <w:spacing w:line="360" w:lineRule="auto"/>
      </w:pPr>
    </w:p>
    <w:p w:rsidR="00E6303B" w:rsidP="00E90B7D" w:rsidRDefault="00917647" w14:paraId="75CC977E" w14:textId="6DA58FEB">
      <w:pPr>
        <w:tabs>
          <w:tab w:val="num" w:pos="720"/>
        </w:tabs>
        <w:spacing w:line="360" w:lineRule="auto"/>
      </w:pPr>
      <w:r>
        <w:lastRenderedPageBreak/>
        <w:t>De commissie Waarborgen Werken Onder</w:t>
      </w:r>
      <w:r w:rsidR="00AC7F25">
        <w:t xml:space="preserve"> Dekmantel</w:t>
      </w:r>
      <w:r>
        <w:t xml:space="preserve"> liet</w:t>
      </w:r>
      <w:r w:rsidRPr="00917647">
        <w:t xml:space="preserve"> zich</w:t>
      </w:r>
      <w:r w:rsidR="009970A2">
        <w:t xml:space="preserve"> in haar eindrapportage (oktober 2023)</w:t>
      </w:r>
      <w:r w:rsidR="009970A2">
        <w:rPr>
          <w:rStyle w:val="Voetnootmarkering"/>
        </w:rPr>
        <w:footnoteReference w:id="1"/>
      </w:r>
      <w:r w:rsidR="00F73E58">
        <w:t>, met een aantal kritische kanttekeningen,</w:t>
      </w:r>
      <w:r w:rsidRPr="00917647">
        <w:t xml:space="preserve"> positief uit over de inspanningen die </w:t>
      </w:r>
      <w:r>
        <w:t>tot dan toe</w:t>
      </w:r>
      <w:r w:rsidRPr="00917647">
        <w:t xml:space="preserve"> door de politie en het </w:t>
      </w:r>
      <w:r w:rsidR="00375A1A">
        <w:t>O</w:t>
      </w:r>
      <w:r w:rsidRPr="00917647">
        <w:t xml:space="preserve">penbaar </w:t>
      </w:r>
      <w:r w:rsidR="00375A1A">
        <w:t>M</w:t>
      </w:r>
      <w:r w:rsidRPr="00917647">
        <w:t xml:space="preserve">inisterie </w:t>
      </w:r>
      <w:r w:rsidR="00C4440F">
        <w:t>ware</w:t>
      </w:r>
      <w:r w:rsidRPr="00917647">
        <w:t xml:space="preserve">n gedaan voor het doorvoeren van verbeteringen binnen het heimelijke domein. Ook </w:t>
      </w:r>
      <w:r>
        <w:t>zag</w:t>
      </w:r>
      <w:r w:rsidRPr="00917647">
        <w:t xml:space="preserve"> de commissie dat</w:t>
      </w:r>
      <w:r w:rsidR="00BA3ABF">
        <w:t xml:space="preserve"> er</w:t>
      </w:r>
      <w:r w:rsidRPr="00917647">
        <w:t xml:space="preserve"> binnen het heimelijk domein meer aandacht </w:t>
      </w:r>
      <w:r w:rsidR="00C4440F">
        <w:t>wa</w:t>
      </w:r>
      <w:r w:rsidRPr="00917647">
        <w:t>s gekomen voor mentaal welzijn</w:t>
      </w:r>
      <w:r w:rsidR="00375A1A">
        <w:t xml:space="preserve"> van het personeel</w:t>
      </w:r>
      <w:r w:rsidRPr="00917647">
        <w:t xml:space="preserve"> en ethische afwegingen. De commissie </w:t>
      </w:r>
      <w:r w:rsidR="00F73E58">
        <w:t>zag</w:t>
      </w:r>
      <w:r w:rsidRPr="00917647" w:rsidR="00F73E58">
        <w:t xml:space="preserve"> </w:t>
      </w:r>
      <w:r w:rsidRPr="00917647">
        <w:t xml:space="preserve">dit als een belangrijke en zelfs </w:t>
      </w:r>
      <w:proofErr w:type="spellStart"/>
      <w:r w:rsidRPr="00917647">
        <w:t>randvoorwaardelijke</w:t>
      </w:r>
      <w:proofErr w:type="spellEnd"/>
      <w:r w:rsidRPr="00917647">
        <w:t xml:space="preserve"> ontwikkeling.</w:t>
      </w:r>
      <w:r w:rsidR="0004219C">
        <w:t xml:space="preserve"> </w:t>
      </w:r>
      <w:r w:rsidR="00E6303B">
        <w:t>Als vervolg op de adviezen van de commissie Waarborgen Werken Onder Dekmantel heeft de korpschef toegewerkt naar een borging van personeelswelzijn gedurende het hele loopbaantraject van het betrokken personeel. Ook</w:t>
      </w:r>
      <w:r w:rsidR="00F40E64">
        <w:t xml:space="preserve"> </w:t>
      </w:r>
      <w:r w:rsidR="00E6303B">
        <w:t>is</w:t>
      </w:r>
      <w:r w:rsidR="00943C9A">
        <w:t xml:space="preserve"> er besloten tot</w:t>
      </w:r>
      <w:r w:rsidR="00E6303B">
        <w:t xml:space="preserve"> een samenhangend stelsel waarin de waarborgen voor het heimelijk werken geborgd worden</w:t>
      </w:r>
      <w:r w:rsidR="00943C9A">
        <w:t xml:space="preserve">. </w:t>
      </w:r>
      <w:r w:rsidR="00E6303B">
        <w:t>Om de conclusies van de commissies verder uit te werken en te borgen (te ‘professionaliseren’), heeft de politie een kwartiermaker aangesteld die gezamenlijk optrok met de kwartiermaker bij het Openbaar Ministerie, daartoe aangesteld in opdracht van het College van procureurs generaal.</w:t>
      </w:r>
    </w:p>
    <w:p w:rsidR="00E6303B" w:rsidP="00E90B7D" w:rsidRDefault="00E6303B" w14:paraId="7B7AB739" w14:textId="77777777">
      <w:pPr>
        <w:tabs>
          <w:tab w:val="num" w:pos="720"/>
        </w:tabs>
        <w:spacing w:line="360" w:lineRule="auto"/>
      </w:pPr>
    </w:p>
    <w:p w:rsidRPr="008F548A" w:rsidR="008F548A" w:rsidP="008F548A" w:rsidRDefault="00862CDD" w14:paraId="62E2D366" w14:textId="04DA502F">
      <w:pPr>
        <w:tabs>
          <w:tab w:val="num" w:pos="720"/>
        </w:tabs>
        <w:spacing w:line="360" w:lineRule="auto"/>
      </w:pPr>
      <w:r>
        <w:t xml:space="preserve">Mijn ambtsvoorganger </w:t>
      </w:r>
      <w:r w:rsidR="00F920DD">
        <w:t>heeft de commissie</w:t>
      </w:r>
      <w:r w:rsidR="00AC7F25">
        <w:t xml:space="preserve"> Monitoring</w:t>
      </w:r>
      <w:r w:rsidR="00F920DD">
        <w:t xml:space="preserve"> Waarborgen Heimelijk Werk (hierna: commissie) </w:t>
      </w:r>
      <w:r w:rsidR="00AB12CE">
        <w:t>geïnstalleerd</w:t>
      </w:r>
      <w:r>
        <w:t xml:space="preserve"> </w:t>
      </w:r>
      <w:r w:rsidR="00AC7F25">
        <w:t xml:space="preserve">onder voorzitterschap van </w:t>
      </w:r>
      <w:r w:rsidRPr="00AC7F25" w:rsidR="00AC7F25">
        <w:t>mevr. mr.</w:t>
      </w:r>
      <w:r w:rsidR="00AC7F25">
        <w:t xml:space="preserve"> Winnie Sorgdrager </w:t>
      </w:r>
      <w:r>
        <w:t xml:space="preserve">en de opdracht gegeven om het </w:t>
      </w:r>
      <w:r w:rsidR="00F920DD">
        <w:t xml:space="preserve">proces van </w:t>
      </w:r>
      <w:r>
        <w:t>de overgang naar een nieuw undercover team</w:t>
      </w:r>
      <w:r w:rsidR="00F920DD">
        <w:t xml:space="preserve"> </w:t>
      </w:r>
      <w:r>
        <w:t>t</w:t>
      </w:r>
      <w:r w:rsidR="00F920DD">
        <w:t>e</w:t>
      </w:r>
      <w:r>
        <w:t xml:space="preserve"> </w:t>
      </w:r>
      <w:r w:rsidR="00F920DD">
        <w:t>monitor</w:t>
      </w:r>
      <w:r>
        <w:t>en</w:t>
      </w:r>
      <w:r w:rsidR="00F920DD">
        <w:t xml:space="preserve">. </w:t>
      </w:r>
      <w:r w:rsidR="00C4440F">
        <w:t>Een</w:t>
      </w:r>
      <w:r w:rsidRPr="008F548A" w:rsidR="008F548A">
        <w:t xml:space="preserve"> taak van de commissie </w:t>
      </w:r>
      <w:r w:rsidR="00C4440F">
        <w:t xml:space="preserve">was het </w:t>
      </w:r>
      <w:r w:rsidRPr="008F548A" w:rsidR="00C4440F">
        <w:t>monitor</w:t>
      </w:r>
      <w:r w:rsidR="00C4440F">
        <w:t>en</w:t>
      </w:r>
      <w:r w:rsidRPr="008F548A" w:rsidR="00C4440F">
        <w:t xml:space="preserve"> </w:t>
      </w:r>
      <w:r w:rsidRPr="008F548A" w:rsidR="008F548A">
        <w:t xml:space="preserve">van het borgen van organisatorische waarborgen en waarborgen voor het personeelswelzijn binnen het heimelijk domein bij de politie. </w:t>
      </w:r>
    </w:p>
    <w:p w:rsidR="00F920DD" w:rsidP="00F920DD" w:rsidRDefault="00862CDD" w14:paraId="6B360873" w14:textId="32D4E52B">
      <w:pPr>
        <w:tabs>
          <w:tab w:val="num" w:pos="720"/>
        </w:tabs>
        <w:spacing w:line="360" w:lineRule="auto"/>
      </w:pPr>
      <w:r>
        <w:t>Daarnaast had de commissie de opdracht om de professionalisering van het heimelijk werken te monitoren</w:t>
      </w:r>
      <w:r w:rsidR="00253EB2">
        <w:t xml:space="preserve">. </w:t>
      </w:r>
      <w:r w:rsidR="00F920DD">
        <w:t xml:space="preserve">Dit heeft geresulteerd in bijgaand rapport. </w:t>
      </w:r>
    </w:p>
    <w:p w:rsidR="00E90B7D" w:rsidP="00E90B7D" w:rsidRDefault="00E90B7D" w14:paraId="02C3A77A" w14:textId="77777777">
      <w:pPr>
        <w:spacing w:line="360" w:lineRule="auto"/>
      </w:pPr>
    </w:p>
    <w:p w:rsidRPr="00080A79" w:rsidR="00E90B7D" w:rsidP="00E90B7D" w:rsidRDefault="00E90B7D" w14:paraId="26FCA6F3" w14:textId="77777777">
      <w:pPr>
        <w:spacing w:line="360" w:lineRule="auto"/>
        <w:rPr>
          <w:i/>
          <w:iCs/>
        </w:rPr>
      </w:pPr>
      <w:r>
        <w:rPr>
          <w:i/>
          <w:iCs/>
        </w:rPr>
        <w:t>Professionalisering</w:t>
      </w:r>
    </w:p>
    <w:p w:rsidR="00E90B7D" w:rsidP="00F62CBB" w:rsidRDefault="00AC7F25" w14:paraId="459D7186" w14:textId="038F1A18">
      <w:pPr>
        <w:tabs>
          <w:tab w:val="num" w:pos="720"/>
        </w:tabs>
        <w:spacing w:line="360" w:lineRule="auto"/>
      </w:pPr>
      <w:r>
        <w:t>De c</w:t>
      </w:r>
      <w:r w:rsidRPr="00D175FD" w:rsidR="00E90B7D">
        <w:t xml:space="preserve">ommissie constateert dat er </w:t>
      </w:r>
      <w:r w:rsidR="008F548A">
        <w:t xml:space="preserve">goede </w:t>
      </w:r>
      <w:r w:rsidRPr="00D175FD" w:rsidR="00E90B7D">
        <w:t>stappen zijn gezet</w:t>
      </w:r>
      <w:r w:rsidR="00327C0C">
        <w:t xml:space="preserve"> in de professionalisering van het heimelijk domein</w:t>
      </w:r>
      <w:r w:rsidRPr="00D175FD" w:rsidR="00E90B7D">
        <w:t xml:space="preserve">. </w:t>
      </w:r>
      <w:r w:rsidR="00E90B7D">
        <w:t xml:space="preserve">Zo zijn er </w:t>
      </w:r>
      <w:r w:rsidR="008F548A">
        <w:t xml:space="preserve">nu meer </w:t>
      </w:r>
      <w:r w:rsidRPr="00D175FD" w:rsidR="00E90B7D">
        <w:t xml:space="preserve">waarborgen op het gebied van personeelswelzijn en worden </w:t>
      </w:r>
      <w:r w:rsidR="00E90B7D">
        <w:t xml:space="preserve">deze ook </w:t>
      </w:r>
      <w:r w:rsidRPr="00D175FD" w:rsidR="00E90B7D">
        <w:t>nageleefd</w:t>
      </w:r>
      <w:r w:rsidR="00327C0C">
        <w:t>,</w:t>
      </w:r>
      <w:r w:rsidRPr="00D175FD" w:rsidR="00E90B7D">
        <w:t xml:space="preserve"> zijn</w:t>
      </w:r>
      <w:r w:rsidR="00327C0C">
        <w:t xml:space="preserve"> er</w:t>
      </w:r>
      <w:r w:rsidRPr="00D175FD" w:rsidR="00E90B7D">
        <w:t xml:space="preserve"> psychologen, </w:t>
      </w:r>
      <w:proofErr w:type="gramStart"/>
      <w:r w:rsidRPr="00D175FD" w:rsidR="00E90B7D">
        <w:t>professionele</w:t>
      </w:r>
      <w:proofErr w:type="gramEnd"/>
      <w:r w:rsidRPr="00D175FD" w:rsidR="00E90B7D">
        <w:t xml:space="preserve"> standaarden en protocollen</w:t>
      </w:r>
      <w:r w:rsidR="008F548A">
        <w:t xml:space="preserve"> gekomen</w:t>
      </w:r>
      <w:r w:rsidRPr="00D175FD" w:rsidR="00E90B7D">
        <w:t>,</w:t>
      </w:r>
      <w:r w:rsidR="008F548A">
        <w:t xml:space="preserve"> is er een grotere</w:t>
      </w:r>
      <w:r w:rsidRPr="00D175FD" w:rsidR="00E90B7D">
        <w:t xml:space="preserve"> betrokkenheid van de lijn bij besluiten en een toenemend ethisch besef</w:t>
      </w:r>
      <w:r w:rsidR="00E90B7D">
        <w:t xml:space="preserve">. </w:t>
      </w:r>
      <w:r w:rsidR="00BA6F8F">
        <w:t>Ook is er</w:t>
      </w:r>
      <w:r w:rsidR="008F548A">
        <w:t xml:space="preserve"> </w:t>
      </w:r>
      <w:r w:rsidRPr="008F548A" w:rsidR="008F548A">
        <w:t>door de oprichting van het Regiepunt Heimelijke Operaties (RHO)</w:t>
      </w:r>
      <w:r w:rsidR="00BA6F8F">
        <w:t xml:space="preserve"> landelijk overzicht </w:t>
      </w:r>
      <w:r w:rsidR="008F548A">
        <w:t>gecreëerd</w:t>
      </w:r>
      <w:r w:rsidR="00BA6F8F">
        <w:t xml:space="preserve"> op de heimelijke operaties</w:t>
      </w:r>
      <w:r w:rsidR="00C4440F">
        <w:t>. Hierdoor is</w:t>
      </w:r>
      <w:r w:rsidR="00FE356A">
        <w:t xml:space="preserve"> </w:t>
      </w:r>
      <w:r w:rsidR="008F548A">
        <w:t>er een betere coördinatie mogelijk</w:t>
      </w:r>
      <w:r w:rsidR="00FE356A">
        <w:t>.</w:t>
      </w:r>
      <w:r w:rsidR="004B6620">
        <w:t xml:space="preserve"> </w:t>
      </w:r>
      <w:r w:rsidR="00BA6F8F">
        <w:t xml:space="preserve">Het RHO speelt </w:t>
      </w:r>
      <w:r w:rsidR="008F548A">
        <w:t xml:space="preserve">sinds haar oprichting in 2022 </w:t>
      </w:r>
      <w:r w:rsidR="00BA6F8F">
        <w:t xml:space="preserve">een belangrijke </w:t>
      </w:r>
      <w:r w:rsidR="00BA6F8F">
        <w:lastRenderedPageBreak/>
        <w:t>rol in de</w:t>
      </w:r>
      <w:r w:rsidR="008F548A">
        <w:t xml:space="preserve"> verdere</w:t>
      </w:r>
      <w:r w:rsidR="00BA6F8F">
        <w:t xml:space="preserve"> professionalisering van het heimelijk domein </w:t>
      </w:r>
      <w:r w:rsidR="00F54970">
        <w:t xml:space="preserve">onder andere </w:t>
      </w:r>
      <w:r w:rsidR="00BA6F8F">
        <w:t xml:space="preserve">door </w:t>
      </w:r>
      <w:r w:rsidRPr="00C72E9F" w:rsidR="00BA6F8F">
        <w:t>toetsing van plannen van aanpak en</w:t>
      </w:r>
      <w:r w:rsidR="00BA6F8F">
        <w:t xml:space="preserve"> de toetsing </w:t>
      </w:r>
      <w:r w:rsidR="00301A59">
        <w:t>door de ethische commissie</w:t>
      </w:r>
      <w:r w:rsidR="00BA6F8F">
        <w:t>.</w:t>
      </w:r>
      <w:r w:rsidR="00BA6F8F">
        <w:rPr>
          <w:rStyle w:val="Voetnootmarkering"/>
        </w:rPr>
        <w:footnoteReference w:id="2"/>
      </w:r>
      <w:r w:rsidR="00BA6F8F">
        <w:t xml:space="preserve"> </w:t>
      </w:r>
    </w:p>
    <w:p w:rsidR="007E6143" w:rsidP="007E6143" w:rsidRDefault="007E6143" w14:paraId="754B5EF8" w14:textId="77777777">
      <w:pPr>
        <w:tabs>
          <w:tab w:val="num" w:pos="720"/>
        </w:tabs>
        <w:spacing w:line="360" w:lineRule="auto"/>
      </w:pPr>
    </w:p>
    <w:p w:rsidRPr="007E6143" w:rsidR="007E6143" w:rsidP="007E6143" w:rsidRDefault="007E6143" w14:paraId="09A88549" w14:textId="21B9F07B">
      <w:pPr>
        <w:tabs>
          <w:tab w:val="num" w:pos="720"/>
        </w:tabs>
        <w:spacing w:line="360" w:lineRule="auto"/>
        <w:rPr>
          <w:i/>
          <w:iCs/>
        </w:rPr>
      </w:pPr>
      <w:r w:rsidRPr="007E6143">
        <w:rPr>
          <w:i/>
          <w:iCs/>
        </w:rPr>
        <w:t>Planvorming en implementatie nieuw opgericht undercover team</w:t>
      </w:r>
    </w:p>
    <w:p w:rsidR="00FE356A" w:rsidP="00FE356A" w:rsidRDefault="0029390F" w14:paraId="17AB4E36" w14:textId="23E8B79A">
      <w:pPr>
        <w:tabs>
          <w:tab w:val="num" w:pos="720"/>
        </w:tabs>
        <w:spacing w:line="360" w:lineRule="auto"/>
      </w:pPr>
      <w:r>
        <w:t xml:space="preserve">In juli 2022 </w:t>
      </w:r>
      <w:r w:rsidR="00FE356A">
        <w:t xml:space="preserve">heeft de korpschef in samenspraak met de politiechef van de LE besloten, om de organisatie en de werkwijze van het toenmalige team WOD te wijzigen. </w:t>
      </w:r>
      <w:r w:rsidR="00C4440F">
        <w:t>Voor dit besluit was steun van het Landelijk Parket van het openbaar ministerie, de Ondernemingsraad LE en de commissie Schneiders. Ook d</w:t>
      </w:r>
      <w:r w:rsidR="00534F8F">
        <w:t xml:space="preserve">e commissie </w:t>
      </w:r>
      <w:r w:rsidR="00F40E64">
        <w:t xml:space="preserve">Waarborgen Werken Onder Dekmantel </w:t>
      </w:r>
      <w:r w:rsidR="00534F8F">
        <w:t>heeft de korpschef destijds laten weten dat ook een nieuwe start voor het WOD noodzakelijk achtte.</w:t>
      </w:r>
      <w:r w:rsidR="00534F8F">
        <w:rPr>
          <w:rStyle w:val="Voetnootmarkering"/>
        </w:rPr>
        <w:footnoteReference w:id="3"/>
      </w:r>
      <w:r w:rsidR="00534F8F">
        <w:t xml:space="preserve"> </w:t>
      </w:r>
      <w:r w:rsidR="00FE356A">
        <w:t xml:space="preserve">Het team WOD werd afgebouwd, waarna, na een periode van herbezinning, </w:t>
      </w:r>
      <w:r w:rsidR="00D25CAF">
        <w:t xml:space="preserve">in relatief korte tijd </w:t>
      </w:r>
      <w:r w:rsidR="00FE356A">
        <w:t xml:space="preserve">een </w:t>
      </w:r>
      <w:r w:rsidR="009F3237">
        <w:t>nieuw undercoverteam</w:t>
      </w:r>
      <w:r w:rsidR="00FE356A">
        <w:t xml:space="preserve"> is opgebouwd. Een ingreep als deze is niet uniek. </w:t>
      </w:r>
      <w:r w:rsidRPr="00BA3ABF" w:rsidR="00D25CAF">
        <w:t>Meerdere Europese politieorganisaties hebben te kampen gehad met een crisissituatie die noodzaakte tot een complete herstart van teams binnen het heimelijke domein</w:t>
      </w:r>
      <w:r w:rsidR="00D25CAF">
        <w:t>.</w:t>
      </w:r>
      <w:r w:rsidR="00D25CAF">
        <w:rPr>
          <w:rStyle w:val="Voetnootmarkering"/>
        </w:rPr>
        <w:footnoteReference w:id="4"/>
      </w:r>
      <w:r w:rsidR="00D25CAF">
        <w:t xml:space="preserve"> </w:t>
      </w:r>
      <w:r w:rsidR="00FE356A">
        <w:t>Het heimelijke domein binnen een politieorganisatie blijkt kwetsbaar te zijn voor misstanden</w:t>
      </w:r>
      <w:r w:rsidR="00D25CAF">
        <w:t xml:space="preserve"> die voortkomen uit de risico’s die</w:t>
      </w:r>
      <w:r w:rsidR="00FE356A">
        <w:t xml:space="preserve"> </w:t>
      </w:r>
      <w:r w:rsidRPr="00BA3ABF" w:rsidR="00FE356A">
        <w:t xml:space="preserve">de noodzakelijke afscherming en de bijzondere context waarin heimelijke operators werken helaas </w:t>
      </w:r>
      <w:r w:rsidR="00D25CAF">
        <w:t>met zich meebrengt</w:t>
      </w:r>
      <w:r w:rsidRPr="00BA3ABF" w:rsidR="00FE356A">
        <w:t xml:space="preserve">. </w:t>
      </w:r>
      <w:r w:rsidR="00FE356A">
        <w:t xml:space="preserve">Het afbouwen en het inrichten van een nieuwe structuur waarin de door de commissies Brouwer en </w:t>
      </w:r>
      <w:r w:rsidR="00F40E64">
        <w:t xml:space="preserve">Waarborgen Werken Onder Dekmantel </w:t>
      </w:r>
      <w:r w:rsidR="00FE356A">
        <w:t>geadviseerde</w:t>
      </w:r>
      <w:r w:rsidR="009F3237">
        <w:t xml:space="preserve"> waarborgen</w:t>
      </w:r>
      <w:r w:rsidR="00FE356A">
        <w:t xml:space="preserve"> zijn geborgd, blijkt </w:t>
      </w:r>
      <w:r w:rsidR="005654B3">
        <w:t>vanuit</w:t>
      </w:r>
      <w:r w:rsidR="00FE356A">
        <w:t xml:space="preserve"> internationaal perspectief </w:t>
      </w:r>
      <w:r w:rsidR="005654B3">
        <w:t xml:space="preserve">bezien </w:t>
      </w:r>
      <w:r w:rsidR="00FE356A">
        <w:t xml:space="preserve">een werkbare en veilige situatie op te kunnen leveren. </w:t>
      </w:r>
      <w:r w:rsidR="00EE4E17">
        <w:t>De korpschef heeft destijds een zorgvuldig</w:t>
      </w:r>
      <w:r w:rsidR="00D82352">
        <w:t>e</w:t>
      </w:r>
      <w:r w:rsidR="00EE4E17">
        <w:t xml:space="preserve"> afweging gemaakt</w:t>
      </w:r>
      <w:r w:rsidR="00C4440F">
        <w:t>. In deze afw</w:t>
      </w:r>
      <w:r w:rsidR="00F40E64">
        <w:t>e</w:t>
      </w:r>
      <w:r w:rsidR="00C4440F">
        <w:t>ging</w:t>
      </w:r>
      <w:r w:rsidR="00EE4E17">
        <w:t xml:space="preserve"> </w:t>
      </w:r>
      <w:r w:rsidR="00C4440F">
        <w:t xml:space="preserve">werd </w:t>
      </w:r>
      <w:r w:rsidR="00EE4E17">
        <w:t>de noodzaak om bestaande patronen binnen het team WOD te doorbreken van grote</w:t>
      </w:r>
      <w:r w:rsidR="002509C3">
        <w:t>r</w:t>
      </w:r>
      <w:r w:rsidR="00EE4E17">
        <w:t xml:space="preserve"> belang geacht dan de nadelen </w:t>
      </w:r>
      <w:r w:rsidR="004474FF">
        <w:t>– zoals beperkte</w:t>
      </w:r>
      <w:r w:rsidR="005654B3">
        <w:t>re</w:t>
      </w:r>
      <w:r w:rsidR="004474FF">
        <w:t xml:space="preserve"> (praktijk)ervaring in de eerste jaren van een nieuw team - </w:t>
      </w:r>
      <w:r w:rsidR="00EE4E17">
        <w:t>die kleven aan een herstart</w:t>
      </w:r>
      <w:r w:rsidR="00C4440F">
        <w:t xml:space="preserve">. </w:t>
      </w:r>
      <w:r w:rsidR="00943C9A">
        <w:t>Met inachtneming van de nadelen</w:t>
      </w:r>
      <w:r w:rsidR="002509C3">
        <w:t xml:space="preserve"> is destijds bewust gekozen voor deze constructie.</w:t>
      </w:r>
      <w:r w:rsidR="00943C9A">
        <w:t xml:space="preserve"> </w:t>
      </w:r>
      <w:r w:rsidR="00FE356A">
        <w:rPr>
          <w:rStyle w:val="Voetnootmarkering"/>
        </w:rPr>
        <w:footnoteReference w:id="5"/>
      </w:r>
    </w:p>
    <w:p w:rsidR="00FE356A" w:rsidP="000C2D36" w:rsidRDefault="00FE356A" w14:paraId="0874B161" w14:textId="77777777">
      <w:pPr>
        <w:tabs>
          <w:tab w:val="num" w:pos="720"/>
        </w:tabs>
        <w:spacing w:line="360" w:lineRule="auto"/>
      </w:pPr>
    </w:p>
    <w:p w:rsidRPr="00765D92" w:rsidR="00765D92" w:rsidP="00765D92" w:rsidRDefault="00765D92" w14:paraId="6BAD5B1B" w14:textId="071BC1D5">
      <w:pPr>
        <w:tabs>
          <w:tab w:val="num" w:pos="720"/>
        </w:tabs>
        <w:spacing w:line="360" w:lineRule="auto"/>
      </w:pPr>
      <w:r w:rsidRPr="00765D92">
        <w:t xml:space="preserve">De korps- en eenheidsleiding </w:t>
      </w:r>
      <w:r w:rsidR="0029390F">
        <w:t>achtte</w:t>
      </w:r>
      <w:r w:rsidR="00F40E64">
        <w:t>n</w:t>
      </w:r>
      <w:r w:rsidR="0029390F">
        <w:t xml:space="preserve"> een </w:t>
      </w:r>
      <w:r w:rsidR="00F54970">
        <w:t>voortvarende</w:t>
      </w:r>
      <w:r w:rsidR="0029390F">
        <w:t xml:space="preserve"> opbouw van een nieuw undercoverteam</w:t>
      </w:r>
      <w:r w:rsidR="00EE4E17">
        <w:t xml:space="preserve"> noodzakelijk omdat de </w:t>
      </w:r>
      <w:r w:rsidRPr="00765D92">
        <w:t xml:space="preserve">inzet van heimelijke opsporingsmiddelen </w:t>
      </w:r>
      <w:r w:rsidR="00EE4E17">
        <w:t>onmisbaar is</w:t>
      </w:r>
      <w:r w:rsidRPr="00765D92">
        <w:t xml:space="preserve"> bij de aanpak van zware criminaliteit</w:t>
      </w:r>
      <w:r w:rsidR="00EA4782">
        <w:t xml:space="preserve">. </w:t>
      </w:r>
      <w:r w:rsidR="00471AEF">
        <w:t xml:space="preserve">Daarbij heeft de politie er bewust voor gekozen om bij de start van het undercoverteam eerst te richten op </w:t>
      </w:r>
      <w:r w:rsidR="00471AEF">
        <w:lastRenderedPageBreak/>
        <w:t xml:space="preserve">meer traditionele criminaliteitssoorten (zoals moord, doodslag en zedendelicten) en het team op die basis verder te ontwikkelen. </w:t>
      </w:r>
      <w:r w:rsidR="00992730">
        <w:t>P</w:t>
      </w:r>
      <w:r>
        <w:t>er</w:t>
      </w:r>
      <w:r w:rsidRPr="00765D92">
        <w:t xml:space="preserve"> 1 januari 2025 </w:t>
      </w:r>
      <w:r w:rsidR="00992730">
        <w:t xml:space="preserve">is </w:t>
      </w:r>
      <w:r w:rsidRPr="00765D92">
        <w:t>in é</w:t>
      </w:r>
      <w:r w:rsidR="004474FF">
        <w:t>é</w:t>
      </w:r>
      <w:r w:rsidRPr="00765D92">
        <w:t xml:space="preserve">n keer een relatief groot aantal nieuwe medewerkers </w:t>
      </w:r>
      <w:r>
        <w:t>gestart</w:t>
      </w:r>
      <w:r w:rsidRPr="00765D92">
        <w:t>. Het voordeel hiervan was dat er direct een zekere basis was voor de opbouw van de zo noodzakelijke operationele slagkracht. Daarmee werd geaccepteerd dat zich bij die snelle opbouw knelpunten zouden kunnen voordoen</w:t>
      </w:r>
      <w:r w:rsidR="0070083F">
        <w:t xml:space="preserve"> op het gebied van kennis en ervaring</w:t>
      </w:r>
      <w:r w:rsidRPr="00765D92">
        <w:t xml:space="preserve"> en</w:t>
      </w:r>
      <w:r w:rsidR="0070083F">
        <w:t xml:space="preserve"> dat</w:t>
      </w:r>
      <w:r w:rsidRPr="00765D92">
        <w:t xml:space="preserve"> een nieuw team</w:t>
      </w:r>
      <w:r w:rsidR="0070083F">
        <w:t xml:space="preserve"> </w:t>
      </w:r>
      <w:r w:rsidRPr="00765D92">
        <w:t>in de eerste periode strakke</w:t>
      </w:r>
      <w:r w:rsidR="00F54970">
        <w:t>re</w:t>
      </w:r>
      <w:r w:rsidRPr="00765D92">
        <w:t xml:space="preserve"> </w:t>
      </w:r>
      <w:r w:rsidR="0070083F">
        <w:t>inzet</w:t>
      </w:r>
      <w:r w:rsidRPr="00765D92">
        <w:t xml:space="preserve">kaders </w:t>
      </w:r>
      <w:r w:rsidR="0070083F">
        <w:t>nodig heeft vanwege haar eigen veiligheid.</w:t>
      </w:r>
      <w:r w:rsidR="00442E7B">
        <w:t xml:space="preserve"> </w:t>
      </w:r>
      <w:bookmarkStart w:name="_Hlk214880626" w:id="0"/>
      <w:r w:rsidR="00D82352">
        <w:t xml:space="preserve">Het nieuwe team </w:t>
      </w:r>
      <w:r w:rsidR="00CE2E1D">
        <w:t xml:space="preserve">draait momenteel </w:t>
      </w:r>
      <w:r w:rsidR="004474FF">
        <w:t xml:space="preserve">operaties </w:t>
      </w:r>
      <w:r w:rsidR="00CE2E1D">
        <w:t xml:space="preserve">en </w:t>
      </w:r>
      <w:r w:rsidR="00D82352">
        <w:t xml:space="preserve">heeft </w:t>
      </w:r>
      <w:r w:rsidR="004474FF">
        <w:t xml:space="preserve">daarbij </w:t>
      </w:r>
      <w:r w:rsidR="00D82352">
        <w:t>operationele resultaten bereikt.</w:t>
      </w:r>
      <w:bookmarkEnd w:id="0"/>
    </w:p>
    <w:p w:rsidR="00765D92" w:rsidP="000C2D36" w:rsidRDefault="00765D92" w14:paraId="1BDB49C1" w14:textId="77777777">
      <w:pPr>
        <w:tabs>
          <w:tab w:val="num" w:pos="720"/>
        </w:tabs>
        <w:spacing w:line="360" w:lineRule="auto"/>
      </w:pPr>
    </w:p>
    <w:p w:rsidR="009A3BDE" w:rsidP="000C2D36" w:rsidRDefault="0070083F" w14:paraId="335D257C" w14:textId="31D86138">
      <w:pPr>
        <w:tabs>
          <w:tab w:val="num" w:pos="720"/>
        </w:tabs>
        <w:spacing w:line="360" w:lineRule="auto"/>
      </w:pPr>
      <w:r>
        <w:t xml:space="preserve">De commissie constateert dat de nadelige gevolgen </w:t>
      </w:r>
      <w:r w:rsidR="004474FF">
        <w:t xml:space="preserve">van het genomen </w:t>
      </w:r>
      <w:r>
        <w:t xml:space="preserve">besluit zichtbaar zijn als ‘groeipijn’ bij een startend team. </w:t>
      </w:r>
      <w:r w:rsidR="00AB12CE">
        <w:t>Op het niveau van de leiding is</w:t>
      </w:r>
      <w:r w:rsidRPr="00765D92" w:rsidR="00765D92">
        <w:t xml:space="preserve"> er meer kennis en ervaring nodig</w:t>
      </w:r>
      <w:r w:rsidR="00AB12CE">
        <w:t>. De korpschef geeft aan dat zij dit onderkent</w:t>
      </w:r>
      <w:r w:rsidR="00992730">
        <w:t xml:space="preserve">. Daarom is </w:t>
      </w:r>
      <w:r w:rsidR="00471AEF">
        <w:t xml:space="preserve">inmiddels </w:t>
      </w:r>
      <w:r w:rsidR="00992730">
        <w:t xml:space="preserve">leiding </w:t>
      </w:r>
      <w:r w:rsidR="00EF377F">
        <w:t>g</w:t>
      </w:r>
      <w:r w:rsidR="00992730">
        <w:t>eworven met bewezen beschikbare kennis en ervaring die direct ingezet kan worden</w:t>
      </w:r>
      <w:r w:rsidR="008D12E8">
        <w:t>. Verder</w:t>
      </w:r>
      <w:r w:rsidRPr="008D12E8" w:rsidR="008D12E8">
        <w:t xml:space="preserve"> </w:t>
      </w:r>
      <w:r w:rsidR="00EF377F">
        <w:t>komen er</w:t>
      </w:r>
      <w:r w:rsidRPr="008D12E8" w:rsidR="008D12E8">
        <w:t xml:space="preserve"> personen</w:t>
      </w:r>
      <w:r w:rsidR="00EF377F">
        <w:t xml:space="preserve"> met kennis en ervaring van buiten het UCT beschikbaar </w:t>
      </w:r>
      <w:r w:rsidRPr="008D12E8" w:rsidR="008D12E8">
        <w:t>voor reflectie en advies aan de leiding, met als doel een evenwichtige ontwikkeling van het team en het mitigeren van bepaalde risico’s die de commissie heeft geconstateerd. Daar</w:t>
      </w:r>
      <w:r w:rsidR="008D12E8">
        <w:t>bij</w:t>
      </w:r>
      <w:r w:rsidRPr="008D12E8" w:rsidR="008D12E8">
        <w:t xml:space="preserve"> is ook nadrukkelijk aandacht voor goede zorg voor het personeel van het UCT. </w:t>
      </w:r>
      <w:r w:rsidR="006204DA">
        <w:t xml:space="preserve">Verder </w:t>
      </w:r>
      <w:r w:rsidR="008D12E8">
        <w:t>overweegt</w:t>
      </w:r>
      <w:r w:rsidR="00D25CAF">
        <w:t xml:space="preserve"> </w:t>
      </w:r>
      <w:r w:rsidR="009A3BDE">
        <w:t xml:space="preserve">de korpschef een aanpassing van het instroomarrangement, </w:t>
      </w:r>
      <w:r w:rsidR="008D12E8">
        <w:t>zodat</w:t>
      </w:r>
      <w:r w:rsidR="009A3BDE">
        <w:t xml:space="preserve"> de uitbreiding van het UCT op een lager tempo </w:t>
      </w:r>
      <w:r w:rsidR="008D12E8">
        <w:t xml:space="preserve">kan </w:t>
      </w:r>
      <w:r w:rsidR="009A3BDE">
        <w:t>plaatsvind</w:t>
      </w:r>
      <w:r w:rsidR="008D12E8">
        <w:t>en</w:t>
      </w:r>
      <w:r w:rsidR="009A3BDE">
        <w:t xml:space="preserve">. Dit </w:t>
      </w:r>
      <w:r w:rsidR="008D12E8">
        <w:t>kan bijdragen aan</w:t>
      </w:r>
      <w:r w:rsidR="009A3BDE">
        <w:t xml:space="preserve"> een meer geleidelijke en zorgvuldige opbouw van ervaring binnen het team.</w:t>
      </w:r>
      <w:r w:rsidR="00947BA3">
        <w:t xml:space="preserve"> In</w:t>
      </w:r>
      <w:r w:rsidR="0029390F">
        <w:t xml:space="preserve"> reactie op de constatering van de commissie dat ook het opleiden van medewerkers verbetering behoeft, </w:t>
      </w:r>
      <w:r w:rsidR="00947BA3">
        <w:t>verkent de politie de mogelijkheden om (nieuwe) medewerkers beter voor te bereiden en op te leiden voor het werk in het heimelijk domein</w:t>
      </w:r>
      <w:r w:rsidR="008D12E8">
        <w:t xml:space="preserve">, </w:t>
      </w:r>
      <w:proofErr w:type="spellStart"/>
      <w:r w:rsidR="008D12E8">
        <w:t>incompany</w:t>
      </w:r>
      <w:proofErr w:type="spellEnd"/>
      <w:r w:rsidR="008D12E8">
        <w:t>-opleidingen worden hierbij meegenomen</w:t>
      </w:r>
      <w:r w:rsidR="00947BA3">
        <w:t xml:space="preserve">. </w:t>
      </w:r>
    </w:p>
    <w:p w:rsidR="00AB12CE" w:rsidP="00AB12CE" w:rsidRDefault="00AB12CE" w14:paraId="21B25F09" w14:textId="77777777">
      <w:pPr>
        <w:spacing w:line="360" w:lineRule="auto"/>
      </w:pPr>
    </w:p>
    <w:p w:rsidR="00765D92" w:rsidP="000C2D36" w:rsidRDefault="00AB12CE" w14:paraId="31B4AB6D" w14:textId="1644B2E2">
      <w:pPr>
        <w:tabs>
          <w:tab w:val="num" w:pos="720"/>
        </w:tabs>
        <w:spacing w:line="360" w:lineRule="auto"/>
      </w:pPr>
      <w:r w:rsidRPr="00D175FD">
        <w:t>De commissie constateert</w:t>
      </w:r>
      <w:r>
        <w:t xml:space="preserve"> in haar rapport</w:t>
      </w:r>
      <w:r w:rsidRPr="00D175FD">
        <w:t xml:space="preserve"> </w:t>
      </w:r>
      <w:r w:rsidR="00147A8A">
        <w:t xml:space="preserve">dat er </w:t>
      </w:r>
      <w:r>
        <w:t xml:space="preserve">– mede door een gebrek aan ervaring </w:t>
      </w:r>
      <w:r w:rsidR="00D25CAF">
        <w:t>–</w:t>
      </w:r>
      <w:r>
        <w:t xml:space="preserve"> </w:t>
      </w:r>
      <w:r w:rsidR="00D25CAF">
        <w:t xml:space="preserve">sprake </w:t>
      </w:r>
      <w:r w:rsidR="004474FF">
        <w:t>i</w:t>
      </w:r>
      <w:r w:rsidR="00D25CAF">
        <w:t xml:space="preserve">s van </w:t>
      </w:r>
      <w:r w:rsidRPr="00D175FD">
        <w:t xml:space="preserve">een risico </w:t>
      </w:r>
      <w:r>
        <w:t>op</w:t>
      </w:r>
      <w:r w:rsidRPr="00D175FD">
        <w:t xml:space="preserve"> herhaling van oude patronen in het undercoverteam</w:t>
      </w:r>
      <w:r>
        <w:t xml:space="preserve">. </w:t>
      </w:r>
      <w:r w:rsidR="00D25CAF">
        <w:t xml:space="preserve">De commissie noemt daarbij onder andere de neiging van leden van het team tot een zeker </w:t>
      </w:r>
      <w:r w:rsidRPr="00D175FD">
        <w:t>isolement</w:t>
      </w:r>
      <w:r>
        <w:t>.</w:t>
      </w:r>
      <w:r w:rsidRPr="00B11925">
        <w:t xml:space="preserve"> </w:t>
      </w:r>
      <w:r w:rsidRPr="00D175FD">
        <w:t xml:space="preserve">Dit is een risico </w:t>
      </w:r>
      <w:r>
        <w:t>d</w:t>
      </w:r>
      <w:r w:rsidR="008D12E8">
        <w:t>at</w:t>
      </w:r>
      <w:r w:rsidRPr="00D175FD">
        <w:t xml:space="preserve"> sterk verbonden </w:t>
      </w:r>
      <w:r>
        <w:t xml:space="preserve">is </w:t>
      </w:r>
      <w:r w:rsidRPr="00D175FD">
        <w:t>aan het heimelijke karakter van het werk</w:t>
      </w:r>
      <w:r>
        <w:t xml:space="preserve"> </w:t>
      </w:r>
      <w:r w:rsidRPr="00D175FD">
        <w:t>waardoor afscherming van de medewerkers noodzakelijk is</w:t>
      </w:r>
      <w:r w:rsidR="005654B3">
        <w:t xml:space="preserve">. Onderkend wordt dat dit </w:t>
      </w:r>
      <w:r>
        <w:t>ongewenste neveneffecten met zich mee kan brengen</w:t>
      </w:r>
      <w:r w:rsidRPr="00D175FD">
        <w:t>. Alle betrokken partijen moeten hier blijvend alert op zijn</w:t>
      </w:r>
      <w:r>
        <w:t xml:space="preserve">. De commissie constateert verder dat </w:t>
      </w:r>
      <w:r w:rsidR="00735DC2">
        <w:t>uit</w:t>
      </w:r>
      <w:r w:rsidRPr="00D175FD" w:rsidR="00735DC2">
        <w:t xml:space="preserve"> </w:t>
      </w:r>
      <w:r w:rsidRPr="00D175FD">
        <w:t xml:space="preserve">angst </w:t>
      </w:r>
      <w:r w:rsidR="00735DC2">
        <w:t>voor</w:t>
      </w:r>
      <w:r w:rsidRPr="00D175FD" w:rsidR="00735DC2">
        <w:t xml:space="preserve"> </w:t>
      </w:r>
      <w:r w:rsidRPr="00D175FD">
        <w:t>herhaling</w:t>
      </w:r>
      <w:r>
        <w:t xml:space="preserve"> van oude patronen en ongezonde culturele uitwassen</w:t>
      </w:r>
      <w:r w:rsidRPr="00D175FD">
        <w:t xml:space="preserve"> de nieuwe medewerkers en leidinggevenden te </w:t>
      </w:r>
      <w:r w:rsidRPr="00D175FD">
        <w:lastRenderedPageBreak/>
        <w:t>weinig ruimte wordt gegeven die</w:t>
      </w:r>
      <w:r>
        <w:t xml:space="preserve"> wel</w:t>
      </w:r>
      <w:r w:rsidRPr="00D175FD">
        <w:t xml:space="preserve"> nodig is voor het leren en ontwikkelen. </w:t>
      </w:r>
      <w:r>
        <w:t>De commissie schetst hierbij wel een positieve ontwikkeling richting meer zelfstandigheid van het undercoverteam.</w:t>
      </w:r>
      <w:r w:rsidR="00A609D0">
        <w:t xml:space="preserve"> De </w:t>
      </w:r>
      <w:proofErr w:type="gramStart"/>
      <w:r w:rsidR="00A609D0">
        <w:t>eerder genoemde</w:t>
      </w:r>
      <w:proofErr w:type="gramEnd"/>
      <w:r w:rsidR="00A609D0">
        <w:t xml:space="preserve"> strakke kaders zijn </w:t>
      </w:r>
      <w:r w:rsidR="0038261B">
        <w:t xml:space="preserve">in het heimelijk domein </w:t>
      </w:r>
      <w:r w:rsidR="00A609D0">
        <w:t>nodig voor een</w:t>
      </w:r>
      <w:r w:rsidR="0038261B">
        <w:t xml:space="preserve"> zo</w:t>
      </w:r>
      <w:r w:rsidR="00A609D0">
        <w:t xml:space="preserve"> veilig</w:t>
      </w:r>
      <w:r w:rsidR="0038261B">
        <w:t xml:space="preserve"> mogelijke</w:t>
      </w:r>
      <w:r w:rsidR="00A609D0">
        <w:t xml:space="preserve"> inzet van medewerkers. Het is aan de leiding om met inzet van de </w:t>
      </w:r>
      <w:proofErr w:type="spellStart"/>
      <w:r w:rsidR="00A609D0">
        <w:t>toetsingssytematiek</w:t>
      </w:r>
      <w:proofErr w:type="spellEnd"/>
      <w:r w:rsidR="00A609D0">
        <w:t xml:space="preserve"> van het RHO en de ethische toetsen te zorgen dat een inzet verantwoord kan plaatsvinden</w:t>
      </w:r>
      <w:r w:rsidR="00147A8A">
        <w:t>. Hierdoor krijgen het team en de medewerkers de kans om te groeien</w:t>
      </w:r>
      <w:r w:rsidR="0038261B">
        <w:t>.</w:t>
      </w:r>
    </w:p>
    <w:p w:rsidR="002509C3" w:rsidP="000C2D36" w:rsidRDefault="002509C3" w14:paraId="10804F38" w14:textId="77777777">
      <w:pPr>
        <w:tabs>
          <w:tab w:val="num" w:pos="720"/>
        </w:tabs>
        <w:spacing w:line="360" w:lineRule="auto"/>
      </w:pPr>
    </w:p>
    <w:p w:rsidR="000C2D36" w:rsidP="000C2D36" w:rsidRDefault="0093261E" w14:paraId="4383F63D" w14:textId="574A70BB">
      <w:pPr>
        <w:tabs>
          <w:tab w:val="num" w:pos="720"/>
        </w:tabs>
        <w:spacing w:line="360" w:lineRule="auto"/>
      </w:pPr>
      <w:r>
        <w:t xml:space="preserve">Een </w:t>
      </w:r>
      <w:r w:rsidR="00AB12CE">
        <w:t xml:space="preserve">ander </w:t>
      </w:r>
      <w:r>
        <w:t xml:space="preserve">gevolg </w:t>
      </w:r>
      <w:proofErr w:type="gramStart"/>
      <w:r w:rsidR="00EF377F">
        <w:t>die</w:t>
      </w:r>
      <w:proofErr w:type="gramEnd"/>
      <w:r w:rsidR="00EF377F">
        <w:t xml:space="preserve"> de commissie constateert is dat door de</w:t>
      </w:r>
      <w:r>
        <w:t xml:space="preserve"> focus op de snelle opbouw</w:t>
      </w:r>
      <w:r w:rsidR="00B275B5">
        <w:t xml:space="preserve"> </w:t>
      </w:r>
      <w:r>
        <w:t>de</w:t>
      </w:r>
      <w:r w:rsidR="007E6143">
        <w:t xml:space="preserve"> politie en het </w:t>
      </w:r>
      <w:r w:rsidR="00EF377F">
        <w:t>O</w:t>
      </w:r>
      <w:r w:rsidR="007E6143">
        <w:t xml:space="preserve">penbaar </w:t>
      </w:r>
      <w:r w:rsidR="00EF377F">
        <w:t>M</w:t>
      </w:r>
      <w:r w:rsidR="007E6143">
        <w:t xml:space="preserve">inisterie te weinig tijd </w:t>
      </w:r>
      <w:r>
        <w:t xml:space="preserve">hebben </w:t>
      </w:r>
      <w:r w:rsidR="007E6143">
        <w:t xml:space="preserve">genomen om </w:t>
      </w:r>
      <w:r w:rsidR="005654B3">
        <w:t xml:space="preserve">meer fundamenteel </w:t>
      </w:r>
      <w:r w:rsidR="007E6143">
        <w:t xml:space="preserve">na te denken over de toekomst van het heimelijk domein. </w:t>
      </w:r>
      <w:r>
        <w:t xml:space="preserve">De commissie geeft aan dat </w:t>
      </w:r>
      <w:r w:rsidRPr="00735DC2" w:rsidR="00735DC2">
        <w:t>de politie en het Openbaar Ministerie goede</w:t>
      </w:r>
      <w:r w:rsidR="00735DC2">
        <w:t xml:space="preserve"> eerste</w:t>
      </w:r>
      <w:r w:rsidRPr="00735DC2" w:rsidR="00735DC2">
        <w:t xml:space="preserve"> stappen hebben gezet in het kader van visiteontwikkeling. Zo heeft het O</w:t>
      </w:r>
      <w:r w:rsidR="00EF377F">
        <w:t xml:space="preserve">penbaar </w:t>
      </w:r>
      <w:r w:rsidRPr="00735DC2" w:rsidR="00735DC2">
        <w:t>M</w:t>
      </w:r>
      <w:r w:rsidR="00EF377F">
        <w:t>inisterie</w:t>
      </w:r>
      <w:r w:rsidRPr="00735DC2" w:rsidR="00735DC2">
        <w:t xml:space="preserve"> een met de politie afgestemd dynamisch inzetkader vastgesteld. </w:t>
      </w:r>
      <w:r w:rsidR="002509C3">
        <w:t>Daarnaast is door</w:t>
      </w:r>
      <w:r w:rsidRPr="00735DC2" w:rsidR="002509C3">
        <w:t xml:space="preserve"> de politie een </w:t>
      </w:r>
      <w:proofErr w:type="spellStart"/>
      <w:r w:rsidRPr="00735DC2" w:rsidR="002509C3">
        <w:t>position</w:t>
      </w:r>
      <w:proofErr w:type="spellEnd"/>
      <w:r w:rsidRPr="00735DC2" w:rsidR="002509C3">
        <w:t xml:space="preserve"> paper opgesteld voor het denkwerk over de visie</w:t>
      </w:r>
      <w:r w:rsidR="002509C3">
        <w:t xml:space="preserve">. </w:t>
      </w:r>
      <w:r w:rsidRPr="00735DC2" w:rsidR="00735DC2">
        <w:t xml:space="preserve">De commissie is van mening dat </w:t>
      </w:r>
      <w:r w:rsidR="003C241C">
        <w:t xml:space="preserve">dat verdere uitwerking noodzakelijk is. </w:t>
      </w:r>
      <w:r w:rsidRPr="00735DC2" w:rsidR="00735DC2">
        <w:t xml:space="preserve">Aan de hand </w:t>
      </w:r>
      <w:r w:rsidR="005654B3">
        <w:t>van de</w:t>
      </w:r>
      <w:r w:rsidRPr="00735DC2" w:rsidR="00735DC2">
        <w:t xml:space="preserve"> </w:t>
      </w:r>
      <w:proofErr w:type="gramStart"/>
      <w:r w:rsidRPr="00735DC2" w:rsidR="00735DC2">
        <w:t>reeds</w:t>
      </w:r>
      <w:proofErr w:type="gramEnd"/>
      <w:r w:rsidRPr="00735DC2" w:rsidR="00735DC2">
        <w:t xml:space="preserve"> gezette stappen zullen </w:t>
      </w:r>
      <w:r w:rsidR="00B275B5">
        <w:t xml:space="preserve">politie </w:t>
      </w:r>
      <w:r w:rsidR="00735DC2">
        <w:t xml:space="preserve">en het Openbaar Ministerie gezamenlijk </w:t>
      </w:r>
      <w:r w:rsidR="00B275B5">
        <w:t>de doordenking van de inzet van het heimelijk middel nader vormgegeven.</w:t>
      </w:r>
    </w:p>
    <w:p w:rsidR="00A609D0" w:rsidP="000C2D36" w:rsidRDefault="00A609D0" w14:paraId="2B0AAFED" w14:textId="77777777">
      <w:pPr>
        <w:tabs>
          <w:tab w:val="num" w:pos="720"/>
        </w:tabs>
        <w:spacing w:line="360" w:lineRule="auto"/>
      </w:pPr>
    </w:p>
    <w:p w:rsidR="00585DA7" w:rsidP="000C2D36" w:rsidRDefault="00723F39" w14:paraId="3557C0F3" w14:textId="73B3B6D1">
      <w:pPr>
        <w:tabs>
          <w:tab w:val="num" w:pos="720"/>
        </w:tabs>
        <w:spacing w:line="360" w:lineRule="auto"/>
      </w:pPr>
      <w:r w:rsidRPr="00723F39">
        <w:t>De commissie</w:t>
      </w:r>
      <w:bookmarkStart w:name="_Hlk214882105" w:id="1"/>
      <w:r w:rsidR="005654B3">
        <w:t xml:space="preserve"> constateert ten slotte dat de effectieve gezagsuitoefening van het OM in het heimelijk domein vraagt om en kennis en betrokkenheid van het OM. Het College onderschrijft het belang hiervan</w:t>
      </w:r>
      <w:r w:rsidR="00585DA7">
        <w:t xml:space="preserve"> en geeft aan dat met deze reden het </w:t>
      </w:r>
      <w:r w:rsidR="0037564E">
        <w:t xml:space="preserve">UCT-cluster Landelijk Parket (UCT-cluster LP) </w:t>
      </w:r>
      <w:r w:rsidR="00585DA7">
        <w:t xml:space="preserve">is </w:t>
      </w:r>
      <w:r w:rsidR="0037564E">
        <w:t xml:space="preserve">ingesteld die bestaat uit </w:t>
      </w:r>
      <w:r w:rsidRPr="00723F39">
        <w:t>een Landelijke officier van justitie UCT en een specialistisch beleidsmedewerker</w:t>
      </w:r>
      <w:r>
        <w:t xml:space="preserve">. </w:t>
      </w:r>
      <w:r w:rsidR="0037564E">
        <w:t xml:space="preserve">Het UCT-cluster LP </w:t>
      </w:r>
      <w:r>
        <w:t>advise</w:t>
      </w:r>
      <w:r w:rsidR="0037564E">
        <w:t>ert</w:t>
      </w:r>
      <w:r>
        <w:t xml:space="preserve"> en coach</w:t>
      </w:r>
      <w:r w:rsidR="0037564E">
        <w:t>t</w:t>
      </w:r>
      <w:r>
        <w:t xml:space="preserve"> </w:t>
      </w:r>
      <w:r w:rsidRPr="00723F39">
        <w:t>de zaaksofficieren en de rechercheofficieren</w:t>
      </w:r>
      <w:r>
        <w:t xml:space="preserve"> op dit terrein. </w:t>
      </w:r>
      <w:r w:rsidRPr="0037564E" w:rsidR="0037564E">
        <w:t xml:space="preserve">Daarnaast heeft het UCT-cluster LP een beleidsmatige rol met betrekking tot de </w:t>
      </w:r>
      <w:r w:rsidR="0037564E">
        <w:t xml:space="preserve">verdere </w:t>
      </w:r>
      <w:r w:rsidRPr="0037564E" w:rsidR="0037564E">
        <w:t>ontwikkeling van het</w:t>
      </w:r>
      <w:r w:rsidR="0037564E">
        <w:t xml:space="preserve"> heimelijk</w:t>
      </w:r>
      <w:r w:rsidRPr="0037564E" w:rsidR="0037564E">
        <w:t xml:space="preserve"> middel</w:t>
      </w:r>
      <w:r w:rsidR="00585DA7">
        <w:t xml:space="preserve">. </w:t>
      </w:r>
    </w:p>
    <w:p w:rsidR="00585DA7" w:rsidP="000C2D36" w:rsidRDefault="00585DA7" w14:paraId="35EAEC5B" w14:textId="77777777">
      <w:pPr>
        <w:tabs>
          <w:tab w:val="num" w:pos="720"/>
        </w:tabs>
        <w:spacing w:line="360" w:lineRule="auto"/>
      </w:pPr>
    </w:p>
    <w:p w:rsidR="005654B3" w:rsidP="000C2D36" w:rsidRDefault="005654B3" w14:paraId="444866FD" w14:textId="54089D82">
      <w:pPr>
        <w:tabs>
          <w:tab w:val="num" w:pos="720"/>
        </w:tabs>
        <w:spacing w:line="360" w:lineRule="auto"/>
      </w:pPr>
      <w:r>
        <w:t>Om het kennisniveau binnen het O</w:t>
      </w:r>
      <w:r w:rsidR="00585DA7">
        <w:t>penbaar Ministerie</w:t>
      </w:r>
      <w:r>
        <w:t xml:space="preserve"> te vergroten</w:t>
      </w:r>
      <w:r w:rsidR="00585DA7">
        <w:t xml:space="preserve"> en te borgen is een aantal opleidingen waarbij aandacht is voor het heimelijk werk </w:t>
      </w:r>
      <w:r w:rsidRPr="00585DA7" w:rsidR="00585DA7">
        <w:t xml:space="preserve">verplicht gesteld voor officieren van justitie die </w:t>
      </w:r>
      <w:proofErr w:type="gramStart"/>
      <w:r w:rsidRPr="00585DA7" w:rsidR="00585DA7">
        <w:t>leiding geven</w:t>
      </w:r>
      <w:proofErr w:type="gramEnd"/>
      <w:r w:rsidRPr="00585DA7" w:rsidR="00585DA7">
        <w:t xml:space="preserve"> aan opsporingsonderzoeken waarin langlopende of kortdurende intensieve trajecten op gebied van heimelijke opsporing worden ingezet</w:t>
      </w:r>
      <w:r w:rsidR="002509C3">
        <w:t>.</w:t>
      </w:r>
      <w:r>
        <w:t xml:space="preserve"> </w:t>
      </w:r>
      <w:bookmarkEnd w:id="1"/>
    </w:p>
    <w:p w:rsidR="00585DA7" w:rsidP="00585DA7" w:rsidRDefault="00585DA7" w14:paraId="30798EE4" w14:textId="77777777">
      <w:pPr>
        <w:tabs>
          <w:tab w:val="num" w:pos="720"/>
        </w:tabs>
        <w:spacing w:line="360" w:lineRule="auto"/>
      </w:pPr>
    </w:p>
    <w:p w:rsidR="00585DA7" w:rsidP="00585DA7" w:rsidRDefault="00585DA7" w14:paraId="426B8DDB" w14:textId="4BA9A4BD">
      <w:pPr>
        <w:tabs>
          <w:tab w:val="num" w:pos="720"/>
        </w:tabs>
        <w:spacing w:line="360" w:lineRule="auto"/>
      </w:pPr>
      <w:r>
        <w:lastRenderedPageBreak/>
        <w:t xml:space="preserve">Verder geeft het College aan dat </w:t>
      </w:r>
      <w:r w:rsidR="005E61E3">
        <w:t xml:space="preserve">binnen het Openbaar Ministerie meer aandacht is voor de ethische implicaties van heimelijke inzetten. Zo monitort het UCT-cluster LP op ethiek en welzijn bij heimelijke inzetten en omvat het advies van de </w:t>
      </w:r>
      <w:r w:rsidRPr="005E61E3" w:rsidR="005E61E3">
        <w:t xml:space="preserve">Centrale Toetsingscommissie naast de juridische toets ook </w:t>
      </w:r>
      <w:r w:rsidR="005E61E3">
        <w:t>de e</w:t>
      </w:r>
      <w:r w:rsidRPr="005E61E3" w:rsidR="005E61E3">
        <w:t xml:space="preserve">thische aspecten die bij het toetsen van </w:t>
      </w:r>
      <w:r w:rsidR="005E61E3">
        <w:t>de</w:t>
      </w:r>
      <w:r w:rsidRPr="005E61E3" w:rsidR="005E61E3">
        <w:t xml:space="preserve"> proportionaliteit- en subsidiariteit</w:t>
      </w:r>
      <w:r w:rsidR="005E61E3">
        <w:t xml:space="preserve"> </w:t>
      </w:r>
      <w:r w:rsidRPr="005E61E3" w:rsidR="005E61E3">
        <w:t>ter sprake komen</w:t>
      </w:r>
      <w:r w:rsidR="005E61E3">
        <w:t>.</w:t>
      </w:r>
      <w:r w:rsidR="005E61E3">
        <w:rPr>
          <w:rStyle w:val="Voetnootmarkering"/>
        </w:rPr>
        <w:footnoteReference w:id="6"/>
      </w:r>
      <w:r>
        <w:t xml:space="preserve"> </w:t>
      </w:r>
    </w:p>
    <w:p w:rsidR="00CF7D00" w:rsidP="00E90B7D" w:rsidRDefault="00CF7D00" w14:paraId="38BC73F5" w14:textId="77777777">
      <w:pPr>
        <w:tabs>
          <w:tab w:val="num" w:pos="720"/>
        </w:tabs>
        <w:spacing w:line="360" w:lineRule="auto"/>
      </w:pPr>
    </w:p>
    <w:p w:rsidR="00E90B7D" w:rsidP="00E90B7D" w:rsidRDefault="00E90B7D" w14:paraId="141CAB6C" w14:textId="3656BDCF">
      <w:pPr>
        <w:tabs>
          <w:tab w:val="num" w:pos="720"/>
        </w:tabs>
        <w:spacing w:line="360" w:lineRule="auto"/>
      </w:pPr>
      <w:r>
        <w:rPr>
          <w:i/>
          <w:iCs/>
        </w:rPr>
        <w:t xml:space="preserve">Vervolg </w:t>
      </w:r>
    </w:p>
    <w:p w:rsidRPr="00275A22" w:rsidR="00E90B7D" w:rsidP="00D563CA" w:rsidRDefault="00E90B7D" w14:paraId="2AE91B90" w14:textId="72BAF854">
      <w:pPr>
        <w:spacing w:line="360" w:lineRule="auto"/>
      </w:pPr>
      <w:r>
        <w:t>Met de afronding van het werk van de commissie en het gegeven advies wordt de professionalisering van het heimelijk domein niet afgesloten.</w:t>
      </w:r>
      <w:r w:rsidR="002509C3">
        <w:t xml:space="preserve"> </w:t>
      </w:r>
      <w:r w:rsidR="00C4440F">
        <w:t>D</w:t>
      </w:r>
      <w:r w:rsidR="00031968">
        <w:t xml:space="preserve">e </w:t>
      </w:r>
      <w:proofErr w:type="gramStart"/>
      <w:r w:rsidR="00031968">
        <w:t xml:space="preserve">commissie </w:t>
      </w:r>
      <w:r w:rsidR="0038261B">
        <w:t xml:space="preserve"> </w:t>
      </w:r>
      <w:r w:rsidR="00C4440F">
        <w:t>constateert</w:t>
      </w:r>
      <w:proofErr w:type="gramEnd"/>
      <w:r w:rsidR="00C4440F">
        <w:t xml:space="preserve"> </w:t>
      </w:r>
      <w:r w:rsidR="00031968">
        <w:t>dat er sinds 2021</w:t>
      </w:r>
      <w:r w:rsidR="00C4440F">
        <w:t xml:space="preserve"> positieve</w:t>
      </w:r>
      <w:r w:rsidR="00031968">
        <w:t xml:space="preserve"> stappen zijn gezet, maar </w:t>
      </w:r>
      <w:r w:rsidR="00C4440F">
        <w:t xml:space="preserve">trekt ook kritische conclusies en </w:t>
      </w:r>
      <w:r w:rsidR="00031968">
        <w:t>het</w:t>
      </w:r>
      <w:r w:rsidR="00C4440F">
        <w:t xml:space="preserve"> is</w:t>
      </w:r>
      <w:r w:rsidR="00031968">
        <w:t xml:space="preserve"> van belang dat de ontwikkelingen in het domein </w:t>
      </w:r>
      <w:r w:rsidR="00C4440F">
        <w:t>nauwlettend</w:t>
      </w:r>
      <w:r w:rsidR="00031968">
        <w:t xml:space="preserve"> worden gevolgd. </w:t>
      </w:r>
      <w:r>
        <w:t>Het advies is een extra stimulans</w:t>
      </w:r>
      <w:r w:rsidR="00031968">
        <w:t xml:space="preserve"> om</w:t>
      </w:r>
      <w:r>
        <w:t xml:space="preserve"> de </w:t>
      </w:r>
      <w:r w:rsidR="004B6620">
        <w:t>professionalisering verder op te pakken</w:t>
      </w:r>
      <w:r>
        <w:t xml:space="preserve">. </w:t>
      </w:r>
      <w:r w:rsidR="00B96264">
        <w:t xml:space="preserve">De korpschef, het College van procureurs-generaal en ikzelf gaan verder aan de slag met de conclusies van de commissie. </w:t>
      </w:r>
      <w:r>
        <w:t xml:space="preserve">Ten behoeve van een nauwe betrokkenheid op het proces </w:t>
      </w:r>
      <w:r w:rsidR="003B1F37">
        <w:t xml:space="preserve">stellen de Korpsleiding en het College van procureurs-generaal een </w:t>
      </w:r>
      <w:r w:rsidR="00B96264">
        <w:t xml:space="preserve">onafhankelijke </w:t>
      </w:r>
      <w:r w:rsidR="003B1F37">
        <w:t>visitatiecommissie in</w:t>
      </w:r>
      <w:r w:rsidR="00EC4E24">
        <w:t>, uitgevoerd vanuit de deskundigheid van het vak</w:t>
      </w:r>
      <w:r w:rsidR="00B96264">
        <w:t>.</w:t>
      </w:r>
      <w:r w:rsidR="00EC4E24">
        <w:t xml:space="preserve"> </w:t>
      </w:r>
      <w:r w:rsidR="003B1F37">
        <w:t>De</w:t>
      </w:r>
      <w:r w:rsidR="00EC4E24">
        <w:t xml:space="preserve"> visitatiecommissie bestaat uit experts </w:t>
      </w:r>
      <w:r w:rsidR="004B6620">
        <w:t xml:space="preserve">uit de </w:t>
      </w:r>
      <w:proofErr w:type="spellStart"/>
      <w:r w:rsidR="004B6620">
        <w:t>opdrachtgevende</w:t>
      </w:r>
      <w:proofErr w:type="spellEnd"/>
      <w:r w:rsidR="004B6620">
        <w:t xml:space="preserve"> organisaties met </w:t>
      </w:r>
      <w:r w:rsidR="00B96264">
        <w:t xml:space="preserve">afstand tot de dagelijkse praktijk, maar </w:t>
      </w:r>
      <w:r w:rsidR="00735DC2">
        <w:t xml:space="preserve">met </w:t>
      </w:r>
      <w:r w:rsidR="004B6620">
        <w:t xml:space="preserve">veel </w:t>
      </w:r>
      <w:r w:rsidR="00EC4E24">
        <w:t>inhoudelijke kennis</w:t>
      </w:r>
      <w:r w:rsidR="00B96264">
        <w:t xml:space="preserve"> en expertise.</w:t>
      </w:r>
      <w:r w:rsidR="00EC4E24">
        <w:t xml:space="preserve"> </w:t>
      </w:r>
      <w:r w:rsidR="00F62CBB">
        <w:t xml:space="preserve">De visitatiecommissie </w:t>
      </w:r>
      <w:r w:rsidR="00AB12CE">
        <w:t xml:space="preserve">zal </w:t>
      </w:r>
      <w:r w:rsidR="00F62CBB">
        <w:t>reflecte</w:t>
      </w:r>
      <w:r w:rsidR="00AB12CE">
        <w:t>ren</w:t>
      </w:r>
      <w:r w:rsidR="00F62CBB">
        <w:t xml:space="preserve"> </w:t>
      </w:r>
      <w:r w:rsidRPr="00B96264" w:rsidR="00F62CBB">
        <w:t>op de verdere ontwikkeling van randvoorwaarden</w:t>
      </w:r>
      <w:r w:rsidR="00F62CBB">
        <w:t xml:space="preserve"> en hulpstructuren die zorgen dat het werk voldoende veilig, met een goede juridisch grondslag en ethisch verantwoord met voldoende oog voor het welzijn van de medewerker (en diens thuisfront) kan worden uitgevoerd. </w:t>
      </w:r>
      <w:r w:rsidR="003F7E53">
        <w:t>Het heimelijk middel blijft een bijzonder instrument dat vraagt om constante kwaliteitszorg voor het werk, het personeel en de inrichting van het stelsel.</w:t>
      </w:r>
    </w:p>
    <w:p w:rsidR="008B2E6E" w:rsidRDefault="008B2E6E" w14:paraId="718A86ED" w14:textId="77777777"/>
    <w:sectPr w:rsidR="008B2E6E">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16DD" w14:textId="77777777" w:rsidR="00205C0D" w:rsidRDefault="00205C0D">
      <w:pPr>
        <w:spacing w:line="240" w:lineRule="auto"/>
      </w:pPr>
      <w:r>
        <w:separator/>
      </w:r>
    </w:p>
  </w:endnote>
  <w:endnote w:type="continuationSeparator" w:id="0">
    <w:p w14:paraId="04137FE6" w14:textId="77777777" w:rsidR="00205C0D" w:rsidRDefault="0020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D69D" w14:textId="77777777" w:rsidR="00205C0D" w:rsidRDefault="00205C0D">
      <w:pPr>
        <w:spacing w:line="240" w:lineRule="auto"/>
      </w:pPr>
      <w:r>
        <w:separator/>
      </w:r>
    </w:p>
  </w:footnote>
  <w:footnote w:type="continuationSeparator" w:id="0">
    <w:p w14:paraId="7957C887" w14:textId="77777777" w:rsidR="00205C0D" w:rsidRDefault="00205C0D">
      <w:pPr>
        <w:spacing w:line="240" w:lineRule="auto"/>
      </w:pPr>
      <w:r>
        <w:continuationSeparator/>
      </w:r>
    </w:p>
  </w:footnote>
  <w:footnote w:id="1">
    <w:p w14:paraId="58F5F328" w14:textId="2D5D04BC" w:rsidR="009970A2" w:rsidRPr="009970A2" w:rsidRDefault="009970A2">
      <w:pPr>
        <w:pStyle w:val="Voetnoottekst"/>
        <w:rPr>
          <w:lang w:val="nl-NL"/>
        </w:rPr>
      </w:pPr>
      <w:r>
        <w:rPr>
          <w:rStyle w:val="Voetnootmarkering"/>
        </w:rPr>
        <w:footnoteRef/>
      </w:r>
      <w:r w:rsidRPr="00CF7D00">
        <w:rPr>
          <w:lang w:val="nl-NL"/>
        </w:rPr>
        <w:t xml:space="preserve"> </w:t>
      </w:r>
      <w:r w:rsidRPr="00D53EB4">
        <w:rPr>
          <w:sz w:val="16"/>
          <w:szCs w:val="16"/>
          <w:lang w:val="nl-NL"/>
        </w:rPr>
        <w:t>Kamerstukken II, 2023–24, 29 628, nr. 1190</w:t>
      </w:r>
    </w:p>
  </w:footnote>
  <w:footnote w:id="2">
    <w:p w14:paraId="661DDBE0" w14:textId="3352335D" w:rsidR="00BA6F8F" w:rsidRPr="00C72E9F" w:rsidRDefault="00BA6F8F" w:rsidP="00BA6F8F">
      <w:pPr>
        <w:pStyle w:val="Voetnoottekst"/>
        <w:rPr>
          <w:sz w:val="16"/>
          <w:szCs w:val="16"/>
          <w:lang w:val="nl-NL"/>
        </w:rPr>
      </w:pPr>
      <w:r w:rsidRPr="00C72E9F">
        <w:rPr>
          <w:rStyle w:val="Voetnootmarkering"/>
          <w:sz w:val="16"/>
          <w:szCs w:val="16"/>
        </w:rPr>
        <w:footnoteRef/>
      </w:r>
      <w:r w:rsidRPr="00C72E9F">
        <w:rPr>
          <w:sz w:val="16"/>
          <w:szCs w:val="16"/>
          <w:lang w:val="nl-NL"/>
        </w:rPr>
        <w:t xml:space="preserve"> </w:t>
      </w:r>
      <w:r w:rsidR="00D53EB4" w:rsidRPr="00D53EB4">
        <w:rPr>
          <w:sz w:val="16"/>
          <w:szCs w:val="16"/>
          <w:lang w:val="nl-NL"/>
        </w:rPr>
        <w:t>Kamerstukken II, 2023–24, 29 628, nr. 1190</w:t>
      </w:r>
    </w:p>
  </w:footnote>
  <w:footnote w:id="3">
    <w:p w14:paraId="3B6DBD9E" w14:textId="235F8847" w:rsidR="00534F8F" w:rsidRPr="00CF7D00" w:rsidRDefault="00534F8F">
      <w:pPr>
        <w:pStyle w:val="Voetnoottekst"/>
        <w:rPr>
          <w:sz w:val="16"/>
          <w:szCs w:val="16"/>
          <w:lang w:val="nl-NL"/>
        </w:rPr>
      </w:pPr>
      <w:r w:rsidRPr="00CF7D00">
        <w:rPr>
          <w:rStyle w:val="Voetnootmarkering"/>
          <w:sz w:val="16"/>
          <w:szCs w:val="16"/>
        </w:rPr>
        <w:footnoteRef/>
      </w:r>
      <w:r w:rsidRPr="00CF7D00">
        <w:rPr>
          <w:sz w:val="16"/>
          <w:szCs w:val="16"/>
          <w:lang w:val="nl-NL"/>
        </w:rPr>
        <w:t xml:space="preserve"> Kamerstukken II 2021-22, 29 628</w:t>
      </w:r>
      <w:r w:rsidR="00982102">
        <w:rPr>
          <w:sz w:val="16"/>
          <w:szCs w:val="16"/>
          <w:lang w:val="nl-NL"/>
        </w:rPr>
        <w:t>,</w:t>
      </w:r>
      <w:r w:rsidRPr="00CF7D00">
        <w:rPr>
          <w:sz w:val="16"/>
          <w:szCs w:val="16"/>
          <w:lang w:val="nl-NL"/>
        </w:rPr>
        <w:t xml:space="preserve"> nr. 1121 </w:t>
      </w:r>
    </w:p>
  </w:footnote>
  <w:footnote w:id="4">
    <w:p w14:paraId="6036C3E7" w14:textId="77777777" w:rsidR="00D25CAF" w:rsidRPr="009F3237" w:rsidRDefault="00D25CAF" w:rsidP="00D25CAF">
      <w:pPr>
        <w:pStyle w:val="Voetnoottekst"/>
        <w:rPr>
          <w:sz w:val="16"/>
          <w:szCs w:val="16"/>
          <w:lang w:val="nl-NL"/>
        </w:rPr>
      </w:pPr>
      <w:r w:rsidRPr="009F3237">
        <w:rPr>
          <w:rStyle w:val="Voetnootmarkering"/>
          <w:sz w:val="16"/>
          <w:szCs w:val="16"/>
        </w:rPr>
        <w:footnoteRef/>
      </w:r>
      <w:r w:rsidRPr="009F3237">
        <w:rPr>
          <w:sz w:val="16"/>
          <w:szCs w:val="16"/>
          <w:lang w:val="nl-NL"/>
        </w:rPr>
        <w:t xml:space="preserve"> Denk aan recente berichten over undercoverteams in Groot Brittannië, </w:t>
      </w:r>
      <w:hyperlink r:id="rId1" w:history="1">
        <w:proofErr w:type="spellStart"/>
        <w:r w:rsidRPr="009F3237">
          <w:rPr>
            <w:rStyle w:val="Hyperlink"/>
            <w:sz w:val="16"/>
            <w:szCs w:val="16"/>
            <w:lang w:val="nl-NL"/>
          </w:rPr>
          <w:t>Revealed</w:t>
        </w:r>
        <w:proofErr w:type="spellEnd"/>
        <w:r w:rsidRPr="009F3237">
          <w:rPr>
            <w:rStyle w:val="Hyperlink"/>
            <w:sz w:val="16"/>
            <w:szCs w:val="16"/>
            <w:lang w:val="nl-NL"/>
          </w:rPr>
          <w:t xml:space="preserve">: at </w:t>
        </w:r>
        <w:proofErr w:type="spellStart"/>
        <w:r w:rsidRPr="009F3237">
          <w:rPr>
            <w:rStyle w:val="Hyperlink"/>
            <w:sz w:val="16"/>
            <w:szCs w:val="16"/>
            <w:lang w:val="nl-NL"/>
          </w:rPr>
          <w:t>least</w:t>
        </w:r>
        <w:proofErr w:type="spellEnd"/>
        <w:r w:rsidRPr="009F3237">
          <w:rPr>
            <w:rStyle w:val="Hyperlink"/>
            <w:sz w:val="16"/>
            <w:szCs w:val="16"/>
            <w:lang w:val="nl-NL"/>
          </w:rPr>
          <w:t xml:space="preserve"> 25 UK ‘</w:t>
        </w:r>
        <w:proofErr w:type="spellStart"/>
        <w:r w:rsidRPr="009F3237">
          <w:rPr>
            <w:rStyle w:val="Hyperlink"/>
            <w:sz w:val="16"/>
            <w:szCs w:val="16"/>
            <w:lang w:val="nl-NL"/>
          </w:rPr>
          <w:t>spy</w:t>
        </w:r>
        <w:proofErr w:type="spellEnd"/>
        <w:r w:rsidRPr="009F3237">
          <w:rPr>
            <w:rStyle w:val="Hyperlink"/>
            <w:sz w:val="16"/>
            <w:szCs w:val="16"/>
            <w:lang w:val="nl-NL"/>
          </w:rPr>
          <w:t xml:space="preserve"> </w:t>
        </w:r>
        <w:proofErr w:type="spellStart"/>
        <w:r w:rsidRPr="009F3237">
          <w:rPr>
            <w:rStyle w:val="Hyperlink"/>
            <w:sz w:val="16"/>
            <w:szCs w:val="16"/>
            <w:lang w:val="nl-NL"/>
          </w:rPr>
          <w:t>cops</w:t>
        </w:r>
        <w:proofErr w:type="spellEnd"/>
        <w:r w:rsidRPr="009F3237">
          <w:rPr>
            <w:rStyle w:val="Hyperlink"/>
            <w:sz w:val="16"/>
            <w:szCs w:val="16"/>
            <w:lang w:val="nl-NL"/>
          </w:rPr>
          <w:t xml:space="preserve">’ had </w:t>
        </w:r>
        <w:proofErr w:type="spellStart"/>
        <w:r w:rsidRPr="009F3237">
          <w:rPr>
            <w:rStyle w:val="Hyperlink"/>
            <w:sz w:val="16"/>
            <w:szCs w:val="16"/>
            <w:lang w:val="nl-NL"/>
          </w:rPr>
          <w:t>sex</w:t>
        </w:r>
        <w:proofErr w:type="spellEnd"/>
        <w:r w:rsidRPr="009F3237">
          <w:rPr>
            <w:rStyle w:val="Hyperlink"/>
            <w:sz w:val="16"/>
            <w:szCs w:val="16"/>
            <w:lang w:val="nl-NL"/>
          </w:rPr>
          <w:t xml:space="preserve"> </w:t>
        </w:r>
        <w:proofErr w:type="spellStart"/>
        <w:r w:rsidRPr="009F3237">
          <w:rPr>
            <w:rStyle w:val="Hyperlink"/>
            <w:sz w:val="16"/>
            <w:szCs w:val="16"/>
            <w:lang w:val="nl-NL"/>
          </w:rPr>
          <w:t>with</w:t>
        </w:r>
        <w:proofErr w:type="spellEnd"/>
        <w:r w:rsidRPr="009F3237">
          <w:rPr>
            <w:rStyle w:val="Hyperlink"/>
            <w:sz w:val="16"/>
            <w:szCs w:val="16"/>
            <w:lang w:val="nl-NL"/>
          </w:rPr>
          <w:t xml:space="preserve"> </w:t>
        </w:r>
        <w:proofErr w:type="spellStart"/>
        <w:r w:rsidRPr="009F3237">
          <w:rPr>
            <w:rStyle w:val="Hyperlink"/>
            <w:sz w:val="16"/>
            <w:szCs w:val="16"/>
            <w:lang w:val="nl-NL"/>
          </w:rPr>
          <w:t>deceived</w:t>
        </w:r>
        <w:proofErr w:type="spellEnd"/>
        <w:r w:rsidRPr="009F3237">
          <w:rPr>
            <w:rStyle w:val="Hyperlink"/>
            <w:sz w:val="16"/>
            <w:szCs w:val="16"/>
            <w:lang w:val="nl-NL"/>
          </w:rPr>
          <w:t xml:space="preserve"> members of public | Undercover </w:t>
        </w:r>
        <w:proofErr w:type="spellStart"/>
        <w:r w:rsidRPr="009F3237">
          <w:rPr>
            <w:rStyle w:val="Hyperlink"/>
            <w:sz w:val="16"/>
            <w:szCs w:val="16"/>
            <w:lang w:val="nl-NL"/>
          </w:rPr>
          <w:t>police</w:t>
        </w:r>
        <w:proofErr w:type="spellEnd"/>
        <w:r w:rsidRPr="009F3237">
          <w:rPr>
            <w:rStyle w:val="Hyperlink"/>
            <w:sz w:val="16"/>
            <w:szCs w:val="16"/>
            <w:lang w:val="nl-NL"/>
          </w:rPr>
          <w:t xml:space="preserve"> </w:t>
        </w:r>
        <w:proofErr w:type="spellStart"/>
        <w:r w:rsidRPr="009F3237">
          <w:rPr>
            <w:rStyle w:val="Hyperlink"/>
            <w:sz w:val="16"/>
            <w:szCs w:val="16"/>
            <w:lang w:val="nl-NL"/>
          </w:rPr>
          <w:t>and</w:t>
        </w:r>
        <w:proofErr w:type="spellEnd"/>
        <w:r w:rsidRPr="009F3237">
          <w:rPr>
            <w:rStyle w:val="Hyperlink"/>
            <w:sz w:val="16"/>
            <w:szCs w:val="16"/>
            <w:lang w:val="nl-NL"/>
          </w:rPr>
          <w:t xml:space="preserve"> </w:t>
        </w:r>
        <w:proofErr w:type="spellStart"/>
        <w:r w:rsidRPr="009F3237">
          <w:rPr>
            <w:rStyle w:val="Hyperlink"/>
            <w:sz w:val="16"/>
            <w:szCs w:val="16"/>
            <w:lang w:val="nl-NL"/>
          </w:rPr>
          <w:t>policing</w:t>
        </w:r>
        <w:proofErr w:type="spellEnd"/>
        <w:r w:rsidRPr="009F3237">
          <w:rPr>
            <w:rStyle w:val="Hyperlink"/>
            <w:sz w:val="16"/>
            <w:szCs w:val="16"/>
            <w:lang w:val="nl-NL"/>
          </w:rPr>
          <w:t xml:space="preserve"> | The </w:t>
        </w:r>
        <w:proofErr w:type="spellStart"/>
        <w:r w:rsidRPr="009F3237">
          <w:rPr>
            <w:rStyle w:val="Hyperlink"/>
            <w:sz w:val="16"/>
            <w:szCs w:val="16"/>
            <w:lang w:val="nl-NL"/>
          </w:rPr>
          <w:t>Guardian</w:t>
        </w:r>
        <w:proofErr w:type="spellEnd"/>
      </w:hyperlink>
      <w:r w:rsidRPr="009F3237">
        <w:rPr>
          <w:sz w:val="16"/>
          <w:szCs w:val="16"/>
          <w:lang w:val="nl-NL"/>
        </w:rPr>
        <w:t xml:space="preserve">, maar ook In Zweden is het undercoverteam een aantal jaar geleden afgebouwd en vervolgens in een periode van enkele jaren opnieuw ingericht en opgebouwd: </w:t>
      </w:r>
      <w:r>
        <w:rPr>
          <w:sz w:val="16"/>
          <w:szCs w:val="16"/>
          <w:lang w:val="nl-NL"/>
        </w:rPr>
        <w:t>C</w:t>
      </w:r>
      <w:r w:rsidRPr="009F3237">
        <w:rPr>
          <w:sz w:val="16"/>
          <w:szCs w:val="16"/>
          <w:lang w:val="nl-NL"/>
        </w:rPr>
        <w:t xml:space="preserve">ommissie Waarborgen Werken Onder Dekmantel, </w:t>
      </w:r>
      <w:r w:rsidRPr="009F3237">
        <w:rPr>
          <w:i/>
          <w:iCs/>
          <w:sz w:val="16"/>
          <w:szCs w:val="16"/>
          <w:lang w:val="nl-NL"/>
        </w:rPr>
        <w:t xml:space="preserve">Waarborgen voor Heimelijk werk, </w:t>
      </w:r>
      <w:r w:rsidRPr="009F3237">
        <w:rPr>
          <w:sz w:val="16"/>
          <w:szCs w:val="16"/>
          <w:lang w:val="nl-NL"/>
        </w:rPr>
        <w:t>p. 14.</w:t>
      </w:r>
    </w:p>
  </w:footnote>
  <w:footnote w:id="5">
    <w:p w14:paraId="21E42118" w14:textId="700F2E88" w:rsidR="00FE356A" w:rsidRPr="00F73E58" w:rsidRDefault="00FE356A" w:rsidP="00FE356A">
      <w:pPr>
        <w:pStyle w:val="Voetnoottekst"/>
        <w:rPr>
          <w:lang w:val="nl-NL"/>
        </w:rPr>
      </w:pPr>
      <w:r w:rsidRPr="00E63A24">
        <w:rPr>
          <w:rStyle w:val="Voetnootmarkering"/>
          <w:sz w:val="16"/>
          <w:szCs w:val="16"/>
        </w:rPr>
        <w:footnoteRef/>
      </w:r>
      <w:r w:rsidRPr="00F73E58">
        <w:rPr>
          <w:lang w:val="nl-NL"/>
        </w:rPr>
        <w:t xml:space="preserve"> </w:t>
      </w:r>
      <w:r w:rsidR="00982102">
        <w:rPr>
          <w:sz w:val="16"/>
          <w:szCs w:val="16"/>
          <w:lang w:val="nl-NL"/>
        </w:rPr>
        <w:t>Hierover is uw Kamer geïnformeerd in</w:t>
      </w:r>
      <w:r w:rsidRPr="00327C0C">
        <w:rPr>
          <w:sz w:val="16"/>
          <w:szCs w:val="16"/>
          <w:lang w:val="nl-NL"/>
        </w:rPr>
        <w:t xml:space="preserve"> </w:t>
      </w:r>
      <w:r w:rsidRPr="00CF7D00">
        <w:rPr>
          <w:sz w:val="16"/>
          <w:szCs w:val="16"/>
          <w:lang w:val="nl-NL"/>
        </w:rPr>
        <w:t>Kamerstuk</w:t>
      </w:r>
      <w:r w:rsidR="00982102" w:rsidRPr="00CF7D00">
        <w:rPr>
          <w:sz w:val="16"/>
          <w:szCs w:val="16"/>
          <w:lang w:val="nl-NL"/>
        </w:rPr>
        <w:t xml:space="preserve"> </w:t>
      </w:r>
      <w:proofErr w:type="gramStart"/>
      <w:r w:rsidR="00982102" w:rsidRPr="00CF7D00">
        <w:rPr>
          <w:sz w:val="16"/>
          <w:szCs w:val="16"/>
          <w:lang w:val="nl-NL"/>
        </w:rPr>
        <w:t xml:space="preserve">II, </w:t>
      </w:r>
      <w:r w:rsidRPr="00CF7D00">
        <w:rPr>
          <w:sz w:val="16"/>
          <w:szCs w:val="16"/>
          <w:lang w:val="nl-NL"/>
        </w:rPr>
        <w:t xml:space="preserve"> </w:t>
      </w:r>
      <w:r w:rsidR="00982102" w:rsidRPr="00CF7D00">
        <w:rPr>
          <w:sz w:val="16"/>
          <w:szCs w:val="16"/>
          <w:lang w:val="nl-NL"/>
        </w:rPr>
        <w:t>2021</w:t>
      </w:r>
      <w:proofErr w:type="gramEnd"/>
      <w:r w:rsidR="00982102" w:rsidRPr="00CF7D00">
        <w:rPr>
          <w:sz w:val="16"/>
          <w:szCs w:val="16"/>
          <w:lang w:val="nl-NL"/>
        </w:rPr>
        <w:t>-22, 29</w:t>
      </w:r>
      <w:r w:rsidR="00982102">
        <w:rPr>
          <w:sz w:val="16"/>
          <w:szCs w:val="16"/>
          <w:lang w:val="nl-NL"/>
        </w:rPr>
        <w:t xml:space="preserve"> </w:t>
      </w:r>
      <w:r w:rsidR="00982102" w:rsidRPr="00CF7D00">
        <w:rPr>
          <w:sz w:val="16"/>
          <w:szCs w:val="16"/>
          <w:lang w:val="nl-NL"/>
        </w:rPr>
        <w:t>628</w:t>
      </w:r>
      <w:r w:rsidR="00982102">
        <w:rPr>
          <w:sz w:val="16"/>
          <w:szCs w:val="16"/>
          <w:lang w:val="nl-NL"/>
        </w:rPr>
        <w:t>,</w:t>
      </w:r>
      <w:r w:rsidR="00982102" w:rsidRPr="00CF7D00">
        <w:rPr>
          <w:sz w:val="16"/>
          <w:szCs w:val="16"/>
          <w:lang w:val="nl-NL"/>
        </w:rPr>
        <w:t xml:space="preserve"> </w:t>
      </w:r>
      <w:proofErr w:type="spellStart"/>
      <w:r w:rsidR="00982102" w:rsidRPr="00CF7D00">
        <w:rPr>
          <w:sz w:val="16"/>
          <w:szCs w:val="16"/>
          <w:lang w:val="nl-NL"/>
        </w:rPr>
        <w:t>nr</w:t>
      </w:r>
      <w:proofErr w:type="spellEnd"/>
      <w:r w:rsidR="00982102" w:rsidRPr="00CF7D00">
        <w:rPr>
          <w:sz w:val="16"/>
          <w:szCs w:val="16"/>
          <w:lang w:val="nl-NL"/>
        </w:rPr>
        <w:t xml:space="preserve"> 1121, </w:t>
      </w:r>
    </w:p>
  </w:footnote>
  <w:footnote w:id="6">
    <w:p w14:paraId="0F42FD0F" w14:textId="6BD3F631" w:rsidR="005E61E3" w:rsidRPr="00CF7D00" w:rsidRDefault="005E61E3">
      <w:pPr>
        <w:pStyle w:val="Voetnoottekst"/>
        <w:rPr>
          <w:lang w:val="nl-NL"/>
        </w:rPr>
      </w:pPr>
      <w:r w:rsidRPr="00CF7D00">
        <w:rPr>
          <w:rStyle w:val="Voetnootmarkering"/>
          <w:sz w:val="16"/>
          <w:szCs w:val="16"/>
        </w:rPr>
        <w:footnoteRef/>
      </w:r>
      <w:r w:rsidRPr="00CF7D00">
        <w:rPr>
          <w:sz w:val="16"/>
          <w:szCs w:val="16"/>
          <w:lang w:val="nl-NL"/>
        </w:rPr>
        <w:t xml:space="preserve"> Meer over de Centrale Toetsingscommissie in</w:t>
      </w:r>
      <w:r>
        <w:rPr>
          <w:lang w:val="nl-NL"/>
        </w:rPr>
        <w:t xml:space="preserve"> </w:t>
      </w:r>
      <w:r w:rsidRPr="00D53EB4">
        <w:rPr>
          <w:sz w:val="16"/>
          <w:szCs w:val="16"/>
          <w:lang w:val="nl-NL"/>
        </w:rPr>
        <w:t>Kamerstukken II, 2023–24, 29 628, nr. 1190</w:t>
      </w:r>
      <w:r w:rsidR="00982102">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13D8" w14:textId="77777777" w:rsidR="008B2E6E" w:rsidRDefault="00A073FD">
    <w:r>
      <w:rPr>
        <w:noProof/>
      </w:rPr>
      <mc:AlternateContent>
        <mc:Choice Requires="wps">
          <w:drawing>
            <wp:anchor distT="0" distB="0" distL="0" distR="0" simplePos="0" relativeHeight="251652096" behindDoc="0" locked="1" layoutInCell="1" allowOverlap="1" wp14:anchorId="0617202D" wp14:editId="403A08D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945F6C" w14:textId="77777777" w:rsidR="008B2E6E" w:rsidRDefault="00A073FD">
                          <w:pPr>
                            <w:pStyle w:val="Referentiegegevensbold"/>
                          </w:pPr>
                          <w:r>
                            <w:t>Directoraat-Generaal Politie en Veiligheidsregio's</w:t>
                          </w:r>
                        </w:p>
                        <w:p w14:paraId="131DAF84" w14:textId="77777777" w:rsidR="008B2E6E" w:rsidRDefault="00A073FD">
                          <w:pPr>
                            <w:pStyle w:val="Referentiegegevens"/>
                          </w:pPr>
                          <w:r>
                            <w:t>Portefeuille Politieel Beleid en Taakuitvoering</w:t>
                          </w:r>
                        </w:p>
                        <w:p w14:paraId="74E32966" w14:textId="77777777" w:rsidR="008B2E6E" w:rsidRDefault="00A073FD">
                          <w:pPr>
                            <w:pStyle w:val="Referentiegegevens"/>
                          </w:pPr>
                          <w:r>
                            <w:t>Politiebestel, Bevoegdheden en Informatiefunctie</w:t>
                          </w:r>
                        </w:p>
                        <w:p w14:paraId="49B83513" w14:textId="77777777" w:rsidR="008B2E6E" w:rsidRDefault="008B2E6E">
                          <w:pPr>
                            <w:pStyle w:val="WitregelW2"/>
                          </w:pPr>
                        </w:p>
                        <w:p w14:paraId="3AD90008" w14:textId="77777777" w:rsidR="008B2E6E" w:rsidRDefault="00A073FD">
                          <w:pPr>
                            <w:pStyle w:val="Referentiegegevensbold"/>
                          </w:pPr>
                          <w:r>
                            <w:t>Datum</w:t>
                          </w:r>
                        </w:p>
                        <w:p w14:paraId="31E2FC7D" w14:textId="77777777" w:rsidR="008B2E6E" w:rsidRDefault="00D25EBB">
                          <w:pPr>
                            <w:pStyle w:val="Referentiegegevens"/>
                          </w:pPr>
                          <w:sdt>
                            <w:sdtPr>
                              <w:id w:val="71934104"/>
                              <w:date w:fullDate="2025-12-05T00:00:00Z">
                                <w:dateFormat w:val="d MMMM yyyy"/>
                                <w:lid w:val="nl"/>
                                <w:storeMappedDataAs w:val="dateTime"/>
                                <w:calendar w:val="gregorian"/>
                              </w:date>
                            </w:sdtPr>
                            <w:sdtEndPr/>
                            <w:sdtContent>
                              <w:r w:rsidR="00A073FD">
                                <w:t>5 december 2025</w:t>
                              </w:r>
                            </w:sdtContent>
                          </w:sdt>
                        </w:p>
                        <w:p w14:paraId="6BFD091F" w14:textId="77777777" w:rsidR="008B2E6E" w:rsidRDefault="008B2E6E">
                          <w:pPr>
                            <w:pStyle w:val="WitregelW1"/>
                          </w:pPr>
                        </w:p>
                        <w:p w14:paraId="6553CF90" w14:textId="77777777" w:rsidR="008B2E6E" w:rsidRDefault="00A073FD">
                          <w:pPr>
                            <w:pStyle w:val="Referentiegegevensbold"/>
                          </w:pPr>
                          <w:r>
                            <w:t>Onze referentie</w:t>
                          </w:r>
                        </w:p>
                        <w:p w14:paraId="5B4EB754" w14:textId="7316E948" w:rsidR="008B2E6E" w:rsidRDefault="00D25EBB">
                          <w:pPr>
                            <w:pStyle w:val="Referentiegegevens"/>
                          </w:pPr>
                          <w:r>
                            <w:t>6926128</w:t>
                          </w:r>
                        </w:p>
                      </w:txbxContent>
                    </wps:txbx>
                    <wps:bodyPr vert="horz" wrap="square" lIns="0" tIns="0" rIns="0" bIns="0" anchor="t" anchorCtr="0"/>
                  </wps:wsp>
                </a:graphicData>
              </a:graphic>
            </wp:anchor>
          </w:drawing>
        </mc:Choice>
        <mc:Fallback>
          <w:pict>
            <v:shapetype w14:anchorId="0617202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C945F6C" w14:textId="77777777" w:rsidR="008B2E6E" w:rsidRDefault="00A073FD">
                    <w:pPr>
                      <w:pStyle w:val="Referentiegegevensbold"/>
                    </w:pPr>
                    <w:r>
                      <w:t>Directoraat-Generaal Politie en Veiligheidsregio's</w:t>
                    </w:r>
                  </w:p>
                  <w:p w14:paraId="131DAF84" w14:textId="77777777" w:rsidR="008B2E6E" w:rsidRDefault="00A073FD">
                    <w:pPr>
                      <w:pStyle w:val="Referentiegegevens"/>
                    </w:pPr>
                    <w:r>
                      <w:t>Portefeuille Politieel Beleid en Taakuitvoering</w:t>
                    </w:r>
                  </w:p>
                  <w:p w14:paraId="74E32966" w14:textId="77777777" w:rsidR="008B2E6E" w:rsidRDefault="00A073FD">
                    <w:pPr>
                      <w:pStyle w:val="Referentiegegevens"/>
                    </w:pPr>
                    <w:r>
                      <w:t>Politiebestel, Bevoegdheden en Informatiefunctie</w:t>
                    </w:r>
                  </w:p>
                  <w:p w14:paraId="49B83513" w14:textId="77777777" w:rsidR="008B2E6E" w:rsidRDefault="008B2E6E">
                    <w:pPr>
                      <w:pStyle w:val="WitregelW2"/>
                    </w:pPr>
                  </w:p>
                  <w:p w14:paraId="3AD90008" w14:textId="77777777" w:rsidR="008B2E6E" w:rsidRDefault="00A073FD">
                    <w:pPr>
                      <w:pStyle w:val="Referentiegegevensbold"/>
                    </w:pPr>
                    <w:r>
                      <w:t>Datum</w:t>
                    </w:r>
                  </w:p>
                  <w:p w14:paraId="31E2FC7D" w14:textId="77777777" w:rsidR="008B2E6E" w:rsidRDefault="00D25EBB">
                    <w:pPr>
                      <w:pStyle w:val="Referentiegegevens"/>
                    </w:pPr>
                    <w:sdt>
                      <w:sdtPr>
                        <w:id w:val="71934104"/>
                        <w:date w:fullDate="2025-12-05T00:00:00Z">
                          <w:dateFormat w:val="d MMMM yyyy"/>
                          <w:lid w:val="nl"/>
                          <w:storeMappedDataAs w:val="dateTime"/>
                          <w:calendar w:val="gregorian"/>
                        </w:date>
                      </w:sdtPr>
                      <w:sdtEndPr/>
                      <w:sdtContent>
                        <w:r w:rsidR="00A073FD">
                          <w:t>5 december 2025</w:t>
                        </w:r>
                      </w:sdtContent>
                    </w:sdt>
                  </w:p>
                  <w:p w14:paraId="6BFD091F" w14:textId="77777777" w:rsidR="008B2E6E" w:rsidRDefault="008B2E6E">
                    <w:pPr>
                      <w:pStyle w:val="WitregelW1"/>
                    </w:pPr>
                  </w:p>
                  <w:p w14:paraId="6553CF90" w14:textId="77777777" w:rsidR="008B2E6E" w:rsidRDefault="00A073FD">
                    <w:pPr>
                      <w:pStyle w:val="Referentiegegevensbold"/>
                    </w:pPr>
                    <w:r>
                      <w:t>Onze referentie</w:t>
                    </w:r>
                  </w:p>
                  <w:p w14:paraId="5B4EB754" w14:textId="7316E948" w:rsidR="008B2E6E" w:rsidRDefault="00D25EBB">
                    <w:pPr>
                      <w:pStyle w:val="Referentiegegevens"/>
                    </w:pPr>
                    <w:r>
                      <w:t>6926128</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71ACD9" wp14:editId="5D00AFA9">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40E4F22" w14:textId="77777777" w:rsidR="00123F90" w:rsidRDefault="00123F90"/>
                      </w:txbxContent>
                    </wps:txbx>
                    <wps:bodyPr vert="horz" wrap="square" lIns="0" tIns="0" rIns="0" bIns="0" anchor="t" anchorCtr="0"/>
                  </wps:wsp>
                </a:graphicData>
              </a:graphic>
            </wp:anchor>
          </w:drawing>
        </mc:Choice>
        <mc:Fallback>
          <w:pict>
            <v:shape w14:anchorId="0D71ACD9"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40E4F22" w14:textId="77777777" w:rsidR="00123F90" w:rsidRDefault="00123F90"/>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5FD463" wp14:editId="3D63CCA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B875A1" w14:textId="4D78708D" w:rsidR="008B2E6E" w:rsidRDefault="00A073FD">
                          <w:pPr>
                            <w:pStyle w:val="Referentiegegevens"/>
                          </w:pPr>
                          <w:r>
                            <w:t xml:space="preserve">Pagina </w:t>
                          </w:r>
                          <w:r>
                            <w:fldChar w:fldCharType="begin"/>
                          </w:r>
                          <w:r>
                            <w:instrText>PAGE</w:instrText>
                          </w:r>
                          <w:r>
                            <w:fldChar w:fldCharType="separate"/>
                          </w:r>
                          <w:r w:rsidR="00E90B7D">
                            <w:rPr>
                              <w:noProof/>
                            </w:rPr>
                            <w:t>2</w:t>
                          </w:r>
                          <w:r>
                            <w:fldChar w:fldCharType="end"/>
                          </w:r>
                          <w:r>
                            <w:t xml:space="preserve"> van </w:t>
                          </w:r>
                          <w:r>
                            <w:fldChar w:fldCharType="begin"/>
                          </w:r>
                          <w:r>
                            <w:instrText>NUMPAGES</w:instrText>
                          </w:r>
                          <w:r>
                            <w:fldChar w:fldCharType="separate"/>
                          </w:r>
                          <w:r w:rsidR="00E90B7D">
                            <w:rPr>
                              <w:noProof/>
                            </w:rPr>
                            <w:t>1</w:t>
                          </w:r>
                          <w:r>
                            <w:fldChar w:fldCharType="end"/>
                          </w:r>
                        </w:p>
                      </w:txbxContent>
                    </wps:txbx>
                    <wps:bodyPr vert="horz" wrap="square" lIns="0" tIns="0" rIns="0" bIns="0" anchor="t" anchorCtr="0"/>
                  </wps:wsp>
                </a:graphicData>
              </a:graphic>
            </wp:anchor>
          </w:drawing>
        </mc:Choice>
        <mc:Fallback>
          <w:pict>
            <v:shape w14:anchorId="7E5FD463"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8B875A1" w14:textId="4D78708D" w:rsidR="008B2E6E" w:rsidRDefault="00A073FD">
                    <w:pPr>
                      <w:pStyle w:val="Referentiegegevens"/>
                    </w:pPr>
                    <w:r>
                      <w:t xml:space="preserve">Pagina </w:t>
                    </w:r>
                    <w:r>
                      <w:fldChar w:fldCharType="begin"/>
                    </w:r>
                    <w:r>
                      <w:instrText>PAGE</w:instrText>
                    </w:r>
                    <w:r>
                      <w:fldChar w:fldCharType="separate"/>
                    </w:r>
                    <w:r w:rsidR="00E90B7D">
                      <w:rPr>
                        <w:noProof/>
                      </w:rPr>
                      <w:t>2</w:t>
                    </w:r>
                    <w:r>
                      <w:fldChar w:fldCharType="end"/>
                    </w:r>
                    <w:r>
                      <w:t xml:space="preserve"> van </w:t>
                    </w:r>
                    <w:r>
                      <w:fldChar w:fldCharType="begin"/>
                    </w:r>
                    <w:r>
                      <w:instrText>NUMPAGES</w:instrText>
                    </w:r>
                    <w:r>
                      <w:fldChar w:fldCharType="separate"/>
                    </w:r>
                    <w:r w:rsidR="00E90B7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8B00CA6" wp14:editId="54E20330">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19FDF2FB" w14:textId="77777777" w:rsidR="00123F90" w:rsidRDefault="00123F90"/>
                      </w:txbxContent>
                    </wps:txbx>
                    <wps:bodyPr vert="horz" wrap="square" lIns="0" tIns="0" rIns="0" bIns="0" anchor="t" anchorCtr="0"/>
                  </wps:wsp>
                </a:graphicData>
              </a:graphic>
            </wp:anchor>
          </w:drawing>
        </mc:Choice>
        <mc:Fallback>
          <w:pict>
            <v:shape w14:anchorId="38B00CA6"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19FDF2FB" w14:textId="77777777" w:rsidR="00123F90" w:rsidRDefault="00123F9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2527" w14:textId="77777777" w:rsidR="008B2E6E" w:rsidRDefault="00A073FD">
    <w:pPr>
      <w:spacing w:after="4835" w:line="14" w:lineRule="exact"/>
    </w:pPr>
    <w:r>
      <w:rPr>
        <w:noProof/>
      </w:rPr>
      <mc:AlternateContent>
        <mc:Choice Requires="wps">
          <w:drawing>
            <wp:anchor distT="0" distB="0" distL="0" distR="0" simplePos="0" relativeHeight="251656192" behindDoc="0" locked="1" layoutInCell="1" allowOverlap="1" wp14:anchorId="7DA11BD4" wp14:editId="28B59A97">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65D5FD03" w14:textId="77777777" w:rsidR="00123F90" w:rsidRDefault="00123F90"/>
                      </w:txbxContent>
                    </wps:txbx>
                    <wps:bodyPr vert="horz" wrap="square" lIns="0" tIns="0" rIns="0" bIns="0" anchor="t" anchorCtr="0"/>
                  </wps:wsp>
                </a:graphicData>
              </a:graphic>
            </wp:anchor>
          </w:drawing>
        </mc:Choice>
        <mc:Fallback>
          <w:pict>
            <v:shapetype w14:anchorId="7DA11BD4"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65D5FD03" w14:textId="77777777" w:rsidR="00123F90" w:rsidRDefault="00123F9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9F84F06" wp14:editId="25FC6D8D">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2171FF93" w14:textId="6D52418B" w:rsidR="008B2E6E" w:rsidRDefault="00A073FD">
                          <w:r>
                            <w:t>Beleidsreactie eindrapport commissie</w:t>
                          </w:r>
                          <w:r w:rsidR="00AC7F25">
                            <w:t xml:space="preserve"> monitoring</w:t>
                          </w:r>
                          <w:r>
                            <w:t xml:space="preserve"> waarborgen heimelijk werk</w:t>
                          </w:r>
                        </w:p>
                      </w:txbxContent>
                    </wps:txbx>
                    <wps:bodyPr vert="horz" wrap="square" lIns="0" tIns="0" rIns="0" bIns="0" anchor="t" anchorCtr="0"/>
                  </wps:wsp>
                </a:graphicData>
              </a:graphic>
            </wp:anchor>
          </w:drawing>
        </mc:Choice>
        <mc:Fallback>
          <w:pict>
            <v:shape w14:anchorId="59F84F06"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2171FF93" w14:textId="6D52418B" w:rsidR="008B2E6E" w:rsidRDefault="00A073FD">
                    <w:r>
                      <w:t>Beleidsreactie eindrapport commissie</w:t>
                    </w:r>
                    <w:r w:rsidR="00AC7F25">
                      <w:t xml:space="preserve"> monitoring</w:t>
                    </w:r>
                    <w:r>
                      <w:t xml:space="preserve"> waarborgen heimelijk werk</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0381ED" wp14:editId="019C5AC9">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1759C4" w14:textId="77777777" w:rsidR="008B2E6E" w:rsidRDefault="00A073FD">
                          <w:pPr>
                            <w:pStyle w:val="Referentiegegevensbold"/>
                          </w:pPr>
                          <w:r>
                            <w:t>Directoraat-Generaal Politie en Veiligheidsregio's</w:t>
                          </w:r>
                        </w:p>
                        <w:p w14:paraId="2ADB8BA5" w14:textId="77777777" w:rsidR="008B2E6E" w:rsidRDefault="00A073FD">
                          <w:pPr>
                            <w:pStyle w:val="Referentiegegevens"/>
                          </w:pPr>
                          <w:r>
                            <w:t>Portefeuille Politieel Beleid en Taakuitvoering</w:t>
                          </w:r>
                        </w:p>
                        <w:p w14:paraId="438911CE" w14:textId="77777777" w:rsidR="008B2E6E" w:rsidRDefault="00A073FD">
                          <w:pPr>
                            <w:pStyle w:val="Referentiegegevens"/>
                          </w:pPr>
                          <w:r>
                            <w:t>Politiebestel, Bevoegdheden en Informatiefunctie</w:t>
                          </w:r>
                        </w:p>
                        <w:p w14:paraId="188708FC" w14:textId="77777777" w:rsidR="008B2E6E" w:rsidRDefault="008B2E6E">
                          <w:pPr>
                            <w:pStyle w:val="WitregelW2"/>
                          </w:pPr>
                        </w:p>
                        <w:p w14:paraId="0F7060AD" w14:textId="77777777" w:rsidR="008B2E6E" w:rsidRDefault="00A073FD">
                          <w:pPr>
                            <w:pStyle w:val="Referentiegegevensbold"/>
                          </w:pPr>
                          <w:r>
                            <w:t>Onze referentie</w:t>
                          </w:r>
                        </w:p>
                        <w:p w14:paraId="65397801" w14:textId="78E03F00" w:rsidR="008B2E6E" w:rsidRDefault="00D25EBB">
                          <w:pPr>
                            <w:pStyle w:val="Referentiegegevens"/>
                          </w:pPr>
                          <w:r>
                            <w:t>6926128</w:t>
                          </w:r>
                        </w:p>
                      </w:txbxContent>
                    </wps:txbx>
                    <wps:bodyPr vert="horz" wrap="square" lIns="0" tIns="0" rIns="0" bIns="0" anchor="t" anchorCtr="0"/>
                  </wps:wsp>
                </a:graphicData>
              </a:graphic>
            </wp:anchor>
          </w:drawing>
        </mc:Choice>
        <mc:Fallback>
          <w:pict>
            <v:shape w14:anchorId="600381ED"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501759C4" w14:textId="77777777" w:rsidR="008B2E6E" w:rsidRDefault="00A073FD">
                    <w:pPr>
                      <w:pStyle w:val="Referentiegegevensbold"/>
                    </w:pPr>
                    <w:r>
                      <w:t>Directoraat-Generaal Politie en Veiligheidsregio's</w:t>
                    </w:r>
                  </w:p>
                  <w:p w14:paraId="2ADB8BA5" w14:textId="77777777" w:rsidR="008B2E6E" w:rsidRDefault="00A073FD">
                    <w:pPr>
                      <w:pStyle w:val="Referentiegegevens"/>
                    </w:pPr>
                    <w:r>
                      <w:t>Portefeuille Politieel Beleid en Taakuitvoering</w:t>
                    </w:r>
                  </w:p>
                  <w:p w14:paraId="438911CE" w14:textId="77777777" w:rsidR="008B2E6E" w:rsidRDefault="00A073FD">
                    <w:pPr>
                      <w:pStyle w:val="Referentiegegevens"/>
                    </w:pPr>
                    <w:r>
                      <w:t>Politiebestel, Bevoegdheden en Informatiefunctie</w:t>
                    </w:r>
                  </w:p>
                  <w:p w14:paraId="188708FC" w14:textId="77777777" w:rsidR="008B2E6E" w:rsidRDefault="008B2E6E">
                    <w:pPr>
                      <w:pStyle w:val="WitregelW2"/>
                    </w:pPr>
                  </w:p>
                  <w:p w14:paraId="0F7060AD" w14:textId="77777777" w:rsidR="008B2E6E" w:rsidRDefault="00A073FD">
                    <w:pPr>
                      <w:pStyle w:val="Referentiegegevensbold"/>
                    </w:pPr>
                    <w:r>
                      <w:t>Onze referentie</w:t>
                    </w:r>
                  </w:p>
                  <w:p w14:paraId="65397801" w14:textId="78E03F00" w:rsidR="008B2E6E" w:rsidRDefault="00D25EBB">
                    <w:pPr>
                      <w:pStyle w:val="Referentiegegevens"/>
                    </w:pPr>
                    <w:r>
                      <w:t>6926128</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65383E5" wp14:editId="2CF7CED9">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01CAB2D" w14:textId="77777777" w:rsidR="00123F90" w:rsidRDefault="00123F90"/>
                      </w:txbxContent>
                    </wps:txbx>
                    <wps:bodyPr vert="horz" wrap="square" lIns="0" tIns="0" rIns="0" bIns="0" anchor="t" anchorCtr="0"/>
                  </wps:wsp>
                </a:graphicData>
              </a:graphic>
            </wp:anchor>
          </w:drawing>
        </mc:Choice>
        <mc:Fallback>
          <w:pict>
            <v:shape w14:anchorId="665383E5"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501CAB2D" w14:textId="77777777" w:rsidR="00123F90" w:rsidRDefault="00123F90"/>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9C713EE" wp14:editId="255454AC">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0A1581" w14:textId="77777777" w:rsidR="008B2E6E" w:rsidRDefault="00A073FD">
                          <w:pPr>
                            <w:pStyle w:val="Referentiegegevens"/>
                          </w:pPr>
                          <w:r>
                            <w:t xml:space="preserve">Pagina </w:t>
                          </w:r>
                          <w:r>
                            <w:fldChar w:fldCharType="begin"/>
                          </w:r>
                          <w:r>
                            <w:instrText>PAGE</w:instrText>
                          </w:r>
                          <w:r>
                            <w:fldChar w:fldCharType="separate"/>
                          </w:r>
                          <w:r w:rsidR="00E90B7D">
                            <w:rPr>
                              <w:noProof/>
                            </w:rPr>
                            <w:t>1</w:t>
                          </w:r>
                          <w:r>
                            <w:fldChar w:fldCharType="end"/>
                          </w:r>
                          <w:r>
                            <w:t xml:space="preserve"> van </w:t>
                          </w:r>
                          <w:r>
                            <w:fldChar w:fldCharType="begin"/>
                          </w:r>
                          <w:r>
                            <w:instrText>NUMPAGES</w:instrText>
                          </w:r>
                          <w:r>
                            <w:fldChar w:fldCharType="separate"/>
                          </w:r>
                          <w:r w:rsidR="00E90B7D">
                            <w:rPr>
                              <w:noProof/>
                            </w:rPr>
                            <w:t>1</w:t>
                          </w:r>
                          <w:r>
                            <w:fldChar w:fldCharType="end"/>
                          </w:r>
                        </w:p>
                      </w:txbxContent>
                    </wps:txbx>
                    <wps:bodyPr vert="horz" wrap="square" lIns="0" tIns="0" rIns="0" bIns="0" anchor="t" anchorCtr="0"/>
                  </wps:wsp>
                </a:graphicData>
              </a:graphic>
            </wp:anchor>
          </w:drawing>
        </mc:Choice>
        <mc:Fallback>
          <w:pict>
            <v:shape w14:anchorId="39C713EE"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030A1581" w14:textId="77777777" w:rsidR="008B2E6E" w:rsidRDefault="00A073FD">
                    <w:pPr>
                      <w:pStyle w:val="Referentiegegevens"/>
                    </w:pPr>
                    <w:r>
                      <w:t xml:space="preserve">Pagina </w:t>
                    </w:r>
                    <w:r>
                      <w:fldChar w:fldCharType="begin"/>
                    </w:r>
                    <w:r>
                      <w:instrText>PAGE</w:instrText>
                    </w:r>
                    <w:r>
                      <w:fldChar w:fldCharType="separate"/>
                    </w:r>
                    <w:r w:rsidR="00E90B7D">
                      <w:rPr>
                        <w:noProof/>
                      </w:rPr>
                      <w:t>1</w:t>
                    </w:r>
                    <w:r>
                      <w:fldChar w:fldCharType="end"/>
                    </w:r>
                    <w:r>
                      <w:t xml:space="preserve"> van </w:t>
                    </w:r>
                    <w:r>
                      <w:fldChar w:fldCharType="begin"/>
                    </w:r>
                    <w:r>
                      <w:instrText>NUMPAGES</w:instrText>
                    </w:r>
                    <w:r>
                      <w:fldChar w:fldCharType="separate"/>
                    </w:r>
                    <w:r w:rsidR="00E90B7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F4121B4" wp14:editId="70B6BA59">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D3AF36" w14:textId="77777777" w:rsidR="008B2E6E" w:rsidRDefault="00A073FD">
                          <w:pPr>
                            <w:spacing w:line="240" w:lineRule="auto"/>
                          </w:pPr>
                          <w:r>
                            <w:rPr>
                              <w:noProof/>
                            </w:rPr>
                            <w:drawing>
                              <wp:inline distT="0" distB="0" distL="0" distR="0" wp14:anchorId="3CA598DF" wp14:editId="37E67A4E">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4121B4"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7D3AF36" w14:textId="77777777" w:rsidR="008B2E6E" w:rsidRDefault="00A073FD">
                    <w:pPr>
                      <w:spacing w:line="240" w:lineRule="auto"/>
                    </w:pPr>
                    <w:r>
                      <w:rPr>
                        <w:noProof/>
                      </w:rPr>
                      <w:drawing>
                        <wp:inline distT="0" distB="0" distL="0" distR="0" wp14:anchorId="3CA598DF" wp14:editId="37E67A4E">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D17DEDF" wp14:editId="07CDD247">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80555D" w14:textId="77777777" w:rsidR="008B2E6E" w:rsidRDefault="00A073FD">
                          <w:pPr>
                            <w:spacing w:line="240" w:lineRule="auto"/>
                          </w:pPr>
                          <w:r>
                            <w:rPr>
                              <w:noProof/>
                            </w:rPr>
                            <w:drawing>
                              <wp:inline distT="0" distB="0" distL="0" distR="0" wp14:anchorId="1FEECD44" wp14:editId="274575C2">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17DEDF"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880555D" w14:textId="77777777" w:rsidR="008B2E6E" w:rsidRDefault="00A073FD">
                    <w:pPr>
                      <w:spacing w:line="240" w:lineRule="auto"/>
                    </w:pPr>
                    <w:r>
                      <w:rPr>
                        <w:noProof/>
                      </w:rPr>
                      <w:drawing>
                        <wp:inline distT="0" distB="0" distL="0" distR="0" wp14:anchorId="1FEECD44" wp14:editId="274575C2">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E08A948" wp14:editId="2D5337E7">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71904C72" w14:textId="77777777" w:rsidR="008B2E6E" w:rsidRDefault="00A073FD">
                          <w:pPr>
                            <w:spacing w:line="240" w:lineRule="auto"/>
                          </w:pPr>
                          <w:r>
                            <w:rPr>
                              <w:noProof/>
                            </w:rPr>
                            <w:drawing>
                              <wp:inline distT="0" distB="0" distL="0" distR="0" wp14:anchorId="2EC354F7" wp14:editId="169F5822">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08A948"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71904C72" w14:textId="77777777" w:rsidR="008B2E6E" w:rsidRDefault="00A073FD">
                    <w:pPr>
                      <w:spacing w:line="240" w:lineRule="auto"/>
                    </w:pPr>
                    <w:r>
                      <w:rPr>
                        <w:noProof/>
                      </w:rPr>
                      <w:drawing>
                        <wp:inline distT="0" distB="0" distL="0" distR="0" wp14:anchorId="2EC354F7" wp14:editId="169F5822">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C1B7C"/>
    <w:multiLevelType w:val="multilevel"/>
    <w:tmpl w:val="7657C82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53CB9FC"/>
    <w:multiLevelType w:val="multilevel"/>
    <w:tmpl w:val="1F4746C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A58B57F"/>
    <w:multiLevelType w:val="multilevel"/>
    <w:tmpl w:val="07313F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9902C10"/>
    <w:multiLevelType w:val="multilevel"/>
    <w:tmpl w:val="78E07B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A4803EF"/>
    <w:multiLevelType w:val="multilevel"/>
    <w:tmpl w:val="6F3733B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75EAB94"/>
    <w:multiLevelType w:val="multilevel"/>
    <w:tmpl w:val="FE6820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96247F5"/>
    <w:multiLevelType w:val="hybridMultilevel"/>
    <w:tmpl w:val="D54C7D32"/>
    <w:lvl w:ilvl="0" w:tplc="7F26748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1E6DC1"/>
    <w:multiLevelType w:val="hybridMultilevel"/>
    <w:tmpl w:val="BE3C9E7C"/>
    <w:lvl w:ilvl="0" w:tplc="8DF68C8A">
      <w:start w:val="1"/>
      <w:numFmt w:val="bullet"/>
      <w:lvlText w:val=""/>
      <w:lvlJc w:val="left"/>
      <w:pPr>
        <w:ind w:left="1440" w:hanging="360"/>
      </w:pPr>
      <w:rPr>
        <w:rFonts w:ascii="Symbol" w:hAnsi="Symbol"/>
      </w:rPr>
    </w:lvl>
    <w:lvl w:ilvl="1" w:tplc="312CBC6E">
      <w:start w:val="1"/>
      <w:numFmt w:val="bullet"/>
      <w:lvlText w:val=""/>
      <w:lvlJc w:val="left"/>
      <w:pPr>
        <w:ind w:left="1440" w:hanging="360"/>
      </w:pPr>
      <w:rPr>
        <w:rFonts w:ascii="Symbol" w:hAnsi="Symbol"/>
      </w:rPr>
    </w:lvl>
    <w:lvl w:ilvl="2" w:tplc="378EB3DE">
      <w:start w:val="1"/>
      <w:numFmt w:val="bullet"/>
      <w:lvlText w:val=""/>
      <w:lvlJc w:val="left"/>
      <w:pPr>
        <w:ind w:left="1440" w:hanging="360"/>
      </w:pPr>
      <w:rPr>
        <w:rFonts w:ascii="Symbol" w:hAnsi="Symbol"/>
      </w:rPr>
    </w:lvl>
    <w:lvl w:ilvl="3" w:tplc="E60292B2">
      <w:start w:val="1"/>
      <w:numFmt w:val="bullet"/>
      <w:lvlText w:val=""/>
      <w:lvlJc w:val="left"/>
      <w:pPr>
        <w:ind w:left="1440" w:hanging="360"/>
      </w:pPr>
      <w:rPr>
        <w:rFonts w:ascii="Symbol" w:hAnsi="Symbol"/>
      </w:rPr>
    </w:lvl>
    <w:lvl w:ilvl="4" w:tplc="55C0059C">
      <w:start w:val="1"/>
      <w:numFmt w:val="bullet"/>
      <w:lvlText w:val=""/>
      <w:lvlJc w:val="left"/>
      <w:pPr>
        <w:ind w:left="1440" w:hanging="360"/>
      </w:pPr>
      <w:rPr>
        <w:rFonts w:ascii="Symbol" w:hAnsi="Symbol"/>
      </w:rPr>
    </w:lvl>
    <w:lvl w:ilvl="5" w:tplc="A2E83F04">
      <w:start w:val="1"/>
      <w:numFmt w:val="bullet"/>
      <w:lvlText w:val=""/>
      <w:lvlJc w:val="left"/>
      <w:pPr>
        <w:ind w:left="1440" w:hanging="360"/>
      </w:pPr>
      <w:rPr>
        <w:rFonts w:ascii="Symbol" w:hAnsi="Symbol"/>
      </w:rPr>
    </w:lvl>
    <w:lvl w:ilvl="6" w:tplc="F8045358">
      <w:start w:val="1"/>
      <w:numFmt w:val="bullet"/>
      <w:lvlText w:val=""/>
      <w:lvlJc w:val="left"/>
      <w:pPr>
        <w:ind w:left="1440" w:hanging="360"/>
      </w:pPr>
      <w:rPr>
        <w:rFonts w:ascii="Symbol" w:hAnsi="Symbol"/>
      </w:rPr>
    </w:lvl>
    <w:lvl w:ilvl="7" w:tplc="B28E97E0">
      <w:start w:val="1"/>
      <w:numFmt w:val="bullet"/>
      <w:lvlText w:val=""/>
      <w:lvlJc w:val="left"/>
      <w:pPr>
        <w:ind w:left="1440" w:hanging="360"/>
      </w:pPr>
      <w:rPr>
        <w:rFonts w:ascii="Symbol" w:hAnsi="Symbol"/>
      </w:rPr>
    </w:lvl>
    <w:lvl w:ilvl="8" w:tplc="169601B0">
      <w:start w:val="1"/>
      <w:numFmt w:val="bullet"/>
      <w:lvlText w:val=""/>
      <w:lvlJc w:val="left"/>
      <w:pPr>
        <w:ind w:left="1440" w:hanging="360"/>
      </w:pPr>
      <w:rPr>
        <w:rFonts w:ascii="Symbol" w:hAnsi="Symbol"/>
      </w:rPr>
    </w:lvl>
  </w:abstractNum>
  <w:num w:numId="1" w16cid:durableId="493960652">
    <w:abstractNumId w:val="4"/>
  </w:num>
  <w:num w:numId="2" w16cid:durableId="1942299933">
    <w:abstractNumId w:val="1"/>
  </w:num>
  <w:num w:numId="3" w16cid:durableId="2021082217">
    <w:abstractNumId w:val="3"/>
  </w:num>
  <w:num w:numId="4" w16cid:durableId="1357997788">
    <w:abstractNumId w:val="2"/>
  </w:num>
  <w:num w:numId="5" w16cid:durableId="322121122">
    <w:abstractNumId w:val="0"/>
  </w:num>
  <w:num w:numId="6" w16cid:durableId="17435602">
    <w:abstractNumId w:val="5"/>
  </w:num>
  <w:num w:numId="7" w16cid:durableId="213851544">
    <w:abstractNumId w:val="7"/>
  </w:num>
  <w:num w:numId="8" w16cid:durableId="83845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7D"/>
    <w:rsid w:val="00000B3C"/>
    <w:rsid w:val="00031968"/>
    <w:rsid w:val="0004219C"/>
    <w:rsid w:val="000A2697"/>
    <w:rsid w:val="000C2D36"/>
    <w:rsid w:val="00102E93"/>
    <w:rsid w:val="00123F90"/>
    <w:rsid w:val="00134DEF"/>
    <w:rsid w:val="00147A8A"/>
    <w:rsid w:val="001501F7"/>
    <w:rsid w:val="00183E3C"/>
    <w:rsid w:val="00187C47"/>
    <w:rsid w:val="001A5301"/>
    <w:rsid w:val="001C1485"/>
    <w:rsid w:val="00203BBE"/>
    <w:rsid w:val="00205C0D"/>
    <w:rsid w:val="00211BF6"/>
    <w:rsid w:val="00212A5A"/>
    <w:rsid w:val="00213936"/>
    <w:rsid w:val="00232389"/>
    <w:rsid w:val="00234B47"/>
    <w:rsid w:val="002509C3"/>
    <w:rsid w:val="00253EB2"/>
    <w:rsid w:val="002648E4"/>
    <w:rsid w:val="00275A66"/>
    <w:rsid w:val="0029390F"/>
    <w:rsid w:val="002E0ABA"/>
    <w:rsid w:val="00301A59"/>
    <w:rsid w:val="003076F8"/>
    <w:rsid w:val="00317F55"/>
    <w:rsid w:val="00327C0C"/>
    <w:rsid w:val="00343015"/>
    <w:rsid w:val="0037564E"/>
    <w:rsid w:val="00375A1A"/>
    <w:rsid w:val="0038261B"/>
    <w:rsid w:val="003B1F37"/>
    <w:rsid w:val="003C241C"/>
    <w:rsid w:val="003F7E53"/>
    <w:rsid w:val="00442E7B"/>
    <w:rsid w:val="004474FF"/>
    <w:rsid w:val="00451382"/>
    <w:rsid w:val="00471AEF"/>
    <w:rsid w:val="00495A61"/>
    <w:rsid w:val="004A7C05"/>
    <w:rsid w:val="004B6620"/>
    <w:rsid w:val="00534F8F"/>
    <w:rsid w:val="00537F51"/>
    <w:rsid w:val="005654B3"/>
    <w:rsid w:val="00585DA7"/>
    <w:rsid w:val="005D76B9"/>
    <w:rsid w:val="005E61E3"/>
    <w:rsid w:val="006204DA"/>
    <w:rsid w:val="00627ADC"/>
    <w:rsid w:val="006323BE"/>
    <w:rsid w:val="00645FEA"/>
    <w:rsid w:val="00685BDD"/>
    <w:rsid w:val="0070083F"/>
    <w:rsid w:val="00713238"/>
    <w:rsid w:val="00723F39"/>
    <w:rsid w:val="00735DC2"/>
    <w:rsid w:val="00765D92"/>
    <w:rsid w:val="007B2548"/>
    <w:rsid w:val="007B65E4"/>
    <w:rsid w:val="007C3F49"/>
    <w:rsid w:val="007D2771"/>
    <w:rsid w:val="007E6143"/>
    <w:rsid w:val="0080031B"/>
    <w:rsid w:val="008432D1"/>
    <w:rsid w:val="00854B1D"/>
    <w:rsid w:val="00856D56"/>
    <w:rsid w:val="00862CDD"/>
    <w:rsid w:val="0086567B"/>
    <w:rsid w:val="00892E13"/>
    <w:rsid w:val="008B2E6E"/>
    <w:rsid w:val="008D12E8"/>
    <w:rsid w:val="008F548A"/>
    <w:rsid w:val="00917647"/>
    <w:rsid w:val="0093261E"/>
    <w:rsid w:val="00943C9A"/>
    <w:rsid w:val="00947BA3"/>
    <w:rsid w:val="009532C1"/>
    <w:rsid w:val="00963742"/>
    <w:rsid w:val="00964C5C"/>
    <w:rsid w:val="0097708B"/>
    <w:rsid w:val="00982102"/>
    <w:rsid w:val="009838CF"/>
    <w:rsid w:val="00992730"/>
    <w:rsid w:val="009970A2"/>
    <w:rsid w:val="009A3BDE"/>
    <w:rsid w:val="009E6D96"/>
    <w:rsid w:val="009F3237"/>
    <w:rsid w:val="00A073FD"/>
    <w:rsid w:val="00A33399"/>
    <w:rsid w:val="00A609D0"/>
    <w:rsid w:val="00A738D7"/>
    <w:rsid w:val="00A86F65"/>
    <w:rsid w:val="00A93530"/>
    <w:rsid w:val="00AB12CE"/>
    <w:rsid w:val="00AC5E68"/>
    <w:rsid w:val="00AC7F25"/>
    <w:rsid w:val="00B11925"/>
    <w:rsid w:val="00B275B5"/>
    <w:rsid w:val="00B405F3"/>
    <w:rsid w:val="00B41CD1"/>
    <w:rsid w:val="00B707D4"/>
    <w:rsid w:val="00B96264"/>
    <w:rsid w:val="00BA3ABF"/>
    <w:rsid w:val="00BA6F8F"/>
    <w:rsid w:val="00BF426D"/>
    <w:rsid w:val="00C10E1B"/>
    <w:rsid w:val="00C43356"/>
    <w:rsid w:val="00C4440F"/>
    <w:rsid w:val="00C637C2"/>
    <w:rsid w:val="00C72E9F"/>
    <w:rsid w:val="00CA08E8"/>
    <w:rsid w:val="00CE2E1D"/>
    <w:rsid w:val="00CF2C4B"/>
    <w:rsid w:val="00CF5065"/>
    <w:rsid w:val="00CF7D00"/>
    <w:rsid w:val="00D0525D"/>
    <w:rsid w:val="00D14E71"/>
    <w:rsid w:val="00D25CAF"/>
    <w:rsid w:val="00D25EBB"/>
    <w:rsid w:val="00D40874"/>
    <w:rsid w:val="00D4719A"/>
    <w:rsid w:val="00D47C98"/>
    <w:rsid w:val="00D53EB4"/>
    <w:rsid w:val="00D563CA"/>
    <w:rsid w:val="00D642FF"/>
    <w:rsid w:val="00D82352"/>
    <w:rsid w:val="00D945EF"/>
    <w:rsid w:val="00DB041C"/>
    <w:rsid w:val="00DD7859"/>
    <w:rsid w:val="00E068E3"/>
    <w:rsid w:val="00E26FD7"/>
    <w:rsid w:val="00E6303B"/>
    <w:rsid w:val="00E63A24"/>
    <w:rsid w:val="00E742D1"/>
    <w:rsid w:val="00E833CB"/>
    <w:rsid w:val="00E90B7D"/>
    <w:rsid w:val="00EA4782"/>
    <w:rsid w:val="00EB28FE"/>
    <w:rsid w:val="00EC4E24"/>
    <w:rsid w:val="00EE1621"/>
    <w:rsid w:val="00EE4E17"/>
    <w:rsid w:val="00EF377F"/>
    <w:rsid w:val="00EF3E78"/>
    <w:rsid w:val="00EF585E"/>
    <w:rsid w:val="00F12B8B"/>
    <w:rsid w:val="00F25CB0"/>
    <w:rsid w:val="00F40E64"/>
    <w:rsid w:val="00F4503A"/>
    <w:rsid w:val="00F54970"/>
    <w:rsid w:val="00F62CBB"/>
    <w:rsid w:val="00F665DE"/>
    <w:rsid w:val="00F73E58"/>
    <w:rsid w:val="00F920DD"/>
    <w:rsid w:val="00FA6605"/>
    <w:rsid w:val="00FB756B"/>
    <w:rsid w:val="00FE35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6D449"/>
  <w15:docId w15:val="{B59400B4-227E-4918-B147-A1230296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E90B7D"/>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E90B7D"/>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E90B7D"/>
    <w:rPr>
      <w:vertAlign w:val="superscript"/>
    </w:rPr>
  </w:style>
  <w:style w:type="character" w:styleId="Verwijzingopmerking">
    <w:name w:val="annotation reference"/>
    <w:basedOn w:val="Standaardalinea-lettertype"/>
    <w:uiPriority w:val="99"/>
    <w:semiHidden/>
    <w:unhideWhenUsed/>
    <w:rsid w:val="00B41CD1"/>
    <w:rPr>
      <w:sz w:val="16"/>
      <w:szCs w:val="16"/>
    </w:rPr>
  </w:style>
  <w:style w:type="paragraph" w:styleId="Tekstopmerking">
    <w:name w:val="annotation text"/>
    <w:basedOn w:val="Standaard"/>
    <w:link w:val="TekstopmerkingChar"/>
    <w:uiPriority w:val="99"/>
    <w:unhideWhenUsed/>
    <w:rsid w:val="00B41CD1"/>
    <w:pPr>
      <w:spacing w:line="240" w:lineRule="auto"/>
    </w:pPr>
    <w:rPr>
      <w:sz w:val="20"/>
      <w:szCs w:val="20"/>
    </w:rPr>
  </w:style>
  <w:style w:type="character" w:customStyle="1" w:styleId="TekstopmerkingChar">
    <w:name w:val="Tekst opmerking Char"/>
    <w:basedOn w:val="Standaardalinea-lettertype"/>
    <w:link w:val="Tekstopmerking"/>
    <w:uiPriority w:val="99"/>
    <w:rsid w:val="00B41CD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41CD1"/>
    <w:rPr>
      <w:b/>
      <w:bCs/>
    </w:rPr>
  </w:style>
  <w:style w:type="character" w:customStyle="1" w:styleId="OnderwerpvanopmerkingChar">
    <w:name w:val="Onderwerp van opmerking Char"/>
    <w:basedOn w:val="TekstopmerkingChar"/>
    <w:link w:val="Onderwerpvanopmerking"/>
    <w:uiPriority w:val="99"/>
    <w:semiHidden/>
    <w:rsid w:val="00B41CD1"/>
    <w:rPr>
      <w:rFonts w:ascii="Verdana" w:hAnsi="Verdana"/>
      <w:b/>
      <w:bCs/>
      <w:color w:val="000000"/>
    </w:rPr>
  </w:style>
  <w:style w:type="paragraph" w:styleId="Revisie">
    <w:name w:val="Revision"/>
    <w:hidden/>
    <w:uiPriority w:val="99"/>
    <w:semiHidden/>
    <w:rsid w:val="00B41CD1"/>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C5E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5E68"/>
    <w:rPr>
      <w:rFonts w:ascii="Verdana" w:hAnsi="Verdana"/>
      <w:color w:val="000000"/>
      <w:sz w:val="18"/>
      <w:szCs w:val="18"/>
    </w:rPr>
  </w:style>
  <w:style w:type="character" w:styleId="Onopgelostemelding">
    <w:name w:val="Unresolved Mention"/>
    <w:basedOn w:val="Standaardalinea-lettertype"/>
    <w:uiPriority w:val="99"/>
    <w:semiHidden/>
    <w:unhideWhenUsed/>
    <w:rsid w:val="009F3237"/>
    <w:rPr>
      <w:color w:val="605E5C"/>
      <w:shd w:val="clear" w:color="auto" w:fill="E1DFDD"/>
    </w:rPr>
  </w:style>
  <w:style w:type="paragraph" w:styleId="Lijstalinea">
    <w:name w:val="List Paragraph"/>
    <w:basedOn w:val="Standaard"/>
    <w:uiPriority w:val="34"/>
    <w:semiHidden/>
    <w:rsid w:val="00A60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02042">
      <w:bodyDiv w:val="1"/>
      <w:marLeft w:val="0"/>
      <w:marRight w:val="0"/>
      <w:marTop w:val="0"/>
      <w:marBottom w:val="0"/>
      <w:divBdr>
        <w:top w:val="none" w:sz="0" w:space="0" w:color="auto"/>
        <w:left w:val="none" w:sz="0" w:space="0" w:color="auto"/>
        <w:bottom w:val="none" w:sz="0" w:space="0" w:color="auto"/>
        <w:right w:val="none" w:sz="0" w:space="0" w:color="auto"/>
      </w:divBdr>
    </w:div>
    <w:div w:id="522091215">
      <w:bodyDiv w:val="1"/>
      <w:marLeft w:val="0"/>
      <w:marRight w:val="0"/>
      <w:marTop w:val="0"/>
      <w:marBottom w:val="0"/>
      <w:divBdr>
        <w:top w:val="none" w:sz="0" w:space="0" w:color="auto"/>
        <w:left w:val="none" w:sz="0" w:space="0" w:color="auto"/>
        <w:bottom w:val="none" w:sz="0" w:space="0" w:color="auto"/>
        <w:right w:val="none" w:sz="0" w:space="0" w:color="auto"/>
      </w:divBdr>
    </w:div>
    <w:div w:id="663509145">
      <w:bodyDiv w:val="1"/>
      <w:marLeft w:val="0"/>
      <w:marRight w:val="0"/>
      <w:marTop w:val="0"/>
      <w:marBottom w:val="0"/>
      <w:divBdr>
        <w:top w:val="none" w:sz="0" w:space="0" w:color="auto"/>
        <w:left w:val="none" w:sz="0" w:space="0" w:color="auto"/>
        <w:bottom w:val="none" w:sz="0" w:space="0" w:color="auto"/>
        <w:right w:val="none" w:sz="0" w:space="0" w:color="auto"/>
      </w:divBdr>
    </w:div>
    <w:div w:id="719548446">
      <w:bodyDiv w:val="1"/>
      <w:marLeft w:val="0"/>
      <w:marRight w:val="0"/>
      <w:marTop w:val="0"/>
      <w:marBottom w:val="0"/>
      <w:divBdr>
        <w:top w:val="none" w:sz="0" w:space="0" w:color="auto"/>
        <w:left w:val="none" w:sz="0" w:space="0" w:color="auto"/>
        <w:bottom w:val="none" w:sz="0" w:space="0" w:color="auto"/>
        <w:right w:val="none" w:sz="0" w:space="0" w:color="auto"/>
      </w:divBdr>
    </w:div>
    <w:div w:id="735712848">
      <w:bodyDiv w:val="1"/>
      <w:marLeft w:val="0"/>
      <w:marRight w:val="0"/>
      <w:marTop w:val="0"/>
      <w:marBottom w:val="0"/>
      <w:divBdr>
        <w:top w:val="none" w:sz="0" w:space="0" w:color="auto"/>
        <w:left w:val="none" w:sz="0" w:space="0" w:color="auto"/>
        <w:bottom w:val="none" w:sz="0" w:space="0" w:color="auto"/>
        <w:right w:val="none" w:sz="0" w:space="0" w:color="auto"/>
      </w:divBdr>
    </w:div>
    <w:div w:id="800457536">
      <w:bodyDiv w:val="1"/>
      <w:marLeft w:val="0"/>
      <w:marRight w:val="0"/>
      <w:marTop w:val="0"/>
      <w:marBottom w:val="0"/>
      <w:divBdr>
        <w:top w:val="none" w:sz="0" w:space="0" w:color="auto"/>
        <w:left w:val="none" w:sz="0" w:space="0" w:color="auto"/>
        <w:bottom w:val="none" w:sz="0" w:space="0" w:color="auto"/>
        <w:right w:val="none" w:sz="0" w:space="0" w:color="auto"/>
      </w:divBdr>
    </w:div>
    <w:div w:id="1167743874">
      <w:bodyDiv w:val="1"/>
      <w:marLeft w:val="0"/>
      <w:marRight w:val="0"/>
      <w:marTop w:val="0"/>
      <w:marBottom w:val="0"/>
      <w:divBdr>
        <w:top w:val="none" w:sz="0" w:space="0" w:color="auto"/>
        <w:left w:val="none" w:sz="0" w:space="0" w:color="auto"/>
        <w:bottom w:val="none" w:sz="0" w:space="0" w:color="auto"/>
        <w:right w:val="none" w:sz="0" w:space="0" w:color="auto"/>
      </w:divBdr>
    </w:div>
    <w:div w:id="1173494246">
      <w:bodyDiv w:val="1"/>
      <w:marLeft w:val="0"/>
      <w:marRight w:val="0"/>
      <w:marTop w:val="0"/>
      <w:marBottom w:val="0"/>
      <w:divBdr>
        <w:top w:val="none" w:sz="0" w:space="0" w:color="auto"/>
        <w:left w:val="none" w:sz="0" w:space="0" w:color="auto"/>
        <w:bottom w:val="none" w:sz="0" w:space="0" w:color="auto"/>
        <w:right w:val="none" w:sz="0" w:space="0" w:color="auto"/>
      </w:divBdr>
    </w:div>
    <w:div w:id="1250852060">
      <w:bodyDiv w:val="1"/>
      <w:marLeft w:val="0"/>
      <w:marRight w:val="0"/>
      <w:marTop w:val="0"/>
      <w:marBottom w:val="0"/>
      <w:divBdr>
        <w:top w:val="none" w:sz="0" w:space="0" w:color="auto"/>
        <w:left w:val="none" w:sz="0" w:space="0" w:color="auto"/>
        <w:bottom w:val="none" w:sz="0" w:space="0" w:color="auto"/>
        <w:right w:val="none" w:sz="0" w:space="0" w:color="auto"/>
      </w:divBdr>
    </w:div>
    <w:div w:id="146611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heguardian.com/uk-news/2025/mar/02/revealed-at-least-25-uk-spy-cops-sexual-relations-deceived-wome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ijlage%20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1990</ap:Words>
  <ap:Characters>10948</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Bijlage  - Beleidsreactie eindrapport monitoringscommissie waarborgen heimelijk werk</vt:lpstr>
    </vt:vector>
  </ap:TitlesOfParts>
  <ap:LinksUpToDate>false</ap:LinksUpToDate>
  <ap:CharactersWithSpaces>12913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2025-11-17T12:33:00.0000000Z</lastPrinted>
  <dcterms:created xsi:type="dcterms:W3CDTF">2025-12-10T15:25:00.0000000Z</dcterms:created>
  <dcterms:modified xsi:type="dcterms:W3CDTF">2025-12-10T15:25:00.0000000Z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Beleidsreactie eindrapport monitoringscommissie waarborgen heimelijk werk</vt:lpwstr>
  </property>
  <property fmtid="{D5CDD505-2E9C-101B-9397-08002B2CF9AE}" pid="5" name="Publicatiedatum">
    <vt:lpwstr/>
  </property>
  <property fmtid="{D5CDD505-2E9C-101B-9397-08002B2CF9AE}" pid="6" name="Verantwoordelijke organisatie">
    <vt:lpwstr>Portefeuille Politieel Beleid en Taakuitvoering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december 2025</vt:lpwstr>
  </property>
  <property fmtid="{D5CDD505-2E9C-101B-9397-08002B2CF9AE}" pid="13" name="Opgesteld door, Naam">
    <vt:lpwstr>Corianne Mourits - Nieuwenhuis</vt:lpwstr>
  </property>
  <property fmtid="{D5CDD505-2E9C-101B-9397-08002B2CF9AE}" pid="14" name="Opgesteld door, Telefoonnummer">
    <vt:lpwstr>0631108916</vt:lpwstr>
  </property>
  <property fmtid="{D5CDD505-2E9C-101B-9397-08002B2CF9AE}" pid="15" name="Kenmerk">
    <vt:lpwstr>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