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6E3" w:rsidP="00B846E3" w:rsidRDefault="00B846E3" w14:paraId="70E3AB1D" w14:textId="77777777">
      <w:r>
        <w:t>Geachte Voorzitter,</w:t>
      </w:r>
    </w:p>
    <w:p w:rsidR="00B846E3" w:rsidP="00B846E3" w:rsidRDefault="00B846E3" w14:paraId="6928629B" w14:textId="77777777"/>
    <w:p w:rsidR="00B846E3" w:rsidP="00B846E3" w:rsidRDefault="00B846E3" w14:paraId="4D5BC3E0" w14:textId="3A378133">
      <w:r>
        <w:t>Digitalisering is noodzakelijk om de overgang naar een toekomstig energiesysteem mogelijk te maken. Het kabinet heeft daarom in het Nationaal Plan Energiesysteem (NPE)</w:t>
      </w:r>
      <w:r>
        <w:rPr>
          <w:rStyle w:val="Voetnootmarkering"/>
        </w:rPr>
        <w:footnoteReference w:id="1"/>
      </w:r>
      <w:r>
        <w:t xml:space="preserve"> aangekondigd om de rol van digitalisering en data in het energiesysteem verder uit te werken. De Actieagenda Digitalisering van het Energiesysteem (ADE) geeft hier invulling aan. Deze agenda geeft richting aan de verdere digitalisering van het Nederlandse energiesysteem, brengt lopende initiatieven in kaart en formuleert acties om deze te versterken en versnellen. Het is </w:t>
      </w:r>
      <w:r w:rsidR="00093F55">
        <w:t>in lijn met</w:t>
      </w:r>
      <w:r>
        <w:t xml:space="preserve"> het Actieprogramma Duurzame Digitalisering die </w:t>
      </w:r>
      <w:r w:rsidR="005572E6">
        <w:t xml:space="preserve">de Kamer </w:t>
      </w:r>
      <w:r>
        <w:t>al heeft ontvangen.</w:t>
      </w:r>
      <w:r w:rsidR="003D068A">
        <w:rPr>
          <w:rStyle w:val="Voetnootmarkering"/>
        </w:rPr>
        <w:footnoteReference w:id="2"/>
      </w:r>
      <w:r>
        <w:t xml:space="preserve"> Met deze brief biedt het kabinet </w:t>
      </w:r>
      <w:r w:rsidR="005572E6">
        <w:t xml:space="preserve">de Kamer </w:t>
      </w:r>
      <w:r>
        <w:t xml:space="preserve">de Actieagenda Digitalisering van het Energiesysteem aan. </w:t>
      </w:r>
    </w:p>
    <w:p w:rsidR="00B846E3" w:rsidP="00B846E3" w:rsidRDefault="00B846E3" w14:paraId="5522173B" w14:textId="77777777"/>
    <w:p w:rsidR="00B846E3" w:rsidP="00B846E3" w:rsidRDefault="00B846E3" w14:paraId="26DEA895" w14:textId="77777777">
      <w:pPr>
        <w:rPr>
          <w:b/>
          <w:bCs/>
        </w:rPr>
      </w:pPr>
      <w:r>
        <w:rPr>
          <w:b/>
          <w:bCs/>
        </w:rPr>
        <w:t>Een brede</w:t>
      </w:r>
      <w:r w:rsidRPr="006402BF">
        <w:rPr>
          <w:b/>
          <w:bCs/>
        </w:rPr>
        <w:t xml:space="preserve"> nationale agenda </w:t>
      </w:r>
    </w:p>
    <w:p w:rsidRPr="00B846E3" w:rsidR="00B846E3" w:rsidP="00B846E3" w:rsidRDefault="00B846E3" w14:paraId="46F61C6B" w14:textId="423278C2">
      <w:pPr>
        <w:rPr>
          <w:rFonts w:eastAsia="Aptos" w:cs="Aptos"/>
          <w:szCs w:val="18"/>
        </w:rPr>
      </w:pPr>
      <w:r w:rsidRPr="00B846E3">
        <w:rPr>
          <w:szCs w:val="18"/>
        </w:rPr>
        <w:t xml:space="preserve">De ADE is tot stand gekomen door een nauwe samenwerking van een breed scala aan </w:t>
      </w:r>
      <w:r w:rsidR="001A7C56">
        <w:rPr>
          <w:szCs w:val="18"/>
        </w:rPr>
        <w:t>bedrijven en organisaties</w:t>
      </w:r>
      <w:r w:rsidRPr="00B846E3" w:rsidR="001A7C56">
        <w:rPr>
          <w:szCs w:val="18"/>
        </w:rPr>
        <w:t xml:space="preserve"> </w:t>
      </w:r>
      <w:r w:rsidRPr="00B846E3">
        <w:rPr>
          <w:szCs w:val="18"/>
        </w:rPr>
        <w:t>uit de energie- en ICT-sector, overheden, netbeheerders en kennisinstellingen</w:t>
      </w:r>
      <w:r w:rsidR="00093F55">
        <w:rPr>
          <w:szCs w:val="18"/>
        </w:rPr>
        <w:t>.</w:t>
      </w:r>
      <w:r w:rsidRPr="00B846E3">
        <w:rPr>
          <w:rStyle w:val="Voetnootmarkering"/>
          <w:szCs w:val="18"/>
        </w:rPr>
        <w:footnoteReference w:id="3"/>
      </w:r>
      <w:r w:rsidRPr="00B846E3">
        <w:rPr>
          <w:szCs w:val="18"/>
        </w:rPr>
        <w:t xml:space="preserve"> </w:t>
      </w:r>
      <w:r w:rsidR="003C7294">
        <w:rPr>
          <w:szCs w:val="18"/>
        </w:rPr>
        <w:t xml:space="preserve">Een brede vertegenwoordiging van deze partijen </w:t>
      </w:r>
      <w:r w:rsidR="00B956C2">
        <w:rPr>
          <w:szCs w:val="18"/>
        </w:rPr>
        <w:t>heeft</w:t>
      </w:r>
      <w:r w:rsidRPr="003C7294" w:rsidR="00B956C2">
        <w:rPr>
          <w:szCs w:val="18"/>
        </w:rPr>
        <w:t xml:space="preserve"> </w:t>
      </w:r>
      <w:r w:rsidRPr="003C7294" w:rsidR="003C7294">
        <w:rPr>
          <w:szCs w:val="18"/>
        </w:rPr>
        <w:t xml:space="preserve">gezamenlijk de actieagenda vastgesteld en </w:t>
      </w:r>
      <w:r w:rsidR="00B956C2">
        <w:rPr>
          <w:szCs w:val="18"/>
        </w:rPr>
        <w:t>is</w:t>
      </w:r>
      <w:r w:rsidRPr="003C7294" w:rsidR="00B956C2">
        <w:rPr>
          <w:szCs w:val="18"/>
        </w:rPr>
        <w:t xml:space="preserve"> </w:t>
      </w:r>
      <w:r w:rsidRPr="003C7294" w:rsidR="003C7294">
        <w:rPr>
          <w:szCs w:val="18"/>
        </w:rPr>
        <w:t>daarmee verantwoordelijk voor het vervolg</w:t>
      </w:r>
      <w:r w:rsidRPr="00B846E3">
        <w:rPr>
          <w:szCs w:val="18"/>
        </w:rPr>
        <w:t xml:space="preserve">. </w:t>
      </w:r>
      <w:r w:rsidR="00093F55">
        <w:rPr>
          <w:szCs w:val="18"/>
        </w:rPr>
        <w:t xml:space="preserve">In de agenda is </w:t>
      </w:r>
      <w:r w:rsidR="001A7C56">
        <w:rPr>
          <w:szCs w:val="18"/>
        </w:rPr>
        <w:t xml:space="preserve">ook </w:t>
      </w:r>
      <w:r w:rsidR="00093F55">
        <w:rPr>
          <w:szCs w:val="18"/>
        </w:rPr>
        <w:t xml:space="preserve">aangegeven welke partijen de actiehouders zijn per actie. </w:t>
      </w:r>
      <w:r w:rsidRPr="00B846E3">
        <w:rPr>
          <w:rFonts w:eastAsia="Aptos" w:cs="Aptos"/>
          <w:szCs w:val="18"/>
        </w:rPr>
        <w:t>De</w:t>
      </w:r>
      <w:r w:rsidR="00093F55">
        <w:rPr>
          <w:rFonts w:eastAsia="Aptos" w:cs="Aptos"/>
          <w:szCs w:val="18"/>
        </w:rPr>
        <w:t>ze</w:t>
      </w:r>
      <w:r w:rsidRPr="00B846E3">
        <w:rPr>
          <w:rFonts w:eastAsia="Aptos" w:cs="Aptos"/>
          <w:szCs w:val="18"/>
        </w:rPr>
        <w:t xml:space="preserve"> actiehouders zijn en blijven zelf verantwoordelijk voor hun individuele acties en resultaten. </w:t>
      </w:r>
    </w:p>
    <w:p w:rsidR="00B846E3" w:rsidP="00B846E3" w:rsidRDefault="00B846E3" w14:paraId="13797A47" w14:textId="77777777">
      <w:pPr>
        <w:rPr>
          <w:rFonts w:ascii="Aptos" w:hAnsi="Aptos" w:eastAsia="Aptos" w:cs="Aptos"/>
        </w:rPr>
      </w:pPr>
    </w:p>
    <w:p w:rsidRPr="00632909" w:rsidR="00B846E3" w:rsidP="00B846E3" w:rsidRDefault="00B846E3" w14:paraId="6AAD08DD" w14:textId="77777777">
      <w:pPr>
        <w:rPr>
          <w:b/>
          <w:bCs/>
        </w:rPr>
      </w:pPr>
      <w:r w:rsidRPr="00632909">
        <w:rPr>
          <w:b/>
          <w:bCs/>
        </w:rPr>
        <w:t>Vijf samenhangende thema's</w:t>
      </w:r>
    </w:p>
    <w:p w:rsidR="00B846E3" w:rsidP="00B846E3" w:rsidRDefault="00B846E3" w14:paraId="0B39F7E1" w14:textId="281B42D0">
      <w:r>
        <w:t xml:space="preserve">De ADE omvat </w:t>
      </w:r>
      <w:r w:rsidRPr="00AA035E" w:rsidR="00AA035E">
        <w:t>vijf samenhangende thema's die richting geven aan waar digitalisering de energietransitie kan versnellen,</w:t>
      </w:r>
      <w:bookmarkStart w:name="_Hlk214453976" w:id="0"/>
      <w:r w:rsidRPr="00AA035E" w:rsidR="00AA035E">
        <w:t xml:space="preserve"> met een focus op het elektriciteitssysteem</w:t>
      </w:r>
      <w:bookmarkEnd w:id="0"/>
      <w:r w:rsidRPr="5CE90AC4">
        <w:rPr>
          <w:rStyle w:val="Voetnootmarkering"/>
        </w:rPr>
        <w:footnoteReference w:id="4"/>
      </w:r>
      <w:r w:rsidR="00155AC1">
        <w:t xml:space="preserve">: (1) </w:t>
      </w:r>
      <w:r w:rsidRPr="00155AC1" w:rsidR="00155AC1">
        <w:t>Inzicht in het elektriciteitssysteem</w:t>
      </w:r>
      <w:r w:rsidR="00155AC1">
        <w:t xml:space="preserve">, (2) </w:t>
      </w:r>
      <w:r w:rsidRPr="00155AC1" w:rsidR="00155AC1">
        <w:t>Beter benutten van netwerkcapaciteit</w:t>
      </w:r>
      <w:r w:rsidR="00155AC1">
        <w:t xml:space="preserve">, (3) </w:t>
      </w:r>
      <w:r w:rsidRPr="00155AC1" w:rsidR="00155AC1">
        <w:t>Goed toegeruste deelnemers</w:t>
      </w:r>
      <w:r w:rsidR="00155AC1">
        <w:t xml:space="preserve">, (4) </w:t>
      </w:r>
      <w:r w:rsidRPr="00155AC1" w:rsidR="00155AC1">
        <w:t>Geïntegreerd en weerbaar elektriciteitssysteem</w:t>
      </w:r>
      <w:r w:rsidR="00155AC1">
        <w:t xml:space="preserve"> en (5) </w:t>
      </w:r>
      <w:r w:rsidRPr="00155AC1" w:rsidR="00155AC1">
        <w:t>Planning, aanleg en monitoring van het elektriciteitssysteem</w:t>
      </w:r>
      <w:r w:rsidR="00155AC1">
        <w:t xml:space="preserve">. </w:t>
      </w:r>
      <w:r>
        <w:t xml:space="preserve">Deze thema’s zijn gebaseerd op keuzes uit het NPE en op </w:t>
      </w:r>
      <w:r>
        <w:lastRenderedPageBreak/>
        <w:t>actuele trends en knelpunten in het elektriciteitssysteem en het digitale domein. Binnen de thema's is rekening gehouden met dat digitalisering meer is dan</w:t>
      </w:r>
      <w:r w:rsidRPr="00A60AA6">
        <w:t xml:space="preserve"> de toepassing van digitale technologieën, </w:t>
      </w:r>
      <w:r>
        <w:t xml:space="preserve">het gaat </w:t>
      </w:r>
      <w:r w:rsidRPr="00A60AA6">
        <w:t xml:space="preserve">ook om hoe publieke belangen worden versterkt of </w:t>
      </w:r>
      <w:r w:rsidR="006E4A6B">
        <w:t xml:space="preserve">voorkomen wordt hoe ze </w:t>
      </w:r>
      <w:r w:rsidRPr="00A60AA6">
        <w:t xml:space="preserve">onder druk </w:t>
      </w:r>
      <w:r w:rsidR="006E4A6B">
        <w:t>komen te staan</w:t>
      </w:r>
      <w:r w:rsidRPr="00A60AA6">
        <w:t xml:space="preserve">. </w:t>
      </w:r>
      <w:r>
        <w:t xml:space="preserve">Binnen de vijf thema's benoemt de ADE 29 acties die bijdragen aan de doelen van het NPE, het tegengaan van netcongestie, het dempen van kosten voor </w:t>
      </w:r>
      <w:r w:rsidR="00AA035E">
        <w:t>e</w:t>
      </w:r>
      <w:r w:rsidRPr="00AA035E" w:rsidR="00AA035E">
        <w:t>lektriciteitsinfrastructuur</w:t>
      </w:r>
      <w:r>
        <w:t>, het ondersteunen van het decentrale energiesysteem en het omgaan met digitale vraagstukken zoals cyberweerbaarheid en de macht van</w:t>
      </w:r>
      <w:r w:rsidR="003C7294">
        <w:t xml:space="preserve"> digitale</w:t>
      </w:r>
      <w:r>
        <w:t xml:space="preserve"> platformen. Indirect kan digitalisering van het elektriciteitssysteem daarmee ook significant bijdragen aan het sneller bereiken van de klimaatdoelen. </w:t>
      </w:r>
    </w:p>
    <w:p w:rsidR="00B846E3" w:rsidP="00B846E3" w:rsidRDefault="00B846E3" w14:paraId="7970022B" w14:textId="77777777"/>
    <w:p w:rsidRPr="008431EF" w:rsidR="00B846E3" w:rsidP="00B846E3" w:rsidRDefault="00B846E3" w14:paraId="49E7344D" w14:textId="77777777">
      <w:pPr>
        <w:rPr>
          <w:b/>
          <w:bCs/>
        </w:rPr>
      </w:pPr>
      <w:r>
        <w:rPr>
          <w:b/>
          <w:bCs/>
        </w:rPr>
        <w:t xml:space="preserve">Thema 1: </w:t>
      </w:r>
      <w:r w:rsidRPr="008431EF">
        <w:rPr>
          <w:b/>
          <w:bCs/>
        </w:rPr>
        <w:t xml:space="preserve">Inzicht in het elektriciteitssysteem </w:t>
      </w:r>
    </w:p>
    <w:p w:rsidR="00B846E3" w:rsidP="00B846E3" w:rsidRDefault="00B846E3" w14:paraId="45CE4557" w14:textId="77777777">
      <w:pPr>
        <w:rPr>
          <w:i/>
          <w:iCs/>
        </w:rPr>
      </w:pPr>
      <w:r>
        <w:t>Een slim en effectief digitaal energiesysteem begint met inzicht in de werking ervan. Een</w:t>
      </w:r>
      <w:r w:rsidRPr="00F77879">
        <w:t xml:space="preserve"> deel van het systeem is nog niet of onvoldoende gedigitaliseerd. Daardoor </w:t>
      </w:r>
      <w:r>
        <w:t xml:space="preserve">missen we data en informatie over </w:t>
      </w:r>
      <w:r w:rsidRPr="00F77879">
        <w:t>wat er nu gebeurt of wat er in de toekomst te verwachten valt.</w:t>
      </w:r>
      <w:r>
        <w:t xml:space="preserve"> Het belang van inzicht is onlangs ook weer benadrukt in de kamerbrief over netcongestie</w:t>
      </w:r>
      <w:r>
        <w:rPr>
          <w:rStyle w:val="Voetnootmarkering"/>
        </w:rPr>
        <w:footnoteReference w:id="5"/>
      </w:r>
      <w:r>
        <w:t xml:space="preserve">: </w:t>
      </w:r>
      <w:r w:rsidRPr="5134D417">
        <w:rPr>
          <w:i/>
          <w:iCs/>
        </w:rPr>
        <w:t xml:space="preserve">"Gerichte aanpak van netcongestie staat of valt met scherp inzicht in de belasting, capaciteit en inrichting van het elektriciteitsnet, en met goede prognoses van hoe zich dit in de toekomst ontwikkelt”. </w:t>
      </w:r>
    </w:p>
    <w:p w:rsidR="00B846E3" w:rsidP="00B846E3" w:rsidRDefault="00B846E3" w14:paraId="4EFD4DB7" w14:textId="77777777"/>
    <w:p w:rsidR="00B846E3" w:rsidP="00B846E3" w:rsidRDefault="00B846E3" w14:paraId="1546EC81" w14:textId="775B88DD">
      <w:r>
        <w:t xml:space="preserve">Het is een uitdaging om de data en informatie die inzicht biedt toegankelijk en bruikbaar te maken voor </w:t>
      </w:r>
      <w:r w:rsidR="00AA035E">
        <w:t xml:space="preserve">alle </w:t>
      </w:r>
      <w:r>
        <w:t xml:space="preserve">partijen met een rol in de energietransitie. Niet alle data mogen zomaar worden gedeeld, maar we willen wel dat de data goed beschikbaar is ter ondersteuning van de energietransitie. Er zijn duidelijke afspraken nodig over wie data verzamelt, wie toegang krijgt en onder welke voorwaarden. </w:t>
      </w:r>
      <w:r w:rsidRPr="00AA035E" w:rsidR="00AA035E">
        <w:t>Voor een deel van de data zal de in de Energiewet aangekondigde Gegevensuitwisselingsentiteit (GUE) hierin een belangrijke rol spelen</w:t>
      </w:r>
      <w:r>
        <w:t xml:space="preserve">. </w:t>
      </w:r>
    </w:p>
    <w:p w:rsidR="00B846E3" w:rsidP="00B846E3" w:rsidRDefault="00B846E3" w14:paraId="6F0C24B2" w14:textId="77777777"/>
    <w:p w:rsidRPr="008431EF" w:rsidR="00B846E3" w:rsidP="00B846E3" w:rsidRDefault="00B846E3" w14:paraId="5CEBD8CB" w14:textId="77777777">
      <w:pPr>
        <w:rPr>
          <w:b/>
          <w:bCs/>
        </w:rPr>
      </w:pPr>
      <w:r>
        <w:rPr>
          <w:b/>
          <w:bCs/>
        </w:rPr>
        <w:t xml:space="preserve">Thema 2: </w:t>
      </w:r>
      <w:r w:rsidRPr="008431EF">
        <w:rPr>
          <w:b/>
          <w:bCs/>
        </w:rPr>
        <w:t>Beter benutten van netwerkcapaciteit</w:t>
      </w:r>
    </w:p>
    <w:p w:rsidR="00B846E3" w:rsidP="00B846E3" w:rsidRDefault="00B846E3" w14:paraId="5EE8CBF8" w14:textId="19FD631F">
      <w:r w:rsidRPr="4065EC37">
        <w:t xml:space="preserve">Het beter benutten van de beschikbare netwerkcapaciteit is een belangrijke voorwaarde om de energietransitie betaalbaar en haalbaar te houden. </w:t>
      </w:r>
      <w:r>
        <w:t xml:space="preserve">In het </w:t>
      </w:r>
      <w:r w:rsidR="00F86755">
        <w:t>L</w:t>
      </w:r>
      <w:r w:rsidRPr="00266194">
        <w:t xml:space="preserve">andelijk </w:t>
      </w:r>
      <w:r w:rsidR="00F86755">
        <w:t>A</w:t>
      </w:r>
      <w:r w:rsidRPr="00266194">
        <w:t xml:space="preserve">ctieprogramma </w:t>
      </w:r>
      <w:r w:rsidR="00F86755">
        <w:t>N</w:t>
      </w:r>
      <w:r w:rsidRPr="00266194">
        <w:t>etcongestie</w:t>
      </w:r>
      <w:r w:rsidR="00F86755">
        <w:t xml:space="preserve"> (LAN)</w:t>
      </w:r>
      <w:r>
        <w:t xml:space="preserve"> is </w:t>
      </w:r>
      <w:r w:rsidR="00155AC1">
        <w:t>‘</w:t>
      </w:r>
      <w:r>
        <w:t>beter benutten</w:t>
      </w:r>
      <w:r w:rsidR="00155AC1">
        <w:t xml:space="preserve">’ </w:t>
      </w:r>
      <w:r>
        <w:t xml:space="preserve">daarom één van de drie actielijnen. In het </w:t>
      </w:r>
      <w:r w:rsidRPr="00E45699">
        <w:t>Interdepartementaal beleidsonderzoek bekostiging van de elektriciteitsinfrastructuur</w:t>
      </w:r>
      <w:r>
        <w:t xml:space="preserve"> (IBO)</w:t>
      </w:r>
      <w:r>
        <w:rPr>
          <w:rStyle w:val="Voetnootmarkering"/>
        </w:rPr>
        <w:footnoteReference w:id="6"/>
      </w:r>
      <w:r>
        <w:t xml:space="preserve"> is benadrukt dat beter benutten </w:t>
      </w:r>
      <w:r w:rsidRPr="4065EC37">
        <w:t>essentieel is voor het bijbuigen en dempen van de investeringsopgave</w:t>
      </w:r>
      <w:r>
        <w:t xml:space="preserve"> in het elektriciteitsnet</w:t>
      </w:r>
      <w:r w:rsidRPr="4065EC37">
        <w:t xml:space="preserve">. </w:t>
      </w:r>
      <w:r w:rsidRPr="00962C08">
        <w:t xml:space="preserve">Digitalisering speelt hierin een sleutelrol. Opwek, opslag, verbruik en belasting van het net </w:t>
      </w:r>
      <w:r>
        <w:t xml:space="preserve">kunnen </w:t>
      </w:r>
      <w:r w:rsidRPr="00962C08">
        <w:t xml:space="preserve">beter </w:t>
      </w:r>
      <w:r>
        <w:t xml:space="preserve">worden </w:t>
      </w:r>
      <w:r w:rsidRPr="00962C08">
        <w:t>voorspel</w:t>
      </w:r>
      <w:r w:rsidR="006E4A6B">
        <w:t>d</w:t>
      </w:r>
      <w:r>
        <w:t xml:space="preserve"> </w:t>
      </w:r>
      <w:r w:rsidRPr="00962C08">
        <w:t xml:space="preserve">en op elkaar </w:t>
      </w:r>
      <w:r>
        <w:t>worden afgestemd met behulp van onder andere s</w:t>
      </w:r>
      <w:r w:rsidRPr="00602284">
        <w:t>limme meters,</w:t>
      </w:r>
      <w:r>
        <w:t xml:space="preserve"> </w:t>
      </w:r>
      <w:r w:rsidRPr="00602284">
        <w:t>sensoren</w:t>
      </w:r>
      <w:r>
        <w:t>,</w:t>
      </w:r>
      <w:r w:rsidRPr="00602284">
        <w:t xml:space="preserve"> </w:t>
      </w:r>
      <w:r w:rsidRPr="00454211">
        <w:t>artificial intelligence</w:t>
      </w:r>
      <w:r>
        <w:t xml:space="preserve">, slimme apparaten die met elkaar communiceren en </w:t>
      </w:r>
      <w:r w:rsidRPr="00602284">
        <w:t>automatische sturing</w:t>
      </w:r>
      <w:r>
        <w:t>.</w:t>
      </w:r>
    </w:p>
    <w:p w:rsidR="00B846E3" w:rsidP="00B846E3" w:rsidRDefault="00B846E3" w14:paraId="2A422A3D" w14:textId="77777777"/>
    <w:p w:rsidRPr="008431EF" w:rsidR="00B846E3" w:rsidP="00B846E3" w:rsidRDefault="00B846E3" w14:paraId="23E5DC56" w14:textId="77777777">
      <w:pPr>
        <w:rPr>
          <w:b/>
          <w:bCs/>
        </w:rPr>
      </w:pPr>
      <w:r>
        <w:rPr>
          <w:b/>
          <w:bCs/>
        </w:rPr>
        <w:t xml:space="preserve">Thema 3: </w:t>
      </w:r>
      <w:r w:rsidRPr="008431EF">
        <w:rPr>
          <w:b/>
          <w:bCs/>
        </w:rPr>
        <w:t>Goed toegeruste deelnemers</w:t>
      </w:r>
    </w:p>
    <w:p w:rsidR="00B846E3" w:rsidP="00B846E3" w:rsidRDefault="00B846E3" w14:paraId="444290A8" w14:textId="6202B690">
      <w:r>
        <w:t xml:space="preserve">Huishoudens, bedrijven en lokale initiatieven spelen een belangrijke rol in de energietransitie, </w:t>
      </w:r>
      <w:r w:rsidRPr="007A0E84">
        <w:t>digitale oplossingen ondersteunen hen daarbij</w:t>
      </w:r>
      <w:r>
        <w:t>. Energiegemeenschappen hebben energiemanagementsystemen en aangepaste IT-systemen nodig bij het leveren van energie en het afstemmen van vraag en aanbod</w:t>
      </w:r>
      <w:r w:rsidR="00155AC1">
        <w:t>.</w:t>
      </w:r>
      <w:r w:rsidRPr="01ACD10B">
        <w:rPr>
          <w:rStyle w:val="Voetnootmarkering"/>
        </w:rPr>
        <w:footnoteReference w:id="7"/>
      </w:r>
      <w:r>
        <w:t xml:space="preserve"> S</w:t>
      </w:r>
      <w:r w:rsidRPr="00215893">
        <w:t>limme apparaten</w:t>
      </w:r>
      <w:r>
        <w:t xml:space="preserve"> en applicaties</w:t>
      </w:r>
      <w:r w:rsidRPr="00215893">
        <w:t xml:space="preserve"> </w:t>
      </w:r>
      <w:r>
        <w:t>zoals Home Energy Management Systemen (HEMS)</w:t>
      </w:r>
      <w:r w:rsidRPr="00215893">
        <w:t xml:space="preserve"> kunnen huishoudens en bedrijven helpen </w:t>
      </w:r>
      <w:r>
        <w:t xml:space="preserve">om </w:t>
      </w:r>
      <w:r w:rsidRPr="004A1D4C">
        <w:t xml:space="preserve">automatisch rekening </w:t>
      </w:r>
      <w:r>
        <w:t xml:space="preserve">te </w:t>
      </w:r>
      <w:r w:rsidRPr="004A1D4C">
        <w:t xml:space="preserve">houden </w:t>
      </w:r>
      <w:r>
        <w:t xml:space="preserve">met de ruimte op het net en </w:t>
      </w:r>
      <w:r w:rsidRPr="004A1D4C">
        <w:t>goedkopere momenten</w:t>
      </w:r>
      <w:r>
        <w:t xml:space="preserve"> om energie op te wekken of te gebruiken</w:t>
      </w:r>
      <w:r w:rsidRPr="004A1D4C">
        <w:t>. Om dit technisch goed te laten werken</w:t>
      </w:r>
      <w:r>
        <w:t xml:space="preserve"> zijn</w:t>
      </w:r>
      <w:r w:rsidRPr="004A1D4C">
        <w:t xml:space="preserve"> </w:t>
      </w:r>
      <w:r w:rsidRPr="004A1D4C">
        <w:lastRenderedPageBreak/>
        <w:t>afspraken nodig over standaarden en communicatieprotocollen</w:t>
      </w:r>
      <w:r w:rsidR="00155AC1">
        <w:t>.</w:t>
      </w:r>
      <w:r w:rsidRPr="01ACD10B">
        <w:rPr>
          <w:rStyle w:val="Voetnootmarkering"/>
        </w:rPr>
        <w:footnoteReference w:id="8"/>
      </w:r>
      <w:r>
        <w:t xml:space="preserve"> Ook is het</w:t>
      </w:r>
      <w:r w:rsidRPr="00131D39">
        <w:t xml:space="preserve"> belangrijk dat</w:t>
      </w:r>
      <w:r>
        <w:t xml:space="preserve"> deze systemen, apparaten en applicaties aansluiten </w:t>
      </w:r>
      <w:r w:rsidRPr="00131D39">
        <w:t xml:space="preserve">op de </w:t>
      </w:r>
      <w:r>
        <w:t xml:space="preserve">digitale </w:t>
      </w:r>
      <w:r w:rsidRPr="00131D39">
        <w:t>vaardigheden</w:t>
      </w:r>
      <w:r>
        <w:t xml:space="preserve"> van</w:t>
      </w:r>
      <w:r w:rsidRPr="00131D39">
        <w:t xml:space="preserve"> </w:t>
      </w:r>
      <w:r>
        <w:t xml:space="preserve">de </w:t>
      </w:r>
      <w:r w:rsidRPr="00131D39">
        <w:t>gebruikers</w:t>
      </w:r>
      <w:r w:rsidR="003C7294">
        <w:t>. Gebruikers moeten bovendien</w:t>
      </w:r>
      <w:r w:rsidRPr="004F2872">
        <w:t xml:space="preserve"> controle houden over hun data en toegang tot energie hebben zonder dat hun privacy of andere rechten worden geschaad.</w:t>
      </w:r>
    </w:p>
    <w:p w:rsidR="00B846E3" w:rsidP="00B846E3" w:rsidRDefault="00B846E3" w14:paraId="6438AD72" w14:textId="77777777"/>
    <w:p w:rsidRPr="008431EF" w:rsidR="00B846E3" w:rsidP="00B846E3" w:rsidRDefault="00B846E3" w14:paraId="48B44676" w14:textId="77777777">
      <w:pPr>
        <w:rPr>
          <w:b/>
          <w:bCs/>
        </w:rPr>
      </w:pPr>
      <w:r>
        <w:rPr>
          <w:b/>
          <w:bCs/>
        </w:rPr>
        <w:t xml:space="preserve">Thema 4: </w:t>
      </w:r>
      <w:r w:rsidRPr="008431EF">
        <w:rPr>
          <w:b/>
          <w:bCs/>
        </w:rPr>
        <w:t>Geïntegreerd en weerbaar elektriciteitssysteem</w:t>
      </w:r>
    </w:p>
    <w:p w:rsidR="00B846E3" w:rsidP="00B846E3" w:rsidRDefault="00B846E3" w14:paraId="46FFF701" w14:textId="77777777">
      <w:r w:rsidRPr="004F30B9">
        <w:t xml:space="preserve">Het energiesysteem wordt steeds complexer en meer gedistribueerd. Dat vraagt om een verregaande integratie van alle onderdelen, zowel in het fysieke systeem als in de digitale laag. Een samenhangende digitale infrastructuur die inzicht biedt in de situatie, afhankelijkheden en afstemming tussen verschillende systeemniveaus, is daarbij cruciaal. Deze gecoördineerde aanpak over </w:t>
      </w:r>
      <w:r>
        <w:t>schaal</w:t>
      </w:r>
      <w:r w:rsidRPr="004F30B9">
        <w:t>niveaus en partijen heen draagt bij aan een betrouwbaar, veerkrachtig en financieel geoptimaliseerd energiesysteem.</w:t>
      </w:r>
    </w:p>
    <w:p w:rsidR="00B846E3" w:rsidP="00B846E3" w:rsidRDefault="00B846E3" w14:paraId="6044A42C" w14:textId="77777777"/>
    <w:p w:rsidR="00B846E3" w:rsidP="00B846E3" w:rsidRDefault="003D068A" w14:paraId="64B3CEE8" w14:textId="305A5978">
      <w:r>
        <w:t>Digitalisering</w:t>
      </w:r>
      <w:r w:rsidR="00B846E3">
        <w:t xml:space="preserve"> brengt </w:t>
      </w:r>
      <w:r>
        <w:t>naast kansen ook nieuwe</w:t>
      </w:r>
      <w:r w:rsidR="00B846E3">
        <w:t xml:space="preserve"> uitdagingen. Cyber</w:t>
      </w:r>
      <w:r>
        <w:t xml:space="preserve">- en fysieke </w:t>
      </w:r>
      <w:r w:rsidR="00B846E3">
        <w:t xml:space="preserve">weerbaarheid is essentieel voor een veilige en betrouwbare energievoorziening. Dat betekent </w:t>
      </w:r>
      <w:r>
        <w:t xml:space="preserve">weerbaarheid </w:t>
      </w:r>
      <w:r w:rsidR="00B846E3">
        <w:t xml:space="preserve">tegen </w:t>
      </w:r>
      <w:r>
        <w:t xml:space="preserve">natuurlijke en niet natuurlijke dreigingen </w:t>
      </w:r>
      <w:r w:rsidR="00B846E3">
        <w:t xml:space="preserve">én veerkracht bij </w:t>
      </w:r>
      <w:r>
        <w:t>verstoringen</w:t>
      </w:r>
      <w:r w:rsidR="00B846E3">
        <w:t xml:space="preserve">. </w:t>
      </w:r>
      <w:r w:rsidRPr="00F076AD" w:rsidR="00B846E3">
        <w:t>Tegelijk is het belangrijk om ongewenste afhankelijkheden te voorkomen, bijvoorbeeld van buitenlandse clouddiensten of dominante tech</w:t>
      </w:r>
      <w:r w:rsidR="00B846E3">
        <w:t>-</w:t>
      </w:r>
      <w:r w:rsidRPr="00F076AD" w:rsidR="00B846E3">
        <w:t>bedrijven.</w:t>
      </w:r>
      <w:r w:rsidR="00B846E3">
        <w:t xml:space="preserve"> </w:t>
      </w:r>
    </w:p>
    <w:p w:rsidR="00B846E3" w:rsidP="00B846E3" w:rsidRDefault="00B846E3" w14:paraId="7B1F5302" w14:textId="77777777"/>
    <w:p w:rsidRPr="008431EF" w:rsidR="00B846E3" w:rsidP="00B846E3" w:rsidRDefault="00B846E3" w14:paraId="6115898C" w14:textId="77777777">
      <w:pPr>
        <w:rPr>
          <w:b/>
          <w:bCs/>
        </w:rPr>
      </w:pPr>
      <w:r>
        <w:rPr>
          <w:b/>
          <w:bCs/>
        </w:rPr>
        <w:t xml:space="preserve">Thema 5: </w:t>
      </w:r>
      <w:r w:rsidRPr="008431EF">
        <w:rPr>
          <w:b/>
          <w:bCs/>
        </w:rPr>
        <w:t>Planning, aanleg en monitoring van het elektriciteitssysteem</w:t>
      </w:r>
    </w:p>
    <w:p w:rsidR="00B846E3" w:rsidP="00B846E3" w:rsidRDefault="00B846E3" w14:paraId="124AB5F3" w14:textId="73C11BDA">
      <w:r>
        <w:t>Het</w:t>
      </w:r>
      <w:r w:rsidRPr="00E858FD">
        <w:t xml:space="preserve"> gebruik van digitale technologie ondersteunt de planning, aanleg en monitoring van het elektriciteitssysteem door inzicht te bieden in ruimtelijke en systeemafhankelijke keuzes. </w:t>
      </w:r>
      <w:r>
        <w:t>Digitalisering is nodig van het ontwerp van het decentrale energiesysteem</w:t>
      </w:r>
      <w:r w:rsidR="00155AC1">
        <w:t>.</w:t>
      </w:r>
      <w:r>
        <w:rPr>
          <w:rStyle w:val="Voetnootmarkering"/>
        </w:rPr>
        <w:footnoteReference w:id="9"/>
      </w:r>
      <w:r>
        <w:t xml:space="preserve"> </w:t>
      </w:r>
      <w:r w:rsidR="00155AC1">
        <w:t>I</w:t>
      </w:r>
      <w:r w:rsidRPr="00E858FD">
        <w:t xml:space="preserve">nstrumenten zoals planningsmodellen, visualisatietools en digital twins helpen energie- en ruimtelijke plannen beter op elkaar af te stemmen. Digitale oplossingen </w:t>
      </w:r>
      <w:r>
        <w:t xml:space="preserve">zoals dataplatforms, analyse- en monitoringstools </w:t>
      </w:r>
      <w:r w:rsidRPr="00E858FD">
        <w:t xml:space="preserve">maken het mogelijk om beleids­effecten en projectvoortgang te volgen en tijdig bij te sturen. </w:t>
      </w:r>
      <w:r>
        <w:t>Di</w:t>
      </w:r>
      <w:r w:rsidR="003C7294">
        <w:t>gitalisering</w:t>
      </w:r>
      <w:r>
        <w:t xml:space="preserve"> kan</w:t>
      </w:r>
      <w:r w:rsidRPr="00E858FD">
        <w:t xml:space="preserve"> aanlegprocessen</w:t>
      </w:r>
      <w:r>
        <w:t xml:space="preserve"> versnellen en</w:t>
      </w:r>
      <w:r w:rsidRPr="00E858FD">
        <w:t xml:space="preserve"> ontwerp en onderhoud</w:t>
      </w:r>
      <w:r>
        <w:t xml:space="preserve"> verbeteren. </w:t>
      </w:r>
      <w:r w:rsidRPr="00D4714B">
        <w:t xml:space="preserve">Om deze instrumenten </w:t>
      </w:r>
      <w:r>
        <w:t xml:space="preserve">en tools </w:t>
      </w:r>
      <w:r w:rsidRPr="00D4714B">
        <w:t>effectief te laten werken, is een goed georganiseerde en toegankelijke datavoorziening essentieel.</w:t>
      </w:r>
      <w:r>
        <w:t xml:space="preserve"> </w:t>
      </w:r>
    </w:p>
    <w:p w:rsidR="00B846E3" w:rsidP="00B846E3" w:rsidRDefault="00B846E3" w14:paraId="50069BB6" w14:textId="77777777"/>
    <w:p w:rsidR="00B846E3" w:rsidP="00B846E3" w:rsidRDefault="00B846E3" w14:paraId="5732E8F1" w14:textId="77777777">
      <w:pPr>
        <w:rPr>
          <w:b/>
          <w:bCs/>
        </w:rPr>
      </w:pPr>
      <w:r w:rsidRPr="4065EC37">
        <w:rPr>
          <w:b/>
          <w:bCs/>
        </w:rPr>
        <w:t>Verantwoordelijkheid van het kabinet</w:t>
      </w:r>
      <w:r>
        <w:rPr>
          <w:b/>
          <w:bCs/>
        </w:rPr>
        <w:t xml:space="preserve"> </w:t>
      </w:r>
    </w:p>
    <w:p w:rsidR="00B846E3" w:rsidP="00B846E3" w:rsidRDefault="00B846E3" w14:paraId="571F5232" w14:textId="254F92A1">
      <w:pPr>
        <w:rPr>
          <w:szCs w:val="18"/>
        </w:rPr>
      </w:pPr>
      <w:r w:rsidRPr="00B846E3">
        <w:rPr>
          <w:rFonts w:eastAsia="Aptos" w:cs="Aptos"/>
          <w:szCs w:val="18"/>
        </w:rPr>
        <w:t>In de Nederlandse Digitaliseringsstrategie</w:t>
      </w:r>
      <w:r w:rsidR="00FD551A">
        <w:rPr>
          <w:rFonts w:eastAsia="Aptos" w:cs="Aptos"/>
          <w:szCs w:val="18"/>
        </w:rPr>
        <w:t xml:space="preserve"> (NDS)</w:t>
      </w:r>
      <w:r w:rsidRPr="00B846E3">
        <w:rPr>
          <w:rFonts w:eastAsia="Aptos" w:cs="Aptos"/>
          <w:szCs w:val="18"/>
        </w:rPr>
        <w:t xml:space="preserve"> geven we aan dat Nederland de kansen die digitalisering biedt moet pakken. Met het opstellen van deze actieagenda geeft het kabinet </w:t>
      </w:r>
      <w:r w:rsidRPr="005572E6" w:rsidR="005572E6">
        <w:rPr>
          <w:rFonts w:eastAsia="Aptos" w:cs="Aptos"/>
          <w:szCs w:val="18"/>
        </w:rPr>
        <w:t xml:space="preserve">in lijn met de </w:t>
      </w:r>
      <w:r w:rsidR="00FD551A">
        <w:rPr>
          <w:rFonts w:eastAsia="Aptos" w:cs="Aptos"/>
          <w:szCs w:val="18"/>
        </w:rPr>
        <w:t>NDS</w:t>
      </w:r>
      <w:r w:rsidRPr="005572E6" w:rsidR="005572E6">
        <w:rPr>
          <w:rFonts w:eastAsia="Aptos" w:cs="Aptos"/>
          <w:szCs w:val="18"/>
        </w:rPr>
        <w:t xml:space="preserve"> aan hoe </w:t>
      </w:r>
      <w:r w:rsidRPr="00B846E3">
        <w:rPr>
          <w:rFonts w:eastAsia="Aptos" w:cs="Aptos"/>
          <w:szCs w:val="18"/>
        </w:rPr>
        <w:t>hier in het energiedomein</w:t>
      </w:r>
      <w:r w:rsidR="005572E6">
        <w:rPr>
          <w:rFonts w:eastAsia="Aptos" w:cs="Aptos"/>
          <w:szCs w:val="18"/>
        </w:rPr>
        <w:t xml:space="preserve"> </w:t>
      </w:r>
      <w:r w:rsidRPr="005572E6" w:rsidR="005572E6">
        <w:rPr>
          <w:rFonts w:eastAsia="Aptos" w:cs="Aptos"/>
          <w:szCs w:val="18"/>
        </w:rPr>
        <w:t>aan wordt gewerkt</w:t>
      </w:r>
      <w:r w:rsidRPr="00B846E3">
        <w:rPr>
          <w:rFonts w:eastAsia="Aptos" w:cs="Aptos"/>
          <w:szCs w:val="18"/>
        </w:rPr>
        <w:t xml:space="preserve">. Het kabinet neemt </w:t>
      </w:r>
      <w:r w:rsidRPr="00B846E3">
        <w:rPr>
          <w:szCs w:val="18"/>
        </w:rPr>
        <w:t>de verantwoordelijkheid voor het beleid op de digitalisering van het energiesysteem en stelt randvoorwaarden op die dit mogelijk maken</w:t>
      </w:r>
      <w:r w:rsidR="00155AC1">
        <w:rPr>
          <w:szCs w:val="18"/>
        </w:rPr>
        <w:t>.</w:t>
      </w:r>
      <w:r w:rsidRPr="00B846E3">
        <w:rPr>
          <w:rStyle w:val="Voetnootmarkering"/>
          <w:szCs w:val="18"/>
        </w:rPr>
        <w:footnoteReference w:id="10"/>
      </w:r>
      <w:r w:rsidRPr="00B846E3">
        <w:rPr>
          <w:szCs w:val="18"/>
        </w:rPr>
        <w:t xml:space="preserve"> </w:t>
      </w:r>
    </w:p>
    <w:p w:rsidRPr="00B846E3" w:rsidR="00B846E3" w:rsidP="00B846E3" w:rsidRDefault="00B846E3" w14:paraId="49B08978" w14:textId="77777777">
      <w:pPr>
        <w:rPr>
          <w:szCs w:val="18"/>
        </w:rPr>
      </w:pPr>
    </w:p>
    <w:p w:rsidR="00B846E3" w:rsidP="00B846E3" w:rsidRDefault="00B846E3" w14:paraId="67A13089" w14:textId="4A8022EF">
      <w:r>
        <w:t>Er ligt ook een verantwoordelijk</w:t>
      </w:r>
      <w:r w:rsidR="00B956C2">
        <w:t>heid</w:t>
      </w:r>
      <w:r>
        <w:t xml:space="preserve"> bij het kabinet bij de uitvoering van de individuele acties</w:t>
      </w:r>
      <w:r w:rsidR="00155AC1">
        <w:t>.</w:t>
      </w:r>
      <w:r>
        <w:rPr>
          <w:rStyle w:val="Voetnootmarkering"/>
        </w:rPr>
        <w:footnoteReference w:id="11"/>
      </w:r>
      <w:r>
        <w:t xml:space="preserve"> Deze verantwoordelijkheid ligt met </w:t>
      </w:r>
      <w:r w:rsidR="00F86755">
        <w:t xml:space="preserve">name </w:t>
      </w:r>
      <w:r>
        <w:t>bij het Ministerie van Klimaat en Groene Groei, maar ook het M</w:t>
      </w:r>
      <w:r w:rsidRPr="003A1B1C">
        <w:t>inisterie</w:t>
      </w:r>
      <w:r>
        <w:t xml:space="preserve"> </w:t>
      </w:r>
      <w:r w:rsidRPr="003A1B1C">
        <w:t xml:space="preserve">van </w:t>
      </w:r>
      <w:r>
        <w:t xml:space="preserve">Volkshuisvesting en </w:t>
      </w:r>
      <w:r>
        <w:lastRenderedPageBreak/>
        <w:t>Ruimtelijke Ordening en het Ministerie van Economische Zaken hebben een rol in de uitvoering van acties.</w:t>
      </w:r>
    </w:p>
    <w:p w:rsidR="00B846E3" w:rsidP="00B846E3" w:rsidRDefault="00B846E3" w14:paraId="461CB644" w14:textId="77777777"/>
    <w:p w:rsidR="00B846E3" w:rsidP="00B846E3" w:rsidRDefault="00B846E3" w14:paraId="2DCFF8F3" w14:textId="77777777">
      <w:r w:rsidRPr="5CE90AC4">
        <w:rPr>
          <w:b/>
          <w:bCs/>
        </w:rPr>
        <w:t>Vervolg</w:t>
      </w:r>
    </w:p>
    <w:p w:rsidR="00B846E3" w:rsidP="00B846E3" w:rsidRDefault="00B846E3" w14:paraId="1E8E3B73" w14:textId="17D13E1D">
      <w:r>
        <w:t xml:space="preserve">Deze actieagenda is het begin van een verdere samenwerking met de betrokken partners in de digitalisering van het energiesysteem. De </w:t>
      </w:r>
      <w:r w:rsidR="003C7294">
        <w:t>actie</w:t>
      </w:r>
      <w:r>
        <w:t xml:space="preserve">agenda wordt de komende jaren uitgevoerd en verder doorontwikkeld. De scope wordt de komende jaren verbreed naar de andere ketens van het energiesysteem. </w:t>
      </w:r>
    </w:p>
    <w:p w:rsidR="00B846E3" w:rsidP="00B846E3" w:rsidRDefault="00B846E3" w14:paraId="518B74F5" w14:textId="2392BE2C">
      <w:r>
        <w:t xml:space="preserve">Aangezien de ontwikkelingen, met name in het digitale domein, elkaar razendsnel opvolgen is het noodzakelijk dat de uitvoering van de agenda centraal gecoördineerd wordt. Dit gaat </w:t>
      </w:r>
      <w:r w:rsidR="00BF0C89">
        <w:t xml:space="preserve">het programma Digitalisering van </w:t>
      </w:r>
      <w:r>
        <w:t xml:space="preserve">de Topsector Energie oppakken. Naar verwachting zal de ADE herijkt worden als er een nieuw NPE is in 2028, hierover wordt de kamer uiteraard geïnformeerd. </w:t>
      </w:r>
    </w:p>
    <w:p w:rsidR="00D22441" w:rsidP="00810C93" w:rsidRDefault="00D22441" w14:paraId="6B38748C" w14:textId="77777777"/>
    <w:p w:rsidR="00D22441" w:rsidP="00810C93" w:rsidRDefault="00D22441" w14:paraId="6FDC0163" w14:textId="77777777"/>
    <w:p w:rsidR="00D22441" w:rsidP="00810C93" w:rsidRDefault="00D22441" w14:paraId="662E2DC5" w14:textId="77777777"/>
    <w:p w:rsidR="008D037C" w:rsidP="00810C93" w:rsidRDefault="008D037C" w14:paraId="78A8E555" w14:textId="77777777"/>
    <w:p w:rsidR="008D037C" w:rsidP="00810C93" w:rsidRDefault="008D037C" w14:paraId="2F6B45F8" w14:textId="77777777"/>
    <w:p w:rsidR="00D22441" w:rsidP="00810C93" w:rsidRDefault="008E16A7" w14:paraId="149ED3AF" w14:textId="77777777">
      <w:pPr>
        <w:rPr>
          <w:szCs w:val="18"/>
        </w:rPr>
      </w:pPr>
      <w:r w:rsidRPr="005461DA">
        <w:rPr>
          <w:szCs w:val="18"/>
        </w:rPr>
        <w:t>Sophie Hermans</w:t>
      </w:r>
    </w:p>
    <w:p w:rsidRPr="005461DA" w:rsidR="004E505E" w:rsidP="00524FB4" w:rsidRDefault="008E16A7" w14:paraId="2C2B9061" w14:textId="77777777">
      <w:pPr>
        <w:rPr>
          <w:szCs w:val="18"/>
        </w:rPr>
      </w:pPr>
      <w:r>
        <w:rPr>
          <w:szCs w:val="18"/>
        </w:rPr>
        <w:t>Minister van Klimaat en Groene Groei</w:t>
      </w:r>
    </w:p>
    <w:p w:rsidR="00BC222D" w:rsidP="00810C93" w:rsidRDefault="00BC222D" w14:paraId="1E4EAEBC" w14:textId="77777777"/>
    <w:p w:rsidR="00BC222D" w:rsidP="00810C93" w:rsidRDefault="00BC222D" w14:paraId="4B921F70" w14:textId="77777777"/>
    <w:p w:rsidR="00BC222D" w:rsidP="00810C93" w:rsidRDefault="00BC222D" w14:paraId="3FCCEDEB" w14:textId="77777777"/>
    <w:p w:rsidR="00BC222D" w:rsidP="00810C93" w:rsidRDefault="00BC222D" w14:paraId="33D02F3B" w14:textId="77777777"/>
    <w:p w:rsidR="00BC222D" w:rsidP="00810C93" w:rsidRDefault="00BC222D" w14:paraId="54B0C2A0" w14:textId="77777777"/>
    <w:p w:rsidR="00BC222D" w:rsidP="00810C93" w:rsidRDefault="00BC222D" w14:paraId="1C2745F3" w14:textId="77777777"/>
    <w:p w:rsidR="00BC222D" w:rsidP="00810C93" w:rsidRDefault="00BC222D" w14:paraId="29B33C3E" w14:textId="77777777"/>
    <w:p w:rsidR="00BC222D" w:rsidP="00810C93" w:rsidRDefault="00BC222D" w14:paraId="5C1ADC81" w14:textId="77777777"/>
    <w:p w:rsidR="00BC222D" w:rsidP="00810C93" w:rsidRDefault="00BC222D" w14:paraId="0D8A33BB" w14:textId="77777777"/>
    <w:p w:rsidR="00BC222D" w:rsidP="00810C93" w:rsidRDefault="00BC222D" w14:paraId="09EF51DF" w14:textId="77777777"/>
    <w:p w:rsidR="00BC222D" w:rsidP="00810C93" w:rsidRDefault="00BC222D" w14:paraId="3D248FAF" w14:textId="77777777"/>
    <w:p w:rsidR="00BC222D" w:rsidP="00810C93" w:rsidRDefault="00BC222D" w14:paraId="3EA904D7" w14:textId="77777777"/>
    <w:p w:rsidR="00BC222D" w:rsidP="00810C93" w:rsidRDefault="00BC222D" w14:paraId="752B84E4" w14:textId="77777777"/>
    <w:p w:rsidR="00BC222D" w:rsidP="00810C93" w:rsidRDefault="00BC222D" w14:paraId="21962866"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0655" w14:textId="77777777" w:rsidR="00285F97" w:rsidRDefault="00285F97">
      <w:r>
        <w:separator/>
      </w:r>
    </w:p>
    <w:p w14:paraId="0721DD60" w14:textId="77777777" w:rsidR="00285F97" w:rsidRDefault="00285F97"/>
  </w:endnote>
  <w:endnote w:type="continuationSeparator" w:id="0">
    <w:p w14:paraId="7359EF5E" w14:textId="77777777" w:rsidR="00285F97" w:rsidRDefault="00285F97">
      <w:r>
        <w:continuationSeparator/>
      </w:r>
    </w:p>
    <w:p w14:paraId="5C40E5E7" w14:textId="77777777" w:rsidR="00285F97" w:rsidRDefault="00285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BE7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F2781" w14:paraId="4FFC1C65" w14:textId="77777777" w:rsidTr="00CA6A25">
      <w:trPr>
        <w:trHeight w:hRule="exact" w:val="240"/>
      </w:trPr>
      <w:tc>
        <w:tcPr>
          <w:tcW w:w="7601" w:type="dxa"/>
        </w:tcPr>
        <w:p w14:paraId="3DAE27EF" w14:textId="77777777" w:rsidR="00527BD4" w:rsidRDefault="00527BD4" w:rsidP="003F1F6B">
          <w:pPr>
            <w:pStyle w:val="Huisstijl-Rubricering"/>
          </w:pPr>
        </w:p>
      </w:tc>
      <w:tc>
        <w:tcPr>
          <w:tcW w:w="2156" w:type="dxa"/>
        </w:tcPr>
        <w:p w14:paraId="5D3EDEF4" w14:textId="69EE9B34" w:rsidR="00527BD4" w:rsidRPr="00645414" w:rsidRDefault="008E16A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B5ED6">
            <w:t>4</w:t>
          </w:r>
          <w:r w:rsidR="00BC222D">
            <w:fldChar w:fldCharType="end"/>
          </w:r>
        </w:p>
      </w:tc>
    </w:tr>
  </w:tbl>
  <w:p w14:paraId="15DA1B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F2781" w14:paraId="2195FEBA" w14:textId="77777777" w:rsidTr="00CA6A25">
      <w:trPr>
        <w:trHeight w:hRule="exact" w:val="240"/>
      </w:trPr>
      <w:tc>
        <w:tcPr>
          <w:tcW w:w="7601" w:type="dxa"/>
        </w:tcPr>
        <w:p w14:paraId="3015D4D4" w14:textId="77777777" w:rsidR="00527BD4" w:rsidRDefault="00527BD4" w:rsidP="008C356D">
          <w:pPr>
            <w:pStyle w:val="Huisstijl-Rubricering"/>
          </w:pPr>
        </w:p>
      </w:tc>
      <w:tc>
        <w:tcPr>
          <w:tcW w:w="2170" w:type="dxa"/>
        </w:tcPr>
        <w:p w14:paraId="50928F73" w14:textId="578AEA6B" w:rsidR="00527BD4" w:rsidRPr="00ED539E" w:rsidRDefault="008E16A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8B5ED6">
            <w:t>4</w:t>
          </w:r>
          <w:r w:rsidR="00BC3A1B">
            <w:fldChar w:fldCharType="end"/>
          </w:r>
        </w:p>
      </w:tc>
    </w:tr>
  </w:tbl>
  <w:p w14:paraId="1259F825" w14:textId="77777777" w:rsidR="00527BD4" w:rsidRPr="00BC3B53" w:rsidRDefault="00527BD4" w:rsidP="008C356D">
    <w:pPr>
      <w:pStyle w:val="Voettekst"/>
      <w:spacing w:line="240" w:lineRule="auto"/>
      <w:rPr>
        <w:sz w:val="2"/>
        <w:szCs w:val="2"/>
      </w:rPr>
    </w:pPr>
  </w:p>
  <w:p w14:paraId="20915D5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5616" w14:textId="77777777" w:rsidR="00285F97" w:rsidRDefault="00285F97">
      <w:r>
        <w:separator/>
      </w:r>
    </w:p>
    <w:p w14:paraId="14EE840E" w14:textId="77777777" w:rsidR="00285F97" w:rsidRDefault="00285F97"/>
  </w:footnote>
  <w:footnote w:type="continuationSeparator" w:id="0">
    <w:p w14:paraId="23E8ECF8" w14:textId="77777777" w:rsidR="00285F97" w:rsidRDefault="00285F97">
      <w:r>
        <w:continuationSeparator/>
      </w:r>
    </w:p>
    <w:p w14:paraId="39D7B7D7" w14:textId="77777777" w:rsidR="00285F97" w:rsidRDefault="00285F97"/>
  </w:footnote>
  <w:footnote w:id="1">
    <w:p w14:paraId="2E1EB6E5" w14:textId="77777777" w:rsidR="00B846E3" w:rsidRDefault="00B846E3" w:rsidP="00B846E3">
      <w:pPr>
        <w:pStyle w:val="Voetnoottekst"/>
      </w:pPr>
      <w:r>
        <w:rPr>
          <w:rStyle w:val="Voetnootmarkering"/>
        </w:rPr>
        <w:footnoteRef/>
      </w:r>
      <w:r>
        <w:t xml:space="preserve"> Kamerstukken II 2023/24, </w:t>
      </w:r>
      <w:r w:rsidRPr="00A2460B">
        <w:t>32813</w:t>
      </w:r>
      <w:r>
        <w:t xml:space="preserve"> nr. </w:t>
      </w:r>
      <w:r w:rsidRPr="00A2460B">
        <w:t>1319</w:t>
      </w:r>
      <w:r>
        <w:t xml:space="preserve"> </w:t>
      </w:r>
    </w:p>
  </w:footnote>
  <w:footnote w:id="2">
    <w:p w14:paraId="7223E1EB" w14:textId="32DFB1E1" w:rsidR="003D068A" w:rsidRDefault="003D068A">
      <w:pPr>
        <w:pStyle w:val="Voetnoottekst"/>
      </w:pPr>
      <w:r>
        <w:rPr>
          <w:rStyle w:val="Voetnootmarkering"/>
        </w:rPr>
        <w:footnoteRef/>
      </w:r>
      <w:r>
        <w:t xml:space="preserve"> </w:t>
      </w:r>
      <w:r w:rsidRPr="003D068A">
        <w:t>Kamerstukken II 2024/25, 2025Z20030</w:t>
      </w:r>
    </w:p>
  </w:footnote>
  <w:footnote w:id="3">
    <w:p w14:paraId="62BA4FB6" w14:textId="77777777" w:rsidR="00B846E3" w:rsidRDefault="00B846E3" w:rsidP="00B846E3">
      <w:pPr>
        <w:pStyle w:val="Voetnoottekst"/>
        <w:rPr>
          <w:rFonts w:ascii="Aptos" w:eastAsia="Aptos" w:hAnsi="Aptos" w:cs="Aptos"/>
        </w:rPr>
      </w:pPr>
      <w:r w:rsidRPr="5134D417">
        <w:rPr>
          <w:rStyle w:val="Voetnootmarkering"/>
        </w:rPr>
        <w:footnoteRef/>
      </w:r>
      <w:r>
        <w:t xml:space="preserve"> Zie bijlage 1 in de ADE voor een overzicht van de betrokken partijen</w:t>
      </w:r>
    </w:p>
  </w:footnote>
  <w:footnote w:id="4">
    <w:p w14:paraId="2090E89D" w14:textId="5194D536" w:rsidR="00B846E3" w:rsidRDefault="00B846E3" w:rsidP="00B846E3">
      <w:pPr>
        <w:pStyle w:val="Voetnoottekst"/>
      </w:pPr>
      <w:r w:rsidRPr="005C5CAF">
        <w:rPr>
          <w:rStyle w:val="Voetnootmarkering"/>
        </w:rPr>
        <w:footnoteRef/>
      </w:r>
      <w:r w:rsidRPr="005C5CAF">
        <w:t xml:space="preserve"> Deze</w:t>
      </w:r>
      <w:r>
        <w:t xml:space="preserve"> versie van de</w:t>
      </w:r>
      <w:r w:rsidRPr="005C5CAF">
        <w:t xml:space="preserve"> actieagenda richt op het elektriciteitssysteem. Deze afbakening is een praktische keuze om relatief snel tot een eerste agenda te komen</w:t>
      </w:r>
      <w:r w:rsidR="006E4A6B">
        <w:t xml:space="preserve"> en gegeven de centrale rol van het elektriciteitssysteem in de energietransitie</w:t>
      </w:r>
      <w:r w:rsidRPr="005C5CAF">
        <w:t xml:space="preserve">. </w:t>
      </w:r>
    </w:p>
  </w:footnote>
  <w:footnote w:id="5">
    <w:p w14:paraId="72388D4C" w14:textId="77777777" w:rsidR="00B846E3" w:rsidRDefault="00B846E3" w:rsidP="00B846E3">
      <w:pPr>
        <w:pStyle w:val="Voetnoottekst"/>
      </w:pPr>
      <w:r>
        <w:rPr>
          <w:rStyle w:val="Voetnootmarkering"/>
        </w:rPr>
        <w:footnoteRef/>
      </w:r>
      <w:r>
        <w:t xml:space="preserve"> Kamerstukken II 2025/26, </w:t>
      </w:r>
      <w:r w:rsidRPr="00936928">
        <w:t>29023</w:t>
      </w:r>
      <w:r>
        <w:t xml:space="preserve"> nr. 597</w:t>
      </w:r>
    </w:p>
  </w:footnote>
  <w:footnote w:id="6">
    <w:p w14:paraId="7E919AA3" w14:textId="77777777" w:rsidR="00B846E3" w:rsidRDefault="00B846E3" w:rsidP="00B846E3">
      <w:pPr>
        <w:pStyle w:val="Voetnoottekst"/>
      </w:pPr>
      <w:r>
        <w:rPr>
          <w:rStyle w:val="Voetnootmarkering"/>
        </w:rPr>
        <w:footnoteRef/>
      </w:r>
      <w:r>
        <w:t xml:space="preserve"> </w:t>
      </w:r>
      <w:r w:rsidRPr="00EF4B6C">
        <w:t xml:space="preserve">Kamerstukken II 2025/26, 29023 nr. </w:t>
      </w:r>
      <w:r>
        <w:t>553</w:t>
      </w:r>
    </w:p>
  </w:footnote>
  <w:footnote w:id="7">
    <w:p w14:paraId="32E64D23" w14:textId="77777777" w:rsidR="00B846E3" w:rsidRDefault="00B846E3" w:rsidP="00B846E3">
      <w:pPr>
        <w:pStyle w:val="Voetnoottekst"/>
      </w:pPr>
      <w:r w:rsidRPr="01ACD10B">
        <w:rPr>
          <w:rStyle w:val="Voetnootmarkering"/>
        </w:rPr>
        <w:footnoteRef/>
      </w:r>
      <w:r>
        <w:t xml:space="preserve"> Kamerstukken II 2025/26, 30196 nr. 854</w:t>
      </w:r>
    </w:p>
  </w:footnote>
  <w:footnote w:id="8">
    <w:p w14:paraId="4829FD2C" w14:textId="77777777" w:rsidR="00B846E3" w:rsidRDefault="00B846E3" w:rsidP="00B846E3">
      <w:pPr>
        <w:pStyle w:val="Voetnoottekst"/>
      </w:pPr>
      <w:r w:rsidRPr="01ACD10B">
        <w:rPr>
          <w:rStyle w:val="Voetnootmarkering"/>
        </w:rPr>
        <w:footnoteRef/>
      </w:r>
      <w:r>
        <w:t xml:space="preserve"> In opdracht van het Ministerie van Klimaat en Groene Groei starten in november 2025 bij het NEN (</w:t>
      </w:r>
      <w:r w:rsidRPr="00920CCB">
        <w:t>Stichting Koninklijk Nederlands Normalisatie Instituu</w:t>
      </w:r>
      <w:r>
        <w:t>t) drie trajecten om te komen tot</w:t>
      </w:r>
      <w:r w:rsidRPr="000514E0">
        <w:t xml:space="preserve"> </w:t>
      </w:r>
      <w:r>
        <w:t>t</w:t>
      </w:r>
      <w:r w:rsidRPr="000514E0">
        <w:t xml:space="preserve">echnische </w:t>
      </w:r>
      <w:r>
        <w:t>a</w:t>
      </w:r>
      <w:r w:rsidRPr="000514E0">
        <w:t>fspraken</w:t>
      </w:r>
      <w:r>
        <w:t xml:space="preserve"> voor slimme apparaten.</w:t>
      </w:r>
    </w:p>
  </w:footnote>
  <w:footnote w:id="9">
    <w:p w14:paraId="0DE26970" w14:textId="77777777" w:rsidR="00B846E3" w:rsidRDefault="00B846E3" w:rsidP="00B846E3">
      <w:pPr>
        <w:pStyle w:val="Voetnoottekst"/>
      </w:pPr>
      <w:r>
        <w:rPr>
          <w:rStyle w:val="Voetnootmarkering"/>
        </w:rPr>
        <w:footnoteRef/>
      </w:r>
      <w:r>
        <w:t xml:space="preserve"> Kamerstukken II 2025/26, </w:t>
      </w:r>
      <w:r w:rsidRPr="002762B9">
        <w:t>29023</w:t>
      </w:r>
      <w:r>
        <w:t xml:space="preserve"> nr. </w:t>
      </w:r>
      <w:r w:rsidRPr="002762B9">
        <w:t>587</w:t>
      </w:r>
    </w:p>
  </w:footnote>
  <w:footnote w:id="10">
    <w:p w14:paraId="41F3A91B" w14:textId="105CE081" w:rsidR="00B846E3" w:rsidRDefault="00B846E3" w:rsidP="00B846E3">
      <w:pPr>
        <w:pStyle w:val="Voetnoottekst"/>
      </w:pPr>
      <w:r w:rsidRPr="5CE90AC4">
        <w:rPr>
          <w:rStyle w:val="Voetnootmarkering"/>
        </w:rPr>
        <w:footnoteRef/>
      </w:r>
      <w:r>
        <w:t xml:space="preserve"> De opgave om de digitale sector (datacenters, etc.) te verduurzamen komt terug in het Actieprogramma Duurzame Digitalisering en is daarmee geen onderdeel van ADE</w:t>
      </w:r>
      <w:r w:rsidR="008E16A7">
        <w:t>.</w:t>
      </w:r>
    </w:p>
  </w:footnote>
  <w:footnote w:id="11">
    <w:p w14:paraId="3BAB4C39" w14:textId="77777777" w:rsidR="00B846E3" w:rsidRDefault="00B846E3" w:rsidP="00B846E3">
      <w:pPr>
        <w:pStyle w:val="Voetnoottekst"/>
      </w:pPr>
      <w:r>
        <w:rPr>
          <w:rStyle w:val="Voetnootmarkering"/>
        </w:rPr>
        <w:footnoteRef/>
      </w:r>
      <w:r>
        <w:t xml:space="preserve"> Het Ministerie van Klimaat en Groene Groei is bijvoorbeeld de actiehouder van </w:t>
      </w:r>
      <w:r w:rsidRPr="000B4B51">
        <w:rPr>
          <w:i/>
          <w:iCs/>
        </w:rPr>
        <w:t>Actie 1.2.1 Ontwerpen en inrichten van het ecosysteem voor energiedata en informatie</w:t>
      </w:r>
      <w:r w:rsidRPr="000B4B5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F2781" w14:paraId="5DA141BF" w14:textId="77777777" w:rsidTr="00A50CF6">
      <w:tc>
        <w:tcPr>
          <w:tcW w:w="2156" w:type="dxa"/>
        </w:tcPr>
        <w:p w14:paraId="07C64DBF" w14:textId="77777777" w:rsidR="00527BD4" w:rsidRPr="005819CE" w:rsidRDefault="008E16A7" w:rsidP="00A50CF6">
          <w:pPr>
            <w:pStyle w:val="Huisstijl-Adres"/>
            <w:rPr>
              <w:b/>
            </w:rPr>
          </w:pPr>
          <w:r>
            <w:rPr>
              <w:b/>
            </w:rPr>
            <w:t>Directoraat-generaal Klimaat en Energie</w:t>
          </w:r>
          <w:r w:rsidRPr="005819CE">
            <w:rPr>
              <w:b/>
            </w:rPr>
            <w:br/>
          </w:r>
          <w:r>
            <w:t>Directie Strategie Energiesysteem</w:t>
          </w:r>
        </w:p>
      </w:tc>
    </w:tr>
    <w:tr w:rsidR="001F2781" w14:paraId="323C6F28" w14:textId="77777777" w:rsidTr="00A50CF6">
      <w:trPr>
        <w:trHeight w:hRule="exact" w:val="200"/>
      </w:trPr>
      <w:tc>
        <w:tcPr>
          <w:tcW w:w="2156" w:type="dxa"/>
        </w:tcPr>
        <w:p w14:paraId="0E64206B" w14:textId="77777777" w:rsidR="00527BD4" w:rsidRPr="005819CE" w:rsidRDefault="00527BD4" w:rsidP="00A50CF6"/>
      </w:tc>
    </w:tr>
    <w:tr w:rsidR="001F2781" w14:paraId="7C16ABF9" w14:textId="77777777" w:rsidTr="00502512">
      <w:trPr>
        <w:trHeight w:hRule="exact" w:val="774"/>
      </w:trPr>
      <w:tc>
        <w:tcPr>
          <w:tcW w:w="2156" w:type="dxa"/>
        </w:tcPr>
        <w:p w14:paraId="5381138B" w14:textId="77777777" w:rsidR="00527BD4" w:rsidRDefault="008E16A7" w:rsidP="003A5290">
          <w:pPr>
            <w:pStyle w:val="Huisstijl-Kopje"/>
          </w:pPr>
          <w:r>
            <w:t>Ons kenmerk</w:t>
          </w:r>
        </w:p>
        <w:p w14:paraId="19D79650" w14:textId="611D585B" w:rsidR="00502512" w:rsidRPr="00502512" w:rsidRDefault="008E16A7" w:rsidP="003A5290">
          <w:pPr>
            <w:pStyle w:val="Huisstijl-Kopje"/>
            <w:rPr>
              <w:b w:val="0"/>
            </w:rPr>
          </w:pPr>
          <w:r>
            <w:rPr>
              <w:b w:val="0"/>
            </w:rPr>
            <w:t>DGKE</w:t>
          </w:r>
          <w:r w:rsidR="008D037C">
            <w:rPr>
              <w:b w:val="0"/>
            </w:rPr>
            <w:t>-</w:t>
          </w:r>
          <w:r>
            <w:rPr>
              <w:b w:val="0"/>
            </w:rPr>
            <w:t>SE</w:t>
          </w:r>
          <w:r w:rsidRPr="00502512">
            <w:rPr>
              <w:b w:val="0"/>
            </w:rPr>
            <w:t xml:space="preserve"> / </w:t>
          </w:r>
          <w:r>
            <w:rPr>
              <w:b w:val="0"/>
            </w:rPr>
            <w:t>102241551</w:t>
          </w:r>
        </w:p>
        <w:p w14:paraId="7EAE343B" w14:textId="77777777" w:rsidR="00527BD4" w:rsidRPr="005819CE" w:rsidRDefault="00527BD4" w:rsidP="00361A56">
          <w:pPr>
            <w:pStyle w:val="Huisstijl-Kopje"/>
          </w:pPr>
        </w:p>
      </w:tc>
    </w:tr>
  </w:tbl>
  <w:p w14:paraId="0CD0691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F2781" w14:paraId="3CE556B5" w14:textId="77777777" w:rsidTr="00751A6A">
      <w:trPr>
        <w:trHeight w:val="2636"/>
      </w:trPr>
      <w:tc>
        <w:tcPr>
          <w:tcW w:w="737" w:type="dxa"/>
        </w:tcPr>
        <w:p w14:paraId="38C0763E" w14:textId="77777777" w:rsidR="00527BD4" w:rsidRDefault="00527BD4" w:rsidP="00D0609E">
          <w:pPr>
            <w:framePr w:w="6340" w:h="2750" w:hRule="exact" w:hSpace="180" w:wrap="around" w:vAnchor="page" w:hAnchor="text" w:x="3873" w:y="-140"/>
            <w:spacing w:line="240" w:lineRule="auto"/>
          </w:pPr>
        </w:p>
      </w:tc>
      <w:tc>
        <w:tcPr>
          <w:tcW w:w="5156" w:type="dxa"/>
        </w:tcPr>
        <w:p w14:paraId="4A8503DC" w14:textId="77777777" w:rsidR="00527BD4" w:rsidRDefault="008E16A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83F77A1" wp14:editId="45DD2B4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BF1F8DE" w14:textId="77777777" w:rsidR="007269E3" w:rsidRDefault="007269E3" w:rsidP="00651CEE">
          <w:pPr>
            <w:framePr w:w="6340" w:h="2750" w:hRule="exact" w:hSpace="180" w:wrap="around" w:vAnchor="page" w:hAnchor="text" w:x="3873" w:y="-140"/>
            <w:spacing w:line="240" w:lineRule="auto"/>
          </w:pPr>
        </w:p>
      </w:tc>
    </w:tr>
  </w:tbl>
  <w:p w14:paraId="453C338C" w14:textId="77777777" w:rsidR="00527BD4" w:rsidRDefault="00527BD4" w:rsidP="00D0609E">
    <w:pPr>
      <w:framePr w:w="6340" w:h="2750" w:hRule="exact" w:hSpace="180" w:wrap="around" w:vAnchor="page" w:hAnchor="text" w:x="3873" w:y="-140"/>
    </w:pPr>
  </w:p>
  <w:p w14:paraId="31925A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F2781" w:rsidRPr="008D037C" w14:paraId="249FBFCC" w14:textId="77777777" w:rsidTr="00A50CF6">
      <w:tc>
        <w:tcPr>
          <w:tcW w:w="2160" w:type="dxa"/>
        </w:tcPr>
        <w:p w14:paraId="56B5151F" w14:textId="77777777" w:rsidR="00527BD4" w:rsidRPr="005819CE" w:rsidRDefault="008E16A7" w:rsidP="00A50CF6">
          <w:pPr>
            <w:pStyle w:val="Huisstijl-Adres"/>
            <w:rPr>
              <w:b/>
            </w:rPr>
          </w:pPr>
          <w:r>
            <w:rPr>
              <w:b/>
            </w:rPr>
            <w:t>Directoraat-generaal Klimaat en Energie</w:t>
          </w:r>
          <w:r w:rsidRPr="005819CE">
            <w:rPr>
              <w:b/>
            </w:rPr>
            <w:br/>
          </w:r>
          <w:r>
            <w:t>Directie Strategie Energiesysteem</w:t>
          </w:r>
        </w:p>
        <w:p w14:paraId="7BF8269E" w14:textId="77777777" w:rsidR="00527BD4" w:rsidRPr="00BE5ED9" w:rsidRDefault="008E16A7" w:rsidP="00A50CF6">
          <w:pPr>
            <w:pStyle w:val="Huisstijl-Adres"/>
          </w:pPr>
          <w:r>
            <w:rPr>
              <w:b/>
            </w:rPr>
            <w:t>Bezoekadres</w:t>
          </w:r>
          <w:r>
            <w:rPr>
              <w:b/>
            </w:rPr>
            <w:br/>
          </w:r>
          <w:r>
            <w:t>Bezuidenhoutseweg 73</w:t>
          </w:r>
          <w:r w:rsidRPr="005819CE">
            <w:br/>
          </w:r>
          <w:r>
            <w:t>2594 AC Den Haag</w:t>
          </w:r>
        </w:p>
        <w:p w14:paraId="79EE6BDD" w14:textId="77777777" w:rsidR="00EF495B" w:rsidRDefault="008E16A7" w:rsidP="0098788A">
          <w:pPr>
            <w:pStyle w:val="Huisstijl-Adres"/>
          </w:pPr>
          <w:r>
            <w:rPr>
              <w:b/>
            </w:rPr>
            <w:t>Postadres</w:t>
          </w:r>
          <w:r>
            <w:rPr>
              <w:b/>
            </w:rPr>
            <w:br/>
          </w:r>
          <w:r>
            <w:t>Postbus 20401</w:t>
          </w:r>
          <w:r w:rsidRPr="005819CE">
            <w:br/>
            <w:t>2500 E</w:t>
          </w:r>
          <w:r>
            <w:t>K</w:t>
          </w:r>
          <w:r w:rsidRPr="005819CE">
            <w:t xml:space="preserve"> Den Haag</w:t>
          </w:r>
        </w:p>
        <w:p w14:paraId="4AACEFDA" w14:textId="77777777" w:rsidR="00EF495B" w:rsidRPr="005B3814" w:rsidRDefault="008E16A7" w:rsidP="0098788A">
          <w:pPr>
            <w:pStyle w:val="Huisstijl-Adres"/>
          </w:pPr>
          <w:r>
            <w:rPr>
              <w:b/>
            </w:rPr>
            <w:t>Overheidsidentificatienr</w:t>
          </w:r>
          <w:r>
            <w:rPr>
              <w:b/>
            </w:rPr>
            <w:br/>
          </w:r>
          <w:r w:rsidR="002D0DDB" w:rsidRPr="002D0DDB">
            <w:t>00000003952069570000</w:t>
          </w:r>
        </w:p>
        <w:p w14:paraId="51A43C07" w14:textId="71A6EF5A" w:rsidR="00527BD4" w:rsidRPr="008D037C" w:rsidRDefault="008E16A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F2781" w:rsidRPr="008D037C" w14:paraId="1A440040" w14:textId="77777777" w:rsidTr="00A50CF6">
      <w:trPr>
        <w:trHeight w:hRule="exact" w:val="200"/>
      </w:trPr>
      <w:tc>
        <w:tcPr>
          <w:tcW w:w="2160" w:type="dxa"/>
        </w:tcPr>
        <w:p w14:paraId="1F8DB420" w14:textId="77777777" w:rsidR="00527BD4" w:rsidRPr="00B846E3" w:rsidRDefault="00527BD4" w:rsidP="00A50CF6">
          <w:pPr>
            <w:rPr>
              <w:lang w:val="en-US"/>
            </w:rPr>
          </w:pPr>
        </w:p>
      </w:tc>
    </w:tr>
    <w:tr w:rsidR="001F2781" w14:paraId="3A6897A1" w14:textId="77777777" w:rsidTr="00A50CF6">
      <w:tc>
        <w:tcPr>
          <w:tcW w:w="2160" w:type="dxa"/>
        </w:tcPr>
        <w:p w14:paraId="3DCA5BCF" w14:textId="77777777" w:rsidR="000C0163" w:rsidRPr="005819CE" w:rsidRDefault="008E16A7" w:rsidP="000C0163">
          <w:pPr>
            <w:pStyle w:val="Huisstijl-Kopje"/>
          </w:pPr>
          <w:r>
            <w:t>Ons kenmerk</w:t>
          </w:r>
          <w:r w:rsidRPr="005819CE">
            <w:t xml:space="preserve"> </w:t>
          </w:r>
        </w:p>
        <w:p w14:paraId="597E8CBD" w14:textId="77777777" w:rsidR="00527BD4" w:rsidRDefault="008E16A7" w:rsidP="008D037C">
          <w:pPr>
            <w:pStyle w:val="Huisstijl-Gegeven"/>
          </w:pPr>
          <w:r>
            <w:t>DGKE</w:t>
          </w:r>
          <w:r w:rsidR="008D037C">
            <w:t>-</w:t>
          </w:r>
          <w:r>
            <w:t>SE</w:t>
          </w:r>
          <w:r w:rsidR="00926AE2">
            <w:t xml:space="preserve"> / </w:t>
          </w:r>
          <w:r>
            <w:t>102241551</w:t>
          </w:r>
        </w:p>
        <w:p w14:paraId="5758E713" w14:textId="77777777" w:rsidR="008D037C" w:rsidRDefault="008D037C" w:rsidP="008D037C">
          <w:pPr>
            <w:pStyle w:val="Huisstijl-Gegeven"/>
          </w:pPr>
        </w:p>
        <w:p w14:paraId="3493EF3A" w14:textId="77777777" w:rsidR="008D037C" w:rsidRDefault="008D037C" w:rsidP="008D037C">
          <w:pPr>
            <w:pStyle w:val="Huisstijl-Kopje"/>
          </w:pPr>
          <w:r>
            <w:t>Bijlage(n)</w:t>
          </w:r>
        </w:p>
        <w:p w14:paraId="6501A533" w14:textId="7F415346" w:rsidR="008D037C" w:rsidRPr="008D037C" w:rsidRDefault="008D037C" w:rsidP="008D037C">
          <w:pPr>
            <w:pStyle w:val="Huisstijl-Kopje"/>
            <w:rPr>
              <w:b w:val="0"/>
              <w:bCs/>
            </w:rPr>
          </w:pPr>
          <w:r w:rsidRPr="008D037C">
            <w:rPr>
              <w:b w:val="0"/>
              <w:bCs/>
            </w:rPr>
            <w:t>1</w:t>
          </w:r>
          <w:r w:rsidRPr="008D037C">
            <w:rPr>
              <w:b w:val="0"/>
              <w:bCs/>
            </w:rPr>
            <w:t xml:space="preserve"> </w:t>
          </w:r>
        </w:p>
        <w:p w14:paraId="200351DF" w14:textId="795AF933" w:rsidR="008D037C" w:rsidRPr="005819CE" w:rsidRDefault="008D037C" w:rsidP="008D037C">
          <w:pPr>
            <w:pStyle w:val="Huisstijl-Gegeven"/>
          </w:pPr>
        </w:p>
      </w:tc>
    </w:tr>
  </w:tbl>
  <w:p w14:paraId="598DCE2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F2781" w14:paraId="4FF45A53" w14:textId="77777777" w:rsidTr="007610AA">
      <w:trPr>
        <w:trHeight w:val="400"/>
      </w:trPr>
      <w:tc>
        <w:tcPr>
          <w:tcW w:w="7520" w:type="dxa"/>
          <w:gridSpan w:val="2"/>
        </w:tcPr>
        <w:p w14:paraId="3029D59B" w14:textId="77777777" w:rsidR="00527BD4" w:rsidRPr="00BC3B53" w:rsidRDefault="008E16A7" w:rsidP="00A50CF6">
          <w:pPr>
            <w:pStyle w:val="Huisstijl-Retouradres"/>
          </w:pPr>
          <w:r>
            <w:t>&gt; Retouradres Postbus 20401 2500 EK Den Haag</w:t>
          </w:r>
        </w:p>
      </w:tc>
    </w:tr>
    <w:tr w:rsidR="001F2781" w14:paraId="062380DB" w14:textId="77777777" w:rsidTr="007610AA">
      <w:tc>
        <w:tcPr>
          <w:tcW w:w="7520" w:type="dxa"/>
          <w:gridSpan w:val="2"/>
        </w:tcPr>
        <w:p w14:paraId="6C39F2C6" w14:textId="77777777" w:rsidR="00527BD4" w:rsidRPr="00983E8F" w:rsidRDefault="00527BD4" w:rsidP="00A50CF6">
          <w:pPr>
            <w:pStyle w:val="Huisstijl-Rubricering"/>
          </w:pPr>
        </w:p>
      </w:tc>
    </w:tr>
    <w:tr w:rsidR="001F2781" w14:paraId="10D9886D" w14:textId="77777777" w:rsidTr="007610AA">
      <w:trPr>
        <w:trHeight w:hRule="exact" w:val="2440"/>
      </w:trPr>
      <w:tc>
        <w:tcPr>
          <w:tcW w:w="7520" w:type="dxa"/>
          <w:gridSpan w:val="2"/>
        </w:tcPr>
        <w:p w14:paraId="1B130CD4" w14:textId="49E63862" w:rsidR="00527BD4" w:rsidRDefault="008D037C" w:rsidP="00A50CF6">
          <w:pPr>
            <w:pStyle w:val="Huisstijl-NAW"/>
          </w:pPr>
          <w:r>
            <w:t>D</w:t>
          </w:r>
          <w:r w:rsidR="008E16A7">
            <w:t>e Voorzitter van de Tweede Kamer</w:t>
          </w:r>
        </w:p>
        <w:p w14:paraId="44DFEE7E" w14:textId="77777777" w:rsidR="001F2781" w:rsidRDefault="008E16A7">
          <w:pPr>
            <w:pStyle w:val="Huisstijl-NAW"/>
          </w:pPr>
          <w:r>
            <w:t>der Staten-Generaal</w:t>
          </w:r>
        </w:p>
        <w:p w14:paraId="5DCD2A91" w14:textId="77777777" w:rsidR="001F2781" w:rsidRDefault="008E16A7">
          <w:pPr>
            <w:pStyle w:val="Huisstijl-NAW"/>
          </w:pPr>
          <w:r>
            <w:t>Prinses Irenestraat 6</w:t>
          </w:r>
        </w:p>
        <w:p w14:paraId="22E6F1DE" w14:textId="412B0BAC" w:rsidR="001F2781" w:rsidRDefault="008E16A7">
          <w:pPr>
            <w:pStyle w:val="Huisstijl-NAW"/>
          </w:pPr>
          <w:r>
            <w:t xml:space="preserve">2594 AC </w:t>
          </w:r>
          <w:r w:rsidR="008D037C">
            <w:t xml:space="preserve"> </w:t>
          </w:r>
          <w:r>
            <w:t>DEN HAAG</w:t>
          </w:r>
        </w:p>
      </w:tc>
    </w:tr>
    <w:tr w:rsidR="001F2781" w14:paraId="0EE0E631" w14:textId="77777777" w:rsidTr="007610AA">
      <w:trPr>
        <w:trHeight w:hRule="exact" w:val="400"/>
      </w:trPr>
      <w:tc>
        <w:tcPr>
          <w:tcW w:w="7520" w:type="dxa"/>
          <w:gridSpan w:val="2"/>
        </w:tcPr>
        <w:p w14:paraId="0453689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F2781" w14:paraId="41D33383" w14:textId="77777777" w:rsidTr="007610AA">
      <w:trPr>
        <w:trHeight w:val="240"/>
      </w:trPr>
      <w:tc>
        <w:tcPr>
          <w:tcW w:w="900" w:type="dxa"/>
        </w:tcPr>
        <w:p w14:paraId="64EB9E25" w14:textId="77777777" w:rsidR="00527BD4" w:rsidRPr="007709EF" w:rsidRDefault="008E16A7" w:rsidP="00A50CF6">
          <w:pPr>
            <w:rPr>
              <w:szCs w:val="18"/>
            </w:rPr>
          </w:pPr>
          <w:r>
            <w:rPr>
              <w:szCs w:val="18"/>
            </w:rPr>
            <w:t>Datum</w:t>
          </w:r>
        </w:p>
      </w:tc>
      <w:tc>
        <w:tcPr>
          <w:tcW w:w="6620" w:type="dxa"/>
        </w:tcPr>
        <w:p w14:paraId="3E1EE20F" w14:textId="53507A4F" w:rsidR="00527BD4" w:rsidRPr="007709EF" w:rsidRDefault="008B5ED6" w:rsidP="00A50CF6">
          <w:r>
            <w:t>11 december 2025</w:t>
          </w:r>
        </w:p>
      </w:tc>
    </w:tr>
    <w:tr w:rsidR="001F2781" w14:paraId="6741FCA7" w14:textId="77777777" w:rsidTr="007610AA">
      <w:trPr>
        <w:trHeight w:val="240"/>
      </w:trPr>
      <w:tc>
        <w:tcPr>
          <w:tcW w:w="900" w:type="dxa"/>
        </w:tcPr>
        <w:p w14:paraId="5E6C0F2A" w14:textId="77777777" w:rsidR="00527BD4" w:rsidRPr="007709EF" w:rsidRDefault="008E16A7" w:rsidP="00A50CF6">
          <w:pPr>
            <w:rPr>
              <w:szCs w:val="18"/>
            </w:rPr>
          </w:pPr>
          <w:r>
            <w:rPr>
              <w:szCs w:val="18"/>
            </w:rPr>
            <w:t>Betreft</w:t>
          </w:r>
        </w:p>
      </w:tc>
      <w:tc>
        <w:tcPr>
          <w:tcW w:w="6620" w:type="dxa"/>
        </w:tcPr>
        <w:p w14:paraId="728EB1A5" w14:textId="77777777" w:rsidR="00527BD4" w:rsidRPr="007709EF" w:rsidRDefault="008E16A7" w:rsidP="00A50CF6">
          <w:r>
            <w:t>Actieagenda Digitalisering van het Energiesysteem</w:t>
          </w:r>
        </w:p>
      </w:tc>
    </w:tr>
  </w:tbl>
  <w:p w14:paraId="69867A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0CE8AA">
      <w:start w:val="1"/>
      <w:numFmt w:val="bullet"/>
      <w:pStyle w:val="Lijstopsomteken"/>
      <w:lvlText w:val="•"/>
      <w:lvlJc w:val="left"/>
      <w:pPr>
        <w:tabs>
          <w:tab w:val="num" w:pos="227"/>
        </w:tabs>
        <w:ind w:left="227" w:hanging="227"/>
      </w:pPr>
      <w:rPr>
        <w:rFonts w:ascii="Verdana" w:hAnsi="Verdana" w:hint="default"/>
        <w:sz w:val="18"/>
        <w:szCs w:val="18"/>
      </w:rPr>
    </w:lvl>
    <w:lvl w:ilvl="1" w:tplc="427025A0" w:tentative="1">
      <w:start w:val="1"/>
      <w:numFmt w:val="bullet"/>
      <w:lvlText w:val="o"/>
      <w:lvlJc w:val="left"/>
      <w:pPr>
        <w:tabs>
          <w:tab w:val="num" w:pos="1440"/>
        </w:tabs>
        <w:ind w:left="1440" w:hanging="360"/>
      </w:pPr>
      <w:rPr>
        <w:rFonts w:ascii="Courier New" w:hAnsi="Courier New" w:cs="Courier New" w:hint="default"/>
      </w:rPr>
    </w:lvl>
    <w:lvl w:ilvl="2" w:tplc="D16495BC" w:tentative="1">
      <w:start w:val="1"/>
      <w:numFmt w:val="bullet"/>
      <w:lvlText w:val=""/>
      <w:lvlJc w:val="left"/>
      <w:pPr>
        <w:tabs>
          <w:tab w:val="num" w:pos="2160"/>
        </w:tabs>
        <w:ind w:left="2160" w:hanging="360"/>
      </w:pPr>
      <w:rPr>
        <w:rFonts w:ascii="Wingdings" w:hAnsi="Wingdings" w:hint="default"/>
      </w:rPr>
    </w:lvl>
    <w:lvl w:ilvl="3" w:tplc="E84C6F52" w:tentative="1">
      <w:start w:val="1"/>
      <w:numFmt w:val="bullet"/>
      <w:lvlText w:val=""/>
      <w:lvlJc w:val="left"/>
      <w:pPr>
        <w:tabs>
          <w:tab w:val="num" w:pos="2880"/>
        </w:tabs>
        <w:ind w:left="2880" w:hanging="360"/>
      </w:pPr>
      <w:rPr>
        <w:rFonts w:ascii="Symbol" w:hAnsi="Symbol" w:hint="default"/>
      </w:rPr>
    </w:lvl>
    <w:lvl w:ilvl="4" w:tplc="2530F4F8" w:tentative="1">
      <w:start w:val="1"/>
      <w:numFmt w:val="bullet"/>
      <w:lvlText w:val="o"/>
      <w:lvlJc w:val="left"/>
      <w:pPr>
        <w:tabs>
          <w:tab w:val="num" w:pos="3600"/>
        </w:tabs>
        <w:ind w:left="3600" w:hanging="360"/>
      </w:pPr>
      <w:rPr>
        <w:rFonts w:ascii="Courier New" w:hAnsi="Courier New" w:cs="Courier New" w:hint="default"/>
      </w:rPr>
    </w:lvl>
    <w:lvl w:ilvl="5" w:tplc="913E60DE" w:tentative="1">
      <w:start w:val="1"/>
      <w:numFmt w:val="bullet"/>
      <w:lvlText w:val=""/>
      <w:lvlJc w:val="left"/>
      <w:pPr>
        <w:tabs>
          <w:tab w:val="num" w:pos="4320"/>
        </w:tabs>
        <w:ind w:left="4320" w:hanging="360"/>
      </w:pPr>
      <w:rPr>
        <w:rFonts w:ascii="Wingdings" w:hAnsi="Wingdings" w:hint="default"/>
      </w:rPr>
    </w:lvl>
    <w:lvl w:ilvl="6" w:tplc="88161380" w:tentative="1">
      <w:start w:val="1"/>
      <w:numFmt w:val="bullet"/>
      <w:lvlText w:val=""/>
      <w:lvlJc w:val="left"/>
      <w:pPr>
        <w:tabs>
          <w:tab w:val="num" w:pos="5040"/>
        </w:tabs>
        <w:ind w:left="5040" w:hanging="360"/>
      </w:pPr>
      <w:rPr>
        <w:rFonts w:ascii="Symbol" w:hAnsi="Symbol" w:hint="default"/>
      </w:rPr>
    </w:lvl>
    <w:lvl w:ilvl="7" w:tplc="53B2626A" w:tentative="1">
      <w:start w:val="1"/>
      <w:numFmt w:val="bullet"/>
      <w:lvlText w:val="o"/>
      <w:lvlJc w:val="left"/>
      <w:pPr>
        <w:tabs>
          <w:tab w:val="num" w:pos="5760"/>
        </w:tabs>
        <w:ind w:left="5760" w:hanging="360"/>
      </w:pPr>
      <w:rPr>
        <w:rFonts w:ascii="Courier New" w:hAnsi="Courier New" w:cs="Courier New" w:hint="default"/>
      </w:rPr>
    </w:lvl>
    <w:lvl w:ilvl="8" w:tplc="E19802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607080">
      <w:start w:val="1"/>
      <w:numFmt w:val="bullet"/>
      <w:pStyle w:val="Lijstopsomteken2"/>
      <w:lvlText w:val="–"/>
      <w:lvlJc w:val="left"/>
      <w:pPr>
        <w:tabs>
          <w:tab w:val="num" w:pos="227"/>
        </w:tabs>
        <w:ind w:left="227" w:firstLine="0"/>
      </w:pPr>
      <w:rPr>
        <w:rFonts w:ascii="Verdana" w:hAnsi="Verdana" w:hint="default"/>
      </w:rPr>
    </w:lvl>
    <w:lvl w:ilvl="1" w:tplc="7E449378" w:tentative="1">
      <w:start w:val="1"/>
      <w:numFmt w:val="bullet"/>
      <w:lvlText w:val="o"/>
      <w:lvlJc w:val="left"/>
      <w:pPr>
        <w:tabs>
          <w:tab w:val="num" w:pos="1440"/>
        </w:tabs>
        <w:ind w:left="1440" w:hanging="360"/>
      </w:pPr>
      <w:rPr>
        <w:rFonts w:ascii="Courier New" w:hAnsi="Courier New" w:cs="Courier New" w:hint="default"/>
      </w:rPr>
    </w:lvl>
    <w:lvl w:ilvl="2" w:tplc="EC702812" w:tentative="1">
      <w:start w:val="1"/>
      <w:numFmt w:val="bullet"/>
      <w:lvlText w:val=""/>
      <w:lvlJc w:val="left"/>
      <w:pPr>
        <w:tabs>
          <w:tab w:val="num" w:pos="2160"/>
        </w:tabs>
        <w:ind w:left="2160" w:hanging="360"/>
      </w:pPr>
      <w:rPr>
        <w:rFonts w:ascii="Wingdings" w:hAnsi="Wingdings" w:hint="default"/>
      </w:rPr>
    </w:lvl>
    <w:lvl w:ilvl="3" w:tplc="B0C02170" w:tentative="1">
      <w:start w:val="1"/>
      <w:numFmt w:val="bullet"/>
      <w:lvlText w:val=""/>
      <w:lvlJc w:val="left"/>
      <w:pPr>
        <w:tabs>
          <w:tab w:val="num" w:pos="2880"/>
        </w:tabs>
        <w:ind w:left="2880" w:hanging="360"/>
      </w:pPr>
      <w:rPr>
        <w:rFonts w:ascii="Symbol" w:hAnsi="Symbol" w:hint="default"/>
      </w:rPr>
    </w:lvl>
    <w:lvl w:ilvl="4" w:tplc="06845D82" w:tentative="1">
      <w:start w:val="1"/>
      <w:numFmt w:val="bullet"/>
      <w:lvlText w:val="o"/>
      <w:lvlJc w:val="left"/>
      <w:pPr>
        <w:tabs>
          <w:tab w:val="num" w:pos="3600"/>
        </w:tabs>
        <w:ind w:left="3600" w:hanging="360"/>
      </w:pPr>
      <w:rPr>
        <w:rFonts w:ascii="Courier New" w:hAnsi="Courier New" w:cs="Courier New" w:hint="default"/>
      </w:rPr>
    </w:lvl>
    <w:lvl w:ilvl="5" w:tplc="B0B2431C" w:tentative="1">
      <w:start w:val="1"/>
      <w:numFmt w:val="bullet"/>
      <w:lvlText w:val=""/>
      <w:lvlJc w:val="left"/>
      <w:pPr>
        <w:tabs>
          <w:tab w:val="num" w:pos="4320"/>
        </w:tabs>
        <w:ind w:left="4320" w:hanging="360"/>
      </w:pPr>
      <w:rPr>
        <w:rFonts w:ascii="Wingdings" w:hAnsi="Wingdings" w:hint="default"/>
      </w:rPr>
    </w:lvl>
    <w:lvl w:ilvl="6" w:tplc="F6D036A2" w:tentative="1">
      <w:start w:val="1"/>
      <w:numFmt w:val="bullet"/>
      <w:lvlText w:val=""/>
      <w:lvlJc w:val="left"/>
      <w:pPr>
        <w:tabs>
          <w:tab w:val="num" w:pos="5040"/>
        </w:tabs>
        <w:ind w:left="5040" w:hanging="360"/>
      </w:pPr>
      <w:rPr>
        <w:rFonts w:ascii="Symbol" w:hAnsi="Symbol" w:hint="default"/>
      </w:rPr>
    </w:lvl>
    <w:lvl w:ilvl="7" w:tplc="3E4EC1AE" w:tentative="1">
      <w:start w:val="1"/>
      <w:numFmt w:val="bullet"/>
      <w:lvlText w:val="o"/>
      <w:lvlJc w:val="left"/>
      <w:pPr>
        <w:tabs>
          <w:tab w:val="num" w:pos="5760"/>
        </w:tabs>
        <w:ind w:left="5760" w:hanging="360"/>
      </w:pPr>
      <w:rPr>
        <w:rFonts w:ascii="Courier New" w:hAnsi="Courier New" w:cs="Courier New" w:hint="default"/>
      </w:rPr>
    </w:lvl>
    <w:lvl w:ilvl="8" w:tplc="A4F247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9180437">
    <w:abstractNumId w:val="10"/>
  </w:num>
  <w:num w:numId="2" w16cid:durableId="262736544">
    <w:abstractNumId w:val="7"/>
  </w:num>
  <w:num w:numId="3" w16cid:durableId="940383016">
    <w:abstractNumId w:val="6"/>
  </w:num>
  <w:num w:numId="4" w16cid:durableId="409739859">
    <w:abstractNumId w:val="5"/>
  </w:num>
  <w:num w:numId="5" w16cid:durableId="1524594514">
    <w:abstractNumId w:val="4"/>
  </w:num>
  <w:num w:numId="6" w16cid:durableId="1151484924">
    <w:abstractNumId w:val="8"/>
  </w:num>
  <w:num w:numId="7" w16cid:durableId="1241603615">
    <w:abstractNumId w:val="3"/>
  </w:num>
  <w:num w:numId="8" w16cid:durableId="1695769435">
    <w:abstractNumId w:val="2"/>
  </w:num>
  <w:num w:numId="9" w16cid:durableId="1342925344">
    <w:abstractNumId w:val="1"/>
  </w:num>
  <w:num w:numId="10" w16cid:durableId="1976258175">
    <w:abstractNumId w:val="0"/>
  </w:num>
  <w:num w:numId="11" w16cid:durableId="1943293808">
    <w:abstractNumId w:val="9"/>
  </w:num>
  <w:num w:numId="12" w16cid:durableId="1088622040">
    <w:abstractNumId w:val="11"/>
  </w:num>
  <w:num w:numId="13" w16cid:durableId="2131391482">
    <w:abstractNumId w:val="13"/>
  </w:num>
  <w:num w:numId="14" w16cid:durableId="8609019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B14"/>
    <w:rsid w:val="00035E67"/>
    <w:rsid w:val="000366F3"/>
    <w:rsid w:val="0006024D"/>
    <w:rsid w:val="00065CAB"/>
    <w:rsid w:val="00071193"/>
    <w:rsid w:val="00071F28"/>
    <w:rsid w:val="00074079"/>
    <w:rsid w:val="00083B9E"/>
    <w:rsid w:val="00092799"/>
    <w:rsid w:val="00092C5F"/>
    <w:rsid w:val="00093F55"/>
    <w:rsid w:val="00096680"/>
    <w:rsid w:val="000A0F36"/>
    <w:rsid w:val="000A174A"/>
    <w:rsid w:val="000A3E0A"/>
    <w:rsid w:val="000A65AC"/>
    <w:rsid w:val="000A7159"/>
    <w:rsid w:val="000B7281"/>
    <w:rsid w:val="000B7FAB"/>
    <w:rsid w:val="000C0163"/>
    <w:rsid w:val="000C1BA1"/>
    <w:rsid w:val="000C3EA9"/>
    <w:rsid w:val="000D0225"/>
    <w:rsid w:val="000E7895"/>
    <w:rsid w:val="000F07C3"/>
    <w:rsid w:val="000F161D"/>
    <w:rsid w:val="000F3CAA"/>
    <w:rsid w:val="00102ABB"/>
    <w:rsid w:val="00121BF0"/>
    <w:rsid w:val="00123704"/>
    <w:rsid w:val="001270C7"/>
    <w:rsid w:val="00131658"/>
    <w:rsid w:val="00132540"/>
    <w:rsid w:val="00133F0F"/>
    <w:rsid w:val="0014786A"/>
    <w:rsid w:val="001516A4"/>
    <w:rsid w:val="00151E5F"/>
    <w:rsid w:val="00153E28"/>
    <w:rsid w:val="00155AC1"/>
    <w:rsid w:val="001569AB"/>
    <w:rsid w:val="00164D63"/>
    <w:rsid w:val="0016725C"/>
    <w:rsid w:val="001726F3"/>
    <w:rsid w:val="00173C51"/>
    <w:rsid w:val="00174CC2"/>
    <w:rsid w:val="00176CC6"/>
    <w:rsid w:val="00181BE4"/>
    <w:rsid w:val="00185576"/>
    <w:rsid w:val="00185951"/>
    <w:rsid w:val="00196B8B"/>
    <w:rsid w:val="001A2BEA"/>
    <w:rsid w:val="001A6D93"/>
    <w:rsid w:val="001A7C56"/>
    <w:rsid w:val="001C32EC"/>
    <w:rsid w:val="001C38BD"/>
    <w:rsid w:val="001C4D5A"/>
    <w:rsid w:val="001D6A66"/>
    <w:rsid w:val="001E34C6"/>
    <w:rsid w:val="001E5581"/>
    <w:rsid w:val="001F2781"/>
    <w:rsid w:val="001F3C70"/>
    <w:rsid w:val="00200D88"/>
    <w:rsid w:val="00201F68"/>
    <w:rsid w:val="00212F2A"/>
    <w:rsid w:val="00214F2B"/>
    <w:rsid w:val="00217880"/>
    <w:rsid w:val="00222D66"/>
    <w:rsid w:val="00224A8A"/>
    <w:rsid w:val="002309A8"/>
    <w:rsid w:val="00236CFE"/>
    <w:rsid w:val="00237241"/>
    <w:rsid w:val="002428E3"/>
    <w:rsid w:val="00243031"/>
    <w:rsid w:val="00260BAF"/>
    <w:rsid w:val="002650F7"/>
    <w:rsid w:val="00271A8E"/>
    <w:rsid w:val="00273F3B"/>
    <w:rsid w:val="00274DB7"/>
    <w:rsid w:val="00275984"/>
    <w:rsid w:val="00280F74"/>
    <w:rsid w:val="002822CA"/>
    <w:rsid w:val="00285F97"/>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42AE"/>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2D1D"/>
    <w:rsid w:val="00383DA1"/>
    <w:rsid w:val="00385F30"/>
    <w:rsid w:val="00393696"/>
    <w:rsid w:val="00393963"/>
    <w:rsid w:val="00395575"/>
    <w:rsid w:val="00395672"/>
    <w:rsid w:val="003A06C8"/>
    <w:rsid w:val="003A0D7C"/>
    <w:rsid w:val="003A5290"/>
    <w:rsid w:val="003B0155"/>
    <w:rsid w:val="003B09BD"/>
    <w:rsid w:val="003B2BAB"/>
    <w:rsid w:val="003B38D4"/>
    <w:rsid w:val="003B7EE7"/>
    <w:rsid w:val="003C2CCB"/>
    <w:rsid w:val="003C7294"/>
    <w:rsid w:val="003D068A"/>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5356"/>
    <w:rsid w:val="005565F9"/>
    <w:rsid w:val="005572E6"/>
    <w:rsid w:val="00573041"/>
    <w:rsid w:val="00575B80"/>
    <w:rsid w:val="0057620F"/>
    <w:rsid w:val="005819CE"/>
    <w:rsid w:val="0058298D"/>
    <w:rsid w:val="00584C1A"/>
    <w:rsid w:val="00593C2B"/>
    <w:rsid w:val="00595231"/>
    <w:rsid w:val="00596166"/>
    <w:rsid w:val="00597F64"/>
    <w:rsid w:val="005A207F"/>
    <w:rsid w:val="005A2F35"/>
    <w:rsid w:val="005B366E"/>
    <w:rsid w:val="005B3814"/>
    <w:rsid w:val="005B463E"/>
    <w:rsid w:val="005C34E1"/>
    <w:rsid w:val="005C3FE0"/>
    <w:rsid w:val="005C740C"/>
    <w:rsid w:val="005D625B"/>
    <w:rsid w:val="005F5F3A"/>
    <w:rsid w:val="005F62D3"/>
    <w:rsid w:val="005F6D11"/>
    <w:rsid w:val="00600CF0"/>
    <w:rsid w:val="00601493"/>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7F10"/>
    <w:rsid w:val="006D1016"/>
    <w:rsid w:val="006D17F2"/>
    <w:rsid w:val="006E3546"/>
    <w:rsid w:val="006E3FA9"/>
    <w:rsid w:val="006E4A6B"/>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2A45"/>
    <w:rsid w:val="00883137"/>
    <w:rsid w:val="00894A3B"/>
    <w:rsid w:val="008A1F5D"/>
    <w:rsid w:val="008A28F5"/>
    <w:rsid w:val="008A5950"/>
    <w:rsid w:val="008B1198"/>
    <w:rsid w:val="008B3471"/>
    <w:rsid w:val="008B3929"/>
    <w:rsid w:val="008B4125"/>
    <w:rsid w:val="008B4CB3"/>
    <w:rsid w:val="008B567B"/>
    <w:rsid w:val="008B5ED6"/>
    <w:rsid w:val="008B7B24"/>
    <w:rsid w:val="008C356D"/>
    <w:rsid w:val="008D037C"/>
    <w:rsid w:val="008D43B5"/>
    <w:rsid w:val="008E0B3F"/>
    <w:rsid w:val="008E16A7"/>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0D5B"/>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2483F"/>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035E"/>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3250"/>
    <w:rsid w:val="00B846E3"/>
    <w:rsid w:val="00B849F5"/>
    <w:rsid w:val="00B91CFC"/>
    <w:rsid w:val="00B93893"/>
    <w:rsid w:val="00B956C2"/>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BF0C89"/>
    <w:rsid w:val="00C1069A"/>
    <w:rsid w:val="00C15A91"/>
    <w:rsid w:val="00C206F1"/>
    <w:rsid w:val="00C217E1"/>
    <w:rsid w:val="00C219B1"/>
    <w:rsid w:val="00C3598F"/>
    <w:rsid w:val="00C4015B"/>
    <w:rsid w:val="00C40C60"/>
    <w:rsid w:val="00C43FE6"/>
    <w:rsid w:val="00C5258E"/>
    <w:rsid w:val="00C530C9"/>
    <w:rsid w:val="00C619A7"/>
    <w:rsid w:val="00C73D5F"/>
    <w:rsid w:val="00C80DAD"/>
    <w:rsid w:val="00C82AFE"/>
    <w:rsid w:val="00C83DBC"/>
    <w:rsid w:val="00C97C80"/>
    <w:rsid w:val="00CA47D3"/>
    <w:rsid w:val="00CA6533"/>
    <w:rsid w:val="00CA6A25"/>
    <w:rsid w:val="00CA6A3F"/>
    <w:rsid w:val="00CA7C99"/>
    <w:rsid w:val="00CB294A"/>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2BB3"/>
    <w:rsid w:val="00F845B4"/>
    <w:rsid w:val="00F86755"/>
    <w:rsid w:val="00F8713B"/>
    <w:rsid w:val="00F93F9E"/>
    <w:rsid w:val="00FA2CD7"/>
    <w:rsid w:val="00FB06ED"/>
    <w:rsid w:val="00FC2311"/>
    <w:rsid w:val="00FC3165"/>
    <w:rsid w:val="00FC36AB"/>
    <w:rsid w:val="00FC4300"/>
    <w:rsid w:val="00FC7F66"/>
    <w:rsid w:val="00FD551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3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B846E3"/>
    <w:rPr>
      <w:sz w:val="16"/>
      <w:szCs w:val="16"/>
    </w:rPr>
  </w:style>
  <w:style w:type="paragraph" w:styleId="Tekstopmerking">
    <w:name w:val="annotation text"/>
    <w:basedOn w:val="Standaard"/>
    <w:link w:val="TekstopmerkingChar"/>
    <w:uiPriority w:val="99"/>
    <w:unhideWhenUsed/>
    <w:rsid w:val="00B846E3"/>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846E3"/>
    <w:rPr>
      <w:rFonts w:asciiTheme="minorHAnsi" w:eastAsiaTheme="minorHAnsi" w:hAnsiTheme="minorHAnsi" w:cstheme="minorBidi"/>
      <w:kern w:val="2"/>
      <w:lang w:val="nl-NL"/>
      <w14:ligatures w14:val="standardContextual"/>
    </w:rPr>
  </w:style>
  <w:style w:type="character" w:styleId="Vermelding">
    <w:name w:val="Mention"/>
    <w:basedOn w:val="Standaardalinea-lettertype"/>
    <w:uiPriority w:val="99"/>
    <w:unhideWhenUsed/>
    <w:rsid w:val="00B846E3"/>
    <w:rPr>
      <w:color w:val="2B579A"/>
      <w:shd w:val="clear" w:color="auto" w:fill="E1DFDD"/>
    </w:rPr>
  </w:style>
  <w:style w:type="character" w:styleId="Voetnootmarkering">
    <w:name w:val="footnote reference"/>
    <w:basedOn w:val="Standaardalinea-lettertype"/>
    <w:uiPriority w:val="99"/>
    <w:semiHidden/>
    <w:unhideWhenUsed/>
    <w:rsid w:val="00B846E3"/>
    <w:rPr>
      <w:vertAlign w:val="superscript"/>
    </w:rPr>
  </w:style>
  <w:style w:type="paragraph" w:styleId="Revisie">
    <w:name w:val="Revision"/>
    <w:hidden/>
    <w:uiPriority w:val="99"/>
    <w:semiHidden/>
    <w:rsid w:val="00CB294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1226</ap:Words>
  <ap:Characters>7584</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2025-12-11T08:26:00.0000000Z</dcterms:created>
  <dcterms:modified xsi:type="dcterms:W3CDTF">2025-12-11T08:32:00.0000000Z</dcterms:modified>
  <dc:description>------------------------</dc:description>
  <dc:subject/>
  <keywords/>
  <version/>
  <category/>
</coreProperties>
</file>