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3062" w:rsidP="0099484A" w:rsidRDefault="00033062" w14:paraId="1C3987EF" w14:textId="4B4F2B5A">
      <w:pPr>
        <w:ind w:left="10" w:right="9"/>
        <w:rPr>
          <w:rFonts w:ascii="Verdana" w:hAnsi="Verdana"/>
          <w:sz w:val="18"/>
        </w:rPr>
      </w:pPr>
      <w:r w:rsidRPr="00FC1AD0">
        <w:rPr>
          <w:rFonts w:ascii="Verdana" w:hAnsi="Verdana"/>
          <w:sz w:val="18"/>
        </w:rPr>
        <w:t>BIJLAGE 1</w:t>
      </w:r>
      <w:r w:rsidR="00435C83">
        <w:rPr>
          <w:rFonts w:ascii="Verdana" w:hAnsi="Verdana"/>
          <w:sz w:val="18"/>
        </w:rPr>
        <w:t>.2</w:t>
      </w:r>
      <w:r w:rsidRPr="00FC1AD0">
        <w:rPr>
          <w:rFonts w:ascii="Verdana" w:hAnsi="Verdana"/>
          <w:sz w:val="18"/>
        </w:rPr>
        <w:t xml:space="preserve"> </w:t>
      </w:r>
    </w:p>
    <w:p w:rsidR="00CD6107" w:rsidP="0099484A" w:rsidRDefault="00CD6107" w14:paraId="0EB6BC94" w14:textId="63F5FC49">
      <w:pPr>
        <w:ind w:left="10" w:right="9"/>
      </w:pPr>
      <w:r>
        <w:rPr>
          <w:rFonts w:ascii="Verdana" w:hAnsi="Verdana"/>
          <w:sz w:val="18"/>
        </w:rPr>
        <w:t xml:space="preserve">Kabinetsreactie </w:t>
      </w:r>
    </w:p>
    <w:p w:rsidRPr="00FC1AD0" w:rsidR="005A174F" w:rsidP="0099484A" w:rsidRDefault="00C87B27" w14:paraId="39CEC26E" w14:textId="3F96EE1C">
      <w:pPr>
        <w:ind w:left="10" w:right="9"/>
        <w:rPr>
          <w:rFonts w:ascii="Verdana" w:hAnsi="Verdana"/>
          <w:sz w:val="18"/>
        </w:rPr>
      </w:pPr>
      <w:r w:rsidRPr="00FC1AD0">
        <w:rPr>
          <w:rFonts w:ascii="Verdana" w:hAnsi="Verdana"/>
          <w:sz w:val="18"/>
        </w:rPr>
        <w:t xml:space="preserve">De </w:t>
      </w:r>
      <w:r w:rsidRPr="00FC1AD0" w:rsidR="005A174F">
        <w:rPr>
          <w:rFonts w:ascii="Verdana" w:hAnsi="Verdana"/>
          <w:sz w:val="18"/>
        </w:rPr>
        <w:t>Netherlands Commercial Court</w:t>
      </w:r>
      <w:r w:rsidRPr="00FC1AD0">
        <w:rPr>
          <w:rFonts w:ascii="Verdana" w:hAnsi="Verdana"/>
          <w:sz w:val="18"/>
        </w:rPr>
        <w:t>, een tussenbalans in de opstartfase</w:t>
      </w:r>
    </w:p>
    <w:p w:rsidRPr="00FC1AD0" w:rsidR="005A174F" w:rsidP="0099484A" w:rsidRDefault="005A174F" w14:paraId="1363FB48" w14:textId="77777777">
      <w:pPr>
        <w:ind w:left="10" w:right="9"/>
        <w:rPr>
          <w:rFonts w:ascii="Verdana" w:hAnsi="Verdana"/>
          <w:sz w:val="18"/>
        </w:rPr>
      </w:pPr>
    </w:p>
    <w:p w:rsidRPr="00FC1AD0" w:rsidR="0099484A" w:rsidP="0099484A" w:rsidRDefault="0099484A" w14:paraId="7A5B13A7" w14:textId="3D81663B">
      <w:pPr>
        <w:ind w:left="10" w:right="9"/>
        <w:rPr>
          <w:rFonts w:ascii="Verdana" w:hAnsi="Verdana"/>
          <w:sz w:val="18"/>
        </w:rPr>
      </w:pPr>
      <w:r w:rsidRPr="00FC1AD0">
        <w:rPr>
          <w:rFonts w:ascii="Verdana" w:hAnsi="Verdana"/>
          <w:sz w:val="18"/>
        </w:rPr>
        <w:t>Op 1 januari 2019 is de wet Netherlands Commercial Court in werking getreden.</w:t>
      </w:r>
      <w:r w:rsidRPr="00FC1AD0" w:rsidR="003D545F">
        <w:rPr>
          <w:rStyle w:val="Voetnootmarkering"/>
          <w:rFonts w:ascii="Verdana" w:hAnsi="Verdana"/>
          <w:sz w:val="18"/>
        </w:rPr>
        <w:footnoteReference w:id="1"/>
      </w:r>
      <w:r w:rsidRPr="00FC1AD0" w:rsidR="008D3BAE">
        <w:rPr>
          <w:rFonts w:ascii="Verdana" w:hAnsi="Verdana"/>
          <w:sz w:val="18"/>
        </w:rPr>
        <w:t xml:space="preserve"> </w:t>
      </w:r>
      <w:r w:rsidRPr="00FC1AD0">
        <w:rPr>
          <w:rFonts w:ascii="Verdana" w:hAnsi="Verdana"/>
          <w:sz w:val="18"/>
        </w:rPr>
        <w:t xml:space="preserve">Er zijn op die datum twee internationale handelskamers opgericht en in gebruik genomen. Eén kamer </w:t>
      </w:r>
      <w:r w:rsidRPr="00FC1AD0" w:rsidR="001F7C3F">
        <w:rPr>
          <w:rFonts w:ascii="Verdana" w:hAnsi="Verdana"/>
          <w:sz w:val="18"/>
        </w:rPr>
        <w:t xml:space="preserve">bij de rechtbank Amsterdam </w:t>
      </w:r>
      <w:r w:rsidRPr="00FC1AD0">
        <w:rPr>
          <w:rFonts w:ascii="Verdana" w:hAnsi="Verdana"/>
          <w:sz w:val="18"/>
        </w:rPr>
        <w:t xml:space="preserve">voor de behandeling van zaken in eerste instantie (Netherlands Commercial Court: NCC) en een kamer </w:t>
      </w:r>
      <w:r w:rsidRPr="00FC1AD0" w:rsidR="008D3BAE">
        <w:rPr>
          <w:rFonts w:ascii="Verdana" w:hAnsi="Verdana"/>
          <w:sz w:val="18"/>
        </w:rPr>
        <w:t xml:space="preserve">bij het gerechtshof Amsterdam </w:t>
      </w:r>
      <w:r w:rsidRPr="00FC1AD0">
        <w:rPr>
          <w:rFonts w:ascii="Verdana" w:hAnsi="Verdana"/>
          <w:sz w:val="18"/>
        </w:rPr>
        <w:t xml:space="preserve">voor de behandeling van zaken in hoger beroep (Netherlands Commercial Court of Appeal: NCCA). Beide </w:t>
      </w:r>
      <w:r w:rsidRPr="00FC1AD0" w:rsidR="008D3BAE">
        <w:rPr>
          <w:rFonts w:ascii="Verdana" w:hAnsi="Verdana"/>
          <w:sz w:val="18"/>
        </w:rPr>
        <w:t xml:space="preserve">internationale </w:t>
      </w:r>
      <w:r w:rsidRPr="00FC1AD0">
        <w:rPr>
          <w:rFonts w:ascii="Verdana" w:hAnsi="Verdana"/>
          <w:sz w:val="18"/>
        </w:rPr>
        <w:t xml:space="preserve">handelskamers zijn organisatorisch en fysiek ondergebracht </w:t>
      </w:r>
      <w:r w:rsidRPr="00FC1AD0" w:rsidR="008D3BAE">
        <w:rPr>
          <w:rFonts w:ascii="Verdana" w:hAnsi="Verdana"/>
          <w:sz w:val="18"/>
        </w:rPr>
        <w:t xml:space="preserve">in </w:t>
      </w:r>
      <w:r w:rsidRPr="00FC1AD0">
        <w:rPr>
          <w:rFonts w:ascii="Verdana" w:hAnsi="Verdana"/>
          <w:sz w:val="18"/>
        </w:rPr>
        <w:t>het</w:t>
      </w:r>
      <w:r w:rsidRPr="00FC1AD0" w:rsidR="008D3BAE">
        <w:rPr>
          <w:rFonts w:ascii="Verdana" w:hAnsi="Verdana"/>
          <w:sz w:val="18"/>
        </w:rPr>
        <w:t xml:space="preserve"> gebouw van het </w:t>
      </w:r>
      <w:r w:rsidRPr="00FC1AD0">
        <w:rPr>
          <w:rFonts w:ascii="Verdana" w:hAnsi="Verdana"/>
          <w:sz w:val="18"/>
        </w:rPr>
        <w:t xml:space="preserve"> gerechtshof Amsterdam.</w:t>
      </w:r>
      <w:r w:rsidRPr="00FC1AD0" w:rsidR="005A174F">
        <w:rPr>
          <w:rStyle w:val="Voetnootmarkering"/>
          <w:rFonts w:ascii="Verdana" w:hAnsi="Verdana"/>
          <w:sz w:val="18"/>
        </w:rPr>
        <w:footnoteReference w:id="2"/>
      </w:r>
      <w:r w:rsidRPr="00FC1AD0">
        <w:rPr>
          <w:rFonts w:ascii="Verdana" w:hAnsi="Verdana"/>
          <w:sz w:val="18"/>
        </w:rPr>
        <w:t xml:space="preserve"> </w:t>
      </w:r>
    </w:p>
    <w:p w:rsidRPr="00FC1AD0" w:rsidR="005A174F" w:rsidP="005A174F" w:rsidRDefault="001F7C3F" w14:paraId="49673C94" w14:textId="2BFAC649">
      <w:pPr>
        <w:ind w:left="10" w:right="9"/>
        <w:rPr>
          <w:rFonts w:ascii="Verdana" w:hAnsi="Verdana"/>
          <w:sz w:val="18"/>
        </w:rPr>
      </w:pPr>
      <w:r w:rsidRPr="00FC1AD0">
        <w:rPr>
          <w:rFonts w:ascii="Verdana" w:hAnsi="Verdana"/>
          <w:sz w:val="18"/>
        </w:rPr>
        <w:t xml:space="preserve">Op basis van </w:t>
      </w:r>
      <w:r w:rsidRPr="00FC1AD0" w:rsidR="0099484A">
        <w:rPr>
          <w:rFonts w:ascii="Verdana" w:hAnsi="Verdana"/>
          <w:sz w:val="18"/>
        </w:rPr>
        <w:t xml:space="preserve">deze wet is het mogelijk dat partijen in </w:t>
      </w:r>
      <w:r w:rsidR="003F129B">
        <w:rPr>
          <w:rFonts w:ascii="Verdana" w:hAnsi="Verdana"/>
          <w:sz w:val="18"/>
        </w:rPr>
        <w:t xml:space="preserve">de meeste internationale handelsgeschillen </w:t>
      </w:r>
      <w:r w:rsidRPr="00FC1AD0" w:rsidR="0099484A">
        <w:rPr>
          <w:rFonts w:ascii="Verdana" w:hAnsi="Verdana"/>
          <w:sz w:val="18"/>
        </w:rPr>
        <w:t xml:space="preserve">, niet-zijnde kantonzaken, in de Engelse taal procederen en een Engelstalige uitspraak verkrijgen, mits dit uitdrukkelijk </w:t>
      </w:r>
      <w:r w:rsidRPr="00FC1AD0" w:rsidR="003D545F">
        <w:rPr>
          <w:rFonts w:ascii="Verdana" w:hAnsi="Verdana"/>
          <w:sz w:val="18"/>
        </w:rPr>
        <w:t xml:space="preserve">tussen partijen </w:t>
      </w:r>
      <w:r w:rsidRPr="00FC1AD0" w:rsidR="0099484A">
        <w:rPr>
          <w:rFonts w:ascii="Verdana" w:hAnsi="Verdana"/>
          <w:sz w:val="18"/>
        </w:rPr>
        <w:t>is overeengekomen.</w:t>
      </w:r>
      <w:r w:rsidR="003F129B">
        <w:rPr>
          <w:rStyle w:val="Voetnootmarkering"/>
          <w:rFonts w:ascii="Verdana" w:hAnsi="Verdana"/>
          <w:sz w:val="18"/>
        </w:rPr>
        <w:footnoteReference w:id="3"/>
      </w:r>
      <w:r w:rsidRPr="00FC1AD0" w:rsidR="0099484A">
        <w:rPr>
          <w:rFonts w:ascii="Verdana" w:hAnsi="Verdana"/>
          <w:sz w:val="18"/>
        </w:rPr>
        <w:t xml:space="preserve"> </w:t>
      </w:r>
      <w:r w:rsidRPr="00FC1AD0" w:rsidR="003D545F">
        <w:rPr>
          <w:rFonts w:ascii="Verdana" w:hAnsi="Verdana"/>
          <w:sz w:val="18"/>
        </w:rPr>
        <w:t xml:space="preserve">Om </w:t>
      </w:r>
      <w:r w:rsidRPr="00FC1AD0" w:rsidR="0099484A">
        <w:rPr>
          <w:rFonts w:ascii="Verdana" w:hAnsi="Verdana"/>
          <w:sz w:val="18"/>
        </w:rPr>
        <w:t xml:space="preserve">deze voorziening budgetneutraal </w:t>
      </w:r>
      <w:r w:rsidRPr="00FC1AD0" w:rsidR="003D545F">
        <w:rPr>
          <w:rFonts w:ascii="Verdana" w:hAnsi="Verdana"/>
          <w:sz w:val="18"/>
        </w:rPr>
        <w:t>aan te bieden is voorzien in een hoger griffierecht</w:t>
      </w:r>
      <w:r w:rsidRPr="00FC1AD0" w:rsidR="0099484A">
        <w:rPr>
          <w:rFonts w:ascii="Verdana" w:hAnsi="Verdana"/>
          <w:sz w:val="18"/>
        </w:rPr>
        <w:t xml:space="preserve">. </w:t>
      </w:r>
      <w:r w:rsidRPr="00FC1AD0" w:rsidR="008D3BAE">
        <w:rPr>
          <w:rFonts w:ascii="Verdana" w:hAnsi="Verdana"/>
          <w:sz w:val="18"/>
        </w:rPr>
        <w:t xml:space="preserve">De rechtspraak ging er op basis van onderzoek vanuit dat </w:t>
      </w:r>
      <w:r w:rsidRPr="00FC1AD0" w:rsidR="003D545F">
        <w:rPr>
          <w:rFonts w:ascii="Verdana" w:hAnsi="Verdana"/>
          <w:kern w:val="0"/>
          <w:sz w:val="18"/>
          <w14:ligatures w14:val="none"/>
        </w:rPr>
        <w:t xml:space="preserve">partijen met name bij complexe zaken die bij andere handelskamers veel tijd en inzet vergen </w:t>
      </w:r>
      <w:r w:rsidRPr="00FC1AD0" w:rsidR="008D3BAE">
        <w:rPr>
          <w:rFonts w:ascii="Verdana" w:hAnsi="Verdana"/>
          <w:kern w:val="0"/>
          <w:sz w:val="18"/>
          <w14:ligatures w14:val="none"/>
        </w:rPr>
        <w:t xml:space="preserve">zouden </w:t>
      </w:r>
      <w:r w:rsidRPr="00FC1AD0" w:rsidR="003D545F">
        <w:rPr>
          <w:rFonts w:ascii="Verdana" w:hAnsi="Verdana"/>
          <w:kern w:val="0"/>
          <w:sz w:val="18"/>
          <w14:ligatures w14:val="none"/>
        </w:rPr>
        <w:t>kiezen voor de NCC</w:t>
      </w:r>
      <w:r w:rsidRPr="00FC1AD0" w:rsidR="008D3BAE">
        <w:rPr>
          <w:rFonts w:ascii="Verdana" w:hAnsi="Verdana"/>
          <w:kern w:val="0"/>
          <w:sz w:val="18"/>
          <w14:ligatures w14:val="none"/>
        </w:rPr>
        <w:t>. D</w:t>
      </w:r>
      <w:r w:rsidRPr="00FC1AD0" w:rsidR="0099484A">
        <w:rPr>
          <w:rFonts w:ascii="Verdana" w:hAnsi="Verdana"/>
          <w:sz w:val="18"/>
        </w:rPr>
        <w:t xml:space="preserve">eze nieuwe voorziening </w:t>
      </w:r>
      <w:r w:rsidRPr="00FC1AD0" w:rsidR="008D3BAE">
        <w:rPr>
          <w:rFonts w:ascii="Verdana" w:hAnsi="Verdana"/>
          <w:sz w:val="18"/>
        </w:rPr>
        <w:t xml:space="preserve">zou daarmee </w:t>
      </w:r>
      <w:r w:rsidRPr="00FC1AD0" w:rsidR="0099484A">
        <w:rPr>
          <w:rFonts w:ascii="Verdana" w:hAnsi="Verdana"/>
          <w:sz w:val="18"/>
        </w:rPr>
        <w:t xml:space="preserve">de reguliere handelskamers binnen de rechtspraak </w:t>
      </w:r>
      <w:r w:rsidRPr="00FC1AD0" w:rsidR="003D545F">
        <w:rPr>
          <w:rFonts w:ascii="Verdana" w:hAnsi="Verdana"/>
          <w:sz w:val="18"/>
        </w:rPr>
        <w:t xml:space="preserve">kunnen </w:t>
      </w:r>
      <w:r w:rsidRPr="00FC1AD0" w:rsidR="0099484A">
        <w:rPr>
          <w:rFonts w:ascii="Verdana" w:hAnsi="Verdana"/>
          <w:sz w:val="18"/>
        </w:rPr>
        <w:t xml:space="preserve">ontlasten. </w:t>
      </w:r>
      <w:r w:rsidRPr="00FC1AD0" w:rsidR="005A174F">
        <w:rPr>
          <w:rFonts w:ascii="Verdana" w:hAnsi="Verdana"/>
          <w:sz w:val="18"/>
        </w:rPr>
        <w:t xml:space="preserve">Er is een periode van tien jaar uitgetrokken om deze handelskamers volledig te laten ontwikkelen en hun beoogde rol binnen het rechtsbestel te vervullen. De toenmalige minister voor Rechtsbescherming heeft tijdens de behandeling in de Eerste Kamer toegezegd aan het lid Duthler (VVD) om vijf jaar na inwerkingtreding van de wet NCC een tussenevaluatie te doen. De differentiatie van griffierechten maakt deel uit van deze tussenevaluatie. </w:t>
      </w:r>
    </w:p>
    <w:p w:rsidRPr="00FC1AD0" w:rsidR="008308F8" w:rsidP="00FC1AD0" w:rsidRDefault="008308F8" w14:paraId="1A818403" w14:textId="43946159">
      <w:pPr>
        <w:ind w:left="10" w:right="9"/>
        <w:rPr>
          <w:rFonts w:ascii="Verdana" w:hAnsi="Verdana"/>
          <w:kern w:val="0"/>
          <w:sz w:val="18"/>
          <w14:ligatures w14:val="none"/>
        </w:rPr>
      </w:pPr>
      <w:r w:rsidRPr="00FC1AD0">
        <w:rPr>
          <w:rFonts w:ascii="Verdana" w:hAnsi="Verdana"/>
          <w:sz w:val="18"/>
        </w:rPr>
        <w:t xml:space="preserve">Tevens </w:t>
      </w:r>
      <w:r w:rsidRPr="00FC1AD0" w:rsidR="003D545F">
        <w:rPr>
          <w:rFonts w:ascii="Verdana" w:hAnsi="Verdana"/>
          <w:sz w:val="18"/>
        </w:rPr>
        <w:t xml:space="preserve">is indertijd </w:t>
      </w:r>
      <w:r w:rsidRPr="00FC1AD0">
        <w:rPr>
          <w:rFonts w:ascii="Verdana" w:hAnsi="Verdana"/>
          <w:sz w:val="18"/>
        </w:rPr>
        <w:t xml:space="preserve">toegezegd aan de leden Andriessen (D66), Duthler (VVD) en </w:t>
      </w:r>
      <w:proofErr w:type="spellStart"/>
      <w:r w:rsidRPr="00FC1AD0">
        <w:rPr>
          <w:rFonts w:ascii="Verdana" w:hAnsi="Verdana"/>
          <w:sz w:val="18"/>
        </w:rPr>
        <w:t>Lokin</w:t>
      </w:r>
      <w:proofErr w:type="spellEnd"/>
      <w:r w:rsidRPr="00FC1AD0">
        <w:rPr>
          <w:rFonts w:ascii="Verdana" w:hAnsi="Verdana"/>
          <w:sz w:val="18"/>
        </w:rPr>
        <w:t xml:space="preserve">-Sassen (CDA) dat financiële meevallers bij de rechtspraak door het NCC(A) zullen worden besteed aan een </w:t>
      </w:r>
      <w:r w:rsidRPr="00FC1AD0">
        <w:rPr>
          <w:rFonts w:ascii="Verdana" w:hAnsi="Verdana"/>
          <w:kern w:val="0"/>
          <w:sz w:val="18"/>
          <w14:ligatures w14:val="none"/>
        </w:rPr>
        <w:t xml:space="preserve">eventuele verlaging van de griffierechten of aan de rechtspraak en niet ten bate komen aan de Justitiebegroting. Aan de leden Andriessen (D66), Bikker (ChristenUnie) en Wezel (SP) </w:t>
      </w:r>
      <w:r w:rsidRPr="00FC1AD0" w:rsidR="001F7C3F">
        <w:rPr>
          <w:rFonts w:ascii="Verdana" w:hAnsi="Verdana"/>
          <w:kern w:val="0"/>
          <w:sz w:val="18"/>
          <w14:ligatures w14:val="none"/>
        </w:rPr>
        <w:t xml:space="preserve">is </w:t>
      </w:r>
      <w:r w:rsidRPr="00FC1AD0">
        <w:rPr>
          <w:rFonts w:ascii="Verdana" w:hAnsi="Verdana"/>
          <w:kern w:val="0"/>
          <w:sz w:val="18"/>
          <w14:ligatures w14:val="none"/>
        </w:rPr>
        <w:t xml:space="preserve">toegezegd te zullen verkennen welke behoefte er bestaat bij andere gerechten, zoals de maritieme kamer bij de rechtbank Rotterdam en het Gemeenschappelijk Hof van Justitie van Aruba, Curaçao, Sint Maarten en van Bonaire, Sint Eustatius en Saba </w:t>
      </w:r>
      <w:r w:rsidRPr="00FC1AD0" w:rsidR="002E61B0">
        <w:rPr>
          <w:rFonts w:ascii="Verdana" w:hAnsi="Verdana"/>
          <w:kern w:val="0"/>
          <w:sz w:val="18"/>
          <w14:ligatures w14:val="none"/>
        </w:rPr>
        <w:t xml:space="preserve">(hierna: het Gemeenschappelijk Hof) </w:t>
      </w:r>
      <w:r w:rsidRPr="00FC1AD0">
        <w:rPr>
          <w:rFonts w:ascii="Verdana" w:hAnsi="Verdana"/>
          <w:kern w:val="0"/>
          <w:sz w:val="18"/>
          <w14:ligatures w14:val="none"/>
        </w:rPr>
        <w:t>om volledig Engelstalige procedures te hanteren.</w:t>
      </w:r>
      <w:r w:rsidRPr="00FC1AD0" w:rsidR="00F66DBA">
        <w:rPr>
          <w:rFonts w:ascii="Verdana" w:hAnsi="Verdana"/>
          <w:kern w:val="0"/>
          <w:sz w:val="18"/>
          <w14:ligatures w14:val="none"/>
        </w:rPr>
        <w:t xml:space="preserve"> </w:t>
      </w:r>
    </w:p>
    <w:p w:rsidRPr="00FC1AD0" w:rsidR="00C87B27" w:rsidP="00FC1AD0" w:rsidRDefault="003D545F" w14:paraId="7613705A" w14:textId="098407F0">
      <w:pPr>
        <w:ind w:left="10" w:right="9"/>
        <w:rPr>
          <w:rFonts w:ascii="Verdana" w:hAnsi="Verdana"/>
          <w:sz w:val="18"/>
        </w:rPr>
      </w:pPr>
      <w:r w:rsidRPr="00FC1AD0">
        <w:rPr>
          <w:rFonts w:ascii="Verdana" w:hAnsi="Verdana"/>
          <w:sz w:val="18"/>
        </w:rPr>
        <w:t xml:space="preserve">De tussenevaluatie is uitbesteed aan het Wetenschappelijk Onderzoeks- en </w:t>
      </w:r>
      <w:r w:rsidRPr="00FC1AD0" w:rsidR="00F913DD">
        <w:rPr>
          <w:rFonts w:ascii="Verdana" w:hAnsi="Verdana"/>
          <w:sz w:val="18"/>
        </w:rPr>
        <w:t>D</w:t>
      </w:r>
      <w:r w:rsidRPr="00FC1AD0">
        <w:rPr>
          <w:rFonts w:ascii="Verdana" w:hAnsi="Verdana"/>
          <w:sz w:val="18"/>
        </w:rPr>
        <w:t xml:space="preserve">atacentrum  (WODC) van het ministerie van Justitie en Veiligheid. </w:t>
      </w:r>
      <w:r w:rsidRPr="00FC1AD0" w:rsidR="009D1C28">
        <w:rPr>
          <w:rFonts w:ascii="Verdana" w:hAnsi="Verdana"/>
          <w:sz w:val="18"/>
        </w:rPr>
        <w:t xml:space="preserve">Op 9 september 2025 </w:t>
      </w:r>
      <w:r w:rsidRPr="00FC1AD0" w:rsidR="00393A00">
        <w:rPr>
          <w:rFonts w:ascii="Verdana" w:hAnsi="Verdana"/>
          <w:sz w:val="18"/>
        </w:rPr>
        <w:t xml:space="preserve">heeft het WODC </w:t>
      </w:r>
      <w:r w:rsidRPr="00FC1AD0" w:rsidR="009D1C28">
        <w:rPr>
          <w:rFonts w:ascii="Verdana" w:hAnsi="Verdana"/>
          <w:sz w:val="18"/>
        </w:rPr>
        <w:t>de tussenevaluatie van de Wet N</w:t>
      </w:r>
      <w:r w:rsidRPr="00FC1AD0" w:rsidR="008308F8">
        <w:rPr>
          <w:rFonts w:ascii="Verdana" w:hAnsi="Verdana"/>
          <w:sz w:val="18"/>
        </w:rPr>
        <w:t>CC afgerond</w:t>
      </w:r>
      <w:r w:rsidRPr="00FC1AD0">
        <w:rPr>
          <w:rFonts w:ascii="Verdana" w:hAnsi="Verdana"/>
          <w:sz w:val="18"/>
        </w:rPr>
        <w:t xml:space="preserve"> en het rapport aangeboden aan het ministerie als opdrachtgever</w:t>
      </w:r>
      <w:r w:rsidRPr="00FC1AD0" w:rsidR="009D1C28">
        <w:rPr>
          <w:rFonts w:ascii="Verdana" w:hAnsi="Verdana"/>
          <w:sz w:val="18"/>
        </w:rPr>
        <w:t>.</w:t>
      </w:r>
      <w:r w:rsidRPr="00FC1AD0">
        <w:rPr>
          <w:rFonts w:ascii="Verdana" w:hAnsi="Verdana"/>
          <w:sz w:val="18"/>
        </w:rPr>
        <w:t xml:space="preserve"> </w:t>
      </w:r>
      <w:r w:rsidRPr="00FC1AD0" w:rsidR="005A174F">
        <w:rPr>
          <w:rFonts w:ascii="Verdana" w:hAnsi="Verdana"/>
          <w:sz w:val="18"/>
        </w:rPr>
        <w:t>Dit onderzoek biedt</w:t>
      </w:r>
      <w:r w:rsidRPr="00FC1AD0" w:rsidR="00C115B0">
        <w:rPr>
          <w:rFonts w:ascii="Verdana" w:hAnsi="Verdana"/>
          <w:sz w:val="18"/>
        </w:rPr>
        <w:t>,</w:t>
      </w:r>
      <w:r w:rsidRPr="00FC1AD0" w:rsidR="008308F8">
        <w:rPr>
          <w:rFonts w:ascii="Verdana" w:hAnsi="Verdana"/>
          <w:sz w:val="18"/>
        </w:rPr>
        <w:t xml:space="preserve"> halverwege de periode van tien jaar </w:t>
      </w:r>
      <w:r w:rsidRPr="00FC1AD0" w:rsidR="00AF7A01">
        <w:rPr>
          <w:rFonts w:ascii="Verdana" w:hAnsi="Verdana"/>
          <w:sz w:val="18"/>
        </w:rPr>
        <w:t xml:space="preserve">die is afgesproken </w:t>
      </w:r>
      <w:r w:rsidRPr="00FC1AD0" w:rsidR="008308F8">
        <w:rPr>
          <w:rFonts w:ascii="Verdana" w:hAnsi="Verdana"/>
          <w:sz w:val="18"/>
        </w:rPr>
        <w:t xml:space="preserve">om </w:t>
      </w:r>
      <w:r w:rsidRPr="00FC1AD0" w:rsidR="00AF7A01">
        <w:rPr>
          <w:rFonts w:ascii="Verdana" w:hAnsi="Verdana"/>
          <w:sz w:val="18"/>
        </w:rPr>
        <w:t xml:space="preserve">het NCC </w:t>
      </w:r>
      <w:r w:rsidRPr="00FC1AD0" w:rsidR="008308F8">
        <w:rPr>
          <w:rFonts w:ascii="Verdana" w:hAnsi="Verdana"/>
          <w:sz w:val="18"/>
        </w:rPr>
        <w:t xml:space="preserve">tot volledige ontwikkeling te </w:t>
      </w:r>
      <w:r w:rsidRPr="00FC1AD0" w:rsidR="00AF7A01">
        <w:rPr>
          <w:rFonts w:ascii="Verdana" w:hAnsi="Verdana"/>
          <w:sz w:val="18"/>
        </w:rPr>
        <w:t xml:space="preserve">laten </w:t>
      </w:r>
      <w:r w:rsidRPr="00FC1AD0" w:rsidR="008308F8">
        <w:rPr>
          <w:rFonts w:ascii="Verdana" w:hAnsi="Verdana"/>
          <w:sz w:val="18"/>
        </w:rPr>
        <w:t>komen</w:t>
      </w:r>
      <w:r w:rsidRPr="00FC1AD0" w:rsidR="00C115B0">
        <w:rPr>
          <w:rFonts w:ascii="Verdana" w:hAnsi="Verdana"/>
          <w:sz w:val="18"/>
        </w:rPr>
        <w:t>,</w:t>
      </w:r>
      <w:r w:rsidRPr="00FC1AD0" w:rsidR="008308F8">
        <w:rPr>
          <w:rFonts w:ascii="Verdana" w:hAnsi="Verdana"/>
          <w:sz w:val="18"/>
        </w:rPr>
        <w:t xml:space="preserve"> een blik op de</w:t>
      </w:r>
      <w:r w:rsidRPr="00FC1AD0" w:rsidR="00AF7A01">
        <w:rPr>
          <w:rFonts w:ascii="Verdana" w:hAnsi="Verdana"/>
          <w:sz w:val="18"/>
        </w:rPr>
        <w:t xml:space="preserve"> </w:t>
      </w:r>
      <w:r w:rsidRPr="00FC1AD0" w:rsidR="005A174F">
        <w:rPr>
          <w:rFonts w:ascii="Verdana" w:hAnsi="Verdana"/>
          <w:sz w:val="18"/>
        </w:rPr>
        <w:t xml:space="preserve">ontwikkeling van </w:t>
      </w:r>
      <w:r w:rsidRPr="00FC1AD0" w:rsidR="00C87B27">
        <w:rPr>
          <w:rFonts w:ascii="Verdana" w:hAnsi="Verdana"/>
          <w:sz w:val="18"/>
        </w:rPr>
        <w:t xml:space="preserve">de </w:t>
      </w:r>
      <w:r w:rsidRPr="00FC1AD0" w:rsidR="005A174F">
        <w:rPr>
          <w:rFonts w:ascii="Verdana" w:hAnsi="Verdana"/>
          <w:sz w:val="18"/>
        </w:rPr>
        <w:t>Netherlands Commercial Court</w:t>
      </w:r>
      <w:r w:rsidRPr="00FC1AD0">
        <w:rPr>
          <w:rFonts w:ascii="Verdana" w:hAnsi="Verdana"/>
          <w:sz w:val="18"/>
        </w:rPr>
        <w:t xml:space="preserve"> in de eerste jaren</w:t>
      </w:r>
      <w:r w:rsidRPr="00FC1AD0" w:rsidR="005A174F">
        <w:rPr>
          <w:rFonts w:ascii="Verdana" w:hAnsi="Verdana"/>
          <w:sz w:val="18"/>
        </w:rPr>
        <w:t xml:space="preserve">. </w:t>
      </w:r>
      <w:r w:rsidRPr="00FC1AD0" w:rsidR="00C87B27">
        <w:rPr>
          <w:rFonts w:ascii="Verdana" w:hAnsi="Verdana"/>
          <w:sz w:val="18"/>
        </w:rPr>
        <w:t xml:space="preserve">De evaluatie ‘De Netherlands Commercial Court, een tussenbalans in de opstartfase’ richt zich op de instroom in de periode van 2019 tot en met 31 december 2024. </w:t>
      </w:r>
      <w:r w:rsidRPr="00FC1AD0" w:rsidR="00393A00">
        <w:rPr>
          <w:rFonts w:ascii="Verdana" w:hAnsi="Verdana"/>
          <w:sz w:val="18"/>
        </w:rPr>
        <w:t xml:space="preserve">De tussenevaluatie wordt als bijlage meegestuurd. </w:t>
      </w:r>
    </w:p>
    <w:p w:rsidRPr="00FC1AD0" w:rsidR="008752E5" w:rsidP="00FC1AD0" w:rsidRDefault="003D545F" w14:paraId="7F1221BF" w14:textId="2586B513">
      <w:pPr>
        <w:ind w:left="10" w:right="9"/>
        <w:rPr>
          <w:rFonts w:ascii="Verdana" w:hAnsi="Verdana"/>
          <w:sz w:val="18"/>
        </w:rPr>
      </w:pPr>
      <w:r w:rsidRPr="00FC1AD0">
        <w:rPr>
          <w:rFonts w:ascii="Verdana" w:hAnsi="Verdana"/>
          <w:sz w:val="18"/>
        </w:rPr>
        <w:t xml:space="preserve">Gelet op het feit dat het een tussenevaluatie betreft geven </w:t>
      </w:r>
      <w:r w:rsidRPr="00FC1AD0" w:rsidR="00C87B27">
        <w:rPr>
          <w:rFonts w:ascii="Verdana" w:hAnsi="Verdana"/>
          <w:sz w:val="18"/>
        </w:rPr>
        <w:t xml:space="preserve">de onderzoekers </w:t>
      </w:r>
      <w:r w:rsidRPr="00FC1AD0">
        <w:rPr>
          <w:rFonts w:ascii="Verdana" w:hAnsi="Verdana"/>
          <w:sz w:val="18"/>
        </w:rPr>
        <w:t>g</w:t>
      </w:r>
      <w:r w:rsidRPr="00FC1AD0" w:rsidR="00C87B27">
        <w:rPr>
          <w:rFonts w:ascii="Verdana" w:hAnsi="Verdana"/>
          <w:sz w:val="18"/>
        </w:rPr>
        <w:t xml:space="preserve">een eindoordeel over de effectiviteit of impact van de nieuwe voorziening. </w:t>
      </w:r>
      <w:r w:rsidRPr="00FC1AD0">
        <w:rPr>
          <w:rFonts w:ascii="Verdana" w:hAnsi="Verdana"/>
          <w:sz w:val="18"/>
        </w:rPr>
        <w:t xml:space="preserve">Zij beogen </w:t>
      </w:r>
      <w:r w:rsidRPr="00FC1AD0" w:rsidR="00C87B27">
        <w:rPr>
          <w:rFonts w:ascii="Verdana" w:hAnsi="Verdana"/>
          <w:sz w:val="18"/>
        </w:rPr>
        <w:t xml:space="preserve">met deze tussenevaluatie </w:t>
      </w:r>
      <w:r w:rsidRPr="00FC1AD0" w:rsidR="00102E19">
        <w:rPr>
          <w:rFonts w:ascii="Verdana" w:hAnsi="Verdana"/>
          <w:sz w:val="18"/>
        </w:rPr>
        <w:t xml:space="preserve">slechts </w:t>
      </w:r>
      <w:r w:rsidRPr="00FC1AD0" w:rsidR="00C87B27">
        <w:rPr>
          <w:rFonts w:ascii="Verdana" w:hAnsi="Verdana"/>
          <w:sz w:val="18"/>
        </w:rPr>
        <w:t>inzicht</w:t>
      </w:r>
      <w:r w:rsidRPr="00FC1AD0">
        <w:rPr>
          <w:rFonts w:ascii="Verdana" w:hAnsi="Verdana"/>
          <w:sz w:val="18"/>
        </w:rPr>
        <w:t xml:space="preserve"> te bieden</w:t>
      </w:r>
      <w:r w:rsidRPr="00FC1AD0" w:rsidR="00C87B27">
        <w:rPr>
          <w:rFonts w:ascii="Verdana" w:hAnsi="Verdana"/>
          <w:sz w:val="18"/>
        </w:rPr>
        <w:t xml:space="preserve"> in de mate waarin de beoogde werking van de wet zich tot dusverre in de praktijk begint af te tekenen, en</w:t>
      </w:r>
      <w:r w:rsidRPr="00FC1AD0" w:rsidR="00F913DD">
        <w:rPr>
          <w:rFonts w:ascii="Verdana" w:hAnsi="Verdana"/>
          <w:sz w:val="18"/>
        </w:rPr>
        <w:t xml:space="preserve"> er</w:t>
      </w:r>
      <w:r w:rsidRPr="00FC1AD0" w:rsidR="00C87B27">
        <w:rPr>
          <w:rFonts w:ascii="Verdana" w:hAnsi="Verdana"/>
          <w:sz w:val="18"/>
        </w:rPr>
        <w:t xml:space="preserve"> is vooruitgeblikt op mogelijke ontwikkelingen in de </w:t>
      </w:r>
      <w:r w:rsidRPr="00FC1AD0">
        <w:rPr>
          <w:rFonts w:ascii="Verdana" w:hAnsi="Verdana"/>
          <w:sz w:val="18"/>
        </w:rPr>
        <w:t>volgende vijf jaar</w:t>
      </w:r>
      <w:r w:rsidRPr="00FC1AD0" w:rsidR="00C87B27">
        <w:rPr>
          <w:rFonts w:ascii="Verdana" w:hAnsi="Verdana"/>
          <w:sz w:val="18"/>
        </w:rPr>
        <w:t xml:space="preserve">. De tussenstand laat zien dat </w:t>
      </w:r>
      <w:r w:rsidRPr="00FC1AD0" w:rsidR="004015DE">
        <w:rPr>
          <w:rFonts w:ascii="Verdana" w:hAnsi="Verdana"/>
          <w:sz w:val="18"/>
        </w:rPr>
        <w:t>d</w:t>
      </w:r>
      <w:r w:rsidRPr="00FC1AD0" w:rsidR="00C87B27">
        <w:rPr>
          <w:rFonts w:ascii="Verdana" w:hAnsi="Verdana"/>
          <w:sz w:val="18"/>
        </w:rPr>
        <w:t xml:space="preserve">e </w:t>
      </w:r>
      <w:r w:rsidRPr="00FC1AD0" w:rsidR="00EF57B1">
        <w:rPr>
          <w:rFonts w:ascii="Verdana" w:hAnsi="Verdana"/>
          <w:sz w:val="18"/>
        </w:rPr>
        <w:t>voorziening</w:t>
      </w:r>
      <w:r w:rsidRPr="00FC1AD0" w:rsidR="00102E19">
        <w:rPr>
          <w:rFonts w:ascii="Verdana" w:hAnsi="Verdana"/>
          <w:sz w:val="18"/>
        </w:rPr>
        <w:t>en</w:t>
      </w:r>
      <w:r w:rsidRPr="00FC1AD0" w:rsidR="00EF57B1">
        <w:rPr>
          <w:rFonts w:ascii="Verdana" w:hAnsi="Verdana"/>
          <w:sz w:val="18"/>
        </w:rPr>
        <w:t xml:space="preserve"> in eerste aanleg (</w:t>
      </w:r>
      <w:r w:rsidRPr="00FC1AD0" w:rsidR="00C87B27">
        <w:rPr>
          <w:rFonts w:ascii="Verdana" w:hAnsi="Verdana"/>
          <w:sz w:val="18"/>
        </w:rPr>
        <w:t>NCC</w:t>
      </w:r>
      <w:r w:rsidRPr="00FC1AD0" w:rsidR="00EF57B1">
        <w:rPr>
          <w:rFonts w:ascii="Verdana" w:hAnsi="Verdana"/>
          <w:sz w:val="18"/>
        </w:rPr>
        <w:t>)</w:t>
      </w:r>
      <w:r w:rsidRPr="00FC1AD0" w:rsidR="00C87B27">
        <w:rPr>
          <w:rFonts w:ascii="Verdana" w:hAnsi="Verdana"/>
          <w:sz w:val="18"/>
        </w:rPr>
        <w:t xml:space="preserve"> en </w:t>
      </w:r>
      <w:r w:rsidRPr="00FC1AD0" w:rsidR="00EF57B1">
        <w:rPr>
          <w:rFonts w:ascii="Verdana" w:hAnsi="Verdana"/>
          <w:sz w:val="18"/>
        </w:rPr>
        <w:t>in hoger beroep (</w:t>
      </w:r>
      <w:r w:rsidRPr="00FC1AD0" w:rsidR="00C87B27">
        <w:rPr>
          <w:rFonts w:ascii="Verdana" w:hAnsi="Verdana"/>
          <w:sz w:val="18"/>
        </w:rPr>
        <w:t>NCCA</w:t>
      </w:r>
      <w:r w:rsidRPr="00FC1AD0" w:rsidR="00EF57B1">
        <w:rPr>
          <w:rFonts w:ascii="Verdana" w:hAnsi="Verdana"/>
          <w:sz w:val="18"/>
        </w:rPr>
        <w:t>)</w:t>
      </w:r>
      <w:r w:rsidRPr="00FC1AD0" w:rsidR="00C87B27">
        <w:rPr>
          <w:rFonts w:ascii="Verdana" w:hAnsi="Verdana"/>
          <w:sz w:val="18"/>
        </w:rPr>
        <w:t xml:space="preserve"> operationeel  </w:t>
      </w:r>
      <w:r w:rsidRPr="00FC1AD0" w:rsidR="00F913DD">
        <w:rPr>
          <w:rFonts w:ascii="Verdana" w:hAnsi="Verdana"/>
          <w:sz w:val="18"/>
        </w:rPr>
        <w:t xml:space="preserve">zijn </w:t>
      </w:r>
      <w:r w:rsidRPr="00FC1AD0" w:rsidR="00C87B27">
        <w:rPr>
          <w:rFonts w:ascii="Verdana" w:hAnsi="Verdana"/>
          <w:sz w:val="18"/>
        </w:rPr>
        <w:t xml:space="preserve">en hun </w:t>
      </w:r>
      <w:r w:rsidRPr="00FC1AD0" w:rsidR="004015DE">
        <w:rPr>
          <w:rFonts w:ascii="Verdana" w:hAnsi="Verdana"/>
          <w:sz w:val="18"/>
        </w:rPr>
        <w:t xml:space="preserve">(digitale) </w:t>
      </w:r>
      <w:r w:rsidRPr="00FC1AD0" w:rsidR="00C87B27">
        <w:rPr>
          <w:rFonts w:ascii="Verdana" w:hAnsi="Verdana"/>
          <w:sz w:val="18"/>
        </w:rPr>
        <w:t>basisstructuur op orde</w:t>
      </w:r>
      <w:r w:rsidRPr="00FC1AD0" w:rsidR="00F913DD">
        <w:rPr>
          <w:rFonts w:ascii="Verdana" w:hAnsi="Verdana"/>
          <w:sz w:val="18"/>
        </w:rPr>
        <w:t xml:space="preserve"> hebben</w:t>
      </w:r>
      <w:r w:rsidRPr="00FC1AD0" w:rsidR="00C87B27">
        <w:rPr>
          <w:rFonts w:ascii="Verdana" w:hAnsi="Verdana"/>
          <w:sz w:val="18"/>
        </w:rPr>
        <w:t>. Tegelijkertijd constateren de</w:t>
      </w:r>
      <w:r w:rsidR="00C87B27">
        <w:t xml:space="preserve"> </w:t>
      </w:r>
      <w:r w:rsidRPr="00FC1AD0" w:rsidR="00C87B27">
        <w:rPr>
          <w:rFonts w:ascii="Verdana" w:hAnsi="Verdana"/>
          <w:sz w:val="18"/>
        </w:rPr>
        <w:lastRenderedPageBreak/>
        <w:t xml:space="preserve">onderzoekers </w:t>
      </w:r>
      <w:r w:rsidRPr="00FC1AD0" w:rsidR="008752E5">
        <w:rPr>
          <w:rFonts w:ascii="Verdana" w:hAnsi="Verdana"/>
          <w:sz w:val="18"/>
        </w:rPr>
        <w:t xml:space="preserve">mede op basis van </w:t>
      </w:r>
      <w:r w:rsidRPr="00FC1AD0" w:rsidR="00277207">
        <w:rPr>
          <w:rFonts w:ascii="Verdana" w:hAnsi="Verdana"/>
          <w:sz w:val="18"/>
        </w:rPr>
        <w:t>het aantal en soort zaken</w:t>
      </w:r>
      <w:r w:rsidRPr="00FC1AD0" w:rsidR="008752E5">
        <w:rPr>
          <w:rFonts w:ascii="Verdana" w:hAnsi="Verdana"/>
          <w:sz w:val="18"/>
        </w:rPr>
        <w:t xml:space="preserve"> </w:t>
      </w:r>
      <w:r w:rsidRPr="00FC1AD0" w:rsidR="00C87B27">
        <w:rPr>
          <w:rFonts w:ascii="Verdana" w:hAnsi="Verdana"/>
          <w:sz w:val="18"/>
        </w:rPr>
        <w:t>dat zowel de verwachte maatschappelijke meerwaarde als de budgettaire rechtvaardiging onder druk staan</w:t>
      </w:r>
      <w:r w:rsidRPr="00FC1AD0" w:rsidR="00102E19">
        <w:rPr>
          <w:rFonts w:ascii="Verdana" w:hAnsi="Verdana"/>
          <w:sz w:val="18"/>
        </w:rPr>
        <w:t>: het aantal aangebrachte zaken loopt achter op de verwachtingen</w:t>
      </w:r>
      <w:r w:rsidRPr="00FC1AD0" w:rsidR="00C87B27">
        <w:rPr>
          <w:rFonts w:ascii="Verdana" w:hAnsi="Verdana"/>
          <w:sz w:val="18"/>
        </w:rPr>
        <w:t xml:space="preserve">. </w:t>
      </w:r>
      <w:r w:rsidRPr="00FC1AD0" w:rsidR="004C6DA0">
        <w:rPr>
          <w:rFonts w:ascii="Verdana" w:hAnsi="Verdana"/>
          <w:sz w:val="18"/>
        </w:rPr>
        <w:t xml:space="preserve">De onderzoekers </w:t>
      </w:r>
      <w:r w:rsidRPr="00FC1AD0" w:rsidR="00102E19">
        <w:rPr>
          <w:rFonts w:ascii="Verdana" w:hAnsi="Verdana"/>
          <w:sz w:val="18"/>
        </w:rPr>
        <w:t xml:space="preserve">suggereren </w:t>
      </w:r>
      <w:r w:rsidRPr="00FC1AD0" w:rsidR="004C6DA0">
        <w:rPr>
          <w:rFonts w:ascii="Verdana" w:hAnsi="Verdana"/>
          <w:sz w:val="18"/>
        </w:rPr>
        <w:t xml:space="preserve">dat </w:t>
      </w:r>
      <w:r w:rsidRPr="00FC1AD0" w:rsidR="00102E19">
        <w:rPr>
          <w:rFonts w:ascii="Verdana" w:hAnsi="Verdana"/>
          <w:sz w:val="18"/>
        </w:rPr>
        <w:t xml:space="preserve">dit verklaard kan worden </w:t>
      </w:r>
      <w:r w:rsidRPr="00FC1AD0" w:rsidR="004C6DA0">
        <w:rPr>
          <w:rFonts w:ascii="Verdana" w:hAnsi="Verdana"/>
          <w:sz w:val="18"/>
        </w:rPr>
        <w:t xml:space="preserve">door wijzigingen </w:t>
      </w:r>
      <w:r w:rsidRPr="00FC1AD0" w:rsidR="0033663C">
        <w:rPr>
          <w:rFonts w:ascii="Verdana" w:hAnsi="Verdana"/>
          <w:sz w:val="18"/>
        </w:rPr>
        <w:t xml:space="preserve">die zijn aangebracht </w:t>
      </w:r>
      <w:r w:rsidRPr="00FC1AD0" w:rsidR="004C6DA0">
        <w:rPr>
          <w:rFonts w:ascii="Verdana" w:hAnsi="Verdana"/>
          <w:sz w:val="18"/>
        </w:rPr>
        <w:t>ten aanzien van de oorspronkelijke uitgangspunten</w:t>
      </w:r>
      <w:r w:rsidRPr="00FC1AD0" w:rsidR="0033663C">
        <w:rPr>
          <w:rFonts w:ascii="Verdana" w:hAnsi="Verdana"/>
          <w:sz w:val="18"/>
        </w:rPr>
        <w:t>.</w:t>
      </w:r>
      <w:r w:rsidRPr="00FC1AD0" w:rsidR="004C6DA0">
        <w:rPr>
          <w:rFonts w:ascii="Verdana" w:hAnsi="Verdana"/>
          <w:sz w:val="18"/>
        </w:rPr>
        <w:t xml:space="preserve"> </w:t>
      </w:r>
    </w:p>
    <w:p w:rsidRPr="00FC1AD0" w:rsidR="00C35184" w:rsidP="00C35184" w:rsidRDefault="008752E5" w14:paraId="1AB19185" w14:textId="1E1D1D5F">
      <w:pPr>
        <w:ind w:left="10" w:right="9"/>
        <w:rPr>
          <w:rFonts w:ascii="Verdana" w:hAnsi="Verdana"/>
          <w:sz w:val="18"/>
        </w:rPr>
      </w:pPr>
      <w:r w:rsidRPr="00FC1AD0">
        <w:rPr>
          <w:rFonts w:ascii="Verdana" w:hAnsi="Verdana"/>
          <w:sz w:val="18"/>
        </w:rPr>
        <w:t xml:space="preserve">De tussenevaluatie laat zien dat in de onderzoeksperiode in eerste aanleg in totaal 37 procedures bij de NCC </w:t>
      </w:r>
      <w:r w:rsidRPr="00FC1AD0" w:rsidR="00277207">
        <w:rPr>
          <w:rFonts w:ascii="Verdana" w:hAnsi="Verdana"/>
          <w:sz w:val="18"/>
        </w:rPr>
        <w:t xml:space="preserve">zijn </w:t>
      </w:r>
      <w:r w:rsidRPr="00FC1AD0">
        <w:rPr>
          <w:rFonts w:ascii="Verdana" w:hAnsi="Verdana"/>
          <w:sz w:val="18"/>
        </w:rPr>
        <w:t>gestart.</w:t>
      </w:r>
      <w:r w:rsidR="00FC1AD0">
        <w:rPr>
          <w:rStyle w:val="Voetnootmarkering"/>
          <w:rFonts w:ascii="Verdana" w:hAnsi="Verdana"/>
          <w:sz w:val="18"/>
        </w:rPr>
        <w:footnoteReference w:id="4"/>
      </w:r>
      <w:r w:rsidRPr="00FC1AD0">
        <w:rPr>
          <w:rFonts w:ascii="Verdana" w:hAnsi="Verdana"/>
          <w:sz w:val="18"/>
        </w:rPr>
        <w:t xml:space="preserve"> Het eerste jaar na de ingebruikname op 1 januari 2019 gingen vier procedures van start. In 2020 werden ook vier zaken aangebracht. In 2021 daalde de instroom tot twee procedures. In de laatste twee jaren van de onderzoeksperiode nam het aantal toe: in 2023 werden </w:t>
      </w:r>
      <w:r w:rsidRPr="00FC1AD0" w:rsidR="004015DE">
        <w:rPr>
          <w:rFonts w:ascii="Verdana" w:hAnsi="Verdana"/>
          <w:sz w:val="18"/>
        </w:rPr>
        <w:t xml:space="preserve">twaalf </w:t>
      </w:r>
      <w:r w:rsidRPr="00FC1AD0">
        <w:rPr>
          <w:rFonts w:ascii="Verdana" w:hAnsi="Verdana"/>
          <w:sz w:val="18"/>
        </w:rPr>
        <w:t>zaken gestart en in 2024 tien.</w:t>
      </w:r>
      <w:r w:rsidR="00FC1AD0">
        <w:rPr>
          <w:rStyle w:val="Voetnootmarkering"/>
          <w:rFonts w:ascii="Verdana" w:hAnsi="Verdana"/>
          <w:sz w:val="18"/>
        </w:rPr>
        <w:footnoteReference w:id="5"/>
      </w:r>
      <w:r w:rsidRPr="00FC1AD0" w:rsidR="00C35184">
        <w:rPr>
          <w:rFonts w:ascii="Verdana" w:hAnsi="Verdana"/>
          <w:sz w:val="18"/>
        </w:rPr>
        <w:t xml:space="preserve"> </w:t>
      </w:r>
    </w:p>
    <w:p w:rsidRPr="00FC1AD0" w:rsidR="008752E5" w:rsidP="00FC1AD0" w:rsidRDefault="008752E5" w14:paraId="0E79A9DE" w14:textId="36025659">
      <w:pPr>
        <w:ind w:left="10" w:right="9"/>
        <w:rPr>
          <w:rFonts w:ascii="Verdana" w:hAnsi="Verdana"/>
          <w:sz w:val="18"/>
        </w:rPr>
      </w:pPr>
      <w:r w:rsidRPr="00FC1AD0">
        <w:rPr>
          <w:rFonts w:ascii="Verdana" w:hAnsi="Verdana"/>
          <w:sz w:val="18"/>
        </w:rPr>
        <w:t xml:space="preserve">Binnen de onderzoeksperiode zijn er 23 procedures waar de zaak een inhoudelijke behandeling heeft gekregen en in eerste instantie is afgedaan met een uitspraak. In 17 van de 23 inhoudelijk afgedane procedures (74%) is de zaak in behandeling genomen door een enkelvoudige kamer. In de periode 1 januari 2019 tot en met 31 december 2024 zijn er in totaal zes procedures in hoger beroep van start gegaan bij de NCCA, waarvan één in 2020, één in 2022, drie in 2023 en één in 2024. </w:t>
      </w:r>
      <w:r w:rsidRPr="00FC1AD0" w:rsidR="003E71A0">
        <w:rPr>
          <w:rFonts w:ascii="Verdana" w:hAnsi="Verdana"/>
          <w:sz w:val="18"/>
        </w:rPr>
        <w:t xml:space="preserve">Dat is </w:t>
      </w:r>
      <w:r w:rsidRPr="00FC1AD0" w:rsidR="00447553">
        <w:rPr>
          <w:rFonts w:ascii="Verdana" w:hAnsi="Verdana"/>
          <w:sz w:val="18"/>
        </w:rPr>
        <w:t xml:space="preserve">beduidend </w:t>
      </w:r>
      <w:r w:rsidRPr="00FC1AD0" w:rsidR="003E71A0">
        <w:rPr>
          <w:rFonts w:ascii="Verdana" w:hAnsi="Verdana"/>
          <w:sz w:val="18"/>
        </w:rPr>
        <w:t>minder dan de aanvankelijke schatting in de memorie van toelichting.</w:t>
      </w:r>
      <w:r w:rsidR="00FC1AD0">
        <w:rPr>
          <w:rStyle w:val="Voetnootmarkering"/>
          <w:rFonts w:ascii="Verdana" w:hAnsi="Verdana"/>
          <w:sz w:val="18"/>
        </w:rPr>
        <w:footnoteReference w:id="6"/>
      </w:r>
    </w:p>
    <w:p w:rsidRPr="00FC1AD0" w:rsidR="00322F9E" w:rsidP="00FC1AD0" w:rsidRDefault="00774AB0" w14:paraId="29E936C0" w14:textId="67762B6D">
      <w:pPr>
        <w:ind w:left="10" w:right="9"/>
        <w:rPr>
          <w:rFonts w:ascii="Verdana" w:hAnsi="Verdana"/>
          <w:sz w:val="18"/>
        </w:rPr>
      </w:pPr>
      <w:r w:rsidRPr="00FC1AD0">
        <w:rPr>
          <w:rFonts w:ascii="Verdana" w:hAnsi="Verdana"/>
          <w:sz w:val="18"/>
        </w:rPr>
        <w:t xml:space="preserve">Uit de tussenevaluatie blijkt </w:t>
      </w:r>
      <w:r w:rsidRPr="00FC1AD0" w:rsidR="004F3575">
        <w:rPr>
          <w:rFonts w:ascii="Verdana" w:hAnsi="Verdana"/>
          <w:sz w:val="18"/>
        </w:rPr>
        <w:t xml:space="preserve">op pagina 7 </w:t>
      </w:r>
      <w:r w:rsidRPr="00FC1AD0">
        <w:rPr>
          <w:rFonts w:ascii="Verdana" w:hAnsi="Verdana"/>
          <w:sz w:val="18"/>
        </w:rPr>
        <w:t xml:space="preserve">dat de eerste fase van de aanloopperiode wordt gekenmerkt door lagere ontvangsten </w:t>
      </w:r>
      <w:r w:rsidRPr="00FC1AD0" w:rsidR="009020E4">
        <w:rPr>
          <w:rFonts w:ascii="Verdana" w:hAnsi="Verdana"/>
          <w:sz w:val="18"/>
        </w:rPr>
        <w:t xml:space="preserve">(aan griffierechten) </w:t>
      </w:r>
      <w:r w:rsidRPr="00FC1AD0">
        <w:rPr>
          <w:rFonts w:ascii="Verdana" w:hAnsi="Verdana"/>
          <w:sz w:val="18"/>
        </w:rPr>
        <w:t>dan uitgaven aan de NCC(A). De totale ontvangsten op jaarbasis variëren in deze periode van 70 duizend euro (2021) tot 110 duizend euro (2020) en de totale uitgaven van 487 duizend euro (2021) tot 615 duizend euro (2022) per jaar. In 2022 is het verschil tussen de ontvangsten en uitgaven het grootst. In de twee jaren erna neemt dit verschil echter af, vooral in het jaar 2023, en de afname zet door in 2024. De ontvangsten uit nieuwe zaken en de uitgaven aan ICT springen het meest in het oog. Het aantal zaken nam in deze jaren toe (van 5 zaken in 2022 naar 10 en 12 zaken in respectievelijk 2023 en 2024), en door wijziging van dienstverlener namen de uitgaven aan ICT aanzienlijk af. Vooral de verminderde uitgaven aan ICT heeft bijgedragen aan het verminderen van het verschil tussen de ontvangsten en uitgaven. De balans was in 2024 echter nog wel negatief.</w:t>
      </w:r>
      <w:r w:rsidRPr="00FC1AD0" w:rsidR="00AE6518">
        <w:rPr>
          <w:rFonts w:ascii="Verdana" w:hAnsi="Verdana"/>
          <w:sz w:val="18"/>
        </w:rPr>
        <w:t xml:space="preserve"> Er zijn vooralsnog geen financiële meevallers om toe te wijzen</w:t>
      </w:r>
      <w:r w:rsidRPr="00FC1AD0" w:rsidR="003E71A0">
        <w:rPr>
          <w:rFonts w:ascii="Verdana" w:hAnsi="Verdana"/>
          <w:sz w:val="18"/>
        </w:rPr>
        <w:t>,</w:t>
      </w:r>
      <w:r w:rsidRPr="00FC1AD0" w:rsidR="00AE6518">
        <w:rPr>
          <w:rFonts w:ascii="Verdana" w:hAnsi="Verdana"/>
          <w:sz w:val="18"/>
        </w:rPr>
        <w:t xml:space="preserve"> hetzij aan verlaging van de griffierechten, hetzij ten goede te laten komen aan de rechtspraak. </w:t>
      </w:r>
      <w:r w:rsidRPr="00FC1AD0" w:rsidR="003E71A0">
        <w:rPr>
          <w:rFonts w:ascii="Verdana" w:hAnsi="Verdana"/>
          <w:sz w:val="18"/>
        </w:rPr>
        <w:t xml:space="preserve">In de periode voor de start van de NCC zijn investeringen gedaan zoals bijvoorbeeld </w:t>
      </w:r>
      <w:r w:rsidRPr="00FC1AD0" w:rsidR="009020E4">
        <w:rPr>
          <w:rFonts w:ascii="Verdana" w:hAnsi="Verdana"/>
          <w:sz w:val="18"/>
        </w:rPr>
        <w:t xml:space="preserve">de aanschaf van </w:t>
      </w:r>
      <w:r w:rsidRPr="00FC1AD0" w:rsidR="003E71A0">
        <w:rPr>
          <w:rFonts w:ascii="Verdana" w:hAnsi="Verdana"/>
          <w:sz w:val="18"/>
        </w:rPr>
        <w:t xml:space="preserve">een digitaal systeem. </w:t>
      </w:r>
      <w:r w:rsidRPr="00FC1AD0" w:rsidR="009020E4">
        <w:rPr>
          <w:rFonts w:ascii="Verdana" w:hAnsi="Verdana"/>
          <w:sz w:val="18"/>
        </w:rPr>
        <w:t xml:space="preserve">Ook hier geldt dat de kosten voor de baat uitgaan. </w:t>
      </w:r>
      <w:r w:rsidRPr="00FC1AD0" w:rsidR="003E71A0">
        <w:rPr>
          <w:rFonts w:ascii="Verdana" w:hAnsi="Verdana"/>
          <w:sz w:val="18"/>
        </w:rPr>
        <w:t>De kosten om de NCC</w:t>
      </w:r>
      <w:r w:rsidRPr="00FC1AD0" w:rsidR="00801A2D">
        <w:rPr>
          <w:rFonts w:ascii="Verdana" w:hAnsi="Verdana"/>
          <w:sz w:val="18"/>
        </w:rPr>
        <w:t>(A)</w:t>
      </w:r>
      <w:r w:rsidRPr="00FC1AD0" w:rsidR="009020E4">
        <w:rPr>
          <w:rFonts w:ascii="Verdana" w:hAnsi="Verdana"/>
          <w:sz w:val="18"/>
        </w:rPr>
        <w:t xml:space="preserve"> vervolgens</w:t>
      </w:r>
      <w:r w:rsidRPr="00FC1AD0" w:rsidR="003E71A0">
        <w:rPr>
          <w:rFonts w:ascii="Verdana" w:hAnsi="Verdana"/>
          <w:sz w:val="18"/>
        </w:rPr>
        <w:t xml:space="preserve"> in stand te houden zijn relatief laag</w:t>
      </w:r>
      <w:r w:rsidRPr="00FC1AD0" w:rsidR="00447553">
        <w:rPr>
          <w:rFonts w:ascii="Verdana" w:hAnsi="Verdana"/>
          <w:sz w:val="18"/>
        </w:rPr>
        <w:t>,</w:t>
      </w:r>
      <w:r w:rsidRPr="00FC1AD0" w:rsidR="003E71A0">
        <w:rPr>
          <w:rFonts w:ascii="Verdana" w:hAnsi="Verdana"/>
          <w:sz w:val="18"/>
        </w:rPr>
        <w:t xml:space="preserve"> omdat de </w:t>
      </w:r>
      <w:r w:rsidRPr="00FC1AD0" w:rsidR="00322F9E">
        <w:rPr>
          <w:rFonts w:ascii="Verdana" w:hAnsi="Verdana"/>
          <w:sz w:val="18"/>
        </w:rPr>
        <w:t xml:space="preserve">rechters en medewerkers hun hoofdwerkzaamheden bij een ander gerecht hebben en op afroep beschikbaar zijn </w:t>
      </w:r>
      <w:r w:rsidRPr="00FC1AD0" w:rsidR="00801A2D">
        <w:rPr>
          <w:rFonts w:ascii="Verdana" w:hAnsi="Verdana"/>
          <w:sz w:val="18"/>
        </w:rPr>
        <w:t xml:space="preserve">om </w:t>
      </w:r>
      <w:r w:rsidRPr="00FC1AD0" w:rsidR="00322F9E">
        <w:rPr>
          <w:rFonts w:ascii="Verdana" w:hAnsi="Verdana"/>
          <w:sz w:val="18"/>
        </w:rPr>
        <w:t xml:space="preserve">een zaak </w:t>
      </w:r>
      <w:r w:rsidRPr="00FC1AD0" w:rsidR="005012A6">
        <w:rPr>
          <w:rFonts w:ascii="Verdana" w:hAnsi="Verdana"/>
          <w:sz w:val="18"/>
        </w:rPr>
        <w:t xml:space="preserve">bij </w:t>
      </w:r>
      <w:r w:rsidRPr="00FC1AD0" w:rsidR="00322F9E">
        <w:rPr>
          <w:rFonts w:ascii="Verdana" w:hAnsi="Verdana"/>
          <w:sz w:val="18"/>
        </w:rPr>
        <w:t xml:space="preserve">de NCC(A) </w:t>
      </w:r>
      <w:r w:rsidRPr="00FC1AD0" w:rsidR="00801A2D">
        <w:rPr>
          <w:rFonts w:ascii="Verdana" w:hAnsi="Verdana"/>
          <w:sz w:val="18"/>
        </w:rPr>
        <w:t xml:space="preserve">te behandelen. </w:t>
      </w:r>
    </w:p>
    <w:p w:rsidRPr="00FC1AD0" w:rsidR="00774AB0" w:rsidP="00FC1AD0" w:rsidRDefault="00AE6518" w14:paraId="24499A51" w14:textId="0B7D3DE3">
      <w:pPr>
        <w:ind w:left="10" w:right="9"/>
        <w:rPr>
          <w:rFonts w:ascii="Verdana" w:hAnsi="Verdana"/>
          <w:sz w:val="18"/>
        </w:rPr>
      </w:pPr>
      <w:r w:rsidRPr="00FC1AD0">
        <w:rPr>
          <w:rFonts w:ascii="Verdana" w:hAnsi="Verdana"/>
          <w:sz w:val="18"/>
        </w:rPr>
        <w:t xml:space="preserve">De </w:t>
      </w:r>
      <w:r w:rsidRPr="00FC1AD0" w:rsidR="00146BF0">
        <w:rPr>
          <w:rFonts w:ascii="Verdana" w:hAnsi="Verdana"/>
          <w:sz w:val="18"/>
        </w:rPr>
        <w:t>griffierechten voor behandeling van een zaak bij de NCC</w:t>
      </w:r>
      <w:r w:rsidRPr="00FC1AD0" w:rsidR="001A172A">
        <w:rPr>
          <w:rFonts w:ascii="Verdana" w:hAnsi="Verdana"/>
          <w:sz w:val="18"/>
        </w:rPr>
        <w:t xml:space="preserve"> </w:t>
      </w:r>
      <w:r w:rsidRPr="00FC1AD0" w:rsidR="00146BF0">
        <w:rPr>
          <w:rFonts w:ascii="Verdana" w:hAnsi="Verdana"/>
          <w:sz w:val="18"/>
        </w:rPr>
        <w:t xml:space="preserve">zijn hoger dan </w:t>
      </w:r>
      <w:r w:rsidRPr="00FC1AD0" w:rsidR="0033614E">
        <w:rPr>
          <w:rFonts w:ascii="Verdana" w:hAnsi="Verdana"/>
          <w:sz w:val="18"/>
        </w:rPr>
        <w:t xml:space="preserve">voor behandeling </w:t>
      </w:r>
      <w:r w:rsidRPr="00FC1AD0" w:rsidR="00146BF0">
        <w:rPr>
          <w:rFonts w:ascii="Verdana" w:hAnsi="Verdana"/>
          <w:sz w:val="18"/>
        </w:rPr>
        <w:t xml:space="preserve">bij de reguliere handelskamer van </w:t>
      </w:r>
      <w:r w:rsidRPr="00FC1AD0" w:rsidR="0033614E">
        <w:rPr>
          <w:rFonts w:ascii="Verdana" w:hAnsi="Verdana"/>
          <w:sz w:val="18"/>
        </w:rPr>
        <w:t>een</w:t>
      </w:r>
      <w:r w:rsidRPr="00FC1AD0" w:rsidR="00146BF0">
        <w:rPr>
          <w:rFonts w:ascii="Verdana" w:hAnsi="Verdana"/>
          <w:sz w:val="18"/>
        </w:rPr>
        <w:t xml:space="preserve"> rechtbank. </w:t>
      </w:r>
      <w:r w:rsidRPr="00FC1AD0" w:rsidR="004F3575">
        <w:rPr>
          <w:rFonts w:ascii="Verdana" w:hAnsi="Verdana"/>
          <w:sz w:val="18"/>
        </w:rPr>
        <w:t xml:space="preserve">Uit interviews </w:t>
      </w:r>
      <w:r w:rsidRPr="00FC1AD0" w:rsidR="005012A6">
        <w:rPr>
          <w:rFonts w:ascii="Verdana" w:hAnsi="Verdana"/>
          <w:sz w:val="18"/>
        </w:rPr>
        <w:t xml:space="preserve">die de onderzoekers hebben afgenomen </w:t>
      </w:r>
      <w:r w:rsidRPr="00FC1AD0" w:rsidR="003E71A0">
        <w:rPr>
          <w:rFonts w:ascii="Verdana" w:hAnsi="Verdana"/>
          <w:sz w:val="18"/>
        </w:rPr>
        <w:t xml:space="preserve">blijkt niet dat </w:t>
      </w:r>
      <w:r w:rsidRPr="00FC1AD0" w:rsidR="004F3575">
        <w:rPr>
          <w:rFonts w:ascii="Verdana" w:hAnsi="Verdana"/>
          <w:sz w:val="18"/>
        </w:rPr>
        <w:t>de</w:t>
      </w:r>
      <w:r w:rsidRPr="00FC1AD0" w:rsidR="0033614E">
        <w:rPr>
          <w:rFonts w:ascii="Verdana" w:hAnsi="Verdana"/>
          <w:sz w:val="18"/>
        </w:rPr>
        <w:t xml:space="preserve">ze </w:t>
      </w:r>
      <w:r w:rsidRPr="00FC1AD0" w:rsidR="00146BF0">
        <w:rPr>
          <w:rFonts w:ascii="Verdana" w:hAnsi="Verdana"/>
          <w:sz w:val="18"/>
        </w:rPr>
        <w:t xml:space="preserve">differentiatie </w:t>
      </w:r>
      <w:r w:rsidRPr="00FC1AD0" w:rsidR="004F3575">
        <w:rPr>
          <w:rFonts w:ascii="Verdana" w:hAnsi="Verdana"/>
          <w:sz w:val="18"/>
        </w:rPr>
        <w:t xml:space="preserve">in </w:t>
      </w:r>
      <w:r w:rsidRPr="00FC1AD0" w:rsidR="00146BF0">
        <w:rPr>
          <w:rFonts w:ascii="Verdana" w:hAnsi="Verdana"/>
          <w:sz w:val="18"/>
        </w:rPr>
        <w:t xml:space="preserve">griffierechten </w:t>
      </w:r>
      <w:r w:rsidRPr="00FC1AD0" w:rsidR="005012A6">
        <w:rPr>
          <w:rFonts w:ascii="Verdana" w:hAnsi="Verdana"/>
          <w:sz w:val="18"/>
        </w:rPr>
        <w:t xml:space="preserve">in de praktijk </w:t>
      </w:r>
      <w:r w:rsidRPr="00FC1AD0" w:rsidR="003E71A0">
        <w:rPr>
          <w:rFonts w:ascii="Verdana" w:hAnsi="Verdana"/>
          <w:sz w:val="18"/>
        </w:rPr>
        <w:t xml:space="preserve">als </w:t>
      </w:r>
      <w:r w:rsidRPr="00FC1AD0" w:rsidR="004F3575">
        <w:rPr>
          <w:rFonts w:ascii="Verdana" w:hAnsi="Verdana"/>
          <w:sz w:val="18"/>
        </w:rPr>
        <w:t xml:space="preserve">hindernis </w:t>
      </w:r>
      <w:r w:rsidRPr="00FC1AD0" w:rsidR="003E71A0">
        <w:rPr>
          <w:rFonts w:ascii="Verdana" w:hAnsi="Verdana"/>
          <w:sz w:val="18"/>
        </w:rPr>
        <w:t>wordt ervaren</w:t>
      </w:r>
      <w:r w:rsidRPr="00FC1AD0" w:rsidR="005012A6">
        <w:rPr>
          <w:rFonts w:ascii="Verdana" w:hAnsi="Verdana"/>
          <w:sz w:val="18"/>
        </w:rPr>
        <w:t>. V</w:t>
      </w:r>
      <w:r w:rsidRPr="00FC1AD0" w:rsidR="004F3575">
        <w:rPr>
          <w:rFonts w:ascii="Verdana" w:hAnsi="Verdana"/>
          <w:sz w:val="18"/>
        </w:rPr>
        <w:t xml:space="preserve">oor het aanbrengen van een zaak bij de NCC is volgens de onderzoekers de hoogte van het griffierecht geen </w:t>
      </w:r>
      <w:r w:rsidRPr="00FC1AD0" w:rsidR="0033614E">
        <w:rPr>
          <w:rFonts w:ascii="Verdana" w:hAnsi="Verdana"/>
          <w:sz w:val="18"/>
        </w:rPr>
        <w:t xml:space="preserve">belemmering in vergelijking met de </w:t>
      </w:r>
      <w:r w:rsidRPr="00FC1AD0" w:rsidR="005012A6">
        <w:rPr>
          <w:rFonts w:ascii="Verdana" w:hAnsi="Verdana"/>
          <w:sz w:val="18"/>
        </w:rPr>
        <w:t xml:space="preserve">hoogte van de </w:t>
      </w:r>
      <w:r w:rsidRPr="00FC1AD0" w:rsidR="0033614E">
        <w:rPr>
          <w:rFonts w:ascii="Verdana" w:hAnsi="Verdana"/>
          <w:sz w:val="18"/>
        </w:rPr>
        <w:t>advocaatkosten</w:t>
      </w:r>
      <w:r w:rsidRPr="00FC1AD0" w:rsidR="004F3575">
        <w:rPr>
          <w:rFonts w:ascii="Verdana" w:hAnsi="Verdana"/>
          <w:sz w:val="18"/>
        </w:rPr>
        <w:t xml:space="preserve">. </w:t>
      </w:r>
      <w:r w:rsidRPr="00FC1AD0" w:rsidR="00146BF0">
        <w:rPr>
          <w:rFonts w:ascii="Verdana" w:hAnsi="Verdana"/>
          <w:sz w:val="18"/>
        </w:rPr>
        <w:t xml:space="preserve"> </w:t>
      </w:r>
    </w:p>
    <w:p w:rsidRPr="00FC1AD0" w:rsidR="00277207" w:rsidP="00FC1AD0" w:rsidRDefault="00BA4587" w14:paraId="5B2E7D6E" w14:textId="712D05EE">
      <w:pPr>
        <w:ind w:left="10" w:right="9"/>
        <w:rPr>
          <w:rFonts w:ascii="Verdana" w:hAnsi="Verdana"/>
          <w:sz w:val="18"/>
        </w:rPr>
      </w:pPr>
      <w:r w:rsidRPr="00FC1AD0">
        <w:rPr>
          <w:rFonts w:ascii="Verdana" w:hAnsi="Verdana"/>
          <w:sz w:val="18"/>
        </w:rPr>
        <w:t xml:space="preserve">Voor wat betreft de behoefte aan Engelstalige rechtspraak bij andere gerechtelijke instanties heeft </w:t>
      </w:r>
      <w:r w:rsidRPr="00FC1AD0" w:rsidR="002E61B0">
        <w:rPr>
          <w:rFonts w:ascii="Verdana" w:hAnsi="Verdana"/>
          <w:sz w:val="18"/>
        </w:rPr>
        <w:t xml:space="preserve">het </w:t>
      </w:r>
      <w:r w:rsidRPr="00FC1AD0" w:rsidR="00277207">
        <w:rPr>
          <w:rFonts w:ascii="Verdana" w:hAnsi="Verdana"/>
          <w:sz w:val="18"/>
        </w:rPr>
        <w:t xml:space="preserve">Gemeenschappelijk Hof een modus gevonden </w:t>
      </w:r>
      <w:r w:rsidRPr="00FC1AD0" w:rsidR="00C35184">
        <w:rPr>
          <w:rFonts w:ascii="Verdana" w:hAnsi="Verdana"/>
          <w:sz w:val="18"/>
        </w:rPr>
        <w:t xml:space="preserve">door </w:t>
      </w:r>
      <w:r w:rsidRPr="00FC1AD0" w:rsidR="002E61B0">
        <w:rPr>
          <w:rFonts w:ascii="Verdana" w:hAnsi="Verdana"/>
          <w:sz w:val="18"/>
        </w:rPr>
        <w:t xml:space="preserve">naar gelang de behoefte </w:t>
      </w:r>
      <w:r w:rsidRPr="00FC1AD0">
        <w:rPr>
          <w:rFonts w:ascii="Verdana" w:hAnsi="Verdana"/>
          <w:sz w:val="18"/>
        </w:rPr>
        <w:t xml:space="preserve">van rechtszoekenden </w:t>
      </w:r>
      <w:r w:rsidRPr="00FC1AD0" w:rsidR="002E61B0">
        <w:rPr>
          <w:rFonts w:ascii="Verdana" w:hAnsi="Verdana"/>
          <w:sz w:val="18"/>
        </w:rPr>
        <w:t xml:space="preserve">het Papiaments, </w:t>
      </w:r>
      <w:r w:rsidRPr="00FC1AD0">
        <w:rPr>
          <w:rFonts w:ascii="Verdana" w:hAnsi="Verdana"/>
          <w:sz w:val="18"/>
        </w:rPr>
        <w:t xml:space="preserve">de </w:t>
      </w:r>
      <w:r w:rsidRPr="00FC1AD0" w:rsidR="002E61B0">
        <w:rPr>
          <w:rFonts w:ascii="Verdana" w:hAnsi="Verdana"/>
          <w:sz w:val="18"/>
        </w:rPr>
        <w:t>Engels</w:t>
      </w:r>
      <w:r w:rsidRPr="00FC1AD0">
        <w:rPr>
          <w:rFonts w:ascii="Verdana" w:hAnsi="Verdana"/>
          <w:sz w:val="18"/>
        </w:rPr>
        <w:t>e</w:t>
      </w:r>
      <w:r w:rsidRPr="00FC1AD0" w:rsidR="002E61B0">
        <w:rPr>
          <w:rFonts w:ascii="Verdana" w:hAnsi="Verdana"/>
          <w:sz w:val="18"/>
        </w:rPr>
        <w:t xml:space="preserve"> </w:t>
      </w:r>
      <w:r w:rsidRPr="00FC1AD0">
        <w:rPr>
          <w:rFonts w:ascii="Verdana" w:hAnsi="Verdana"/>
          <w:sz w:val="18"/>
        </w:rPr>
        <w:t>-</w:t>
      </w:r>
      <w:r w:rsidRPr="00FC1AD0" w:rsidR="002E61B0">
        <w:rPr>
          <w:rFonts w:ascii="Verdana" w:hAnsi="Verdana"/>
          <w:sz w:val="18"/>
        </w:rPr>
        <w:t>en</w:t>
      </w:r>
      <w:r w:rsidRPr="00FC1AD0" w:rsidR="005012A6">
        <w:rPr>
          <w:rFonts w:ascii="Verdana" w:hAnsi="Verdana"/>
          <w:sz w:val="18"/>
        </w:rPr>
        <w:t>/of</w:t>
      </w:r>
      <w:r w:rsidRPr="00FC1AD0" w:rsidR="002E61B0">
        <w:rPr>
          <w:rFonts w:ascii="Verdana" w:hAnsi="Verdana"/>
          <w:sz w:val="18"/>
        </w:rPr>
        <w:t xml:space="preserve"> de Nederlandse taal</w:t>
      </w:r>
      <w:r w:rsidRPr="00FC1AD0" w:rsidR="00C35184">
        <w:rPr>
          <w:rFonts w:ascii="Verdana" w:hAnsi="Verdana"/>
          <w:sz w:val="18"/>
        </w:rPr>
        <w:t xml:space="preserve"> te benutten</w:t>
      </w:r>
      <w:r w:rsidRPr="00FC1AD0" w:rsidR="002E61B0">
        <w:rPr>
          <w:rFonts w:ascii="Verdana" w:hAnsi="Verdana"/>
          <w:sz w:val="18"/>
        </w:rPr>
        <w:t xml:space="preserve">. </w:t>
      </w:r>
      <w:r w:rsidRPr="00FC1AD0" w:rsidR="00C35184">
        <w:rPr>
          <w:rFonts w:ascii="Verdana" w:hAnsi="Verdana"/>
          <w:sz w:val="18"/>
        </w:rPr>
        <w:t xml:space="preserve">De maritieme kamer van de rechtbank Rotterdam biedt de mogelijkheid om -op verzoek van partijen- in scheepvaartzaken in het Engels te procederen. Het vonnis is weliswaar in het Nederlands, maar van de uitspraken worden Engelstalige samenvattingen gepubliceerd.  </w:t>
      </w:r>
    </w:p>
    <w:p w:rsidRPr="00FC1AD0" w:rsidR="00C87B27" w:rsidP="00FC1AD0" w:rsidRDefault="00C87B27" w14:paraId="6BCE4D42" w14:textId="0730A78F">
      <w:pPr>
        <w:ind w:left="10" w:right="9"/>
        <w:rPr>
          <w:rFonts w:ascii="Verdana" w:hAnsi="Verdana"/>
          <w:sz w:val="18"/>
        </w:rPr>
      </w:pPr>
      <w:r w:rsidRPr="00FC1AD0">
        <w:rPr>
          <w:rFonts w:ascii="Verdana" w:hAnsi="Verdana"/>
          <w:sz w:val="18"/>
        </w:rPr>
        <w:lastRenderedPageBreak/>
        <w:t xml:space="preserve">Volgens de onderzoekers wijst het verschil tussen de oorspronkelijke aannames en het feitelijke gebruik op een mogelijke behoefte aan bijstelling van de verwachtingen en/of bijsturing op het gebied van positionering, informatievoorziening en eventueel de bevoegdheidsomvang. </w:t>
      </w:r>
      <w:r w:rsidRPr="00FC1AD0" w:rsidR="00EF57B1">
        <w:rPr>
          <w:rFonts w:ascii="Verdana" w:hAnsi="Verdana"/>
          <w:sz w:val="18"/>
        </w:rPr>
        <w:t>De onderzoekers zijn van mening dat zo</w:t>
      </w:r>
      <w:r w:rsidRPr="00FC1AD0">
        <w:rPr>
          <w:rFonts w:ascii="Verdana" w:hAnsi="Verdana"/>
          <w:sz w:val="18"/>
        </w:rPr>
        <w:t>nder gerichte aanpassingen het realiseren van de oorspronkelijke ambities binnen de gestelde randvoorwaarde en aanlooptermijn onzeker</w:t>
      </w:r>
      <w:r w:rsidRPr="00FC1AD0" w:rsidR="00EF57B1">
        <w:rPr>
          <w:rFonts w:ascii="Verdana" w:hAnsi="Verdana"/>
          <w:sz w:val="18"/>
        </w:rPr>
        <w:t xml:space="preserve"> is.</w:t>
      </w:r>
    </w:p>
    <w:p w:rsidRPr="0021621B" w:rsidR="0021621B" w:rsidP="00FC1AD0" w:rsidRDefault="0021621B" w14:paraId="27E1669D" w14:textId="09B6C628">
      <w:pPr>
        <w:ind w:left="10" w:right="9"/>
        <w:rPr>
          <w:rFonts w:ascii="Verdana" w:hAnsi="Verdana"/>
          <w:b/>
          <w:bCs/>
          <w:sz w:val="18"/>
        </w:rPr>
      </w:pPr>
      <w:r w:rsidRPr="0021621B">
        <w:rPr>
          <w:rFonts w:ascii="Verdana" w:hAnsi="Verdana"/>
          <w:b/>
          <w:bCs/>
          <w:sz w:val="18"/>
        </w:rPr>
        <w:t>Appreciatie</w:t>
      </w:r>
    </w:p>
    <w:p w:rsidRPr="00FC1AD0" w:rsidR="00A348E1" w:rsidP="00FC1AD0" w:rsidRDefault="008A7D6F" w14:paraId="708DD49D" w14:textId="38EED0B8">
      <w:pPr>
        <w:ind w:left="10" w:right="9"/>
        <w:rPr>
          <w:rFonts w:ascii="Verdana" w:hAnsi="Verdana"/>
          <w:sz w:val="18"/>
        </w:rPr>
      </w:pPr>
      <w:r w:rsidRPr="00FC1AD0">
        <w:rPr>
          <w:rFonts w:ascii="Verdana" w:hAnsi="Verdana"/>
          <w:sz w:val="18"/>
        </w:rPr>
        <w:t xml:space="preserve">De tussenevaluatie laat zien waar de NCC(A) nu halverwege de looptijd van tien jaar staat. </w:t>
      </w:r>
      <w:r w:rsidRPr="00FC1AD0" w:rsidR="00167E94">
        <w:rPr>
          <w:rFonts w:ascii="Verdana" w:hAnsi="Verdana"/>
          <w:sz w:val="18"/>
        </w:rPr>
        <w:t>H</w:t>
      </w:r>
      <w:r w:rsidRPr="00FC1AD0">
        <w:rPr>
          <w:rFonts w:ascii="Verdana" w:hAnsi="Verdana"/>
          <w:sz w:val="18"/>
        </w:rPr>
        <w:t>et verschil tussen de oorspronkelijke aannames en het feitelijke gebruik van de NCC(A)</w:t>
      </w:r>
      <w:r w:rsidRPr="00FC1AD0" w:rsidR="0057612A">
        <w:rPr>
          <w:rFonts w:ascii="Verdana" w:hAnsi="Verdana"/>
          <w:sz w:val="18"/>
        </w:rPr>
        <w:t xml:space="preserve"> </w:t>
      </w:r>
      <w:r w:rsidRPr="00FC1AD0" w:rsidR="00167E94">
        <w:rPr>
          <w:rFonts w:ascii="Verdana" w:hAnsi="Verdana"/>
          <w:sz w:val="18"/>
        </w:rPr>
        <w:t xml:space="preserve">laat zich lastig verklaren </w:t>
      </w:r>
      <w:r w:rsidRPr="00FC1AD0" w:rsidR="0057612A">
        <w:rPr>
          <w:rFonts w:ascii="Verdana" w:hAnsi="Verdana"/>
          <w:sz w:val="18"/>
        </w:rPr>
        <w:t>door de materiele reikwijdte</w:t>
      </w:r>
      <w:r w:rsidR="003F129B">
        <w:rPr>
          <w:rFonts w:ascii="Verdana" w:hAnsi="Verdana"/>
          <w:sz w:val="18"/>
        </w:rPr>
        <w:t xml:space="preserve"> van de wet</w:t>
      </w:r>
      <w:r w:rsidRPr="00FC1AD0" w:rsidR="00167E94">
        <w:rPr>
          <w:rFonts w:ascii="Verdana" w:hAnsi="Verdana"/>
          <w:sz w:val="18"/>
        </w:rPr>
        <w:t xml:space="preserve">. </w:t>
      </w:r>
      <w:r w:rsidRPr="00FC1AD0" w:rsidR="0047198B">
        <w:rPr>
          <w:rFonts w:ascii="Verdana" w:hAnsi="Verdana"/>
          <w:sz w:val="18"/>
        </w:rPr>
        <w:t xml:space="preserve">In </w:t>
      </w:r>
      <w:r w:rsidR="00611A80">
        <w:rPr>
          <w:rFonts w:ascii="Verdana" w:hAnsi="Verdana"/>
          <w:sz w:val="18"/>
        </w:rPr>
        <w:t>het oorspronkelijk</w:t>
      </w:r>
      <w:r w:rsidRPr="00FC1AD0" w:rsidR="0047198B">
        <w:rPr>
          <w:rFonts w:ascii="Verdana" w:hAnsi="Verdana"/>
          <w:sz w:val="18"/>
        </w:rPr>
        <w:t xml:space="preserve"> plan is</w:t>
      </w:r>
      <w:r w:rsidRPr="00FC1AD0" w:rsidR="00447553">
        <w:rPr>
          <w:rFonts w:ascii="Verdana" w:hAnsi="Verdana"/>
          <w:sz w:val="18"/>
        </w:rPr>
        <w:t xml:space="preserve"> </w:t>
      </w:r>
      <w:r w:rsidRPr="00FC1AD0" w:rsidR="0057612A">
        <w:rPr>
          <w:rFonts w:ascii="Verdana" w:hAnsi="Verdana"/>
          <w:sz w:val="18"/>
        </w:rPr>
        <w:t>expliciet opgenomen</w:t>
      </w:r>
      <w:r w:rsidRPr="00FC1AD0" w:rsidR="00447553">
        <w:rPr>
          <w:rFonts w:ascii="Verdana" w:hAnsi="Verdana"/>
          <w:sz w:val="18"/>
        </w:rPr>
        <w:t xml:space="preserve"> dat de schatting van het aantal zaken indicatief </w:t>
      </w:r>
      <w:r w:rsidRPr="00FC1AD0" w:rsidR="0057612A">
        <w:rPr>
          <w:rFonts w:ascii="Verdana" w:hAnsi="Verdana"/>
          <w:sz w:val="18"/>
        </w:rPr>
        <w:t>i</w:t>
      </w:r>
      <w:r w:rsidRPr="00FC1AD0" w:rsidR="00447553">
        <w:rPr>
          <w:rFonts w:ascii="Verdana" w:hAnsi="Verdana"/>
          <w:sz w:val="18"/>
        </w:rPr>
        <w:t>s, gezien het groot aantal onzekerheden.</w:t>
      </w:r>
      <w:r w:rsidR="00E962A6">
        <w:rPr>
          <w:rStyle w:val="Voetnootmarkering"/>
          <w:rFonts w:ascii="Verdana" w:hAnsi="Verdana"/>
          <w:sz w:val="18"/>
        </w:rPr>
        <w:footnoteReference w:id="7"/>
      </w:r>
      <w:r w:rsidRPr="00FC1AD0">
        <w:rPr>
          <w:rFonts w:ascii="Verdana" w:hAnsi="Verdana"/>
          <w:sz w:val="18"/>
        </w:rPr>
        <w:t xml:space="preserve"> Dat neemt niet weg dat er in het onderzoek aanknopingspunten zijn </w:t>
      </w:r>
      <w:r w:rsidRPr="00FC1AD0" w:rsidR="00323A23">
        <w:rPr>
          <w:rFonts w:ascii="Verdana" w:hAnsi="Verdana"/>
          <w:sz w:val="18"/>
        </w:rPr>
        <w:t xml:space="preserve">voor de Rechtspraak </w:t>
      </w:r>
      <w:r w:rsidRPr="00FC1AD0">
        <w:rPr>
          <w:rFonts w:ascii="Verdana" w:hAnsi="Verdana"/>
          <w:sz w:val="18"/>
        </w:rPr>
        <w:t xml:space="preserve">om bij te sturen op het gebied van positionering </w:t>
      </w:r>
      <w:r w:rsidRPr="00FC1AD0" w:rsidR="0047198B">
        <w:rPr>
          <w:rFonts w:ascii="Verdana" w:hAnsi="Verdana"/>
          <w:sz w:val="18"/>
        </w:rPr>
        <w:t xml:space="preserve">van </w:t>
      </w:r>
      <w:r w:rsidRPr="00FC1AD0">
        <w:rPr>
          <w:rFonts w:ascii="Verdana" w:hAnsi="Verdana"/>
          <w:sz w:val="18"/>
        </w:rPr>
        <w:t>en informatievoorziening</w:t>
      </w:r>
      <w:r w:rsidRPr="00FC1AD0" w:rsidR="0047198B">
        <w:rPr>
          <w:rFonts w:ascii="Verdana" w:hAnsi="Verdana"/>
          <w:sz w:val="18"/>
        </w:rPr>
        <w:t xml:space="preserve"> bij de NCC(A)</w:t>
      </w:r>
      <w:r w:rsidRPr="00FC1AD0">
        <w:rPr>
          <w:rFonts w:ascii="Verdana" w:hAnsi="Verdana"/>
          <w:sz w:val="18"/>
        </w:rPr>
        <w:t xml:space="preserve">. Voor wat betreft voorstellen tot </w:t>
      </w:r>
      <w:r w:rsidRPr="00FC1AD0" w:rsidR="0057612A">
        <w:rPr>
          <w:rFonts w:ascii="Verdana" w:hAnsi="Verdana"/>
          <w:sz w:val="18"/>
        </w:rPr>
        <w:t>wetswijziging</w:t>
      </w:r>
      <w:r w:rsidRPr="00FC1AD0">
        <w:rPr>
          <w:rFonts w:ascii="Verdana" w:hAnsi="Verdana"/>
          <w:sz w:val="18"/>
        </w:rPr>
        <w:t xml:space="preserve"> past halverwege de toegezegde looptijd terughoudendheid. </w:t>
      </w:r>
      <w:r w:rsidRPr="00B10C3D" w:rsidR="00B10C3D">
        <w:rPr>
          <w:rFonts w:ascii="Verdana" w:hAnsi="Verdana"/>
          <w:sz w:val="18"/>
        </w:rPr>
        <w:t>Het staat de Raad voor de rechtspraak vrij om -in samenspraak met het ministerie van Justitie en Veiligheid- eventuele  aanpassingen te verkennen, die kunnen resulteren in een experiment op basis van de Tijdelijke Experimentenwet Rechtspleging. Eventuele ervaringen van de NCC met een experiment kunnen dan worden meegenomen in de wetsevaluatie over vijf jaar.</w:t>
      </w:r>
    </w:p>
    <w:sectPr w:rsidRPr="00FC1AD0" w:rsidR="00A348E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A32C9" w14:textId="77777777" w:rsidR="00941B12" w:rsidRDefault="00941B12" w:rsidP="005A174F">
      <w:pPr>
        <w:spacing w:after="0" w:line="240" w:lineRule="auto"/>
      </w:pPr>
      <w:r>
        <w:separator/>
      </w:r>
    </w:p>
  </w:endnote>
  <w:endnote w:type="continuationSeparator" w:id="0">
    <w:p w14:paraId="7E819794" w14:textId="77777777" w:rsidR="00941B12" w:rsidRDefault="00941B12" w:rsidP="005A1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FB64D" w14:textId="77777777" w:rsidR="00941B12" w:rsidRDefault="00941B12" w:rsidP="005A174F">
      <w:pPr>
        <w:spacing w:after="0" w:line="240" w:lineRule="auto"/>
      </w:pPr>
      <w:r>
        <w:separator/>
      </w:r>
    </w:p>
  </w:footnote>
  <w:footnote w:type="continuationSeparator" w:id="0">
    <w:p w14:paraId="4C6ABA0C" w14:textId="77777777" w:rsidR="00941B12" w:rsidRDefault="00941B12" w:rsidP="005A174F">
      <w:pPr>
        <w:spacing w:after="0" w:line="240" w:lineRule="auto"/>
      </w:pPr>
      <w:r>
        <w:continuationSeparator/>
      </w:r>
    </w:p>
  </w:footnote>
  <w:footnote w:id="1">
    <w:p w14:paraId="2A0F202B" w14:textId="51830F4F" w:rsidR="003D545F" w:rsidRPr="00FC1AD0" w:rsidRDefault="003D545F" w:rsidP="00FC1AD0">
      <w:pPr>
        <w:spacing w:after="0"/>
        <w:rPr>
          <w:rFonts w:ascii="Verdana" w:hAnsi="Verdana"/>
          <w:color w:val="0F4761"/>
          <w:sz w:val="16"/>
          <w:szCs w:val="16"/>
        </w:rPr>
      </w:pPr>
      <w:r w:rsidRPr="00FC1AD0">
        <w:rPr>
          <w:rStyle w:val="Voetnootmarkering"/>
          <w:rFonts w:ascii="Verdana" w:hAnsi="Verdana"/>
          <w:sz w:val="16"/>
          <w:szCs w:val="16"/>
        </w:rPr>
        <w:footnoteRef/>
      </w:r>
      <w:r w:rsidRPr="00FC1AD0">
        <w:rPr>
          <w:rFonts w:ascii="Verdana" w:hAnsi="Verdana"/>
          <w:sz w:val="16"/>
          <w:szCs w:val="16"/>
        </w:rPr>
        <w:t xml:space="preserve"> </w:t>
      </w:r>
      <w:r w:rsidR="0033663C" w:rsidRPr="00FC1AD0">
        <w:rPr>
          <w:rFonts w:ascii="Verdana" w:hAnsi="Verdana"/>
          <w:sz w:val="16"/>
          <w:szCs w:val="16"/>
        </w:rPr>
        <w:t xml:space="preserve">Wet van 12 december 2018 tot wijziging van het Wetboek van Burgerlijke Rechtsvordering en de Wet griffierechten burgerlijke zaken in verband met het mogelijk maken van Engelstalige rechtspraak bij de internationale handelskamers van de rechtbank Amsterdam en het gerechtshof Amsterdam (hierna wet NCC); </w:t>
      </w:r>
      <w:r w:rsidR="009F5CAF" w:rsidRPr="00FC1AD0">
        <w:rPr>
          <w:rFonts w:ascii="Verdana" w:hAnsi="Verdana"/>
          <w:sz w:val="16"/>
          <w:szCs w:val="16"/>
        </w:rPr>
        <w:t>Bekendmaking</w:t>
      </w:r>
      <w:r w:rsidR="002F63B3" w:rsidRPr="00FC1AD0">
        <w:rPr>
          <w:rFonts w:ascii="Verdana" w:hAnsi="Verdana"/>
          <w:sz w:val="16"/>
          <w:szCs w:val="16"/>
        </w:rPr>
        <w:t xml:space="preserve">swet </w:t>
      </w:r>
      <w:r w:rsidR="009F5CAF" w:rsidRPr="00FC1AD0">
        <w:rPr>
          <w:rFonts w:ascii="Verdana" w:hAnsi="Verdana"/>
          <w:sz w:val="16"/>
          <w:szCs w:val="16"/>
        </w:rPr>
        <w:t>20-12-2018, Stb. 2018, 474 en inwerkingtreding</w:t>
      </w:r>
      <w:r w:rsidR="002F63B3" w:rsidRPr="00FC1AD0">
        <w:rPr>
          <w:rFonts w:ascii="Verdana" w:hAnsi="Verdana"/>
          <w:sz w:val="16"/>
          <w:szCs w:val="16"/>
        </w:rPr>
        <w:t>swet</w:t>
      </w:r>
      <w:r w:rsidR="009F5CAF" w:rsidRPr="00FC1AD0">
        <w:rPr>
          <w:rFonts w:ascii="Verdana" w:hAnsi="Verdana"/>
          <w:sz w:val="16"/>
          <w:szCs w:val="16"/>
        </w:rPr>
        <w:t xml:space="preserve"> 01-01-2019, Stb. 2018, 475.</w:t>
      </w:r>
    </w:p>
  </w:footnote>
  <w:footnote w:id="2">
    <w:p w14:paraId="1B983255" w14:textId="77777777" w:rsidR="005A174F" w:rsidRPr="00FC1AD0" w:rsidRDefault="005A174F" w:rsidP="00C115B0">
      <w:pPr>
        <w:spacing w:line="276" w:lineRule="auto"/>
        <w:ind w:right="9"/>
        <w:rPr>
          <w:rFonts w:ascii="Verdana" w:hAnsi="Verdana"/>
          <w:sz w:val="16"/>
          <w:szCs w:val="16"/>
        </w:rPr>
      </w:pPr>
      <w:r w:rsidRPr="00FC1AD0">
        <w:rPr>
          <w:rFonts w:ascii="Verdana" w:hAnsi="Verdana"/>
          <w:sz w:val="16"/>
          <w:szCs w:val="16"/>
        </w:rPr>
        <w:footnoteRef/>
      </w:r>
      <w:r w:rsidRPr="00FC1AD0">
        <w:rPr>
          <w:rFonts w:ascii="Verdana" w:hAnsi="Verdana"/>
          <w:sz w:val="16"/>
          <w:szCs w:val="16"/>
        </w:rPr>
        <w:t xml:space="preserve"> De NCC valt onder het bestuur van de rechtbank Amsterdam en de NCCA onder het bestuur van het gerechtshof. </w:t>
      </w:r>
    </w:p>
    <w:p w14:paraId="0378F8CE" w14:textId="38CFB52E" w:rsidR="005A174F" w:rsidRDefault="005A174F" w:rsidP="00C115B0">
      <w:pPr>
        <w:pStyle w:val="Voetnoottekst"/>
        <w:spacing w:line="276" w:lineRule="auto"/>
      </w:pPr>
    </w:p>
  </w:footnote>
  <w:footnote w:id="3">
    <w:p w14:paraId="21BB5D68" w14:textId="46CB4535" w:rsidR="003F129B" w:rsidRDefault="003F129B">
      <w:pPr>
        <w:pStyle w:val="Voetnoottekst"/>
      </w:pPr>
      <w:r>
        <w:rPr>
          <w:rStyle w:val="Voetnootmarkering"/>
        </w:rPr>
        <w:footnoteRef/>
      </w:r>
      <w:r>
        <w:t xml:space="preserve"> Zie artikel 32a, eerste lid, Rv.</w:t>
      </w:r>
    </w:p>
  </w:footnote>
  <w:footnote w:id="4">
    <w:p w14:paraId="22455DF3" w14:textId="21B12DFE" w:rsidR="00FC1AD0" w:rsidRPr="00FC1AD0" w:rsidRDefault="00FC1AD0">
      <w:pPr>
        <w:pStyle w:val="Voetnoottekst"/>
      </w:pPr>
      <w:r>
        <w:rPr>
          <w:rStyle w:val="Voetnootmarkering"/>
        </w:rPr>
        <w:footnoteRef/>
      </w:r>
      <w:r>
        <w:t xml:space="preserve"> </w:t>
      </w:r>
      <w:r w:rsidRPr="00FC1AD0">
        <w:rPr>
          <w:rFonts w:ascii="Verdana" w:hAnsi="Verdana"/>
          <w:sz w:val="16"/>
          <w:szCs w:val="16"/>
        </w:rPr>
        <w:t>Zie onder andere op pag. 40.</w:t>
      </w:r>
    </w:p>
  </w:footnote>
  <w:footnote w:id="5">
    <w:p w14:paraId="5E3E786C" w14:textId="12B75393" w:rsidR="00FC1AD0" w:rsidRPr="00FC1AD0" w:rsidRDefault="00FC1AD0" w:rsidP="00FC1AD0">
      <w:pPr>
        <w:spacing w:after="0"/>
        <w:ind w:left="10" w:right="9"/>
        <w:rPr>
          <w:rFonts w:ascii="Verdana" w:hAnsi="Verdana"/>
          <w:sz w:val="16"/>
          <w:szCs w:val="16"/>
        </w:rPr>
      </w:pPr>
      <w:r>
        <w:rPr>
          <w:rStyle w:val="Voetnootmarkering"/>
        </w:rPr>
        <w:footnoteRef/>
      </w:r>
      <w:r>
        <w:t xml:space="preserve"> </w:t>
      </w:r>
      <w:r w:rsidRPr="00FC1AD0">
        <w:rPr>
          <w:rFonts w:ascii="Verdana" w:hAnsi="Verdana"/>
          <w:sz w:val="16"/>
          <w:szCs w:val="16"/>
        </w:rPr>
        <w:t>Van alle gestarte procedures in eerste aanleg waren er 25 een dagvaardingsprocedure en 12 een verzoekschriftprocedure. De dagvaardingsprocedures zijn onder te verdelen in 12 bodemprocedures en 13 kortgedingen. In 34 van de 37 procedures (92%) was ten minste één deelnemer in de procedure afkomstig uit het buitenland. In drie zaken waren alle deelnemers Nederlands (8%). In vier van de 37 procedures is een regiezitting geweest (11%).</w:t>
      </w:r>
    </w:p>
  </w:footnote>
  <w:footnote w:id="6">
    <w:p w14:paraId="7FB950E2" w14:textId="77777777" w:rsidR="00FC1AD0" w:rsidRPr="00FC1AD0" w:rsidRDefault="00FC1AD0" w:rsidP="00FC1AD0">
      <w:pPr>
        <w:pStyle w:val="Voetnoottekst"/>
        <w:rPr>
          <w:rFonts w:ascii="Verdana" w:hAnsi="Verdana"/>
          <w:sz w:val="16"/>
          <w:szCs w:val="16"/>
        </w:rPr>
      </w:pPr>
      <w:r>
        <w:rPr>
          <w:rStyle w:val="Voetnootmarkering"/>
        </w:rPr>
        <w:footnoteRef/>
      </w:r>
      <w:r>
        <w:t xml:space="preserve"> </w:t>
      </w:r>
      <w:r w:rsidRPr="00FC1AD0">
        <w:rPr>
          <w:rFonts w:ascii="Verdana" w:hAnsi="Verdana"/>
          <w:sz w:val="16"/>
          <w:szCs w:val="16"/>
        </w:rPr>
        <w:t>In de memorie van toelichting is een periode van tien jaar gekozen om de NCC zich te laten ontwikkelen. De schatting was dat er na 10 jaar 100 zaken zouden zijn aangebracht bij de NCC en 25 bij de NCCA.</w:t>
      </w:r>
    </w:p>
    <w:p w14:paraId="0A49E5E5" w14:textId="0360DCC6" w:rsidR="00FC1AD0" w:rsidRPr="00FC1AD0" w:rsidRDefault="00FC1AD0">
      <w:pPr>
        <w:pStyle w:val="Voetnoottekst"/>
      </w:pPr>
    </w:p>
  </w:footnote>
  <w:footnote w:id="7">
    <w:p w14:paraId="6820ECC3" w14:textId="5C2E8944" w:rsidR="00E962A6" w:rsidRPr="00E962A6" w:rsidRDefault="00E962A6">
      <w:pPr>
        <w:pStyle w:val="Voetnoottekst"/>
      </w:pPr>
      <w:r>
        <w:rPr>
          <w:rStyle w:val="Voetnootmarkering"/>
        </w:rPr>
        <w:footnoteRef/>
      </w:r>
      <w:r>
        <w:t xml:space="preserve"> </w:t>
      </w:r>
      <w:hyperlink r:id="rId1" w:history="1">
        <w:r w:rsidRPr="00E962A6">
          <w:rPr>
            <w:rStyle w:val="Hyperlink"/>
            <w:rFonts w:ascii="Verdana" w:hAnsi="Verdana"/>
            <w:sz w:val="16"/>
            <w:szCs w:val="16"/>
          </w:rPr>
          <w:t>https://www.rechtspraak.nl/SiteCollectionDocuments/plan-netherlands-commercial-court.pdf</w:t>
        </w:r>
      </w:hyperlink>
      <w:r w:rsidRPr="00E962A6">
        <w:rPr>
          <w:rFonts w:ascii="Verdana" w:hAnsi="Verdana"/>
          <w:sz w:val="16"/>
          <w:szCs w:val="16"/>
        </w:rPr>
        <w:t>, met name pagina 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112"/>
    <w:rsid w:val="00000D1B"/>
    <w:rsid w:val="00033062"/>
    <w:rsid w:val="00050AC4"/>
    <w:rsid w:val="0005430E"/>
    <w:rsid w:val="000821A6"/>
    <w:rsid w:val="000D29ED"/>
    <w:rsid w:val="00102E19"/>
    <w:rsid w:val="00146BF0"/>
    <w:rsid w:val="00156DAA"/>
    <w:rsid w:val="00162112"/>
    <w:rsid w:val="00167E94"/>
    <w:rsid w:val="001A172A"/>
    <w:rsid w:val="001F7C3F"/>
    <w:rsid w:val="0021621B"/>
    <w:rsid w:val="00226608"/>
    <w:rsid w:val="002336C2"/>
    <w:rsid w:val="00250DB1"/>
    <w:rsid w:val="00261FFD"/>
    <w:rsid w:val="00277207"/>
    <w:rsid w:val="002A6934"/>
    <w:rsid w:val="002C126A"/>
    <w:rsid w:val="002E61B0"/>
    <w:rsid w:val="002F63B3"/>
    <w:rsid w:val="00322F9E"/>
    <w:rsid w:val="00323A23"/>
    <w:rsid w:val="0033614E"/>
    <w:rsid w:val="0033663C"/>
    <w:rsid w:val="00337E63"/>
    <w:rsid w:val="00393A00"/>
    <w:rsid w:val="003C73DB"/>
    <w:rsid w:val="003D545F"/>
    <w:rsid w:val="003E71A0"/>
    <w:rsid w:val="003F129B"/>
    <w:rsid w:val="004015DE"/>
    <w:rsid w:val="00435C83"/>
    <w:rsid w:val="00447553"/>
    <w:rsid w:val="0047198B"/>
    <w:rsid w:val="004C6DA0"/>
    <w:rsid w:val="004F3575"/>
    <w:rsid w:val="004F6A5C"/>
    <w:rsid w:val="00500F47"/>
    <w:rsid w:val="005012A6"/>
    <w:rsid w:val="0057612A"/>
    <w:rsid w:val="005A174F"/>
    <w:rsid w:val="005A34BB"/>
    <w:rsid w:val="005E7881"/>
    <w:rsid w:val="00611A80"/>
    <w:rsid w:val="00645312"/>
    <w:rsid w:val="006A2EE9"/>
    <w:rsid w:val="006F028A"/>
    <w:rsid w:val="00774AB0"/>
    <w:rsid w:val="007962AB"/>
    <w:rsid w:val="00801A2D"/>
    <w:rsid w:val="008308F8"/>
    <w:rsid w:val="008752E5"/>
    <w:rsid w:val="008A7D6F"/>
    <w:rsid w:val="008D3BAE"/>
    <w:rsid w:val="009020E4"/>
    <w:rsid w:val="00931E33"/>
    <w:rsid w:val="00941B12"/>
    <w:rsid w:val="009808D9"/>
    <w:rsid w:val="0099484A"/>
    <w:rsid w:val="009D1C28"/>
    <w:rsid w:val="009F5CAF"/>
    <w:rsid w:val="00A23695"/>
    <w:rsid w:val="00A348E1"/>
    <w:rsid w:val="00A9363A"/>
    <w:rsid w:val="00AC72CA"/>
    <w:rsid w:val="00AE6518"/>
    <w:rsid w:val="00AF7A01"/>
    <w:rsid w:val="00B10C3D"/>
    <w:rsid w:val="00B44848"/>
    <w:rsid w:val="00B535A9"/>
    <w:rsid w:val="00BA4587"/>
    <w:rsid w:val="00C06C8C"/>
    <w:rsid w:val="00C115B0"/>
    <w:rsid w:val="00C16FF4"/>
    <w:rsid w:val="00C35184"/>
    <w:rsid w:val="00C746CC"/>
    <w:rsid w:val="00C87B27"/>
    <w:rsid w:val="00CB1B98"/>
    <w:rsid w:val="00CD6107"/>
    <w:rsid w:val="00D3367E"/>
    <w:rsid w:val="00D71379"/>
    <w:rsid w:val="00D71C42"/>
    <w:rsid w:val="00D71F51"/>
    <w:rsid w:val="00D832BD"/>
    <w:rsid w:val="00D87108"/>
    <w:rsid w:val="00DF7AA5"/>
    <w:rsid w:val="00E644BE"/>
    <w:rsid w:val="00E962A6"/>
    <w:rsid w:val="00ED542E"/>
    <w:rsid w:val="00EF57B1"/>
    <w:rsid w:val="00F4668E"/>
    <w:rsid w:val="00F52E3B"/>
    <w:rsid w:val="00F66DBA"/>
    <w:rsid w:val="00F913DD"/>
    <w:rsid w:val="00FC1A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BC1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621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621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6211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6211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6211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6211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6211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6211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6211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6211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6211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6211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6211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6211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6211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6211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6211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62112"/>
    <w:rPr>
      <w:rFonts w:eastAsiaTheme="majorEastAsia" w:cstheme="majorBidi"/>
      <w:color w:val="272727" w:themeColor="text1" w:themeTint="D8"/>
    </w:rPr>
  </w:style>
  <w:style w:type="paragraph" w:styleId="Titel">
    <w:name w:val="Title"/>
    <w:basedOn w:val="Standaard"/>
    <w:next w:val="Standaard"/>
    <w:link w:val="TitelChar"/>
    <w:uiPriority w:val="10"/>
    <w:qFormat/>
    <w:rsid w:val="001621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6211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6211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6211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6211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62112"/>
    <w:rPr>
      <w:i/>
      <w:iCs/>
      <w:color w:val="404040" w:themeColor="text1" w:themeTint="BF"/>
    </w:rPr>
  </w:style>
  <w:style w:type="paragraph" w:styleId="Lijstalinea">
    <w:name w:val="List Paragraph"/>
    <w:basedOn w:val="Standaard"/>
    <w:uiPriority w:val="34"/>
    <w:qFormat/>
    <w:rsid w:val="00162112"/>
    <w:pPr>
      <w:ind w:left="720"/>
      <w:contextualSpacing/>
    </w:pPr>
  </w:style>
  <w:style w:type="character" w:styleId="Intensievebenadrukking">
    <w:name w:val="Intense Emphasis"/>
    <w:basedOn w:val="Standaardalinea-lettertype"/>
    <w:uiPriority w:val="21"/>
    <w:qFormat/>
    <w:rsid w:val="00162112"/>
    <w:rPr>
      <w:i/>
      <w:iCs/>
      <w:color w:val="0F4761" w:themeColor="accent1" w:themeShade="BF"/>
    </w:rPr>
  </w:style>
  <w:style w:type="paragraph" w:styleId="Duidelijkcitaat">
    <w:name w:val="Intense Quote"/>
    <w:basedOn w:val="Standaard"/>
    <w:next w:val="Standaard"/>
    <w:link w:val="DuidelijkcitaatChar"/>
    <w:uiPriority w:val="30"/>
    <w:qFormat/>
    <w:rsid w:val="001621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62112"/>
    <w:rPr>
      <w:i/>
      <w:iCs/>
      <w:color w:val="0F4761" w:themeColor="accent1" w:themeShade="BF"/>
    </w:rPr>
  </w:style>
  <w:style w:type="character" w:styleId="Intensieveverwijzing">
    <w:name w:val="Intense Reference"/>
    <w:basedOn w:val="Standaardalinea-lettertype"/>
    <w:uiPriority w:val="32"/>
    <w:qFormat/>
    <w:rsid w:val="00162112"/>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5A174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A174F"/>
    <w:rPr>
      <w:sz w:val="20"/>
      <w:szCs w:val="20"/>
    </w:rPr>
  </w:style>
  <w:style w:type="character" w:styleId="Voetnootmarkering">
    <w:name w:val="footnote reference"/>
    <w:basedOn w:val="Standaardalinea-lettertype"/>
    <w:uiPriority w:val="99"/>
    <w:semiHidden/>
    <w:unhideWhenUsed/>
    <w:rsid w:val="005A174F"/>
    <w:rPr>
      <w:vertAlign w:val="superscript"/>
    </w:rPr>
  </w:style>
  <w:style w:type="character" w:styleId="Hyperlink">
    <w:name w:val="Hyperlink"/>
    <w:basedOn w:val="Standaardalinea-lettertype"/>
    <w:uiPriority w:val="99"/>
    <w:unhideWhenUsed/>
    <w:rsid w:val="004C6DA0"/>
    <w:rPr>
      <w:color w:val="467886"/>
      <w:u w:val="single"/>
    </w:rPr>
  </w:style>
  <w:style w:type="character" w:styleId="Onopgelostemelding">
    <w:name w:val="Unresolved Mention"/>
    <w:basedOn w:val="Standaardalinea-lettertype"/>
    <w:uiPriority w:val="99"/>
    <w:semiHidden/>
    <w:unhideWhenUsed/>
    <w:rsid w:val="004C6DA0"/>
    <w:rPr>
      <w:color w:val="605E5C"/>
      <w:shd w:val="clear" w:color="auto" w:fill="E1DFDD"/>
    </w:rPr>
  </w:style>
  <w:style w:type="paragraph" w:styleId="Revisie">
    <w:name w:val="Revision"/>
    <w:hidden/>
    <w:uiPriority w:val="99"/>
    <w:semiHidden/>
    <w:rsid w:val="00F913DD"/>
    <w:pPr>
      <w:spacing w:after="0" w:line="240" w:lineRule="auto"/>
    </w:pPr>
  </w:style>
  <w:style w:type="character" w:styleId="Verwijzingopmerking">
    <w:name w:val="annotation reference"/>
    <w:basedOn w:val="Standaardalinea-lettertype"/>
    <w:uiPriority w:val="99"/>
    <w:semiHidden/>
    <w:unhideWhenUsed/>
    <w:rsid w:val="00F913DD"/>
    <w:rPr>
      <w:sz w:val="16"/>
      <w:szCs w:val="16"/>
    </w:rPr>
  </w:style>
  <w:style w:type="paragraph" w:styleId="Tekstopmerking">
    <w:name w:val="annotation text"/>
    <w:basedOn w:val="Standaard"/>
    <w:link w:val="TekstopmerkingChar"/>
    <w:uiPriority w:val="99"/>
    <w:semiHidden/>
    <w:unhideWhenUsed/>
    <w:rsid w:val="00F913DD"/>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F913DD"/>
    <w:rPr>
      <w:sz w:val="20"/>
      <w:szCs w:val="20"/>
    </w:rPr>
  </w:style>
  <w:style w:type="paragraph" w:styleId="Onderwerpvanopmerking">
    <w:name w:val="annotation subject"/>
    <w:basedOn w:val="Tekstopmerking"/>
    <w:next w:val="Tekstopmerking"/>
    <w:link w:val="OnderwerpvanopmerkingChar"/>
    <w:uiPriority w:val="99"/>
    <w:semiHidden/>
    <w:unhideWhenUsed/>
    <w:rsid w:val="00F913DD"/>
    <w:rPr>
      <w:b/>
      <w:bCs/>
    </w:rPr>
  </w:style>
  <w:style w:type="character" w:customStyle="1" w:styleId="OnderwerpvanopmerkingChar">
    <w:name w:val="Onderwerp van opmerking Char"/>
    <w:basedOn w:val="TekstopmerkingChar"/>
    <w:link w:val="Onderwerpvanopmerking"/>
    <w:uiPriority w:val="99"/>
    <w:semiHidden/>
    <w:rsid w:val="00F913D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699098">
      <w:bodyDiv w:val="1"/>
      <w:marLeft w:val="0"/>
      <w:marRight w:val="0"/>
      <w:marTop w:val="0"/>
      <w:marBottom w:val="0"/>
      <w:divBdr>
        <w:top w:val="none" w:sz="0" w:space="0" w:color="auto"/>
        <w:left w:val="none" w:sz="0" w:space="0" w:color="auto"/>
        <w:bottom w:val="none" w:sz="0" w:space="0" w:color="auto"/>
        <w:right w:val="none" w:sz="0" w:space="0" w:color="auto"/>
      </w:divBdr>
    </w:div>
    <w:div w:id="1296716169">
      <w:bodyDiv w:val="1"/>
      <w:marLeft w:val="0"/>
      <w:marRight w:val="0"/>
      <w:marTop w:val="0"/>
      <w:marBottom w:val="0"/>
      <w:divBdr>
        <w:top w:val="none" w:sz="0" w:space="0" w:color="auto"/>
        <w:left w:val="none" w:sz="0" w:space="0" w:color="auto"/>
        <w:bottom w:val="none" w:sz="0" w:space="0" w:color="auto"/>
        <w:right w:val="none" w:sz="0" w:space="0" w:color="auto"/>
      </w:divBdr>
    </w:div>
    <w:div w:id="1509976199">
      <w:bodyDiv w:val="1"/>
      <w:marLeft w:val="0"/>
      <w:marRight w:val="0"/>
      <w:marTop w:val="0"/>
      <w:marBottom w:val="0"/>
      <w:divBdr>
        <w:top w:val="none" w:sz="0" w:space="0" w:color="auto"/>
        <w:left w:val="none" w:sz="0" w:space="0" w:color="auto"/>
        <w:bottom w:val="none" w:sz="0" w:space="0" w:color="auto"/>
        <w:right w:val="none" w:sz="0" w:space="0" w:color="auto"/>
      </w:divBdr>
    </w:div>
    <w:div w:id="2113241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footnotes.xml.rels><?xml version="1.0" encoding="UTF-8" standalone="yes"?>
<Relationships xmlns="http://schemas.openxmlformats.org/package/2006/relationships"><Relationship Id="rId1" Type="http://schemas.openxmlformats.org/officeDocument/2006/relationships/hyperlink" Target="https://www.rechtspraak.nl/SiteCollectionDocuments/plan-netherlands-commercial-court.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1405</ap:Words>
  <ap:Characters>7728</ap:Characters>
  <ap:DocSecurity>0</ap:DocSecurity>
  <ap:Lines>64</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9115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2025-12-11T10:32:00.0000000Z</dcterms:created>
  <dcterms:modified xsi:type="dcterms:W3CDTF">2025-12-11T10:32:00.0000000Z</dcterms:modified>
  <version/>
  <category/>
</coreProperties>
</file>