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2025Z21782</w:t>
        <w:br/>
      </w:r>
      <w:proofErr w:type="spellEnd"/>
    </w:p>
    <w:p>
      <w:pPr>
        <w:pStyle w:val="Normal"/>
        <w:rPr>
          <w:b w:val="1"/>
          <w:bCs w:val="1"/>
        </w:rPr>
      </w:pPr>
      <w:r w:rsidR="250AE766">
        <w:rPr>
          <w:b w:val="0"/>
          <w:bCs w:val="0"/>
        </w:rPr>
        <w:t>(ingezonden 11 december 2025)</w:t>
        <w:br/>
      </w:r>
    </w:p>
    <w:p>
      <w:r>
        <w:t xml:space="preserve">Vragen van de leden Mutluer en Lahlah (beiden GroenLinks-PvdA) aan de minister van Justitie en Veiligheid over de beëindiging van persoonlijke beveiliging door de NCTV</w:t>
      </w:r>
      <w:r>
        <w:br/>
      </w:r>
    </w:p>
    <w:p>
      <w:r>
        <w:t xml:space="preserve"> </w:t>
      </w:r>
      <w:r>
        <w:br/>
      </w:r>
    </w:p>
    <w:p>
      <w:pPr>
        <w:pStyle w:val="ListParagraph"/>
        <w:numPr>
          <w:ilvl w:val="0"/>
          <w:numId w:val="100492990"/>
        </w:numPr>
        <w:ind w:left="360"/>
      </w:pPr>
      <w:r>
        <w:t xml:space="preserve">Heeft u kennisgenomen van de berichten dat de beveiliging van schrijfster Lale Gül wordt stopgezet, terwijl zij nog steeds te maken heeft met (online) bedreigingen? 1)</w:t>
      </w:r>
      <w:r>
        <w:br/>
      </w:r>
    </w:p>
    <w:p>
      <w:pPr>
        <w:pStyle w:val="ListParagraph"/>
        <w:numPr>
          <w:ilvl w:val="0"/>
          <w:numId w:val="100492990"/>
        </w:numPr>
        <w:ind w:left="360"/>
      </w:pPr>
      <w:r>
        <w:t xml:space="preserve">Kunt u aangeven of de Nationaal Coördinator Terrorismebestrijding en Veiligheid (NCTV) standaardcriteria hanteert bij de beslissing om persoonsbeveiliging te beëindigen?</w:t>
      </w:r>
      <w:r>
        <w:br/>
      </w:r>
    </w:p>
    <w:p>
      <w:pPr>
        <w:pStyle w:val="ListParagraph"/>
        <w:numPr>
          <w:ilvl w:val="0"/>
          <w:numId w:val="100492990"/>
        </w:numPr>
        <w:ind w:left="360"/>
      </w:pPr>
      <w:r>
        <w:t xml:space="preserve">Indien het antwoord op vraag 2 bevestigend luidt, welke criteria zijn dat precies?</w:t>
      </w:r>
      <w:r>
        <w:br/>
      </w:r>
    </w:p>
    <w:p>
      <w:pPr>
        <w:pStyle w:val="ListParagraph"/>
        <w:numPr>
          <w:ilvl w:val="0"/>
          <w:numId w:val="100492990"/>
        </w:numPr>
        <w:ind w:left="360"/>
      </w:pPr>
      <w:r>
        <w:t xml:space="preserve">Indien het antwoord op vraag 2 ontkennend luidt, waarom niet?</w:t>
      </w:r>
      <w:r>
        <w:br/>
      </w:r>
    </w:p>
    <w:p>
      <w:pPr>
        <w:pStyle w:val="ListParagraph"/>
        <w:numPr>
          <w:ilvl w:val="0"/>
          <w:numId w:val="100492990"/>
        </w:numPr>
        <w:ind w:left="360"/>
      </w:pPr>
      <w:r>
        <w:t xml:space="preserve">Houdt de NCTV rekening met het feit dat online bedreigingen kunnen omslaan in fysieke acties? Zo ja, op welke manier?</w:t>
      </w:r>
      <w:r>
        <w:br/>
      </w:r>
    </w:p>
    <w:p>
      <w:pPr>
        <w:pStyle w:val="ListParagraph"/>
        <w:numPr>
          <w:ilvl w:val="0"/>
          <w:numId w:val="100492990"/>
        </w:numPr>
        <w:ind w:left="360"/>
      </w:pPr>
      <w:r>
        <w:t xml:space="preserve">In hoeverre worden eerdere incidenten, zoals de recente arrestaties van personen die bedreigingen hebben geuit of concrete plannen zouden hebben gehad om de bedreigde iets aan te doen, standaard meegewogen in de beoordeling om persoonsbeveiliging voort te zetten of te beëindigen?</w:t>
      </w:r>
      <w:r>
        <w:br/>
      </w:r>
    </w:p>
    <w:p>
      <w:pPr>
        <w:pStyle w:val="ListParagraph"/>
        <w:numPr>
          <w:ilvl w:val="0"/>
          <w:numId w:val="100492990"/>
        </w:numPr>
        <w:ind w:left="360"/>
      </w:pPr>
      <w:r>
        <w:t xml:space="preserve">Welke mogelijkheden hebben personen om bezwaar te maken tegen een besluit tot beëindiging van hun beveiliging? Wie beoordeelt dit bezwaar? Binnen welke termijn wordt zo’n bezwaar behandeld? Heeft een eventueel bezwaar opschortende werking tot er een beslissing op het bezwaar genomen is?</w:t>
      </w:r>
      <w:r>
        <w:rPr>
          <w:b w:val="1"/>
          <w:bCs w:val="1"/>
        </w:rPr>
        <w:t xml:space="preserve"> </w:t>
      </w:r>
      <w:r>
        <w:rPr/>
        <w:t xml:space="preserve"/>
      </w:r>
      <w:r>
        <w:br/>
      </w:r>
    </w:p>
    <w:p>
      <w:pPr>
        <w:pStyle w:val="ListParagraph"/>
        <w:numPr>
          <w:ilvl w:val="0"/>
          <w:numId w:val="100492990"/>
        </w:numPr>
        <w:ind w:left="360"/>
      </w:pPr>
      <w:r>
        <w:t xml:space="preserve">Hoe waarborgt de Staat dat mensen die vanwege hun werkzaamheden of publieke uitingen een verhoogd risico lopen, voldoende beschermd blijven, ook wanneer hun persoonsbeveiliging (deels) wordt beëindigd? Wordt hierbij onderscheid gemaakt tussen verschillende typen publieke functies zoals bijvoorbeeld journalisten, opiniemakers, politici, activisten, et cetera?</w:t>
      </w:r>
      <w:r>
        <w:br/>
      </w:r>
    </w:p>
    <w:p>
      <w:pPr>
        <w:pStyle w:val="ListParagraph"/>
        <w:numPr>
          <w:ilvl w:val="0"/>
          <w:numId w:val="100492990"/>
        </w:numPr>
        <w:ind w:left="360"/>
      </w:pPr>
      <w:r>
        <w:t xml:space="preserve">Welke alternatieve beschermingsmaatregelen worden in dat geval aangeboden wanneer persoonsbeveiliging wordt beëindigd, zoals: a. versterkte digitale beveiliging; b. veilige of anonieme huisvesting; c. ondersteuning bij veiligheidsplannen in de privé- en werkomgeving of d. psychologische ondersteuning vanwege veiligheidsdreiging?</w:t>
      </w:r>
      <w:r>
        <w:br/>
      </w:r>
    </w:p>
    <w:p>
      <w:pPr>
        <w:pStyle w:val="ListParagraph"/>
        <w:numPr>
          <w:ilvl w:val="0"/>
          <w:numId w:val="100492990"/>
        </w:numPr>
        <w:ind w:left="360"/>
      </w:pPr>
      <w:r>
        <w:t xml:space="preserve">In hoeverre zijn deze maatregelen structureel beschikbaar en op welke wijze wordt de betrokkene hierover geïnformeerd?</w:t>
      </w:r>
      <w:r>
        <w:br/>
      </w:r>
    </w:p>
    <w:p>
      <w:pPr>
        <w:pStyle w:val="ListParagraph"/>
        <w:numPr>
          <w:ilvl w:val="0"/>
          <w:numId w:val="100492990"/>
        </w:numPr>
        <w:ind w:left="360"/>
      </w:pPr>
      <w:r>
        <w:t xml:space="preserve">Is er op dit moment voldoende capaciteit en structurele financiering voor persoonsbeveiliging en dreigingsbeoordeling bij de NCTV en betrokken diensten?  Zo nee, welke tekorten ziet u en wat is er volgens u nodig om dit op peil te brengen? Speelt capaciteit een rol bij de beslissing om persoonsbeveiliging in individuele gevallen te beëindigen?</w:t>
      </w:r>
      <w:r>
        <w:br/>
      </w:r>
    </w:p>
    <w:p>
      <w:pPr>
        <w:pStyle w:val="ListParagraph"/>
        <w:numPr>
          <w:ilvl w:val="0"/>
          <w:numId w:val="100492990"/>
        </w:numPr>
        <w:ind w:left="360"/>
      </w:pPr>
      <w:r>
        <w:t xml:space="preserve">In hoeveel gevallen is in de afgelopen vijf jaar persoonsbeveiliging stopgezet terwijl er volgens de betrokkene(n) nog sprake was van aanhoudende dreiging? In hoeveel van deze gevallen is op een later moment toch opnieuw persoonsbeveiliging ingesteld? En hoe vaak bleek achteraf dat de dreiging inderdaad niet was afgenomen?</w:t>
      </w:r>
      <w:r>
        <w:br/>
      </w:r>
    </w:p>
    <w:p>
      <w:pPr>
        <w:pStyle w:val="ListParagraph"/>
        <w:numPr>
          <w:ilvl w:val="0"/>
          <w:numId w:val="100492990"/>
        </w:numPr>
        <w:ind w:left="360"/>
      </w:pPr>
      <w:r>
        <w:t xml:space="preserve">Kunt u de bovenstaande vragen afzonderlijk van elkaar beantwoorden?</w:t>
      </w:r>
      <w:r>
        <w:br/>
      </w:r>
    </w:p>
    <w:p>
      <w:r>
        <w:t xml:space="preserve"> </w:t>
      </w:r>
      <w:r>
        <w:br/>
      </w:r>
    </w:p>
    <w:p>
      <w:r>
        <w:t xml:space="preserve">1) NOS, 21 november 2025, Schrijfster Lale Gül: 'Mijn beveiliging wordt op korte termijn stopgezet' (https://nos.nl/artikel/2591429-schrijfster-lale-gul-mijn-beveiliging-wordt-op-korte-termijn-stopgezet).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