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3949" w:rsidP="004B3949" w:rsidRDefault="004B3949" w14:paraId="66ACC119" w14:textId="77777777">
      <w:pPr>
        <w:rPr>
          <w:szCs w:val="18"/>
        </w:rPr>
      </w:pPr>
      <w:r>
        <w:rPr>
          <w:szCs w:val="18"/>
        </w:rPr>
        <w:t xml:space="preserve">Geachte Voorzitter, </w:t>
      </w:r>
    </w:p>
    <w:p w:rsidR="004B3949" w:rsidP="004B3949" w:rsidRDefault="004B3949" w14:paraId="0C78D685" w14:textId="77777777">
      <w:pPr>
        <w:rPr>
          <w:szCs w:val="18"/>
        </w:rPr>
      </w:pPr>
    </w:p>
    <w:p w:rsidR="000539F5" w:rsidP="004B3949" w:rsidRDefault="004B3949" w14:paraId="3288BCC4" w14:textId="1F3ACD17">
      <w:pPr>
        <w:rPr>
          <w:szCs w:val="18"/>
        </w:rPr>
      </w:pPr>
      <w:r>
        <w:rPr>
          <w:szCs w:val="18"/>
        </w:rPr>
        <w:t xml:space="preserve">Met deze brief informeert het kabinet de Kamer over de voorlopige resultaten van de openstelling van de SDE++ in 2025. Deze subsidieregeling ondersteunt ondernemers bij investeringen in hernieuwbare energie. Hiermee draagt de regeling bij aan vergroting van de energieonafhankelijkheid, verlagen van energiekosten en het verduurzamen van ons bedrijfsleven en energievoorziening. Er is dit jaar veel interesse getoond in de SDE++, met een ruime overtekening van het budget tot gevolg. Dit is positief, omdat </w:t>
      </w:r>
      <w:r w:rsidR="004237B0">
        <w:rPr>
          <w:szCs w:val="18"/>
        </w:rPr>
        <w:t>he</w:t>
      </w:r>
      <w:r>
        <w:rPr>
          <w:szCs w:val="18"/>
        </w:rPr>
        <w:t>t betekent dat ondernemers veel kansen zien voor het toekomstbestendig maken van hun bedrijfsvoering.</w:t>
      </w:r>
    </w:p>
    <w:p w:rsidR="004B3949" w:rsidP="004B3949" w:rsidRDefault="004B3949" w14:paraId="12CA5827" w14:textId="0F9DC484">
      <w:pPr>
        <w:rPr>
          <w:szCs w:val="18"/>
        </w:rPr>
      </w:pPr>
      <w:r>
        <w:rPr>
          <w:szCs w:val="18"/>
        </w:rPr>
        <w:t xml:space="preserve"> </w:t>
      </w:r>
    </w:p>
    <w:p w:rsidRPr="00B25974" w:rsidR="004B3949" w:rsidP="004B3949" w:rsidRDefault="004B3949" w14:paraId="77A48D9B" w14:textId="77777777">
      <w:pPr>
        <w:rPr>
          <w:b/>
          <w:bCs/>
          <w:szCs w:val="18"/>
        </w:rPr>
      </w:pPr>
      <w:r w:rsidRPr="00B25974">
        <w:rPr>
          <w:b/>
          <w:bCs/>
          <w:szCs w:val="18"/>
        </w:rPr>
        <w:t>Verloop openstelling SDE++ 202</w:t>
      </w:r>
      <w:r>
        <w:rPr>
          <w:b/>
          <w:bCs/>
          <w:szCs w:val="18"/>
        </w:rPr>
        <w:t>5</w:t>
      </w:r>
    </w:p>
    <w:p w:rsidR="004B3949" w:rsidP="004B3949" w:rsidRDefault="004B3949" w14:paraId="7ED97169" w14:textId="76168961">
      <w:pPr>
        <w:rPr>
          <w:szCs w:val="18"/>
        </w:rPr>
      </w:pPr>
      <w:r w:rsidRPr="00B25974">
        <w:rPr>
          <w:szCs w:val="18"/>
        </w:rPr>
        <w:t xml:space="preserve">Van </w:t>
      </w:r>
      <w:r>
        <w:rPr>
          <w:szCs w:val="18"/>
        </w:rPr>
        <w:t>7 oktober tot en met 6 november</w:t>
      </w:r>
      <w:r w:rsidRPr="00B25974">
        <w:rPr>
          <w:szCs w:val="18"/>
        </w:rPr>
        <w:t xml:space="preserve"> vond de openstelling van de SDE++ in 202</w:t>
      </w:r>
      <w:r>
        <w:rPr>
          <w:szCs w:val="18"/>
        </w:rPr>
        <w:t>5</w:t>
      </w:r>
      <w:r w:rsidRPr="00B25974">
        <w:rPr>
          <w:szCs w:val="18"/>
        </w:rPr>
        <w:t xml:space="preserve"> plaats. Hiervoor was een openstellingsbudget van € </w:t>
      </w:r>
      <w:r>
        <w:rPr>
          <w:szCs w:val="18"/>
        </w:rPr>
        <w:t>8</w:t>
      </w:r>
      <w:r w:rsidRPr="00B25974">
        <w:rPr>
          <w:szCs w:val="18"/>
        </w:rPr>
        <w:t xml:space="preserve"> miljard beschikbaar</w:t>
      </w:r>
      <w:r>
        <w:rPr>
          <w:rStyle w:val="Voetnootmarkering"/>
        </w:rPr>
        <w:footnoteReference w:id="1"/>
      </w:r>
      <w:r w:rsidRPr="00B25974">
        <w:rPr>
          <w:szCs w:val="18"/>
        </w:rPr>
        <w:t xml:space="preserve">. Gedurende de openstelling zijn </w:t>
      </w:r>
      <w:r>
        <w:rPr>
          <w:szCs w:val="18"/>
        </w:rPr>
        <w:t xml:space="preserve">468 </w:t>
      </w:r>
      <w:r w:rsidRPr="00B25974">
        <w:rPr>
          <w:szCs w:val="18"/>
        </w:rPr>
        <w:t xml:space="preserve">subsidieaanvragen ingediend, met een budgetclaim van in totaal </w:t>
      </w:r>
      <w:r>
        <w:rPr>
          <w:szCs w:val="18"/>
        </w:rPr>
        <w:t xml:space="preserve">bijna </w:t>
      </w:r>
      <w:r w:rsidRPr="00B25974">
        <w:rPr>
          <w:szCs w:val="18"/>
        </w:rPr>
        <w:t xml:space="preserve">€ </w:t>
      </w:r>
      <w:r>
        <w:rPr>
          <w:szCs w:val="18"/>
        </w:rPr>
        <w:t>22</w:t>
      </w:r>
      <w:r w:rsidRPr="00B25974">
        <w:rPr>
          <w:szCs w:val="18"/>
        </w:rPr>
        <w:t xml:space="preserve"> miljard. Dit bedrag zal uiteindelijk lager worden</w:t>
      </w:r>
      <w:r>
        <w:rPr>
          <w:szCs w:val="18"/>
        </w:rPr>
        <w:t xml:space="preserve"> doordat dubbele</w:t>
      </w:r>
      <w:r w:rsidR="00BF1951">
        <w:rPr>
          <w:szCs w:val="18"/>
        </w:rPr>
        <w:t xml:space="preserve"> of incomplete</w:t>
      </w:r>
      <w:r>
        <w:rPr>
          <w:szCs w:val="18"/>
        </w:rPr>
        <w:t xml:space="preserve"> aanvragen afvallen</w:t>
      </w:r>
      <w:r w:rsidR="004237B0">
        <w:rPr>
          <w:szCs w:val="18"/>
        </w:rPr>
        <w:t>, zoals aanvragen waarbij de vergunningen nog niet rond zijn</w:t>
      </w:r>
      <w:r w:rsidRPr="00B25974">
        <w:rPr>
          <w:szCs w:val="18"/>
        </w:rPr>
        <w:t xml:space="preserve">. Tabel 1 bevat een overzicht van alle aanvragen per </w:t>
      </w:r>
      <w:r>
        <w:rPr>
          <w:szCs w:val="18"/>
        </w:rPr>
        <w:t>techniek</w:t>
      </w:r>
      <w:r w:rsidRPr="00B25974">
        <w:rPr>
          <w:szCs w:val="18"/>
        </w:rPr>
        <w:t xml:space="preserve"> van de openstellingsronde 202</w:t>
      </w:r>
      <w:r>
        <w:rPr>
          <w:szCs w:val="18"/>
        </w:rPr>
        <w:t>5</w:t>
      </w:r>
      <w:r w:rsidRPr="00B25974">
        <w:rPr>
          <w:szCs w:val="18"/>
        </w:rPr>
        <w:t>. De aanvragen worden op dit moment door de Rijksdienst voor Ondernemend Nederland (RVO) beoordeeld op volledigheid en technische en financiële haalbaarheid.</w:t>
      </w:r>
      <w:r>
        <w:rPr>
          <w:szCs w:val="18"/>
        </w:rPr>
        <w:t xml:space="preserve"> Op grond daarvan zal het aantal positieve beschikkingen op de aanvragen nog afnemen.</w:t>
      </w:r>
    </w:p>
    <w:p w:rsidR="004237B0" w:rsidP="004B3949" w:rsidRDefault="004237B0" w14:paraId="2FA7C9EF" w14:textId="77777777">
      <w:pPr>
        <w:rPr>
          <w:szCs w:val="18"/>
        </w:rPr>
      </w:pPr>
    </w:p>
    <w:p w:rsidRPr="00087075" w:rsidR="004B3949" w:rsidP="004B3949" w:rsidRDefault="004B3949" w14:paraId="76E0BDF4" w14:textId="154D84A3">
      <w:pPr>
        <w:rPr>
          <w:szCs w:val="18"/>
        </w:rPr>
      </w:pPr>
      <w:r>
        <w:rPr>
          <w:szCs w:val="18"/>
        </w:rPr>
        <w:t xml:space="preserve">De aanvragen voor de SDE++ betreffen een goede verdeling over de verschillende technieken die de regeling ondersteunt. Opvallend is dit jaar een grote interesse binnen het domein moleculen, waarbij </w:t>
      </w:r>
      <w:r w:rsidR="004237B0">
        <w:rPr>
          <w:szCs w:val="18"/>
        </w:rPr>
        <w:t xml:space="preserve">bijvoorbeeld </w:t>
      </w:r>
      <w:r>
        <w:rPr>
          <w:szCs w:val="18"/>
        </w:rPr>
        <w:t xml:space="preserve">waterstof en groen gas worden geproduceerd, met een totaal aangevraagd budget van ruim </w:t>
      </w:r>
      <w:r w:rsidRPr="00B25974">
        <w:rPr>
          <w:szCs w:val="18"/>
        </w:rPr>
        <w:t>€</w:t>
      </w:r>
      <w:r>
        <w:rPr>
          <w:szCs w:val="18"/>
        </w:rPr>
        <w:t xml:space="preserve"> 6,3 miljard. Ook zijn er veel aanvragen geweest voor CO</w:t>
      </w:r>
      <w:r>
        <w:rPr>
          <w:szCs w:val="18"/>
          <w:vertAlign w:val="subscript"/>
        </w:rPr>
        <w:t>2</w:t>
      </w:r>
      <w:r>
        <w:rPr>
          <w:szCs w:val="18"/>
        </w:rPr>
        <w:t xml:space="preserve">-afvang en -opslag, met een totale budgetclaim van ca </w:t>
      </w:r>
      <w:r w:rsidRPr="00B25974">
        <w:rPr>
          <w:szCs w:val="18"/>
        </w:rPr>
        <w:t>€</w:t>
      </w:r>
      <w:r>
        <w:rPr>
          <w:szCs w:val="18"/>
        </w:rPr>
        <w:t xml:space="preserve"> 9 miljard. </w:t>
      </w:r>
      <w:r w:rsidR="00FC4C1B">
        <w:rPr>
          <w:szCs w:val="18"/>
        </w:rPr>
        <w:t xml:space="preserve">Het komt soms voor dat projecten in twee categorieën worden ingediend. </w:t>
      </w:r>
      <w:r w:rsidRPr="000922CA">
        <w:rPr>
          <w:szCs w:val="18"/>
        </w:rPr>
        <w:t xml:space="preserve">Hiermee </w:t>
      </w:r>
      <w:r>
        <w:rPr>
          <w:szCs w:val="18"/>
        </w:rPr>
        <w:t xml:space="preserve">willen de aanvragers </w:t>
      </w:r>
      <w:r w:rsidRPr="000922CA">
        <w:rPr>
          <w:szCs w:val="18"/>
        </w:rPr>
        <w:t xml:space="preserve">voorkomen dat zij in de verkeerde categorie indienen, waardoor de aanvraag zou worden afgewezen. </w:t>
      </w:r>
      <w:r w:rsidRPr="000922CA">
        <w:rPr>
          <w:szCs w:val="18"/>
        </w:rPr>
        <w:lastRenderedPageBreak/>
        <w:t xml:space="preserve">Een project kan echter maar één subsidiebeschikking ontvangen. </w:t>
      </w:r>
      <w:r>
        <w:rPr>
          <w:szCs w:val="18"/>
        </w:rPr>
        <w:t xml:space="preserve">Hierdoor zal, voor zover RVO nu kan overzien, zo’n </w:t>
      </w:r>
      <w:r w:rsidRPr="00B25974">
        <w:rPr>
          <w:szCs w:val="18"/>
        </w:rPr>
        <w:t>€</w:t>
      </w:r>
      <w:r>
        <w:rPr>
          <w:szCs w:val="18"/>
        </w:rPr>
        <w:t xml:space="preserve"> 3,1 miljard aan aanvragen afvallen. </w:t>
      </w:r>
    </w:p>
    <w:p w:rsidR="004B3949" w:rsidP="004B3949" w:rsidRDefault="004B3949" w14:paraId="26E440BD" w14:textId="33CB754E">
      <w:pPr>
        <w:rPr>
          <w:b/>
          <w:bCs/>
          <w:szCs w:val="18"/>
        </w:rPr>
      </w:pPr>
    </w:p>
    <w:p w:rsidR="004B3949" w:rsidP="004B3949" w:rsidRDefault="004B3949" w14:paraId="1D945952" w14:textId="77777777">
      <w:pPr>
        <w:rPr>
          <w:b/>
          <w:bCs/>
          <w:szCs w:val="18"/>
        </w:rPr>
      </w:pPr>
      <w:r>
        <w:rPr>
          <w:b/>
          <w:bCs/>
          <w:szCs w:val="18"/>
        </w:rPr>
        <w:t>Tabel 1</w:t>
      </w:r>
    </w:p>
    <w:tbl>
      <w:tblPr>
        <w:tblW w:w="9142" w:type="dxa"/>
        <w:tblCellMar>
          <w:left w:w="70" w:type="dxa"/>
          <w:right w:w="70" w:type="dxa"/>
        </w:tblCellMar>
        <w:tblLook w:val="04A0" w:firstRow="1" w:lastRow="0" w:firstColumn="1" w:lastColumn="0" w:noHBand="0" w:noVBand="1"/>
      </w:tblPr>
      <w:tblGrid>
        <w:gridCol w:w="1265"/>
        <w:gridCol w:w="2410"/>
        <w:gridCol w:w="851"/>
        <w:gridCol w:w="1134"/>
        <w:gridCol w:w="963"/>
        <w:gridCol w:w="1305"/>
        <w:gridCol w:w="1275"/>
      </w:tblGrid>
      <w:tr w:rsidRPr="00B267C6" w:rsidR="004B3949" w:rsidTr="0018303A" w14:paraId="05987CEF" w14:textId="77777777">
        <w:trPr>
          <w:trHeight w:val="601"/>
        </w:trPr>
        <w:tc>
          <w:tcPr>
            <w:tcW w:w="1204" w:type="dxa"/>
            <w:tcBorders>
              <w:top w:val="single" w:color="auto" w:sz="4" w:space="0"/>
              <w:left w:val="single" w:color="auto" w:sz="4" w:space="0"/>
              <w:bottom w:val="single" w:color="auto" w:sz="4" w:space="0"/>
              <w:right w:val="single" w:color="auto" w:sz="4" w:space="0"/>
            </w:tcBorders>
            <w:shd w:val="clear" w:color="000000" w:fill="EEECE1"/>
            <w:noWrap/>
            <w:vAlign w:val="bottom"/>
            <w:hideMark/>
          </w:tcPr>
          <w:p w:rsidRPr="006E5AFB" w:rsidR="004B3949" w:rsidP="00B46866" w:rsidRDefault="004B3949" w14:paraId="5F335D47" w14:textId="77777777">
            <w:pPr>
              <w:spacing w:line="240" w:lineRule="auto"/>
              <w:ind w:firstLine="181" w:firstLineChars="100"/>
              <w:rPr>
                <w:rFonts w:ascii="Calibri" w:hAnsi="Calibri" w:cs="Calibri"/>
                <w:b/>
                <w:bCs/>
                <w:szCs w:val="18"/>
              </w:rPr>
            </w:pPr>
            <w:r w:rsidRPr="006E5AFB">
              <w:rPr>
                <w:rFonts w:ascii="Calibri" w:hAnsi="Calibri" w:cs="Calibri"/>
                <w:b/>
                <w:bCs/>
                <w:szCs w:val="18"/>
              </w:rPr>
              <w:t>Domein</w:t>
            </w:r>
          </w:p>
        </w:tc>
        <w:tc>
          <w:tcPr>
            <w:tcW w:w="2410" w:type="dxa"/>
            <w:tcBorders>
              <w:top w:val="single" w:color="auto" w:sz="4" w:space="0"/>
              <w:left w:val="nil"/>
              <w:bottom w:val="single" w:color="auto" w:sz="4" w:space="0"/>
              <w:right w:val="single" w:color="auto" w:sz="4" w:space="0"/>
            </w:tcBorders>
            <w:shd w:val="clear" w:color="000000" w:fill="EEECE1"/>
            <w:noWrap/>
            <w:vAlign w:val="bottom"/>
            <w:hideMark/>
          </w:tcPr>
          <w:p w:rsidRPr="006E5AFB" w:rsidR="004B3949" w:rsidP="00B46866" w:rsidRDefault="004B3949" w14:paraId="508E595D" w14:textId="77777777">
            <w:pPr>
              <w:spacing w:line="240" w:lineRule="auto"/>
              <w:ind w:firstLine="181" w:firstLineChars="100"/>
              <w:rPr>
                <w:rFonts w:ascii="Calibri" w:hAnsi="Calibri" w:cs="Calibri"/>
                <w:b/>
                <w:bCs/>
                <w:szCs w:val="18"/>
              </w:rPr>
            </w:pPr>
            <w:r w:rsidRPr="006E5AFB">
              <w:rPr>
                <w:rFonts w:ascii="Calibri" w:hAnsi="Calibri" w:cs="Calibri"/>
                <w:b/>
                <w:bCs/>
                <w:szCs w:val="18"/>
              </w:rPr>
              <w:t>Categorie</w:t>
            </w:r>
          </w:p>
        </w:tc>
        <w:tc>
          <w:tcPr>
            <w:tcW w:w="851" w:type="dxa"/>
            <w:tcBorders>
              <w:top w:val="single" w:color="auto" w:sz="4" w:space="0"/>
              <w:left w:val="nil"/>
              <w:bottom w:val="single" w:color="auto" w:sz="4" w:space="0"/>
              <w:right w:val="nil"/>
            </w:tcBorders>
            <w:shd w:val="clear" w:color="000000" w:fill="EEECE1"/>
            <w:vAlign w:val="bottom"/>
            <w:hideMark/>
          </w:tcPr>
          <w:p w:rsidRPr="006E5AFB" w:rsidR="004B3949" w:rsidP="00B46866" w:rsidRDefault="004B3949" w14:paraId="00072632" w14:textId="77777777">
            <w:pPr>
              <w:spacing w:after="240" w:line="240" w:lineRule="auto"/>
              <w:jc w:val="center"/>
              <w:rPr>
                <w:rFonts w:ascii="Calibri" w:hAnsi="Calibri" w:cs="Calibri"/>
                <w:b/>
                <w:bCs/>
                <w:szCs w:val="18"/>
              </w:rPr>
            </w:pPr>
            <w:r w:rsidRPr="006E5AFB">
              <w:rPr>
                <w:rFonts w:ascii="Calibri" w:hAnsi="Calibri" w:cs="Calibri"/>
                <w:b/>
                <w:bCs/>
                <w:szCs w:val="18"/>
              </w:rPr>
              <w:t>Aantal</w:t>
            </w:r>
          </w:p>
        </w:tc>
        <w:tc>
          <w:tcPr>
            <w:tcW w:w="1134" w:type="dxa"/>
            <w:tcBorders>
              <w:top w:val="single" w:color="auto" w:sz="4" w:space="0"/>
              <w:left w:val="single" w:color="auto" w:sz="4" w:space="0"/>
              <w:bottom w:val="single" w:color="auto" w:sz="4" w:space="0"/>
              <w:right w:val="nil"/>
            </w:tcBorders>
            <w:shd w:val="clear" w:color="000000" w:fill="EEECE1"/>
            <w:vAlign w:val="bottom"/>
            <w:hideMark/>
          </w:tcPr>
          <w:p w:rsidRPr="006E5AFB" w:rsidR="004B3949" w:rsidP="00B46866" w:rsidRDefault="004B3949" w14:paraId="2D5104BD" w14:textId="77777777">
            <w:pPr>
              <w:spacing w:line="240" w:lineRule="auto"/>
              <w:jc w:val="center"/>
              <w:rPr>
                <w:rFonts w:ascii="Calibri" w:hAnsi="Calibri" w:cs="Calibri"/>
                <w:b/>
                <w:bCs/>
                <w:szCs w:val="18"/>
              </w:rPr>
            </w:pPr>
            <w:r w:rsidRPr="006E5AFB">
              <w:rPr>
                <w:rFonts w:ascii="Calibri" w:hAnsi="Calibri" w:cs="Calibri"/>
                <w:b/>
                <w:bCs/>
                <w:szCs w:val="18"/>
              </w:rPr>
              <w:t>Budgetclaim</w:t>
            </w:r>
            <w:r w:rsidRPr="006E5AFB">
              <w:rPr>
                <w:rFonts w:ascii="Calibri" w:hAnsi="Calibri" w:cs="Calibri"/>
                <w:b/>
                <w:bCs/>
                <w:szCs w:val="18"/>
              </w:rPr>
              <w:br/>
            </w:r>
            <w:r w:rsidRPr="006E5AFB">
              <w:rPr>
                <w:rFonts w:ascii="Calibri" w:hAnsi="Calibri" w:cs="Calibri"/>
                <w:b/>
                <w:bCs/>
                <w:szCs w:val="18"/>
              </w:rPr>
              <w:br/>
              <w:t>[€ mln]</w:t>
            </w:r>
          </w:p>
        </w:tc>
        <w:tc>
          <w:tcPr>
            <w:tcW w:w="963" w:type="dxa"/>
            <w:tcBorders>
              <w:top w:val="single" w:color="auto" w:sz="4" w:space="0"/>
              <w:left w:val="single" w:color="auto" w:sz="4" w:space="0"/>
              <w:bottom w:val="single" w:color="auto" w:sz="4" w:space="0"/>
              <w:right w:val="nil"/>
            </w:tcBorders>
            <w:shd w:val="clear" w:color="000000" w:fill="EEECE1"/>
            <w:vAlign w:val="bottom"/>
            <w:hideMark/>
          </w:tcPr>
          <w:p w:rsidRPr="006E5AFB" w:rsidR="004B3949" w:rsidP="00B46866" w:rsidRDefault="004B3949" w14:paraId="182F7F76" w14:textId="77777777">
            <w:pPr>
              <w:spacing w:line="240" w:lineRule="auto"/>
              <w:jc w:val="center"/>
              <w:rPr>
                <w:rFonts w:ascii="Calibri" w:hAnsi="Calibri" w:cs="Calibri"/>
                <w:b/>
                <w:bCs/>
                <w:szCs w:val="18"/>
              </w:rPr>
            </w:pPr>
            <w:r w:rsidRPr="006E5AFB">
              <w:rPr>
                <w:rFonts w:ascii="Calibri" w:hAnsi="Calibri" w:cs="Calibri"/>
                <w:b/>
                <w:bCs/>
                <w:szCs w:val="18"/>
              </w:rPr>
              <w:t>Vermogen¹</w:t>
            </w:r>
            <w:r w:rsidRPr="006E5AFB">
              <w:rPr>
                <w:rFonts w:ascii="Calibri" w:hAnsi="Calibri" w:cs="Calibri"/>
                <w:b/>
                <w:bCs/>
                <w:szCs w:val="18"/>
              </w:rPr>
              <w:br/>
            </w:r>
            <w:r w:rsidRPr="006E5AFB">
              <w:rPr>
                <w:rFonts w:ascii="Calibri" w:hAnsi="Calibri" w:cs="Calibri"/>
                <w:b/>
                <w:bCs/>
                <w:szCs w:val="18"/>
              </w:rPr>
              <w:br/>
              <w:t>[MW]</w:t>
            </w:r>
          </w:p>
        </w:tc>
        <w:tc>
          <w:tcPr>
            <w:tcW w:w="1305" w:type="dxa"/>
            <w:tcBorders>
              <w:top w:val="single" w:color="auto" w:sz="4" w:space="0"/>
              <w:left w:val="single" w:color="auto" w:sz="4" w:space="0"/>
              <w:bottom w:val="single" w:color="auto" w:sz="4" w:space="0"/>
              <w:right w:val="single" w:color="auto" w:sz="4" w:space="0"/>
            </w:tcBorders>
            <w:shd w:val="clear" w:color="000000" w:fill="EEECE1"/>
            <w:vAlign w:val="bottom"/>
            <w:hideMark/>
          </w:tcPr>
          <w:p w:rsidRPr="006E5AFB" w:rsidR="004B3949" w:rsidP="00B46866" w:rsidRDefault="004B3949" w14:paraId="713986D7" w14:textId="77777777">
            <w:pPr>
              <w:spacing w:line="240" w:lineRule="auto"/>
              <w:jc w:val="center"/>
              <w:rPr>
                <w:rFonts w:ascii="Calibri" w:hAnsi="Calibri" w:cs="Calibri"/>
                <w:b/>
                <w:bCs/>
                <w:szCs w:val="18"/>
              </w:rPr>
            </w:pPr>
            <w:r w:rsidRPr="006E5AFB">
              <w:rPr>
                <w:rFonts w:ascii="Calibri" w:hAnsi="Calibri" w:cs="Calibri"/>
                <w:b/>
                <w:bCs/>
                <w:szCs w:val="18"/>
              </w:rPr>
              <w:t>CO2 reductie</w:t>
            </w:r>
            <w:r w:rsidRPr="006E5AFB">
              <w:rPr>
                <w:rFonts w:ascii="Calibri" w:hAnsi="Calibri" w:cs="Calibri"/>
                <w:b/>
                <w:bCs/>
                <w:szCs w:val="18"/>
              </w:rPr>
              <w:br/>
            </w:r>
            <w:r w:rsidRPr="006E5AFB">
              <w:rPr>
                <w:rFonts w:ascii="Calibri" w:hAnsi="Calibri" w:cs="Calibri"/>
                <w:b/>
                <w:bCs/>
                <w:szCs w:val="18"/>
              </w:rPr>
              <w:br/>
              <w:t>[tCO₂/jr]</w:t>
            </w:r>
          </w:p>
        </w:tc>
        <w:tc>
          <w:tcPr>
            <w:tcW w:w="1275" w:type="dxa"/>
            <w:tcBorders>
              <w:top w:val="single" w:color="auto" w:sz="4" w:space="0"/>
              <w:left w:val="nil"/>
              <w:bottom w:val="single" w:color="auto" w:sz="4" w:space="0"/>
              <w:right w:val="single" w:color="auto" w:sz="4" w:space="0"/>
            </w:tcBorders>
            <w:shd w:val="clear" w:color="000000" w:fill="EEECE1"/>
            <w:vAlign w:val="bottom"/>
            <w:hideMark/>
          </w:tcPr>
          <w:p w:rsidRPr="006E5AFB" w:rsidR="004B3949" w:rsidP="00B46866" w:rsidRDefault="004B3949" w14:paraId="46F6D00E" w14:textId="77777777">
            <w:pPr>
              <w:spacing w:line="240" w:lineRule="auto"/>
              <w:jc w:val="center"/>
              <w:rPr>
                <w:rFonts w:ascii="Calibri" w:hAnsi="Calibri" w:cs="Calibri"/>
                <w:b/>
                <w:bCs/>
                <w:szCs w:val="18"/>
              </w:rPr>
            </w:pPr>
            <w:r w:rsidRPr="006E5AFB">
              <w:rPr>
                <w:rFonts w:ascii="Calibri" w:hAnsi="Calibri" w:cs="Calibri"/>
                <w:b/>
                <w:bCs/>
                <w:szCs w:val="18"/>
              </w:rPr>
              <w:t>Gemiddelde</w:t>
            </w:r>
            <w:r w:rsidRPr="006E5AFB">
              <w:rPr>
                <w:rFonts w:ascii="Calibri" w:hAnsi="Calibri" w:cs="Calibri"/>
                <w:b/>
                <w:bCs/>
                <w:szCs w:val="18"/>
              </w:rPr>
              <w:br/>
              <w:t>subsidie-</w:t>
            </w:r>
            <w:r w:rsidRPr="006E5AFB">
              <w:rPr>
                <w:rFonts w:ascii="Calibri" w:hAnsi="Calibri" w:cs="Calibri"/>
                <w:b/>
                <w:bCs/>
                <w:szCs w:val="18"/>
              </w:rPr>
              <w:br/>
              <w:t>intensiteit²</w:t>
            </w:r>
            <w:r w:rsidRPr="006E5AFB">
              <w:rPr>
                <w:rFonts w:ascii="Calibri" w:hAnsi="Calibri" w:cs="Calibri"/>
                <w:b/>
                <w:bCs/>
                <w:szCs w:val="18"/>
              </w:rPr>
              <w:br/>
              <w:t>[€/tCO₂]</w:t>
            </w:r>
          </w:p>
        </w:tc>
      </w:tr>
      <w:tr w:rsidRPr="00B267C6" w:rsidR="004B3949" w:rsidTr="0018303A" w14:paraId="3BCA43A6" w14:textId="77777777">
        <w:trPr>
          <w:trHeight w:val="150"/>
        </w:trPr>
        <w:tc>
          <w:tcPr>
            <w:tcW w:w="1204" w:type="dxa"/>
            <w:tcBorders>
              <w:top w:val="nil"/>
              <w:left w:val="single" w:color="auto" w:sz="4" w:space="0"/>
              <w:bottom w:val="nil"/>
              <w:right w:val="single" w:color="auto" w:sz="4" w:space="0"/>
            </w:tcBorders>
            <w:shd w:val="clear" w:color="000000" w:fill="FFFFFF"/>
            <w:noWrap/>
            <w:vAlign w:val="bottom"/>
            <w:hideMark/>
          </w:tcPr>
          <w:p w:rsidRPr="006E5AFB" w:rsidR="004B3949" w:rsidP="00B46866" w:rsidRDefault="004B3949" w14:paraId="45FD9A1E" w14:textId="77777777">
            <w:pPr>
              <w:spacing w:line="240" w:lineRule="auto"/>
              <w:ind w:firstLine="181" w:firstLineChars="100"/>
              <w:rPr>
                <w:rFonts w:ascii="Calibri" w:hAnsi="Calibri" w:cs="Calibri"/>
                <w:b/>
                <w:bCs/>
                <w:color w:val="000000"/>
                <w:szCs w:val="18"/>
              </w:rPr>
            </w:pPr>
            <w:r w:rsidRPr="006E5AFB">
              <w:rPr>
                <w:rFonts w:ascii="Calibri" w:hAnsi="Calibri" w:cs="Calibri"/>
                <w:b/>
                <w:bCs/>
                <w:color w:val="000000"/>
                <w:szCs w:val="18"/>
              </w:rPr>
              <w:t>Moleculen</w:t>
            </w:r>
          </w:p>
        </w:tc>
        <w:tc>
          <w:tcPr>
            <w:tcW w:w="2410" w:type="dxa"/>
            <w:tcBorders>
              <w:top w:val="nil"/>
              <w:left w:val="nil"/>
              <w:bottom w:val="nil"/>
              <w:right w:val="single" w:color="auto" w:sz="4" w:space="0"/>
            </w:tcBorders>
            <w:shd w:val="clear" w:color="000000" w:fill="FFFFFF"/>
            <w:noWrap/>
            <w:vAlign w:val="bottom"/>
            <w:hideMark/>
          </w:tcPr>
          <w:p w:rsidRPr="006E5AFB" w:rsidR="004B3949" w:rsidP="00B46866" w:rsidRDefault="004B3949" w14:paraId="2D0E3AB4" w14:textId="77777777">
            <w:pPr>
              <w:spacing w:line="240" w:lineRule="auto"/>
              <w:ind w:firstLine="180" w:firstLineChars="100"/>
              <w:rPr>
                <w:rFonts w:ascii="Calibri" w:hAnsi="Calibri" w:cs="Calibri"/>
                <w:color w:val="000000"/>
                <w:szCs w:val="18"/>
              </w:rPr>
            </w:pPr>
            <w:r w:rsidRPr="006E5AFB">
              <w:rPr>
                <w:rFonts w:ascii="Calibri" w:hAnsi="Calibri" w:cs="Calibri"/>
                <w:color w:val="000000"/>
                <w:szCs w:val="18"/>
              </w:rPr>
              <w:t>Biomassavergassing</w:t>
            </w:r>
          </w:p>
        </w:tc>
        <w:tc>
          <w:tcPr>
            <w:tcW w:w="851" w:type="dxa"/>
            <w:tcBorders>
              <w:top w:val="nil"/>
              <w:left w:val="nil"/>
              <w:bottom w:val="nil"/>
              <w:right w:val="nil"/>
            </w:tcBorders>
            <w:shd w:val="clear" w:color="000000" w:fill="FFFFFF"/>
            <w:noWrap/>
            <w:vAlign w:val="bottom"/>
            <w:hideMark/>
          </w:tcPr>
          <w:p w:rsidRPr="006E5AFB" w:rsidR="004B3949" w:rsidP="00B46866" w:rsidRDefault="004B3949" w14:paraId="15EEE203"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2</w:t>
            </w:r>
          </w:p>
        </w:tc>
        <w:tc>
          <w:tcPr>
            <w:tcW w:w="1134" w:type="dxa"/>
            <w:tcBorders>
              <w:top w:val="nil"/>
              <w:left w:val="single" w:color="auto" w:sz="4" w:space="0"/>
              <w:bottom w:val="nil"/>
              <w:right w:val="nil"/>
            </w:tcBorders>
            <w:shd w:val="clear" w:color="000000" w:fill="FFFFFF"/>
            <w:noWrap/>
            <w:vAlign w:val="bottom"/>
            <w:hideMark/>
          </w:tcPr>
          <w:p w:rsidRPr="006E5AFB" w:rsidR="004B3949" w:rsidP="00B46866" w:rsidRDefault="004B3949" w14:paraId="08613FAC"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1.360 </w:t>
            </w:r>
          </w:p>
        </w:tc>
        <w:tc>
          <w:tcPr>
            <w:tcW w:w="963" w:type="dxa"/>
            <w:tcBorders>
              <w:top w:val="nil"/>
              <w:left w:val="single" w:color="auto" w:sz="4" w:space="0"/>
              <w:bottom w:val="nil"/>
              <w:right w:val="nil"/>
            </w:tcBorders>
            <w:shd w:val="clear" w:color="000000" w:fill="FFFFFF"/>
            <w:noWrap/>
            <w:vAlign w:val="bottom"/>
            <w:hideMark/>
          </w:tcPr>
          <w:p w:rsidRPr="006E5AFB" w:rsidR="004B3949" w:rsidP="00B46866" w:rsidRDefault="004B3949" w14:paraId="15D44DE7"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161 </w:t>
            </w:r>
          </w:p>
        </w:tc>
        <w:tc>
          <w:tcPr>
            <w:tcW w:w="1305" w:type="dxa"/>
            <w:tcBorders>
              <w:top w:val="nil"/>
              <w:left w:val="single" w:color="auto" w:sz="4" w:space="0"/>
              <w:bottom w:val="nil"/>
              <w:right w:val="single" w:color="auto" w:sz="4" w:space="0"/>
            </w:tcBorders>
            <w:shd w:val="clear" w:color="000000" w:fill="FFFFFF"/>
            <w:noWrap/>
            <w:vAlign w:val="bottom"/>
            <w:hideMark/>
          </w:tcPr>
          <w:p w:rsidRPr="006E5AFB" w:rsidR="004B3949" w:rsidP="00B46866" w:rsidRDefault="004B3949" w14:paraId="0CBD5509"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199.544 </w:t>
            </w:r>
          </w:p>
        </w:tc>
        <w:tc>
          <w:tcPr>
            <w:tcW w:w="1275" w:type="dxa"/>
            <w:tcBorders>
              <w:top w:val="nil"/>
              <w:left w:val="nil"/>
              <w:bottom w:val="nil"/>
              <w:right w:val="single" w:color="auto" w:sz="4" w:space="0"/>
            </w:tcBorders>
            <w:shd w:val="clear" w:color="000000" w:fill="FFFFFF"/>
            <w:noWrap/>
            <w:vAlign w:val="bottom"/>
            <w:hideMark/>
          </w:tcPr>
          <w:p w:rsidRPr="006E5AFB" w:rsidR="004B3949" w:rsidP="00B46866" w:rsidRDefault="004B3949" w14:paraId="567403FF"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310 </w:t>
            </w:r>
          </w:p>
        </w:tc>
      </w:tr>
      <w:tr w:rsidRPr="00B267C6" w:rsidR="004B3949" w:rsidTr="0018303A" w14:paraId="61580C22" w14:textId="77777777">
        <w:trPr>
          <w:trHeight w:val="150"/>
        </w:trPr>
        <w:tc>
          <w:tcPr>
            <w:tcW w:w="1204" w:type="dxa"/>
            <w:tcBorders>
              <w:top w:val="nil"/>
              <w:left w:val="single" w:color="auto" w:sz="4" w:space="0"/>
              <w:bottom w:val="nil"/>
              <w:right w:val="single" w:color="auto" w:sz="4" w:space="0"/>
            </w:tcBorders>
            <w:shd w:val="clear" w:color="000000" w:fill="FFFFFF"/>
            <w:noWrap/>
            <w:vAlign w:val="bottom"/>
            <w:hideMark/>
          </w:tcPr>
          <w:p w:rsidRPr="006E5AFB" w:rsidR="004B3949" w:rsidP="00B46866" w:rsidRDefault="004B3949" w14:paraId="5992145D" w14:textId="77777777">
            <w:pPr>
              <w:spacing w:line="240" w:lineRule="auto"/>
              <w:ind w:firstLine="181" w:firstLineChars="100"/>
              <w:rPr>
                <w:rFonts w:ascii="Calibri" w:hAnsi="Calibri" w:cs="Calibri"/>
                <w:b/>
                <w:bCs/>
                <w:color w:val="000000"/>
                <w:szCs w:val="18"/>
              </w:rPr>
            </w:pPr>
            <w:r w:rsidRPr="006E5AFB">
              <w:rPr>
                <w:rFonts w:ascii="Calibri" w:hAnsi="Calibri" w:cs="Calibri"/>
                <w:b/>
                <w:bCs/>
                <w:color w:val="000000"/>
                <w:szCs w:val="18"/>
              </w:rPr>
              <w:t> </w:t>
            </w:r>
          </w:p>
        </w:tc>
        <w:tc>
          <w:tcPr>
            <w:tcW w:w="2410" w:type="dxa"/>
            <w:tcBorders>
              <w:top w:val="nil"/>
              <w:left w:val="nil"/>
              <w:bottom w:val="nil"/>
              <w:right w:val="single" w:color="auto" w:sz="4" w:space="0"/>
            </w:tcBorders>
            <w:shd w:val="clear" w:color="000000" w:fill="FFFFFF"/>
            <w:noWrap/>
            <w:vAlign w:val="bottom"/>
            <w:hideMark/>
          </w:tcPr>
          <w:p w:rsidRPr="006E5AFB" w:rsidR="004B3949" w:rsidP="00B46866" w:rsidRDefault="004B3949" w14:paraId="5424248D" w14:textId="77777777">
            <w:pPr>
              <w:spacing w:line="240" w:lineRule="auto"/>
              <w:ind w:firstLine="180" w:firstLineChars="100"/>
              <w:rPr>
                <w:rFonts w:ascii="Calibri" w:hAnsi="Calibri" w:cs="Calibri"/>
                <w:color w:val="000000"/>
                <w:szCs w:val="18"/>
              </w:rPr>
            </w:pPr>
            <w:r w:rsidRPr="006E5AFB">
              <w:rPr>
                <w:rFonts w:ascii="Calibri" w:hAnsi="Calibri" w:cs="Calibri"/>
                <w:color w:val="000000"/>
                <w:szCs w:val="18"/>
              </w:rPr>
              <w:t>Biomassavergisting (hern. gas)</w:t>
            </w:r>
          </w:p>
        </w:tc>
        <w:tc>
          <w:tcPr>
            <w:tcW w:w="851" w:type="dxa"/>
            <w:tcBorders>
              <w:top w:val="nil"/>
              <w:left w:val="nil"/>
              <w:bottom w:val="nil"/>
              <w:right w:val="nil"/>
            </w:tcBorders>
            <w:shd w:val="clear" w:color="000000" w:fill="FFFFFF"/>
            <w:noWrap/>
            <w:vAlign w:val="bottom"/>
            <w:hideMark/>
          </w:tcPr>
          <w:p w:rsidRPr="006E5AFB" w:rsidR="004B3949" w:rsidP="00B46866" w:rsidRDefault="004B3949" w14:paraId="099B1D3A"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73</w:t>
            </w:r>
          </w:p>
        </w:tc>
        <w:tc>
          <w:tcPr>
            <w:tcW w:w="1134" w:type="dxa"/>
            <w:tcBorders>
              <w:top w:val="nil"/>
              <w:left w:val="single" w:color="auto" w:sz="4" w:space="0"/>
              <w:bottom w:val="nil"/>
              <w:right w:val="nil"/>
            </w:tcBorders>
            <w:shd w:val="clear" w:color="000000" w:fill="FFFFFF"/>
            <w:noWrap/>
            <w:vAlign w:val="bottom"/>
            <w:hideMark/>
          </w:tcPr>
          <w:p w:rsidRPr="006E5AFB" w:rsidR="004B3949" w:rsidP="00B46866" w:rsidRDefault="004B3949" w14:paraId="1EBCF20B"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1.785 </w:t>
            </w:r>
          </w:p>
        </w:tc>
        <w:tc>
          <w:tcPr>
            <w:tcW w:w="963" w:type="dxa"/>
            <w:tcBorders>
              <w:top w:val="nil"/>
              <w:left w:val="single" w:color="auto" w:sz="4" w:space="0"/>
              <w:bottom w:val="nil"/>
              <w:right w:val="nil"/>
            </w:tcBorders>
            <w:shd w:val="clear" w:color="000000" w:fill="FFFFFF"/>
            <w:noWrap/>
            <w:vAlign w:val="bottom"/>
            <w:hideMark/>
          </w:tcPr>
          <w:p w:rsidRPr="006E5AFB" w:rsidR="004B3949" w:rsidP="00B46866" w:rsidRDefault="004B3949" w14:paraId="519E5DC5"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243 </w:t>
            </w:r>
          </w:p>
        </w:tc>
        <w:tc>
          <w:tcPr>
            <w:tcW w:w="1305" w:type="dxa"/>
            <w:tcBorders>
              <w:top w:val="nil"/>
              <w:left w:val="single" w:color="auto" w:sz="4" w:space="0"/>
              <w:bottom w:val="nil"/>
              <w:right w:val="single" w:color="auto" w:sz="4" w:space="0"/>
            </w:tcBorders>
            <w:shd w:val="clear" w:color="000000" w:fill="FFFFFF"/>
            <w:noWrap/>
            <w:vAlign w:val="bottom"/>
            <w:hideMark/>
          </w:tcPr>
          <w:p w:rsidRPr="006E5AFB" w:rsidR="004B3949" w:rsidP="00B46866" w:rsidRDefault="004B3949" w14:paraId="43803D3C"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395.992 </w:t>
            </w:r>
          </w:p>
        </w:tc>
        <w:tc>
          <w:tcPr>
            <w:tcW w:w="1275" w:type="dxa"/>
            <w:tcBorders>
              <w:top w:val="nil"/>
              <w:left w:val="nil"/>
              <w:bottom w:val="nil"/>
              <w:right w:val="single" w:color="auto" w:sz="4" w:space="0"/>
            </w:tcBorders>
            <w:shd w:val="clear" w:color="000000" w:fill="FFFFFF"/>
            <w:noWrap/>
            <w:vAlign w:val="bottom"/>
            <w:hideMark/>
          </w:tcPr>
          <w:p w:rsidRPr="006E5AFB" w:rsidR="004B3949" w:rsidP="00B46866" w:rsidRDefault="004B3949" w14:paraId="29BA0B81"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259 </w:t>
            </w:r>
          </w:p>
        </w:tc>
      </w:tr>
      <w:tr w:rsidRPr="00B267C6" w:rsidR="004B3949" w:rsidTr="0018303A" w14:paraId="1D5D8D68" w14:textId="77777777">
        <w:trPr>
          <w:trHeight w:val="150"/>
        </w:trPr>
        <w:tc>
          <w:tcPr>
            <w:tcW w:w="1204" w:type="dxa"/>
            <w:tcBorders>
              <w:top w:val="nil"/>
              <w:left w:val="single" w:color="auto" w:sz="4" w:space="0"/>
              <w:bottom w:val="nil"/>
              <w:right w:val="single" w:color="auto" w:sz="4" w:space="0"/>
            </w:tcBorders>
            <w:shd w:val="clear" w:color="000000" w:fill="FFFFFF"/>
            <w:noWrap/>
            <w:vAlign w:val="bottom"/>
            <w:hideMark/>
          </w:tcPr>
          <w:p w:rsidRPr="006E5AFB" w:rsidR="004B3949" w:rsidP="00B46866" w:rsidRDefault="004B3949" w14:paraId="09D65E01" w14:textId="77777777">
            <w:pPr>
              <w:spacing w:line="240" w:lineRule="auto"/>
              <w:ind w:firstLine="181" w:firstLineChars="100"/>
              <w:rPr>
                <w:rFonts w:ascii="Calibri" w:hAnsi="Calibri" w:cs="Calibri"/>
                <w:b/>
                <w:bCs/>
                <w:color w:val="000000"/>
                <w:szCs w:val="18"/>
              </w:rPr>
            </w:pPr>
            <w:r w:rsidRPr="006E5AFB">
              <w:rPr>
                <w:rFonts w:ascii="Calibri" w:hAnsi="Calibri" w:cs="Calibri"/>
                <w:b/>
                <w:bCs/>
                <w:color w:val="000000"/>
                <w:szCs w:val="18"/>
              </w:rPr>
              <w:t> </w:t>
            </w:r>
          </w:p>
        </w:tc>
        <w:tc>
          <w:tcPr>
            <w:tcW w:w="2410" w:type="dxa"/>
            <w:tcBorders>
              <w:top w:val="nil"/>
              <w:left w:val="nil"/>
              <w:bottom w:val="nil"/>
              <w:right w:val="single" w:color="auto" w:sz="4" w:space="0"/>
            </w:tcBorders>
            <w:shd w:val="clear" w:color="000000" w:fill="FFFFFF"/>
            <w:noWrap/>
            <w:vAlign w:val="bottom"/>
            <w:hideMark/>
          </w:tcPr>
          <w:p w:rsidRPr="006E5AFB" w:rsidR="004B3949" w:rsidP="00B46866" w:rsidRDefault="004B3949" w14:paraId="7FE1042E" w14:textId="77777777">
            <w:pPr>
              <w:spacing w:line="240" w:lineRule="auto"/>
              <w:ind w:firstLine="180" w:firstLineChars="100"/>
              <w:rPr>
                <w:rFonts w:ascii="Calibri" w:hAnsi="Calibri" w:cs="Calibri"/>
                <w:color w:val="000000"/>
                <w:szCs w:val="18"/>
              </w:rPr>
            </w:pPr>
            <w:r w:rsidRPr="006E5AFB">
              <w:rPr>
                <w:rFonts w:ascii="Calibri" w:hAnsi="Calibri" w:cs="Calibri"/>
                <w:color w:val="000000"/>
                <w:szCs w:val="18"/>
              </w:rPr>
              <w:t>Waterstofproductie uit elektrolyse</w:t>
            </w:r>
          </w:p>
        </w:tc>
        <w:tc>
          <w:tcPr>
            <w:tcW w:w="851" w:type="dxa"/>
            <w:tcBorders>
              <w:top w:val="nil"/>
              <w:left w:val="nil"/>
              <w:bottom w:val="nil"/>
              <w:right w:val="nil"/>
            </w:tcBorders>
            <w:shd w:val="clear" w:color="000000" w:fill="FFFFFF"/>
            <w:noWrap/>
            <w:vAlign w:val="bottom"/>
            <w:hideMark/>
          </w:tcPr>
          <w:p w:rsidRPr="006E5AFB" w:rsidR="004B3949" w:rsidP="00B46866" w:rsidRDefault="004B3949" w14:paraId="766A6546"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3</w:t>
            </w:r>
          </w:p>
        </w:tc>
        <w:tc>
          <w:tcPr>
            <w:tcW w:w="1134" w:type="dxa"/>
            <w:tcBorders>
              <w:top w:val="nil"/>
              <w:left w:val="single" w:color="auto" w:sz="4" w:space="0"/>
              <w:bottom w:val="nil"/>
              <w:right w:val="nil"/>
            </w:tcBorders>
            <w:shd w:val="clear" w:color="000000" w:fill="FFFFFF"/>
            <w:noWrap/>
            <w:vAlign w:val="bottom"/>
            <w:hideMark/>
          </w:tcPr>
          <w:p w:rsidRPr="006E5AFB" w:rsidR="004B3949" w:rsidP="00B46866" w:rsidRDefault="004B3949" w14:paraId="6ABC2557"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1.645 </w:t>
            </w:r>
          </w:p>
        </w:tc>
        <w:tc>
          <w:tcPr>
            <w:tcW w:w="963" w:type="dxa"/>
            <w:tcBorders>
              <w:top w:val="nil"/>
              <w:left w:val="single" w:color="auto" w:sz="4" w:space="0"/>
              <w:bottom w:val="nil"/>
              <w:right w:val="nil"/>
            </w:tcBorders>
            <w:shd w:val="clear" w:color="000000" w:fill="FFFFFF"/>
            <w:noWrap/>
            <w:vAlign w:val="bottom"/>
            <w:hideMark/>
          </w:tcPr>
          <w:p w:rsidRPr="006E5AFB" w:rsidR="004B3949" w:rsidP="00B46866" w:rsidRDefault="004B3949" w14:paraId="4EF15EA2"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234 </w:t>
            </w:r>
          </w:p>
        </w:tc>
        <w:tc>
          <w:tcPr>
            <w:tcW w:w="1305" w:type="dxa"/>
            <w:tcBorders>
              <w:top w:val="nil"/>
              <w:left w:val="single" w:color="auto" w:sz="4" w:space="0"/>
              <w:bottom w:val="nil"/>
              <w:right w:val="single" w:color="auto" w:sz="4" w:space="0"/>
            </w:tcBorders>
            <w:shd w:val="clear" w:color="000000" w:fill="FFFFFF"/>
            <w:noWrap/>
            <w:vAlign w:val="bottom"/>
            <w:hideMark/>
          </w:tcPr>
          <w:p w:rsidRPr="006E5AFB" w:rsidR="004B3949" w:rsidP="00B46866" w:rsidRDefault="004B3949" w14:paraId="1CC85980"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197.068 </w:t>
            </w:r>
          </w:p>
        </w:tc>
        <w:tc>
          <w:tcPr>
            <w:tcW w:w="1275" w:type="dxa"/>
            <w:tcBorders>
              <w:top w:val="nil"/>
              <w:left w:val="nil"/>
              <w:bottom w:val="nil"/>
              <w:right w:val="single" w:color="auto" w:sz="4" w:space="0"/>
            </w:tcBorders>
            <w:shd w:val="clear" w:color="000000" w:fill="FFFFFF"/>
            <w:noWrap/>
            <w:vAlign w:val="bottom"/>
            <w:hideMark/>
          </w:tcPr>
          <w:p w:rsidRPr="006E5AFB" w:rsidR="004B3949" w:rsidP="00B46866" w:rsidRDefault="004B3949" w14:paraId="4D1E4583"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386 </w:t>
            </w:r>
          </w:p>
        </w:tc>
      </w:tr>
      <w:tr w:rsidRPr="00B267C6" w:rsidR="004B3949" w:rsidTr="0018303A" w14:paraId="3BF36858" w14:textId="77777777">
        <w:trPr>
          <w:trHeight w:val="150"/>
        </w:trPr>
        <w:tc>
          <w:tcPr>
            <w:tcW w:w="1204" w:type="dxa"/>
            <w:tcBorders>
              <w:top w:val="nil"/>
              <w:left w:val="single" w:color="auto" w:sz="4" w:space="0"/>
              <w:bottom w:val="nil"/>
              <w:right w:val="single" w:color="auto" w:sz="4" w:space="0"/>
            </w:tcBorders>
            <w:shd w:val="clear" w:color="000000" w:fill="FFFFFF"/>
            <w:noWrap/>
            <w:vAlign w:val="bottom"/>
            <w:hideMark/>
          </w:tcPr>
          <w:p w:rsidRPr="006E5AFB" w:rsidR="004B3949" w:rsidP="00B46866" w:rsidRDefault="004B3949" w14:paraId="290687F4" w14:textId="77777777">
            <w:pPr>
              <w:spacing w:line="240" w:lineRule="auto"/>
              <w:ind w:firstLine="181" w:firstLineChars="100"/>
              <w:rPr>
                <w:rFonts w:ascii="Calibri" w:hAnsi="Calibri" w:cs="Calibri"/>
                <w:b/>
                <w:bCs/>
                <w:color w:val="000000"/>
                <w:szCs w:val="18"/>
              </w:rPr>
            </w:pPr>
            <w:r w:rsidRPr="006E5AFB">
              <w:rPr>
                <w:rFonts w:ascii="Calibri" w:hAnsi="Calibri" w:cs="Calibri"/>
                <w:b/>
                <w:bCs/>
                <w:color w:val="000000"/>
                <w:szCs w:val="18"/>
              </w:rPr>
              <w:t> </w:t>
            </w:r>
          </w:p>
        </w:tc>
        <w:tc>
          <w:tcPr>
            <w:tcW w:w="2410" w:type="dxa"/>
            <w:tcBorders>
              <w:top w:val="nil"/>
              <w:left w:val="nil"/>
              <w:bottom w:val="nil"/>
              <w:right w:val="single" w:color="auto" w:sz="4" w:space="0"/>
            </w:tcBorders>
            <w:shd w:val="clear" w:color="000000" w:fill="FFFFFF"/>
            <w:noWrap/>
            <w:vAlign w:val="bottom"/>
            <w:hideMark/>
          </w:tcPr>
          <w:p w:rsidRPr="006E5AFB" w:rsidR="004B3949" w:rsidP="00B46866" w:rsidRDefault="004B3949" w14:paraId="7A9A65D1" w14:textId="77777777">
            <w:pPr>
              <w:spacing w:line="240" w:lineRule="auto"/>
              <w:ind w:firstLine="180" w:firstLineChars="100"/>
              <w:rPr>
                <w:rFonts w:ascii="Calibri" w:hAnsi="Calibri" w:cs="Calibri"/>
                <w:color w:val="000000"/>
                <w:szCs w:val="18"/>
              </w:rPr>
            </w:pPr>
            <w:r w:rsidRPr="006E5AFB">
              <w:rPr>
                <w:rFonts w:ascii="Calibri" w:hAnsi="Calibri" w:cs="Calibri"/>
                <w:color w:val="000000"/>
                <w:szCs w:val="18"/>
              </w:rPr>
              <w:t>Waterstofproductie uit vergassing</w:t>
            </w:r>
          </w:p>
        </w:tc>
        <w:tc>
          <w:tcPr>
            <w:tcW w:w="851" w:type="dxa"/>
            <w:tcBorders>
              <w:top w:val="nil"/>
              <w:left w:val="nil"/>
              <w:bottom w:val="nil"/>
              <w:right w:val="nil"/>
            </w:tcBorders>
            <w:shd w:val="clear" w:color="000000" w:fill="FFFFFF"/>
            <w:noWrap/>
            <w:vAlign w:val="bottom"/>
            <w:hideMark/>
          </w:tcPr>
          <w:p w:rsidRPr="006E5AFB" w:rsidR="004B3949" w:rsidP="00B46866" w:rsidRDefault="004B3949" w14:paraId="1040FC63"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1</w:t>
            </w:r>
          </w:p>
        </w:tc>
        <w:tc>
          <w:tcPr>
            <w:tcW w:w="1134" w:type="dxa"/>
            <w:tcBorders>
              <w:top w:val="nil"/>
              <w:left w:val="single" w:color="auto" w:sz="4" w:space="0"/>
              <w:bottom w:val="nil"/>
              <w:right w:val="nil"/>
            </w:tcBorders>
            <w:shd w:val="clear" w:color="000000" w:fill="FFFFFF"/>
            <w:noWrap/>
            <w:vAlign w:val="bottom"/>
            <w:hideMark/>
          </w:tcPr>
          <w:p w:rsidRPr="006E5AFB" w:rsidR="004B3949" w:rsidP="00B46866" w:rsidRDefault="004B3949" w14:paraId="281F2660"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1.155 </w:t>
            </w:r>
          </w:p>
        </w:tc>
        <w:tc>
          <w:tcPr>
            <w:tcW w:w="963" w:type="dxa"/>
            <w:tcBorders>
              <w:top w:val="nil"/>
              <w:left w:val="single" w:color="auto" w:sz="4" w:space="0"/>
              <w:bottom w:val="nil"/>
              <w:right w:val="nil"/>
            </w:tcBorders>
            <w:shd w:val="clear" w:color="000000" w:fill="FFFFFF"/>
            <w:noWrap/>
            <w:vAlign w:val="bottom"/>
            <w:hideMark/>
          </w:tcPr>
          <w:p w:rsidRPr="006E5AFB" w:rsidR="004B3949" w:rsidP="00B46866" w:rsidRDefault="004B3949" w14:paraId="4E10047F"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276 </w:t>
            </w:r>
          </w:p>
        </w:tc>
        <w:tc>
          <w:tcPr>
            <w:tcW w:w="1305" w:type="dxa"/>
            <w:tcBorders>
              <w:top w:val="nil"/>
              <w:left w:val="single" w:color="auto" w:sz="4" w:space="0"/>
              <w:bottom w:val="nil"/>
              <w:right w:val="single" w:color="auto" w:sz="4" w:space="0"/>
            </w:tcBorders>
            <w:shd w:val="clear" w:color="000000" w:fill="FFFFFF"/>
            <w:noWrap/>
            <w:vAlign w:val="bottom"/>
            <w:hideMark/>
          </w:tcPr>
          <w:p w:rsidRPr="006E5AFB" w:rsidR="004B3949" w:rsidP="00B46866" w:rsidRDefault="004B3949" w14:paraId="57894AE3"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268.175 </w:t>
            </w:r>
          </w:p>
        </w:tc>
        <w:tc>
          <w:tcPr>
            <w:tcW w:w="1275" w:type="dxa"/>
            <w:tcBorders>
              <w:top w:val="nil"/>
              <w:left w:val="nil"/>
              <w:bottom w:val="nil"/>
              <w:right w:val="single" w:color="auto" w:sz="4" w:space="0"/>
            </w:tcBorders>
            <w:shd w:val="clear" w:color="000000" w:fill="FFFFFF"/>
            <w:noWrap/>
            <w:vAlign w:val="bottom"/>
            <w:hideMark/>
          </w:tcPr>
          <w:p w:rsidRPr="006E5AFB" w:rsidR="004B3949" w:rsidP="00B46866" w:rsidRDefault="004B3949" w14:paraId="490ABCA2"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65 </w:t>
            </w:r>
          </w:p>
        </w:tc>
      </w:tr>
      <w:tr w:rsidRPr="00B267C6" w:rsidR="004B3949" w:rsidTr="0018303A" w14:paraId="3954679E" w14:textId="77777777">
        <w:trPr>
          <w:trHeight w:val="150"/>
        </w:trPr>
        <w:tc>
          <w:tcPr>
            <w:tcW w:w="1204" w:type="dxa"/>
            <w:tcBorders>
              <w:top w:val="nil"/>
              <w:left w:val="single" w:color="auto" w:sz="4" w:space="0"/>
              <w:bottom w:val="nil"/>
              <w:right w:val="single" w:color="auto" w:sz="4" w:space="0"/>
            </w:tcBorders>
            <w:shd w:val="clear" w:color="000000" w:fill="FFFFFF"/>
            <w:noWrap/>
            <w:vAlign w:val="bottom"/>
            <w:hideMark/>
          </w:tcPr>
          <w:p w:rsidRPr="006E5AFB" w:rsidR="004B3949" w:rsidP="00B46866" w:rsidRDefault="004B3949" w14:paraId="03F6DB7A" w14:textId="77777777">
            <w:pPr>
              <w:spacing w:line="240" w:lineRule="auto"/>
              <w:ind w:firstLine="181" w:firstLineChars="100"/>
              <w:rPr>
                <w:rFonts w:ascii="Calibri" w:hAnsi="Calibri" w:cs="Calibri"/>
                <w:b/>
                <w:bCs/>
                <w:color w:val="000000"/>
                <w:szCs w:val="18"/>
              </w:rPr>
            </w:pPr>
            <w:r w:rsidRPr="006E5AFB">
              <w:rPr>
                <w:rFonts w:ascii="Calibri" w:hAnsi="Calibri" w:cs="Calibri"/>
                <w:b/>
                <w:bCs/>
                <w:color w:val="000000"/>
                <w:szCs w:val="18"/>
              </w:rPr>
              <w:t> </w:t>
            </w:r>
          </w:p>
        </w:tc>
        <w:tc>
          <w:tcPr>
            <w:tcW w:w="2410" w:type="dxa"/>
            <w:tcBorders>
              <w:top w:val="nil"/>
              <w:left w:val="nil"/>
              <w:bottom w:val="nil"/>
              <w:right w:val="single" w:color="auto" w:sz="4" w:space="0"/>
            </w:tcBorders>
            <w:shd w:val="clear" w:color="000000" w:fill="FFFFFF"/>
            <w:noWrap/>
            <w:vAlign w:val="bottom"/>
            <w:hideMark/>
          </w:tcPr>
          <w:p w:rsidRPr="006E5AFB" w:rsidR="004B3949" w:rsidP="00B46866" w:rsidRDefault="004B3949" w14:paraId="304E9330" w14:textId="77777777">
            <w:pPr>
              <w:spacing w:line="240" w:lineRule="auto"/>
              <w:ind w:firstLine="180" w:firstLineChars="100"/>
              <w:rPr>
                <w:rFonts w:ascii="Calibri" w:hAnsi="Calibri" w:cs="Calibri"/>
                <w:color w:val="000000"/>
                <w:szCs w:val="18"/>
              </w:rPr>
            </w:pPr>
            <w:r w:rsidRPr="006E5AFB">
              <w:rPr>
                <w:rFonts w:ascii="Calibri" w:hAnsi="Calibri" w:cs="Calibri"/>
                <w:color w:val="000000"/>
                <w:szCs w:val="18"/>
              </w:rPr>
              <w:t>Geavanceerde hernieuwbare brandstoffen</w:t>
            </w:r>
          </w:p>
        </w:tc>
        <w:tc>
          <w:tcPr>
            <w:tcW w:w="851" w:type="dxa"/>
            <w:tcBorders>
              <w:top w:val="nil"/>
              <w:left w:val="nil"/>
              <w:bottom w:val="nil"/>
              <w:right w:val="nil"/>
            </w:tcBorders>
            <w:shd w:val="clear" w:color="000000" w:fill="FFFFFF"/>
            <w:noWrap/>
            <w:vAlign w:val="bottom"/>
            <w:hideMark/>
          </w:tcPr>
          <w:p w:rsidRPr="006E5AFB" w:rsidR="004B3949" w:rsidP="00B46866" w:rsidRDefault="004B3949" w14:paraId="5171774C"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1</w:t>
            </w:r>
          </w:p>
        </w:tc>
        <w:tc>
          <w:tcPr>
            <w:tcW w:w="1134" w:type="dxa"/>
            <w:tcBorders>
              <w:top w:val="nil"/>
              <w:left w:val="single" w:color="auto" w:sz="4" w:space="0"/>
              <w:bottom w:val="nil"/>
              <w:right w:val="nil"/>
            </w:tcBorders>
            <w:shd w:val="clear" w:color="000000" w:fill="FFFFFF"/>
            <w:noWrap/>
            <w:vAlign w:val="bottom"/>
            <w:hideMark/>
          </w:tcPr>
          <w:p w:rsidRPr="006E5AFB" w:rsidR="004B3949" w:rsidP="00B46866" w:rsidRDefault="004B3949" w14:paraId="08FA76CE"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400 </w:t>
            </w:r>
          </w:p>
        </w:tc>
        <w:tc>
          <w:tcPr>
            <w:tcW w:w="963" w:type="dxa"/>
            <w:tcBorders>
              <w:top w:val="nil"/>
              <w:left w:val="single" w:color="auto" w:sz="4" w:space="0"/>
              <w:bottom w:val="nil"/>
              <w:right w:val="nil"/>
            </w:tcBorders>
            <w:shd w:val="clear" w:color="000000" w:fill="FFFFFF"/>
            <w:noWrap/>
            <w:vAlign w:val="bottom"/>
            <w:hideMark/>
          </w:tcPr>
          <w:p w:rsidRPr="006E5AFB" w:rsidR="004B3949" w:rsidP="00B46866" w:rsidRDefault="004B3949" w14:paraId="0BAC684C"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40 </w:t>
            </w:r>
          </w:p>
        </w:tc>
        <w:tc>
          <w:tcPr>
            <w:tcW w:w="1305" w:type="dxa"/>
            <w:tcBorders>
              <w:top w:val="nil"/>
              <w:left w:val="single" w:color="auto" w:sz="4" w:space="0"/>
              <w:bottom w:val="nil"/>
              <w:right w:val="single" w:color="auto" w:sz="4" w:space="0"/>
            </w:tcBorders>
            <w:shd w:val="clear" w:color="000000" w:fill="FFFFFF"/>
            <w:noWrap/>
            <w:vAlign w:val="bottom"/>
            <w:hideMark/>
          </w:tcPr>
          <w:p w:rsidRPr="006E5AFB" w:rsidR="004B3949" w:rsidP="00B46866" w:rsidRDefault="004B3949" w14:paraId="7029EC92"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76.961 </w:t>
            </w:r>
          </w:p>
        </w:tc>
        <w:tc>
          <w:tcPr>
            <w:tcW w:w="1275" w:type="dxa"/>
            <w:tcBorders>
              <w:top w:val="nil"/>
              <w:left w:val="nil"/>
              <w:bottom w:val="nil"/>
              <w:right w:val="single" w:color="auto" w:sz="4" w:space="0"/>
            </w:tcBorders>
            <w:shd w:val="clear" w:color="000000" w:fill="FFFFFF"/>
            <w:noWrap/>
            <w:vAlign w:val="bottom"/>
            <w:hideMark/>
          </w:tcPr>
          <w:p w:rsidRPr="006E5AFB" w:rsidR="004B3949" w:rsidP="00B46866" w:rsidRDefault="004B3949" w14:paraId="13658963"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42 </w:t>
            </w:r>
          </w:p>
        </w:tc>
      </w:tr>
      <w:tr w:rsidRPr="00B267C6" w:rsidR="004B3949" w:rsidTr="0018303A" w14:paraId="54DC5077" w14:textId="77777777">
        <w:trPr>
          <w:trHeight w:val="150"/>
        </w:trPr>
        <w:tc>
          <w:tcPr>
            <w:tcW w:w="1204" w:type="dxa"/>
            <w:tcBorders>
              <w:top w:val="nil"/>
              <w:left w:val="single" w:color="auto" w:sz="4" w:space="0"/>
              <w:bottom w:val="single" w:color="auto" w:sz="4" w:space="0"/>
              <w:right w:val="single" w:color="auto" w:sz="4" w:space="0"/>
            </w:tcBorders>
            <w:shd w:val="clear" w:color="000000" w:fill="FFFFFF"/>
            <w:noWrap/>
            <w:vAlign w:val="bottom"/>
            <w:hideMark/>
          </w:tcPr>
          <w:p w:rsidRPr="006E5AFB" w:rsidR="004B3949" w:rsidP="00B46866" w:rsidRDefault="004B3949" w14:paraId="7617EB44" w14:textId="77777777">
            <w:pPr>
              <w:spacing w:line="240" w:lineRule="auto"/>
              <w:ind w:firstLine="1084" w:firstLineChars="600"/>
              <w:rPr>
                <w:rFonts w:ascii="Calibri" w:hAnsi="Calibri" w:cs="Calibri"/>
                <w:b/>
                <w:bCs/>
                <w:color w:val="000000"/>
                <w:szCs w:val="18"/>
              </w:rPr>
            </w:pPr>
            <w:r w:rsidRPr="006E5AFB">
              <w:rPr>
                <w:rFonts w:ascii="Calibri" w:hAnsi="Calibri" w:cs="Calibri"/>
                <w:b/>
                <w:bCs/>
                <w:color w:val="000000"/>
                <w:szCs w:val="18"/>
              </w:rPr>
              <w:t> </w:t>
            </w:r>
          </w:p>
        </w:tc>
        <w:tc>
          <w:tcPr>
            <w:tcW w:w="2410" w:type="dxa"/>
            <w:tcBorders>
              <w:top w:val="nil"/>
              <w:left w:val="nil"/>
              <w:bottom w:val="single" w:color="auto" w:sz="4" w:space="0"/>
              <w:right w:val="single" w:color="auto" w:sz="4" w:space="0"/>
            </w:tcBorders>
            <w:shd w:val="clear" w:color="000000" w:fill="FFFFFF"/>
            <w:noWrap/>
            <w:vAlign w:val="bottom"/>
            <w:hideMark/>
          </w:tcPr>
          <w:p w:rsidRPr="006E5AFB" w:rsidR="004B3949" w:rsidP="00B46866" w:rsidRDefault="004B3949" w14:paraId="0EA98BDD" w14:textId="77777777">
            <w:pPr>
              <w:spacing w:line="240" w:lineRule="auto"/>
              <w:rPr>
                <w:rFonts w:ascii="Calibri" w:hAnsi="Calibri" w:cs="Calibri"/>
                <w:b/>
                <w:bCs/>
                <w:color w:val="000000"/>
                <w:szCs w:val="18"/>
              </w:rPr>
            </w:pPr>
            <w:r w:rsidRPr="006E5AFB">
              <w:rPr>
                <w:rFonts w:ascii="Calibri" w:hAnsi="Calibri" w:cs="Calibri"/>
                <w:b/>
                <w:bCs/>
                <w:color w:val="000000"/>
                <w:szCs w:val="18"/>
              </w:rPr>
              <w:t>Totaal Moleculen</w:t>
            </w:r>
          </w:p>
        </w:tc>
        <w:tc>
          <w:tcPr>
            <w:tcW w:w="851" w:type="dxa"/>
            <w:tcBorders>
              <w:top w:val="nil"/>
              <w:left w:val="nil"/>
              <w:bottom w:val="single" w:color="auto" w:sz="4" w:space="0"/>
              <w:right w:val="nil"/>
            </w:tcBorders>
            <w:shd w:val="clear" w:color="000000" w:fill="FFFFFF"/>
            <w:noWrap/>
            <w:vAlign w:val="bottom"/>
            <w:hideMark/>
          </w:tcPr>
          <w:p w:rsidRPr="006E5AFB" w:rsidR="004B3949" w:rsidP="00B46866" w:rsidRDefault="004B3949" w14:paraId="19675004" w14:textId="77777777">
            <w:pPr>
              <w:spacing w:line="240" w:lineRule="auto"/>
              <w:ind w:firstLine="361" w:firstLineChars="200"/>
              <w:jc w:val="right"/>
              <w:rPr>
                <w:rFonts w:ascii="Calibri" w:hAnsi="Calibri" w:cs="Calibri"/>
                <w:b/>
                <w:bCs/>
                <w:color w:val="000000"/>
                <w:szCs w:val="18"/>
              </w:rPr>
            </w:pPr>
            <w:r w:rsidRPr="006E5AFB">
              <w:rPr>
                <w:rFonts w:ascii="Calibri" w:hAnsi="Calibri" w:cs="Calibri"/>
                <w:b/>
                <w:bCs/>
                <w:color w:val="000000"/>
                <w:szCs w:val="18"/>
              </w:rPr>
              <w:t>80</w:t>
            </w:r>
          </w:p>
        </w:tc>
        <w:tc>
          <w:tcPr>
            <w:tcW w:w="1134" w:type="dxa"/>
            <w:tcBorders>
              <w:top w:val="nil"/>
              <w:left w:val="single" w:color="auto" w:sz="4" w:space="0"/>
              <w:bottom w:val="single" w:color="auto" w:sz="4" w:space="0"/>
              <w:right w:val="nil"/>
            </w:tcBorders>
            <w:shd w:val="clear" w:color="000000" w:fill="FFFFFF"/>
            <w:noWrap/>
            <w:vAlign w:val="bottom"/>
            <w:hideMark/>
          </w:tcPr>
          <w:p w:rsidRPr="006E5AFB" w:rsidR="004B3949" w:rsidP="00B46866" w:rsidRDefault="004B3949" w14:paraId="2B755BCE" w14:textId="77777777">
            <w:pPr>
              <w:spacing w:line="240" w:lineRule="auto"/>
              <w:ind w:firstLine="361" w:firstLineChars="200"/>
              <w:jc w:val="right"/>
              <w:rPr>
                <w:rFonts w:ascii="Calibri" w:hAnsi="Calibri" w:cs="Calibri"/>
                <w:b/>
                <w:bCs/>
                <w:color w:val="000000"/>
                <w:szCs w:val="18"/>
              </w:rPr>
            </w:pPr>
            <w:r w:rsidRPr="006E5AFB">
              <w:rPr>
                <w:rFonts w:ascii="Calibri" w:hAnsi="Calibri" w:cs="Calibri"/>
                <w:b/>
                <w:bCs/>
                <w:color w:val="000000"/>
                <w:szCs w:val="18"/>
              </w:rPr>
              <w:t>6.345</w:t>
            </w:r>
          </w:p>
        </w:tc>
        <w:tc>
          <w:tcPr>
            <w:tcW w:w="963" w:type="dxa"/>
            <w:tcBorders>
              <w:top w:val="nil"/>
              <w:left w:val="single" w:color="auto" w:sz="4" w:space="0"/>
              <w:bottom w:val="single" w:color="auto" w:sz="4" w:space="0"/>
              <w:right w:val="nil"/>
            </w:tcBorders>
            <w:shd w:val="clear" w:color="000000" w:fill="FFFFFF"/>
            <w:noWrap/>
            <w:vAlign w:val="bottom"/>
            <w:hideMark/>
          </w:tcPr>
          <w:p w:rsidRPr="006E5AFB" w:rsidR="004B3949" w:rsidP="00B46866" w:rsidRDefault="004B3949" w14:paraId="504FCA12" w14:textId="77777777">
            <w:pPr>
              <w:spacing w:line="240" w:lineRule="auto"/>
              <w:ind w:firstLine="361" w:firstLineChars="200"/>
              <w:jc w:val="right"/>
              <w:rPr>
                <w:rFonts w:ascii="Calibri" w:hAnsi="Calibri" w:cs="Calibri"/>
                <w:b/>
                <w:bCs/>
                <w:color w:val="000000"/>
                <w:szCs w:val="18"/>
              </w:rPr>
            </w:pPr>
            <w:r w:rsidRPr="006E5AFB">
              <w:rPr>
                <w:rFonts w:ascii="Calibri" w:hAnsi="Calibri" w:cs="Calibri"/>
                <w:b/>
                <w:bCs/>
                <w:color w:val="000000"/>
                <w:szCs w:val="18"/>
              </w:rPr>
              <w:t xml:space="preserve">954 </w:t>
            </w:r>
          </w:p>
        </w:tc>
        <w:tc>
          <w:tcPr>
            <w:tcW w:w="1305" w:type="dxa"/>
            <w:tcBorders>
              <w:top w:val="nil"/>
              <w:left w:val="single" w:color="auto" w:sz="4" w:space="0"/>
              <w:bottom w:val="single" w:color="auto" w:sz="4" w:space="0"/>
              <w:right w:val="single" w:color="auto" w:sz="4" w:space="0"/>
            </w:tcBorders>
            <w:shd w:val="clear" w:color="000000" w:fill="FFFFFF"/>
            <w:noWrap/>
            <w:vAlign w:val="bottom"/>
            <w:hideMark/>
          </w:tcPr>
          <w:p w:rsidRPr="006E5AFB" w:rsidR="004B3949" w:rsidP="00B46866" w:rsidRDefault="004B3949" w14:paraId="20080562" w14:textId="77777777">
            <w:pPr>
              <w:spacing w:line="240" w:lineRule="auto"/>
              <w:ind w:firstLine="361" w:firstLineChars="200"/>
              <w:jc w:val="right"/>
              <w:rPr>
                <w:rFonts w:ascii="Calibri" w:hAnsi="Calibri" w:cs="Calibri"/>
                <w:b/>
                <w:bCs/>
                <w:color w:val="000000"/>
                <w:szCs w:val="18"/>
              </w:rPr>
            </w:pPr>
            <w:r w:rsidRPr="006E5AFB">
              <w:rPr>
                <w:rFonts w:ascii="Calibri" w:hAnsi="Calibri" w:cs="Calibri"/>
                <w:b/>
                <w:bCs/>
                <w:color w:val="000000"/>
                <w:szCs w:val="18"/>
              </w:rPr>
              <w:t xml:space="preserve">1.137.740 </w:t>
            </w:r>
          </w:p>
        </w:tc>
        <w:tc>
          <w:tcPr>
            <w:tcW w:w="1275" w:type="dxa"/>
            <w:tcBorders>
              <w:top w:val="nil"/>
              <w:left w:val="nil"/>
              <w:bottom w:val="single" w:color="auto" w:sz="4" w:space="0"/>
              <w:right w:val="single" w:color="auto" w:sz="4" w:space="0"/>
            </w:tcBorders>
            <w:shd w:val="clear" w:color="000000" w:fill="FFFFFF"/>
            <w:noWrap/>
            <w:vAlign w:val="bottom"/>
            <w:hideMark/>
          </w:tcPr>
          <w:p w:rsidRPr="006E5AFB" w:rsidR="004B3949" w:rsidP="00B46866" w:rsidRDefault="004B3949" w14:paraId="6EC34934" w14:textId="77777777">
            <w:pPr>
              <w:spacing w:line="240" w:lineRule="auto"/>
              <w:ind w:firstLine="361" w:firstLineChars="200"/>
              <w:jc w:val="right"/>
              <w:rPr>
                <w:rFonts w:ascii="Calibri" w:hAnsi="Calibri" w:cs="Calibri"/>
                <w:b/>
                <w:bCs/>
                <w:color w:val="000000"/>
                <w:szCs w:val="18"/>
              </w:rPr>
            </w:pPr>
            <w:r w:rsidRPr="006E5AFB">
              <w:rPr>
                <w:rFonts w:ascii="Calibri" w:hAnsi="Calibri" w:cs="Calibri"/>
                <w:b/>
                <w:bCs/>
                <w:color w:val="000000"/>
                <w:szCs w:val="18"/>
              </w:rPr>
              <w:t xml:space="preserve">230 </w:t>
            </w:r>
          </w:p>
        </w:tc>
      </w:tr>
      <w:tr w:rsidRPr="00B267C6" w:rsidR="004B3949" w:rsidTr="0018303A" w14:paraId="70F6B7E0" w14:textId="77777777">
        <w:trPr>
          <w:trHeight w:val="150"/>
        </w:trPr>
        <w:tc>
          <w:tcPr>
            <w:tcW w:w="1204" w:type="dxa"/>
            <w:tcBorders>
              <w:top w:val="nil"/>
              <w:left w:val="single" w:color="auto" w:sz="4" w:space="0"/>
              <w:bottom w:val="nil"/>
              <w:right w:val="single" w:color="auto" w:sz="4" w:space="0"/>
            </w:tcBorders>
            <w:shd w:val="clear" w:color="000000" w:fill="FFFFFF"/>
            <w:noWrap/>
            <w:vAlign w:val="bottom"/>
            <w:hideMark/>
          </w:tcPr>
          <w:p w:rsidRPr="006E5AFB" w:rsidR="004B3949" w:rsidP="00B46866" w:rsidRDefault="004B3949" w14:paraId="2307D9BF" w14:textId="77777777">
            <w:pPr>
              <w:spacing w:line="240" w:lineRule="auto"/>
              <w:ind w:firstLine="181" w:firstLineChars="100"/>
              <w:rPr>
                <w:rFonts w:ascii="Calibri" w:hAnsi="Calibri" w:cs="Calibri"/>
                <w:b/>
                <w:bCs/>
                <w:color w:val="000000"/>
                <w:szCs w:val="18"/>
              </w:rPr>
            </w:pPr>
            <w:r w:rsidRPr="006E5AFB">
              <w:rPr>
                <w:rFonts w:ascii="Calibri" w:hAnsi="Calibri" w:cs="Calibri"/>
                <w:b/>
                <w:bCs/>
                <w:color w:val="000000"/>
                <w:szCs w:val="18"/>
              </w:rPr>
              <w:t>LT-warmte</w:t>
            </w:r>
          </w:p>
        </w:tc>
        <w:tc>
          <w:tcPr>
            <w:tcW w:w="2410" w:type="dxa"/>
            <w:tcBorders>
              <w:top w:val="nil"/>
              <w:left w:val="nil"/>
              <w:bottom w:val="nil"/>
              <w:right w:val="single" w:color="auto" w:sz="4" w:space="0"/>
            </w:tcBorders>
            <w:shd w:val="clear" w:color="000000" w:fill="FFFFFF"/>
            <w:noWrap/>
            <w:vAlign w:val="bottom"/>
            <w:hideMark/>
          </w:tcPr>
          <w:p w:rsidRPr="006E5AFB" w:rsidR="004B3949" w:rsidP="00B46866" w:rsidRDefault="004B3949" w14:paraId="7F39392B" w14:textId="77777777">
            <w:pPr>
              <w:spacing w:line="240" w:lineRule="auto"/>
              <w:ind w:firstLine="180" w:firstLineChars="100"/>
              <w:rPr>
                <w:rFonts w:ascii="Calibri" w:hAnsi="Calibri" w:cs="Calibri"/>
                <w:color w:val="000000"/>
                <w:szCs w:val="18"/>
              </w:rPr>
            </w:pPr>
            <w:r w:rsidRPr="006E5AFB">
              <w:rPr>
                <w:rFonts w:ascii="Calibri" w:hAnsi="Calibri" w:cs="Calibri"/>
                <w:color w:val="000000"/>
                <w:szCs w:val="18"/>
              </w:rPr>
              <w:t>Geothermie</w:t>
            </w:r>
          </w:p>
        </w:tc>
        <w:tc>
          <w:tcPr>
            <w:tcW w:w="851" w:type="dxa"/>
            <w:tcBorders>
              <w:top w:val="nil"/>
              <w:left w:val="nil"/>
              <w:bottom w:val="nil"/>
              <w:right w:val="nil"/>
            </w:tcBorders>
            <w:shd w:val="clear" w:color="000000" w:fill="FFFFFF"/>
            <w:noWrap/>
            <w:vAlign w:val="bottom"/>
            <w:hideMark/>
          </w:tcPr>
          <w:p w:rsidRPr="006E5AFB" w:rsidR="004B3949" w:rsidP="00B46866" w:rsidRDefault="004B3949" w14:paraId="51531D15"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5</w:t>
            </w:r>
          </w:p>
        </w:tc>
        <w:tc>
          <w:tcPr>
            <w:tcW w:w="1134" w:type="dxa"/>
            <w:tcBorders>
              <w:top w:val="nil"/>
              <w:left w:val="single" w:color="auto" w:sz="4" w:space="0"/>
              <w:bottom w:val="nil"/>
              <w:right w:val="nil"/>
            </w:tcBorders>
            <w:shd w:val="clear" w:color="000000" w:fill="FFFFFF"/>
            <w:noWrap/>
            <w:vAlign w:val="bottom"/>
            <w:hideMark/>
          </w:tcPr>
          <w:p w:rsidRPr="006E5AFB" w:rsidR="004B3949" w:rsidP="00B46866" w:rsidRDefault="004B3949" w14:paraId="7C8F8F35"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1.177 </w:t>
            </w:r>
          </w:p>
        </w:tc>
        <w:tc>
          <w:tcPr>
            <w:tcW w:w="963" w:type="dxa"/>
            <w:tcBorders>
              <w:top w:val="nil"/>
              <w:left w:val="single" w:color="auto" w:sz="4" w:space="0"/>
              <w:bottom w:val="nil"/>
              <w:right w:val="nil"/>
            </w:tcBorders>
            <w:shd w:val="clear" w:color="000000" w:fill="FFFFFF"/>
            <w:noWrap/>
            <w:vAlign w:val="bottom"/>
            <w:hideMark/>
          </w:tcPr>
          <w:p w:rsidRPr="006E5AFB" w:rsidR="004B3949" w:rsidP="00B46866" w:rsidRDefault="004B3949" w14:paraId="2A75E9A1"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176 </w:t>
            </w:r>
          </w:p>
        </w:tc>
        <w:tc>
          <w:tcPr>
            <w:tcW w:w="1305" w:type="dxa"/>
            <w:tcBorders>
              <w:top w:val="nil"/>
              <w:left w:val="single" w:color="auto" w:sz="4" w:space="0"/>
              <w:bottom w:val="nil"/>
              <w:right w:val="single" w:color="auto" w:sz="4" w:space="0"/>
            </w:tcBorders>
            <w:shd w:val="clear" w:color="000000" w:fill="FFFFFF"/>
            <w:noWrap/>
            <w:vAlign w:val="bottom"/>
            <w:hideMark/>
          </w:tcPr>
          <w:p w:rsidRPr="006E5AFB" w:rsidR="004B3949" w:rsidP="00B46866" w:rsidRDefault="004B3949" w14:paraId="08908542"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343.281 </w:t>
            </w:r>
          </w:p>
        </w:tc>
        <w:tc>
          <w:tcPr>
            <w:tcW w:w="1275" w:type="dxa"/>
            <w:tcBorders>
              <w:top w:val="nil"/>
              <w:left w:val="nil"/>
              <w:bottom w:val="nil"/>
              <w:right w:val="single" w:color="auto" w:sz="4" w:space="0"/>
            </w:tcBorders>
            <w:shd w:val="clear" w:color="000000" w:fill="FFFFFF"/>
            <w:noWrap/>
            <w:vAlign w:val="bottom"/>
            <w:hideMark/>
          </w:tcPr>
          <w:p w:rsidRPr="006E5AFB" w:rsidR="004B3949" w:rsidP="00B46866" w:rsidRDefault="004B3949" w14:paraId="2B54D832"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207 </w:t>
            </w:r>
          </w:p>
        </w:tc>
      </w:tr>
      <w:tr w:rsidRPr="00B267C6" w:rsidR="004B3949" w:rsidTr="0018303A" w14:paraId="03446228" w14:textId="77777777">
        <w:trPr>
          <w:trHeight w:val="150"/>
        </w:trPr>
        <w:tc>
          <w:tcPr>
            <w:tcW w:w="1204" w:type="dxa"/>
            <w:tcBorders>
              <w:top w:val="nil"/>
              <w:left w:val="single" w:color="auto" w:sz="4" w:space="0"/>
              <w:bottom w:val="nil"/>
              <w:right w:val="single" w:color="auto" w:sz="4" w:space="0"/>
            </w:tcBorders>
            <w:shd w:val="clear" w:color="000000" w:fill="FFFFFF"/>
            <w:noWrap/>
            <w:vAlign w:val="bottom"/>
            <w:hideMark/>
          </w:tcPr>
          <w:p w:rsidRPr="006E5AFB" w:rsidR="004B3949" w:rsidP="00B46866" w:rsidRDefault="004B3949" w14:paraId="43F8F1AE" w14:textId="77777777">
            <w:pPr>
              <w:spacing w:line="240" w:lineRule="auto"/>
              <w:ind w:firstLine="181" w:firstLineChars="100"/>
              <w:rPr>
                <w:rFonts w:ascii="Calibri" w:hAnsi="Calibri" w:cs="Calibri"/>
                <w:b/>
                <w:bCs/>
                <w:color w:val="000000"/>
                <w:szCs w:val="18"/>
              </w:rPr>
            </w:pPr>
            <w:r w:rsidRPr="006E5AFB">
              <w:rPr>
                <w:rFonts w:ascii="Calibri" w:hAnsi="Calibri" w:cs="Calibri"/>
                <w:b/>
                <w:bCs/>
                <w:color w:val="000000"/>
                <w:szCs w:val="18"/>
              </w:rPr>
              <w:t> </w:t>
            </w:r>
          </w:p>
        </w:tc>
        <w:tc>
          <w:tcPr>
            <w:tcW w:w="2410" w:type="dxa"/>
            <w:tcBorders>
              <w:top w:val="nil"/>
              <w:left w:val="nil"/>
              <w:bottom w:val="nil"/>
              <w:right w:val="single" w:color="auto" w:sz="4" w:space="0"/>
            </w:tcBorders>
            <w:shd w:val="clear" w:color="000000" w:fill="FFFFFF"/>
            <w:noWrap/>
            <w:vAlign w:val="bottom"/>
            <w:hideMark/>
          </w:tcPr>
          <w:p w:rsidRPr="006E5AFB" w:rsidR="004B3949" w:rsidP="00B46866" w:rsidRDefault="004B3949" w14:paraId="405C69DE" w14:textId="77777777">
            <w:pPr>
              <w:spacing w:line="240" w:lineRule="auto"/>
              <w:ind w:firstLine="180" w:firstLineChars="100"/>
              <w:rPr>
                <w:rFonts w:ascii="Calibri" w:hAnsi="Calibri" w:cs="Calibri"/>
                <w:color w:val="000000"/>
                <w:szCs w:val="18"/>
              </w:rPr>
            </w:pPr>
            <w:r w:rsidRPr="006E5AFB">
              <w:rPr>
                <w:rFonts w:ascii="Calibri" w:hAnsi="Calibri" w:cs="Calibri"/>
                <w:color w:val="000000"/>
                <w:szCs w:val="18"/>
              </w:rPr>
              <w:t>Lucht-water warmtepomp</w:t>
            </w:r>
          </w:p>
        </w:tc>
        <w:tc>
          <w:tcPr>
            <w:tcW w:w="851" w:type="dxa"/>
            <w:tcBorders>
              <w:top w:val="nil"/>
              <w:left w:val="nil"/>
              <w:bottom w:val="nil"/>
              <w:right w:val="nil"/>
            </w:tcBorders>
            <w:shd w:val="clear" w:color="000000" w:fill="FFFFFF"/>
            <w:noWrap/>
            <w:vAlign w:val="bottom"/>
            <w:hideMark/>
          </w:tcPr>
          <w:p w:rsidRPr="006E5AFB" w:rsidR="004B3949" w:rsidP="00B46866" w:rsidRDefault="004B3949" w14:paraId="34563254"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80</w:t>
            </w:r>
          </w:p>
        </w:tc>
        <w:tc>
          <w:tcPr>
            <w:tcW w:w="1134" w:type="dxa"/>
            <w:tcBorders>
              <w:top w:val="nil"/>
              <w:left w:val="single" w:color="auto" w:sz="4" w:space="0"/>
              <w:bottom w:val="nil"/>
              <w:right w:val="nil"/>
            </w:tcBorders>
            <w:shd w:val="clear" w:color="000000" w:fill="FFFFFF"/>
            <w:noWrap/>
            <w:vAlign w:val="bottom"/>
            <w:hideMark/>
          </w:tcPr>
          <w:p w:rsidRPr="006E5AFB" w:rsidR="004B3949" w:rsidP="00B46866" w:rsidRDefault="004B3949" w14:paraId="69D5A1B2"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660 </w:t>
            </w:r>
          </w:p>
        </w:tc>
        <w:tc>
          <w:tcPr>
            <w:tcW w:w="963" w:type="dxa"/>
            <w:tcBorders>
              <w:top w:val="nil"/>
              <w:left w:val="single" w:color="auto" w:sz="4" w:space="0"/>
              <w:bottom w:val="nil"/>
              <w:right w:val="nil"/>
            </w:tcBorders>
            <w:shd w:val="clear" w:color="000000" w:fill="FFFFFF"/>
            <w:noWrap/>
            <w:vAlign w:val="bottom"/>
            <w:hideMark/>
          </w:tcPr>
          <w:p w:rsidRPr="006E5AFB" w:rsidR="004B3949" w:rsidP="00B46866" w:rsidRDefault="004B3949" w14:paraId="43A91A0E"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246 </w:t>
            </w:r>
          </w:p>
        </w:tc>
        <w:tc>
          <w:tcPr>
            <w:tcW w:w="1305" w:type="dxa"/>
            <w:tcBorders>
              <w:top w:val="nil"/>
              <w:left w:val="single" w:color="auto" w:sz="4" w:space="0"/>
              <w:bottom w:val="nil"/>
              <w:right w:val="single" w:color="auto" w:sz="4" w:space="0"/>
            </w:tcBorders>
            <w:shd w:val="clear" w:color="000000" w:fill="FFFFFF"/>
            <w:noWrap/>
            <w:vAlign w:val="bottom"/>
            <w:hideMark/>
          </w:tcPr>
          <w:p w:rsidRPr="006E5AFB" w:rsidR="004B3949" w:rsidP="00B46866" w:rsidRDefault="004B3949" w14:paraId="4959769C"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164.737 </w:t>
            </w:r>
          </w:p>
        </w:tc>
        <w:tc>
          <w:tcPr>
            <w:tcW w:w="1275" w:type="dxa"/>
            <w:tcBorders>
              <w:top w:val="nil"/>
              <w:left w:val="nil"/>
              <w:bottom w:val="nil"/>
              <w:right w:val="single" w:color="auto" w:sz="4" w:space="0"/>
            </w:tcBorders>
            <w:shd w:val="clear" w:color="000000" w:fill="FFFFFF"/>
            <w:noWrap/>
            <w:vAlign w:val="bottom"/>
            <w:hideMark/>
          </w:tcPr>
          <w:p w:rsidRPr="006E5AFB" w:rsidR="004B3949" w:rsidP="00B46866" w:rsidRDefault="004B3949" w14:paraId="08280B41"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233 </w:t>
            </w:r>
          </w:p>
        </w:tc>
      </w:tr>
      <w:tr w:rsidRPr="00B267C6" w:rsidR="004B3949" w:rsidTr="0018303A" w14:paraId="1ACAF0C6" w14:textId="77777777">
        <w:trPr>
          <w:trHeight w:val="150"/>
        </w:trPr>
        <w:tc>
          <w:tcPr>
            <w:tcW w:w="1204" w:type="dxa"/>
            <w:tcBorders>
              <w:top w:val="nil"/>
              <w:left w:val="single" w:color="auto" w:sz="4" w:space="0"/>
              <w:bottom w:val="nil"/>
              <w:right w:val="single" w:color="auto" w:sz="4" w:space="0"/>
            </w:tcBorders>
            <w:shd w:val="clear" w:color="000000" w:fill="FFFFFF"/>
            <w:noWrap/>
            <w:vAlign w:val="bottom"/>
            <w:hideMark/>
          </w:tcPr>
          <w:p w:rsidRPr="006E5AFB" w:rsidR="004B3949" w:rsidP="00B46866" w:rsidRDefault="004B3949" w14:paraId="71764C14" w14:textId="77777777">
            <w:pPr>
              <w:spacing w:line="240" w:lineRule="auto"/>
              <w:ind w:firstLine="181" w:firstLineChars="100"/>
              <w:rPr>
                <w:rFonts w:ascii="Calibri" w:hAnsi="Calibri" w:cs="Calibri"/>
                <w:b/>
                <w:bCs/>
                <w:color w:val="000000"/>
                <w:szCs w:val="18"/>
              </w:rPr>
            </w:pPr>
            <w:r w:rsidRPr="006E5AFB">
              <w:rPr>
                <w:rFonts w:ascii="Calibri" w:hAnsi="Calibri" w:cs="Calibri"/>
                <w:b/>
                <w:bCs/>
                <w:color w:val="000000"/>
                <w:szCs w:val="18"/>
              </w:rPr>
              <w:t> </w:t>
            </w:r>
          </w:p>
        </w:tc>
        <w:tc>
          <w:tcPr>
            <w:tcW w:w="2410" w:type="dxa"/>
            <w:tcBorders>
              <w:top w:val="nil"/>
              <w:left w:val="nil"/>
              <w:bottom w:val="nil"/>
              <w:right w:val="single" w:color="auto" w:sz="4" w:space="0"/>
            </w:tcBorders>
            <w:shd w:val="clear" w:color="000000" w:fill="FFFFFF"/>
            <w:noWrap/>
            <w:vAlign w:val="bottom"/>
            <w:hideMark/>
          </w:tcPr>
          <w:p w:rsidRPr="006E5AFB" w:rsidR="004B3949" w:rsidP="00B46866" w:rsidRDefault="004B3949" w14:paraId="62519A45" w14:textId="77777777">
            <w:pPr>
              <w:spacing w:line="240" w:lineRule="auto"/>
              <w:ind w:firstLine="180" w:firstLineChars="100"/>
              <w:rPr>
                <w:rFonts w:ascii="Calibri" w:hAnsi="Calibri" w:cs="Calibri"/>
                <w:color w:val="000000"/>
                <w:szCs w:val="18"/>
              </w:rPr>
            </w:pPr>
            <w:r w:rsidRPr="006E5AFB">
              <w:rPr>
                <w:rFonts w:ascii="Calibri" w:hAnsi="Calibri" w:cs="Calibri"/>
                <w:color w:val="000000"/>
                <w:szCs w:val="18"/>
              </w:rPr>
              <w:t>Restwarmtebenutting</w:t>
            </w:r>
          </w:p>
        </w:tc>
        <w:tc>
          <w:tcPr>
            <w:tcW w:w="851" w:type="dxa"/>
            <w:tcBorders>
              <w:top w:val="nil"/>
              <w:left w:val="nil"/>
              <w:bottom w:val="nil"/>
              <w:right w:val="nil"/>
            </w:tcBorders>
            <w:shd w:val="clear" w:color="000000" w:fill="FFFFFF"/>
            <w:noWrap/>
            <w:vAlign w:val="bottom"/>
            <w:hideMark/>
          </w:tcPr>
          <w:p w:rsidRPr="006E5AFB" w:rsidR="004B3949" w:rsidP="00B46866" w:rsidRDefault="004B3949" w14:paraId="6F983556"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14</w:t>
            </w:r>
          </w:p>
        </w:tc>
        <w:tc>
          <w:tcPr>
            <w:tcW w:w="1134" w:type="dxa"/>
            <w:tcBorders>
              <w:top w:val="nil"/>
              <w:left w:val="single" w:color="auto" w:sz="4" w:space="0"/>
              <w:bottom w:val="nil"/>
              <w:right w:val="nil"/>
            </w:tcBorders>
            <w:shd w:val="clear" w:color="000000" w:fill="FFFFFF"/>
            <w:noWrap/>
            <w:vAlign w:val="bottom"/>
            <w:hideMark/>
          </w:tcPr>
          <w:p w:rsidRPr="006E5AFB" w:rsidR="004B3949" w:rsidP="00B46866" w:rsidRDefault="004B3949" w14:paraId="3D431024"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617 </w:t>
            </w:r>
          </w:p>
        </w:tc>
        <w:tc>
          <w:tcPr>
            <w:tcW w:w="963" w:type="dxa"/>
            <w:tcBorders>
              <w:top w:val="nil"/>
              <w:left w:val="single" w:color="auto" w:sz="4" w:space="0"/>
              <w:bottom w:val="nil"/>
              <w:right w:val="nil"/>
            </w:tcBorders>
            <w:shd w:val="clear" w:color="000000" w:fill="FFFFFF"/>
            <w:noWrap/>
            <w:vAlign w:val="bottom"/>
            <w:hideMark/>
          </w:tcPr>
          <w:p w:rsidRPr="006E5AFB" w:rsidR="004B3949" w:rsidP="00B46866" w:rsidRDefault="004B3949" w14:paraId="50CEFE22"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138 </w:t>
            </w:r>
          </w:p>
        </w:tc>
        <w:tc>
          <w:tcPr>
            <w:tcW w:w="1305" w:type="dxa"/>
            <w:tcBorders>
              <w:top w:val="nil"/>
              <w:left w:val="single" w:color="auto" w:sz="4" w:space="0"/>
              <w:bottom w:val="nil"/>
              <w:right w:val="single" w:color="auto" w:sz="4" w:space="0"/>
            </w:tcBorders>
            <w:shd w:val="clear" w:color="000000" w:fill="FFFFFF"/>
            <w:noWrap/>
            <w:vAlign w:val="bottom"/>
            <w:hideMark/>
          </w:tcPr>
          <w:p w:rsidRPr="006E5AFB" w:rsidR="004B3949" w:rsidP="00B46866" w:rsidRDefault="004B3949" w14:paraId="2FF83C03"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133.370 </w:t>
            </w:r>
          </w:p>
        </w:tc>
        <w:tc>
          <w:tcPr>
            <w:tcW w:w="1275" w:type="dxa"/>
            <w:tcBorders>
              <w:top w:val="nil"/>
              <w:left w:val="nil"/>
              <w:bottom w:val="nil"/>
              <w:right w:val="single" w:color="auto" w:sz="4" w:space="0"/>
            </w:tcBorders>
            <w:shd w:val="clear" w:color="000000" w:fill="FFFFFF"/>
            <w:noWrap/>
            <w:vAlign w:val="bottom"/>
            <w:hideMark/>
          </w:tcPr>
          <w:p w:rsidRPr="006E5AFB" w:rsidR="004B3949" w:rsidP="00B46866" w:rsidRDefault="004B3949" w14:paraId="61231AE0"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242 </w:t>
            </w:r>
          </w:p>
        </w:tc>
      </w:tr>
      <w:tr w:rsidRPr="00B267C6" w:rsidR="004B3949" w:rsidTr="0018303A" w14:paraId="6AE81B0F" w14:textId="77777777">
        <w:trPr>
          <w:trHeight w:val="150"/>
        </w:trPr>
        <w:tc>
          <w:tcPr>
            <w:tcW w:w="1204" w:type="dxa"/>
            <w:tcBorders>
              <w:top w:val="nil"/>
              <w:left w:val="single" w:color="auto" w:sz="4" w:space="0"/>
              <w:bottom w:val="nil"/>
              <w:right w:val="single" w:color="auto" w:sz="4" w:space="0"/>
            </w:tcBorders>
            <w:shd w:val="clear" w:color="000000" w:fill="FFFFFF"/>
            <w:noWrap/>
            <w:vAlign w:val="bottom"/>
            <w:hideMark/>
          </w:tcPr>
          <w:p w:rsidRPr="006E5AFB" w:rsidR="004B3949" w:rsidP="00B46866" w:rsidRDefault="004B3949" w14:paraId="768396E5" w14:textId="77777777">
            <w:pPr>
              <w:spacing w:line="240" w:lineRule="auto"/>
              <w:ind w:firstLine="181" w:firstLineChars="100"/>
              <w:rPr>
                <w:rFonts w:ascii="Calibri" w:hAnsi="Calibri" w:cs="Calibri"/>
                <w:b/>
                <w:bCs/>
                <w:color w:val="000000"/>
                <w:szCs w:val="18"/>
              </w:rPr>
            </w:pPr>
            <w:r w:rsidRPr="006E5AFB">
              <w:rPr>
                <w:rFonts w:ascii="Calibri" w:hAnsi="Calibri" w:cs="Calibri"/>
                <w:b/>
                <w:bCs/>
                <w:color w:val="000000"/>
                <w:szCs w:val="18"/>
              </w:rPr>
              <w:t> </w:t>
            </w:r>
          </w:p>
        </w:tc>
        <w:tc>
          <w:tcPr>
            <w:tcW w:w="2410" w:type="dxa"/>
            <w:tcBorders>
              <w:top w:val="nil"/>
              <w:left w:val="nil"/>
              <w:bottom w:val="nil"/>
              <w:right w:val="single" w:color="auto" w:sz="4" w:space="0"/>
            </w:tcBorders>
            <w:shd w:val="clear" w:color="000000" w:fill="FFFFFF"/>
            <w:noWrap/>
            <w:vAlign w:val="bottom"/>
            <w:hideMark/>
          </w:tcPr>
          <w:p w:rsidRPr="006E5AFB" w:rsidR="004B3949" w:rsidP="00B46866" w:rsidRDefault="004B3949" w14:paraId="3140CD86" w14:textId="77777777">
            <w:pPr>
              <w:spacing w:line="240" w:lineRule="auto"/>
              <w:ind w:firstLine="180" w:firstLineChars="100"/>
              <w:rPr>
                <w:rFonts w:ascii="Calibri" w:hAnsi="Calibri" w:cs="Calibri"/>
                <w:color w:val="000000"/>
                <w:szCs w:val="18"/>
              </w:rPr>
            </w:pPr>
            <w:r w:rsidRPr="006E5AFB">
              <w:rPr>
                <w:rFonts w:ascii="Calibri" w:hAnsi="Calibri" w:cs="Calibri"/>
                <w:color w:val="000000"/>
                <w:szCs w:val="18"/>
              </w:rPr>
              <w:t>Geothermie met warmtepomp</w:t>
            </w:r>
          </w:p>
        </w:tc>
        <w:tc>
          <w:tcPr>
            <w:tcW w:w="851" w:type="dxa"/>
            <w:tcBorders>
              <w:top w:val="nil"/>
              <w:left w:val="nil"/>
              <w:bottom w:val="nil"/>
              <w:right w:val="nil"/>
            </w:tcBorders>
            <w:shd w:val="clear" w:color="000000" w:fill="FFFFFF"/>
            <w:noWrap/>
            <w:vAlign w:val="bottom"/>
            <w:hideMark/>
          </w:tcPr>
          <w:p w:rsidRPr="006E5AFB" w:rsidR="004B3949" w:rsidP="00B46866" w:rsidRDefault="004B3949" w14:paraId="1E194AC0"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2</w:t>
            </w:r>
          </w:p>
        </w:tc>
        <w:tc>
          <w:tcPr>
            <w:tcW w:w="1134" w:type="dxa"/>
            <w:tcBorders>
              <w:top w:val="nil"/>
              <w:left w:val="single" w:color="auto" w:sz="4" w:space="0"/>
              <w:bottom w:val="nil"/>
              <w:right w:val="nil"/>
            </w:tcBorders>
            <w:shd w:val="clear" w:color="000000" w:fill="FFFFFF"/>
            <w:noWrap/>
            <w:vAlign w:val="bottom"/>
            <w:hideMark/>
          </w:tcPr>
          <w:p w:rsidRPr="006E5AFB" w:rsidR="004B3949" w:rsidP="00B46866" w:rsidRDefault="004B3949" w14:paraId="4B555CA6"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363 </w:t>
            </w:r>
          </w:p>
        </w:tc>
        <w:tc>
          <w:tcPr>
            <w:tcW w:w="963" w:type="dxa"/>
            <w:tcBorders>
              <w:top w:val="nil"/>
              <w:left w:val="single" w:color="auto" w:sz="4" w:space="0"/>
              <w:bottom w:val="nil"/>
              <w:right w:val="nil"/>
            </w:tcBorders>
            <w:shd w:val="clear" w:color="000000" w:fill="FFFFFF"/>
            <w:noWrap/>
            <w:vAlign w:val="bottom"/>
            <w:hideMark/>
          </w:tcPr>
          <w:p w:rsidRPr="006E5AFB" w:rsidR="004B3949" w:rsidP="00B46866" w:rsidRDefault="004B3949" w14:paraId="24D02F49"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37 </w:t>
            </w:r>
          </w:p>
        </w:tc>
        <w:tc>
          <w:tcPr>
            <w:tcW w:w="1305" w:type="dxa"/>
            <w:tcBorders>
              <w:top w:val="nil"/>
              <w:left w:val="single" w:color="auto" w:sz="4" w:space="0"/>
              <w:bottom w:val="nil"/>
              <w:right w:val="single" w:color="auto" w:sz="4" w:space="0"/>
            </w:tcBorders>
            <w:shd w:val="clear" w:color="000000" w:fill="FFFFFF"/>
            <w:noWrap/>
            <w:vAlign w:val="bottom"/>
            <w:hideMark/>
          </w:tcPr>
          <w:p w:rsidRPr="006E5AFB" w:rsidR="004B3949" w:rsidP="00B46866" w:rsidRDefault="004B3949" w14:paraId="61B2DB55"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75.952 </w:t>
            </w:r>
          </w:p>
        </w:tc>
        <w:tc>
          <w:tcPr>
            <w:tcW w:w="1275" w:type="dxa"/>
            <w:tcBorders>
              <w:top w:val="nil"/>
              <w:left w:val="nil"/>
              <w:bottom w:val="nil"/>
              <w:right w:val="single" w:color="auto" w:sz="4" w:space="0"/>
            </w:tcBorders>
            <w:shd w:val="clear" w:color="000000" w:fill="FFFFFF"/>
            <w:noWrap/>
            <w:vAlign w:val="bottom"/>
            <w:hideMark/>
          </w:tcPr>
          <w:p w:rsidRPr="006E5AFB" w:rsidR="004B3949" w:rsidP="00B46866" w:rsidRDefault="004B3949" w14:paraId="25954796"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300 </w:t>
            </w:r>
          </w:p>
        </w:tc>
      </w:tr>
      <w:tr w:rsidRPr="00B267C6" w:rsidR="004B3949" w:rsidTr="0018303A" w14:paraId="4268C68F" w14:textId="77777777">
        <w:trPr>
          <w:trHeight w:val="150"/>
        </w:trPr>
        <w:tc>
          <w:tcPr>
            <w:tcW w:w="1204" w:type="dxa"/>
            <w:tcBorders>
              <w:top w:val="nil"/>
              <w:left w:val="single" w:color="auto" w:sz="4" w:space="0"/>
              <w:bottom w:val="nil"/>
              <w:right w:val="single" w:color="auto" w:sz="4" w:space="0"/>
            </w:tcBorders>
            <w:shd w:val="clear" w:color="000000" w:fill="FFFFFF"/>
            <w:noWrap/>
            <w:vAlign w:val="bottom"/>
            <w:hideMark/>
          </w:tcPr>
          <w:p w:rsidRPr="006E5AFB" w:rsidR="004B3949" w:rsidP="00B46866" w:rsidRDefault="004B3949" w14:paraId="6562F8EC" w14:textId="77777777">
            <w:pPr>
              <w:spacing w:line="240" w:lineRule="auto"/>
              <w:ind w:firstLine="181" w:firstLineChars="100"/>
              <w:rPr>
                <w:rFonts w:ascii="Calibri" w:hAnsi="Calibri" w:cs="Calibri"/>
                <w:b/>
                <w:bCs/>
                <w:color w:val="000000"/>
                <w:szCs w:val="18"/>
              </w:rPr>
            </w:pPr>
            <w:r w:rsidRPr="006E5AFB">
              <w:rPr>
                <w:rFonts w:ascii="Calibri" w:hAnsi="Calibri" w:cs="Calibri"/>
                <w:b/>
                <w:bCs/>
                <w:color w:val="000000"/>
                <w:szCs w:val="18"/>
              </w:rPr>
              <w:t> </w:t>
            </w:r>
          </w:p>
        </w:tc>
        <w:tc>
          <w:tcPr>
            <w:tcW w:w="2410" w:type="dxa"/>
            <w:tcBorders>
              <w:top w:val="nil"/>
              <w:left w:val="nil"/>
              <w:bottom w:val="nil"/>
              <w:right w:val="single" w:color="auto" w:sz="4" w:space="0"/>
            </w:tcBorders>
            <w:shd w:val="clear" w:color="000000" w:fill="FFFFFF"/>
            <w:noWrap/>
            <w:vAlign w:val="bottom"/>
            <w:hideMark/>
          </w:tcPr>
          <w:p w:rsidRPr="006E5AFB" w:rsidR="004B3949" w:rsidP="00B46866" w:rsidRDefault="004B3949" w14:paraId="20F453EC" w14:textId="77777777">
            <w:pPr>
              <w:spacing w:line="240" w:lineRule="auto"/>
              <w:ind w:firstLine="180" w:firstLineChars="100"/>
              <w:rPr>
                <w:rFonts w:ascii="Calibri" w:hAnsi="Calibri" w:cs="Calibri"/>
                <w:color w:val="000000"/>
                <w:szCs w:val="18"/>
              </w:rPr>
            </w:pPr>
            <w:r w:rsidRPr="006E5AFB">
              <w:rPr>
                <w:rFonts w:ascii="Calibri" w:hAnsi="Calibri" w:cs="Calibri"/>
                <w:color w:val="000000"/>
                <w:szCs w:val="18"/>
              </w:rPr>
              <w:t>Industriële warmtepomp (gesloten)</w:t>
            </w:r>
          </w:p>
        </w:tc>
        <w:tc>
          <w:tcPr>
            <w:tcW w:w="851" w:type="dxa"/>
            <w:tcBorders>
              <w:top w:val="nil"/>
              <w:left w:val="nil"/>
              <w:bottom w:val="nil"/>
              <w:right w:val="nil"/>
            </w:tcBorders>
            <w:shd w:val="clear" w:color="000000" w:fill="FFFFFF"/>
            <w:noWrap/>
            <w:vAlign w:val="bottom"/>
            <w:hideMark/>
          </w:tcPr>
          <w:p w:rsidRPr="006E5AFB" w:rsidR="004B3949" w:rsidP="00B46866" w:rsidRDefault="004B3949" w14:paraId="58444492"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11</w:t>
            </w:r>
          </w:p>
        </w:tc>
        <w:tc>
          <w:tcPr>
            <w:tcW w:w="1134" w:type="dxa"/>
            <w:tcBorders>
              <w:top w:val="nil"/>
              <w:left w:val="single" w:color="auto" w:sz="4" w:space="0"/>
              <w:bottom w:val="nil"/>
              <w:right w:val="nil"/>
            </w:tcBorders>
            <w:shd w:val="clear" w:color="000000" w:fill="FFFFFF"/>
            <w:noWrap/>
            <w:vAlign w:val="bottom"/>
            <w:hideMark/>
          </w:tcPr>
          <w:p w:rsidRPr="006E5AFB" w:rsidR="004B3949" w:rsidP="00B46866" w:rsidRDefault="004B3949" w14:paraId="4E078BF3"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190 </w:t>
            </w:r>
          </w:p>
        </w:tc>
        <w:tc>
          <w:tcPr>
            <w:tcW w:w="963" w:type="dxa"/>
            <w:tcBorders>
              <w:top w:val="nil"/>
              <w:left w:val="single" w:color="auto" w:sz="4" w:space="0"/>
              <w:bottom w:val="nil"/>
              <w:right w:val="nil"/>
            </w:tcBorders>
            <w:shd w:val="clear" w:color="000000" w:fill="FFFFFF"/>
            <w:noWrap/>
            <w:vAlign w:val="bottom"/>
            <w:hideMark/>
          </w:tcPr>
          <w:p w:rsidRPr="006E5AFB" w:rsidR="004B3949" w:rsidP="00B46866" w:rsidRDefault="004B3949" w14:paraId="1290CD3C"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53 </w:t>
            </w:r>
          </w:p>
        </w:tc>
        <w:tc>
          <w:tcPr>
            <w:tcW w:w="1305" w:type="dxa"/>
            <w:tcBorders>
              <w:top w:val="nil"/>
              <w:left w:val="single" w:color="auto" w:sz="4" w:space="0"/>
              <w:bottom w:val="nil"/>
              <w:right w:val="single" w:color="auto" w:sz="4" w:space="0"/>
            </w:tcBorders>
            <w:shd w:val="clear" w:color="000000" w:fill="FFFFFF"/>
            <w:noWrap/>
            <w:vAlign w:val="bottom"/>
            <w:hideMark/>
          </w:tcPr>
          <w:p w:rsidRPr="006E5AFB" w:rsidR="004B3949" w:rsidP="00B46866" w:rsidRDefault="004B3949" w14:paraId="581E361C"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57.822 </w:t>
            </w:r>
          </w:p>
        </w:tc>
        <w:tc>
          <w:tcPr>
            <w:tcW w:w="1275" w:type="dxa"/>
            <w:tcBorders>
              <w:top w:val="nil"/>
              <w:left w:val="nil"/>
              <w:bottom w:val="nil"/>
              <w:right w:val="single" w:color="auto" w:sz="4" w:space="0"/>
            </w:tcBorders>
            <w:shd w:val="clear" w:color="000000" w:fill="FFFFFF"/>
            <w:noWrap/>
            <w:vAlign w:val="bottom"/>
            <w:hideMark/>
          </w:tcPr>
          <w:p w:rsidRPr="006E5AFB" w:rsidR="004B3949" w:rsidP="00B46866" w:rsidRDefault="004B3949" w14:paraId="1A0EBCAC"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132 </w:t>
            </w:r>
          </w:p>
        </w:tc>
      </w:tr>
      <w:tr w:rsidRPr="00B267C6" w:rsidR="004B3949" w:rsidTr="0018303A" w14:paraId="54F0D64D" w14:textId="77777777">
        <w:trPr>
          <w:trHeight w:val="150"/>
        </w:trPr>
        <w:tc>
          <w:tcPr>
            <w:tcW w:w="1204" w:type="dxa"/>
            <w:tcBorders>
              <w:top w:val="nil"/>
              <w:left w:val="single" w:color="auto" w:sz="4" w:space="0"/>
              <w:bottom w:val="nil"/>
              <w:right w:val="single" w:color="auto" w:sz="4" w:space="0"/>
            </w:tcBorders>
            <w:shd w:val="clear" w:color="000000" w:fill="FFFFFF"/>
            <w:noWrap/>
            <w:vAlign w:val="bottom"/>
            <w:hideMark/>
          </w:tcPr>
          <w:p w:rsidRPr="006E5AFB" w:rsidR="004B3949" w:rsidP="00B46866" w:rsidRDefault="004B3949" w14:paraId="48963F01" w14:textId="77777777">
            <w:pPr>
              <w:spacing w:line="240" w:lineRule="auto"/>
              <w:ind w:firstLine="181" w:firstLineChars="100"/>
              <w:rPr>
                <w:rFonts w:ascii="Calibri" w:hAnsi="Calibri" w:cs="Calibri"/>
                <w:b/>
                <w:bCs/>
                <w:color w:val="000000"/>
                <w:szCs w:val="18"/>
              </w:rPr>
            </w:pPr>
            <w:r w:rsidRPr="006E5AFB">
              <w:rPr>
                <w:rFonts w:ascii="Calibri" w:hAnsi="Calibri" w:cs="Calibri"/>
                <w:b/>
                <w:bCs/>
                <w:color w:val="000000"/>
                <w:szCs w:val="18"/>
              </w:rPr>
              <w:t> </w:t>
            </w:r>
          </w:p>
        </w:tc>
        <w:tc>
          <w:tcPr>
            <w:tcW w:w="2410" w:type="dxa"/>
            <w:tcBorders>
              <w:top w:val="nil"/>
              <w:left w:val="nil"/>
              <w:bottom w:val="nil"/>
              <w:right w:val="single" w:color="auto" w:sz="4" w:space="0"/>
            </w:tcBorders>
            <w:shd w:val="clear" w:color="000000" w:fill="FFFFFF"/>
            <w:noWrap/>
            <w:vAlign w:val="bottom"/>
            <w:hideMark/>
          </w:tcPr>
          <w:p w:rsidRPr="006E5AFB" w:rsidR="004B3949" w:rsidP="00B46866" w:rsidRDefault="004B3949" w14:paraId="46FBE826" w14:textId="77777777">
            <w:pPr>
              <w:spacing w:line="240" w:lineRule="auto"/>
              <w:ind w:firstLine="180" w:firstLineChars="100"/>
              <w:rPr>
                <w:rFonts w:ascii="Calibri" w:hAnsi="Calibri" w:cs="Calibri"/>
                <w:color w:val="000000"/>
                <w:szCs w:val="18"/>
              </w:rPr>
            </w:pPr>
            <w:r w:rsidRPr="006E5AFB">
              <w:rPr>
                <w:rFonts w:ascii="Calibri" w:hAnsi="Calibri" w:cs="Calibri"/>
                <w:color w:val="000000"/>
                <w:szCs w:val="18"/>
              </w:rPr>
              <w:t>Aquathermie</w:t>
            </w:r>
          </w:p>
        </w:tc>
        <w:tc>
          <w:tcPr>
            <w:tcW w:w="851" w:type="dxa"/>
            <w:tcBorders>
              <w:top w:val="nil"/>
              <w:left w:val="nil"/>
              <w:bottom w:val="nil"/>
              <w:right w:val="nil"/>
            </w:tcBorders>
            <w:shd w:val="clear" w:color="000000" w:fill="FFFFFF"/>
            <w:noWrap/>
            <w:vAlign w:val="bottom"/>
            <w:hideMark/>
          </w:tcPr>
          <w:p w:rsidRPr="006E5AFB" w:rsidR="004B3949" w:rsidP="00B46866" w:rsidRDefault="004B3949" w14:paraId="4905CB07"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3</w:t>
            </w:r>
          </w:p>
        </w:tc>
        <w:tc>
          <w:tcPr>
            <w:tcW w:w="1134" w:type="dxa"/>
            <w:tcBorders>
              <w:top w:val="nil"/>
              <w:left w:val="single" w:color="auto" w:sz="4" w:space="0"/>
              <w:bottom w:val="nil"/>
              <w:right w:val="nil"/>
            </w:tcBorders>
            <w:shd w:val="clear" w:color="000000" w:fill="FFFFFF"/>
            <w:noWrap/>
            <w:vAlign w:val="bottom"/>
            <w:hideMark/>
          </w:tcPr>
          <w:p w:rsidRPr="006E5AFB" w:rsidR="004B3949" w:rsidP="00B46866" w:rsidRDefault="004B3949" w14:paraId="7E4AA17B"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16 </w:t>
            </w:r>
          </w:p>
        </w:tc>
        <w:tc>
          <w:tcPr>
            <w:tcW w:w="963" w:type="dxa"/>
            <w:tcBorders>
              <w:top w:val="nil"/>
              <w:left w:val="single" w:color="auto" w:sz="4" w:space="0"/>
              <w:bottom w:val="nil"/>
              <w:right w:val="nil"/>
            </w:tcBorders>
            <w:shd w:val="clear" w:color="000000" w:fill="FFFFFF"/>
            <w:noWrap/>
            <w:vAlign w:val="bottom"/>
            <w:hideMark/>
          </w:tcPr>
          <w:p w:rsidRPr="006E5AFB" w:rsidR="004B3949" w:rsidP="00B46866" w:rsidRDefault="004B3949" w14:paraId="1021F900"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8 </w:t>
            </w:r>
          </w:p>
        </w:tc>
        <w:tc>
          <w:tcPr>
            <w:tcW w:w="1305" w:type="dxa"/>
            <w:tcBorders>
              <w:top w:val="nil"/>
              <w:left w:val="single" w:color="auto" w:sz="4" w:space="0"/>
              <w:bottom w:val="nil"/>
              <w:right w:val="single" w:color="auto" w:sz="4" w:space="0"/>
            </w:tcBorders>
            <w:shd w:val="clear" w:color="000000" w:fill="FFFFFF"/>
            <w:noWrap/>
            <w:vAlign w:val="bottom"/>
            <w:hideMark/>
          </w:tcPr>
          <w:p w:rsidRPr="006E5AFB" w:rsidR="004B3949" w:rsidP="00B46866" w:rsidRDefault="004B3949" w14:paraId="025A3EA9"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3.333 </w:t>
            </w:r>
          </w:p>
        </w:tc>
        <w:tc>
          <w:tcPr>
            <w:tcW w:w="1275" w:type="dxa"/>
            <w:tcBorders>
              <w:top w:val="nil"/>
              <w:left w:val="nil"/>
              <w:bottom w:val="nil"/>
              <w:right w:val="single" w:color="auto" w:sz="4" w:space="0"/>
            </w:tcBorders>
            <w:shd w:val="clear" w:color="000000" w:fill="FFFFFF"/>
            <w:noWrap/>
            <w:vAlign w:val="bottom"/>
            <w:hideMark/>
          </w:tcPr>
          <w:p w:rsidRPr="006E5AFB" w:rsidR="004B3949" w:rsidP="00B46866" w:rsidRDefault="004B3949" w14:paraId="5B227BB6"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290 </w:t>
            </w:r>
          </w:p>
        </w:tc>
      </w:tr>
      <w:tr w:rsidRPr="00B267C6" w:rsidR="004B3949" w:rsidTr="0018303A" w14:paraId="7DA4FC15" w14:textId="77777777">
        <w:trPr>
          <w:trHeight w:val="150"/>
        </w:trPr>
        <w:tc>
          <w:tcPr>
            <w:tcW w:w="1204" w:type="dxa"/>
            <w:tcBorders>
              <w:top w:val="nil"/>
              <w:left w:val="single" w:color="auto" w:sz="4" w:space="0"/>
              <w:bottom w:val="nil"/>
              <w:right w:val="single" w:color="auto" w:sz="4" w:space="0"/>
            </w:tcBorders>
            <w:shd w:val="clear" w:color="000000" w:fill="FFFFFF"/>
            <w:noWrap/>
            <w:vAlign w:val="bottom"/>
            <w:hideMark/>
          </w:tcPr>
          <w:p w:rsidRPr="006E5AFB" w:rsidR="004B3949" w:rsidP="00B46866" w:rsidRDefault="004B3949" w14:paraId="365A2901" w14:textId="77777777">
            <w:pPr>
              <w:spacing w:line="240" w:lineRule="auto"/>
              <w:ind w:firstLine="181" w:firstLineChars="100"/>
              <w:rPr>
                <w:rFonts w:ascii="Calibri" w:hAnsi="Calibri" w:cs="Calibri"/>
                <w:b/>
                <w:bCs/>
                <w:color w:val="000000"/>
                <w:szCs w:val="18"/>
              </w:rPr>
            </w:pPr>
            <w:r w:rsidRPr="006E5AFB">
              <w:rPr>
                <w:rFonts w:ascii="Calibri" w:hAnsi="Calibri" w:cs="Calibri"/>
                <w:b/>
                <w:bCs/>
                <w:color w:val="000000"/>
                <w:szCs w:val="18"/>
              </w:rPr>
              <w:t> </w:t>
            </w:r>
          </w:p>
        </w:tc>
        <w:tc>
          <w:tcPr>
            <w:tcW w:w="2410" w:type="dxa"/>
            <w:tcBorders>
              <w:top w:val="nil"/>
              <w:left w:val="nil"/>
              <w:bottom w:val="nil"/>
              <w:right w:val="single" w:color="auto" w:sz="4" w:space="0"/>
            </w:tcBorders>
            <w:shd w:val="clear" w:color="000000" w:fill="FFFFFF"/>
            <w:noWrap/>
            <w:vAlign w:val="bottom"/>
            <w:hideMark/>
          </w:tcPr>
          <w:p w:rsidRPr="006E5AFB" w:rsidR="004B3949" w:rsidP="00B46866" w:rsidRDefault="004B3949" w14:paraId="3BE3EDD2" w14:textId="77777777">
            <w:pPr>
              <w:spacing w:line="240" w:lineRule="auto"/>
              <w:ind w:firstLine="180" w:firstLineChars="100"/>
              <w:rPr>
                <w:rFonts w:ascii="Calibri" w:hAnsi="Calibri" w:cs="Calibri"/>
                <w:color w:val="000000"/>
                <w:szCs w:val="18"/>
              </w:rPr>
            </w:pPr>
            <w:r w:rsidRPr="006E5AFB">
              <w:rPr>
                <w:rFonts w:ascii="Calibri" w:hAnsi="Calibri" w:cs="Calibri"/>
                <w:color w:val="000000"/>
                <w:szCs w:val="18"/>
              </w:rPr>
              <w:t>Biomassavergisting (hern. warmte)</w:t>
            </w:r>
          </w:p>
        </w:tc>
        <w:tc>
          <w:tcPr>
            <w:tcW w:w="851" w:type="dxa"/>
            <w:tcBorders>
              <w:top w:val="nil"/>
              <w:left w:val="nil"/>
              <w:bottom w:val="nil"/>
              <w:right w:val="nil"/>
            </w:tcBorders>
            <w:shd w:val="clear" w:color="000000" w:fill="FFFFFF"/>
            <w:noWrap/>
            <w:vAlign w:val="bottom"/>
            <w:hideMark/>
          </w:tcPr>
          <w:p w:rsidRPr="006E5AFB" w:rsidR="004B3949" w:rsidP="00B46866" w:rsidRDefault="004B3949" w14:paraId="32275EB1"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4</w:t>
            </w:r>
          </w:p>
        </w:tc>
        <w:tc>
          <w:tcPr>
            <w:tcW w:w="1134" w:type="dxa"/>
            <w:tcBorders>
              <w:top w:val="nil"/>
              <w:left w:val="single" w:color="auto" w:sz="4" w:space="0"/>
              <w:bottom w:val="nil"/>
              <w:right w:val="nil"/>
            </w:tcBorders>
            <w:shd w:val="clear" w:color="000000" w:fill="FFFFFF"/>
            <w:noWrap/>
            <w:vAlign w:val="bottom"/>
            <w:hideMark/>
          </w:tcPr>
          <w:p w:rsidRPr="006E5AFB" w:rsidR="004B3949" w:rsidP="00B46866" w:rsidRDefault="004B3949" w14:paraId="2B687821"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13 </w:t>
            </w:r>
          </w:p>
        </w:tc>
        <w:tc>
          <w:tcPr>
            <w:tcW w:w="963" w:type="dxa"/>
            <w:tcBorders>
              <w:top w:val="nil"/>
              <w:left w:val="single" w:color="auto" w:sz="4" w:space="0"/>
              <w:bottom w:val="nil"/>
              <w:right w:val="nil"/>
            </w:tcBorders>
            <w:shd w:val="clear" w:color="000000" w:fill="FFFFFF"/>
            <w:noWrap/>
            <w:vAlign w:val="bottom"/>
            <w:hideMark/>
          </w:tcPr>
          <w:p w:rsidRPr="006E5AFB" w:rsidR="004B3949" w:rsidP="00B46866" w:rsidRDefault="004B3949" w14:paraId="61D55CEF"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2 </w:t>
            </w:r>
          </w:p>
        </w:tc>
        <w:tc>
          <w:tcPr>
            <w:tcW w:w="1305" w:type="dxa"/>
            <w:tcBorders>
              <w:top w:val="nil"/>
              <w:left w:val="single" w:color="auto" w:sz="4" w:space="0"/>
              <w:bottom w:val="nil"/>
              <w:right w:val="single" w:color="auto" w:sz="4" w:space="0"/>
            </w:tcBorders>
            <w:shd w:val="clear" w:color="000000" w:fill="FFFFFF"/>
            <w:noWrap/>
            <w:vAlign w:val="bottom"/>
            <w:hideMark/>
          </w:tcPr>
          <w:p w:rsidRPr="006E5AFB" w:rsidR="004B3949" w:rsidP="00B46866" w:rsidRDefault="004B3949" w14:paraId="515B1996"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3.436 </w:t>
            </w:r>
          </w:p>
        </w:tc>
        <w:tc>
          <w:tcPr>
            <w:tcW w:w="1275" w:type="dxa"/>
            <w:tcBorders>
              <w:top w:val="nil"/>
              <w:left w:val="nil"/>
              <w:bottom w:val="nil"/>
              <w:right w:val="single" w:color="auto" w:sz="4" w:space="0"/>
            </w:tcBorders>
            <w:shd w:val="clear" w:color="000000" w:fill="FFFFFF"/>
            <w:noWrap/>
            <w:vAlign w:val="bottom"/>
            <w:hideMark/>
          </w:tcPr>
          <w:p w:rsidRPr="006E5AFB" w:rsidR="004B3949" w:rsidP="00B46866" w:rsidRDefault="004B3949" w14:paraId="2EF16463"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269 </w:t>
            </w:r>
          </w:p>
        </w:tc>
      </w:tr>
      <w:tr w:rsidRPr="00B267C6" w:rsidR="004B3949" w:rsidTr="0018303A" w14:paraId="205A43F6" w14:textId="77777777">
        <w:trPr>
          <w:trHeight w:val="150"/>
        </w:trPr>
        <w:tc>
          <w:tcPr>
            <w:tcW w:w="1204" w:type="dxa"/>
            <w:tcBorders>
              <w:top w:val="nil"/>
              <w:left w:val="single" w:color="auto" w:sz="4" w:space="0"/>
              <w:bottom w:val="nil"/>
              <w:right w:val="single" w:color="auto" w:sz="4" w:space="0"/>
            </w:tcBorders>
            <w:shd w:val="clear" w:color="000000" w:fill="FFFFFF"/>
            <w:noWrap/>
            <w:vAlign w:val="bottom"/>
            <w:hideMark/>
          </w:tcPr>
          <w:p w:rsidRPr="006E5AFB" w:rsidR="004B3949" w:rsidP="00B46866" w:rsidRDefault="004B3949" w14:paraId="3D67B4D4" w14:textId="77777777">
            <w:pPr>
              <w:spacing w:line="240" w:lineRule="auto"/>
              <w:ind w:firstLine="181" w:firstLineChars="100"/>
              <w:rPr>
                <w:rFonts w:ascii="Calibri" w:hAnsi="Calibri" w:cs="Calibri"/>
                <w:b/>
                <w:bCs/>
                <w:color w:val="000000"/>
                <w:szCs w:val="18"/>
              </w:rPr>
            </w:pPr>
            <w:r w:rsidRPr="006E5AFB">
              <w:rPr>
                <w:rFonts w:ascii="Calibri" w:hAnsi="Calibri" w:cs="Calibri"/>
                <w:b/>
                <w:bCs/>
                <w:color w:val="000000"/>
                <w:szCs w:val="18"/>
              </w:rPr>
              <w:t> </w:t>
            </w:r>
          </w:p>
        </w:tc>
        <w:tc>
          <w:tcPr>
            <w:tcW w:w="2410" w:type="dxa"/>
            <w:tcBorders>
              <w:top w:val="nil"/>
              <w:left w:val="nil"/>
              <w:bottom w:val="nil"/>
              <w:right w:val="single" w:color="auto" w:sz="4" w:space="0"/>
            </w:tcBorders>
            <w:shd w:val="clear" w:color="000000" w:fill="FFFFFF"/>
            <w:noWrap/>
            <w:vAlign w:val="bottom"/>
            <w:hideMark/>
          </w:tcPr>
          <w:p w:rsidRPr="006E5AFB" w:rsidR="004B3949" w:rsidP="00B46866" w:rsidRDefault="004B3949" w14:paraId="4E9104F4" w14:textId="77777777">
            <w:pPr>
              <w:spacing w:line="240" w:lineRule="auto"/>
              <w:ind w:firstLine="180" w:firstLineChars="100"/>
              <w:rPr>
                <w:rFonts w:ascii="Calibri" w:hAnsi="Calibri" w:cs="Calibri"/>
                <w:color w:val="000000"/>
                <w:szCs w:val="18"/>
              </w:rPr>
            </w:pPr>
            <w:r w:rsidRPr="006E5AFB">
              <w:rPr>
                <w:rFonts w:ascii="Calibri" w:hAnsi="Calibri" w:cs="Calibri"/>
                <w:color w:val="000000"/>
                <w:szCs w:val="18"/>
              </w:rPr>
              <w:t>Zonthermie</w:t>
            </w:r>
          </w:p>
        </w:tc>
        <w:tc>
          <w:tcPr>
            <w:tcW w:w="851" w:type="dxa"/>
            <w:tcBorders>
              <w:top w:val="nil"/>
              <w:left w:val="nil"/>
              <w:bottom w:val="nil"/>
              <w:right w:val="nil"/>
            </w:tcBorders>
            <w:shd w:val="clear" w:color="000000" w:fill="FFFFFF"/>
            <w:noWrap/>
            <w:vAlign w:val="bottom"/>
            <w:hideMark/>
          </w:tcPr>
          <w:p w:rsidRPr="006E5AFB" w:rsidR="004B3949" w:rsidP="00B46866" w:rsidRDefault="004B3949" w14:paraId="2C77D99C"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2</w:t>
            </w:r>
          </w:p>
        </w:tc>
        <w:tc>
          <w:tcPr>
            <w:tcW w:w="1134" w:type="dxa"/>
            <w:tcBorders>
              <w:top w:val="nil"/>
              <w:left w:val="single" w:color="auto" w:sz="4" w:space="0"/>
              <w:bottom w:val="nil"/>
              <w:right w:val="nil"/>
            </w:tcBorders>
            <w:shd w:val="clear" w:color="000000" w:fill="FFFFFF"/>
            <w:noWrap/>
            <w:vAlign w:val="bottom"/>
            <w:hideMark/>
          </w:tcPr>
          <w:p w:rsidRPr="006E5AFB" w:rsidR="004B3949" w:rsidP="00B46866" w:rsidRDefault="004B3949" w14:paraId="0CE40EC4"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0 </w:t>
            </w:r>
          </w:p>
        </w:tc>
        <w:tc>
          <w:tcPr>
            <w:tcW w:w="963" w:type="dxa"/>
            <w:tcBorders>
              <w:top w:val="nil"/>
              <w:left w:val="single" w:color="auto" w:sz="4" w:space="0"/>
              <w:bottom w:val="nil"/>
              <w:right w:val="nil"/>
            </w:tcBorders>
            <w:shd w:val="clear" w:color="000000" w:fill="FFFFFF"/>
            <w:noWrap/>
            <w:vAlign w:val="bottom"/>
            <w:hideMark/>
          </w:tcPr>
          <w:p w:rsidRPr="006E5AFB" w:rsidR="004B3949" w:rsidP="00B46866" w:rsidRDefault="004B3949" w14:paraId="2417278F"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0 </w:t>
            </w:r>
          </w:p>
        </w:tc>
        <w:tc>
          <w:tcPr>
            <w:tcW w:w="1305" w:type="dxa"/>
            <w:tcBorders>
              <w:top w:val="nil"/>
              <w:left w:val="single" w:color="auto" w:sz="4" w:space="0"/>
              <w:bottom w:val="nil"/>
              <w:right w:val="single" w:color="auto" w:sz="4" w:space="0"/>
            </w:tcBorders>
            <w:shd w:val="clear" w:color="000000" w:fill="FFFFFF"/>
            <w:noWrap/>
            <w:vAlign w:val="bottom"/>
            <w:hideMark/>
          </w:tcPr>
          <w:p w:rsidRPr="006E5AFB" w:rsidR="004B3949" w:rsidP="00B46866" w:rsidRDefault="004B3949" w14:paraId="27554ED3"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67 </w:t>
            </w:r>
          </w:p>
        </w:tc>
        <w:tc>
          <w:tcPr>
            <w:tcW w:w="1275" w:type="dxa"/>
            <w:tcBorders>
              <w:top w:val="nil"/>
              <w:left w:val="nil"/>
              <w:bottom w:val="nil"/>
              <w:right w:val="single" w:color="auto" w:sz="4" w:space="0"/>
            </w:tcBorders>
            <w:shd w:val="clear" w:color="000000" w:fill="FFFFFF"/>
            <w:noWrap/>
            <w:vAlign w:val="bottom"/>
            <w:hideMark/>
          </w:tcPr>
          <w:p w:rsidRPr="006E5AFB" w:rsidR="004B3949" w:rsidP="00B46866" w:rsidRDefault="004B3949" w14:paraId="0EBDBF22"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232 </w:t>
            </w:r>
          </w:p>
        </w:tc>
      </w:tr>
      <w:tr w:rsidRPr="00B267C6" w:rsidR="004B3949" w:rsidTr="0018303A" w14:paraId="28511AB0" w14:textId="77777777">
        <w:trPr>
          <w:trHeight w:val="150"/>
        </w:trPr>
        <w:tc>
          <w:tcPr>
            <w:tcW w:w="1204" w:type="dxa"/>
            <w:tcBorders>
              <w:top w:val="nil"/>
              <w:left w:val="single" w:color="auto" w:sz="4" w:space="0"/>
              <w:bottom w:val="single" w:color="auto" w:sz="4" w:space="0"/>
              <w:right w:val="single" w:color="auto" w:sz="4" w:space="0"/>
            </w:tcBorders>
            <w:shd w:val="clear" w:color="000000" w:fill="FFFFFF"/>
            <w:noWrap/>
            <w:vAlign w:val="bottom"/>
            <w:hideMark/>
          </w:tcPr>
          <w:p w:rsidRPr="006E5AFB" w:rsidR="004B3949" w:rsidP="00B46866" w:rsidRDefault="004B3949" w14:paraId="41EDE838" w14:textId="77777777">
            <w:pPr>
              <w:spacing w:line="240" w:lineRule="auto"/>
              <w:ind w:firstLine="1084" w:firstLineChars="600"/>
              <w:rPr>
                <w:rFonts w:ascii="Calibri" w:hAnsi="Calibri" w:cs="Calibri"/>
                <w:b/>
                <w:bCs/>
                <w:color w:val="000000"/>
                <w:szCs w:val="18"/>
              </w:rPr>
            </w:pPr>
            <w:r w:rsidRPr="006E5AFB">
              <w:rPr>
                <w:rFonts w:ascii="Calibri" w:hAnsi="Calibri" w:cs="Calibri"/>
                <w:b/>
                <w:bCs/>
                <w:color w:val="000000"/>
                <w:szCs w:val="18"/>
              </w:rPr>
              <w:t> </w:t>
            </w:r>
          </w:p>
        </w:tc>
        <w:tc>
          <w:tcPr>
            <w:tcW w:w="2410" w:type="dxa"/>
            <w:tcBorders>
              <w:top w:val="nil"/>
              <w:left w:val="nil"/>
              <w:bottom w:val="single" w:color="auto" w:sz="4" w:space="0"/>
              <w:right w:val="single" w:color="auto" w:sz="4" w:space="0"/>
            </w:tcBorders>
            <w:shd w:val="clear" w:color="000000" w:fill="FFFFFF"/>
            <w:noWrap/>
            <w:vAlign w:val="bottom"/>
            <w:hideMark/>
          </w:tcPr>
          <w:p w:rsidRPr="006E5AFB" w:rsidR="004B3949" w:rsidP="00B46866" w:rsidRDefault="004B3949" w14:paraId="5EF27A7E" w14:textId="77777777">
            <w:pPr>
              <w:spacing w:line="240" w:lineRule="auto"/>
              <w:rPr>
                <w:rFonts w:ascii="Calibri" w:hAnsi="Calibri" w:cs="Calibri"/>
                <w:b/>
                <w:bCs/>
                <w:color w:val="000000"/>
                <w:szCs w:val="18"/>
              </w:rPr>
            </w:pPr>
            <w:r w:rsidRPr="006E5AFB">
              <w:rPr>
                <w:rFonts w:ascii="Calibri" w:hAnsi="Calibri" w:cs="Calibri"/>
                <w:b/>
                <w:bCs/>
                <w:color w:val="000000"/>
                <w:szCs w:val="18"/>
              </w:rPr>
              <w:t>Totaal LT-warmte</w:t>
            </w:r>
          </w:p>
        </w:tc>
        <w:tc>
          <w:tcPr>
            <w:tcW w:w="851" w:type="dxa"/>
            <w:tcBorders>
              <w:top w:val="nil"/>
              <w:left w:val="nil"/>
              <w:bottom w:val="single" w:color="auto" w:sz="4" w:space="0"/>
              <w:right w:val="nil"/>
            </w:tcBorders>
            <w:shd w:val="clear" w:color="000000" w:fill="FFFFFF"/>
            <w:noWrap/>
            <w:vAlign w:val="bottom"/>
            <w:hideMark/>
          </w:tcPr>
          <w:p w:rsidRPr="006E5AFB" w:rsidR="004B3949" w:rsidP="00B46866" w:rsidRDefault="004B3949" w14:paraId="17521EEC" w14:textId="77777777">
            <w:pPr>
              <w:spacing w:line="240" w:lineRule="auto"/>
              <w:ind w:firstLine="361" w:firstLineChars="200"/>
              <w:jc w:val="right"/>
              <w:rPr>
                <w:rFonts w:ascii="Calibri" w:hAnsi="Calibri" w:cs="Calibri"/>
                <w:b/>
                <w:bCs/>
                <w:color w:val="000000"/>
                <w:szCs w:val="18"/>
              </w:rPr>
            </w:pPr>
            <w:r w:rsidRPr="006E5AFB">
              <w:rPr>
                <w:rFonts w:ascii="Calibri" w:hAnsi="Calibri" w:cs="Calibri"/>
                <w:b/>
                <w:bCs/>
                <w:color w:val="000000"/>
                <w:szCs w:val="18"/>
              </w:rPr>
              <w:t>121</w:t>
            </w:r>
          </w:p>
        </w:tc>
        <w:tc>
          <w:tcPr>
            <w:tcW w:w="1134" w:type="dxa"/>
            <w:tcBorders>
              <w:top w:val="nil"/>
              <w:left w:val="single" w:color="auto" w:sz="4" w:space="0"/>
              <w:bottom w:val="single" w:color="auto" w:sz="4" w:space="0"/>
              <w:right w:val="nil"/>
            </w:tcBorders>
            <w:shd w:val="clear" w:color="000000" w:fill="FFFFFF"/>
            <w:noWrap/>
            <w:vAlign w:val="bottom"/>
            <w:hideMark/>
          </w:tcPr>
          <w:p w:rsidRPr="006E5AFB" w:rsidR="004B3949" w:rsidP="00B46866" w:rsidRDefault="004B3949" w14:paraId="447913D5" w14:textId="77777777">
            <w:pPr>
              <w:spacing w:line="240" w:lineRule="auto"/>
              <w:ind w:firstLine="361" w:firstLineChars="200"/>
              <w:jc w:val="right"/>
              <w:rPr>
                <w:rFonts w:ascii="Calibri" w:hAnsi="Calibri" w:cs="Calibri"/>
                <w:b/>
                <w:bCs/>
                <w:color w:val="000000"/>
                <w:szCs w:val="18"/>
              </w:rPr>
            </w:pPr>
            <w:r w:rsidRPr="006E5AFB">
              <w:rPr>
                <w:rFonts w:ascii="Calibri" w:hAnsi="Calibri" w:cs="Calibri"/>
                <w:b/>
                <w:bCs/>
                <w:color w:val="000000"/>
                <w:szCs w:val="18"/>
              </w:rPr>
              <w:t xml:space="preserve">3.036 </w:t>
            </w:r>
          </w:p>
        </w:tc>
        <w:tc>
          <w:tcPr>
            <w:tcW w:w="963" w:type="dxa"/>
            <w:tcBorders>
              <w:top w:val="nil"/>
              <w:left w:val="single" w:color="auto" w:sz="4" w:space="0"/>
              <w:bottom w:val="single" w:color="auto" w:sz="4" w:space="0"/>
              <w:right w:val="nil"/>
            </w:tcBorders>
            <w:shd w:val="clear" w:color="000000" w:fill="FFFFFF"/>
            <w:noWrap/>
            <w:vAlign w:val="bottom"/>
            <w:hideMark/>
          </w:tcPr>
          <w:p w:rsidRPr="006E5AFB" w:rsidR="004B3949" w:rsidP="00B46866" w:rsidRDefault="004B3949" w14:paraId="73FAB2E2" w14:textId="77777777">
            <w:pPr>
              <w:spacing w:line="240" w:lineRule="auto"/>
              <w:ind w:firstLine="361" w:firstLineChars="200"/>
              <w:jc w:val="right"/>
              <w:rPr>
                <w:rFonts w:ascii="Calibri" w:hAnsi="Calibri" w:cs="Calibri"/>
                <w:b/>
                <w:bCs/>
                <w:color w:val="000000"/>
                <w:szCs w:val="18"/>
              </w:rPr>
            </w:pPr>
            <w:r w:rsidRPr="006E5AFB">
              <w:rPr>
                <w:rFonts w:ascii="Calibri" w:hAnsi="Calibri" w:cs="Calibri"/>
                <w:b/>
                <w:bCs/>
                <w:color w:val="000000"/>
                <w:szCs w:val="18"/>
              </w:rPr>
              <w:t xml:space="preserve">659 </w:t>
            </w:r>
          </w:p>
        </w:tc>
        <w:tc>
          <w:tcPr>
            <w:tcW w:w="1305" w:type="dxa"/>
            <w:tcBorders>
              <w:top w:val="nil"/>
              <w:left w:val="single" w:color="auto" w:sz="4" w:space="0"/>
              <w:bottom w:val="single" w:color="auto" w:sz="4" w:space="0"/>
              <w:right w:val="single" w:color="auto" w:sz="4" w:space="0"/>
            </w:tcBorders>
            <w:shd w:val="clear" w:color="000000" w:fill="FFFFFF"/>
            <w:noWrap/>
            <w:vAlign w:val="bottom"/>
            <w:hideMark/>
          </w:tcPr>
          <w:p w:rsidRPr="006E5AFB" w:rsidR="004B3949" w:rsidP="00B46866" w:rsidRDefault="004B3949" w14:paraId="73AD8681" w14:textId="77777777">
            <w:pPr>
              <w:spacing w:line="240" w:lineRule="auto"/>
              <w:ind w:firstLine="361" w:firstLineChars="200"/>
              <w:jc w:val="right"/>
              <w:rPr>
                <w:rFonts w:ascii="Calibri" w:hAnsi="Calibri" w:cs="Calibri"/>
                <w:b/>
                <w:bCs/>
                <w:color w:val="000000"/>
                <w:szCs w:val="18"/>
              </w:rPr>
            </w:pPr>
            <w:r w:rsidRPr="006E5AFB">
              <w:rPr>
                <w:rFonts w:ascii="Calibri" w:hAnsi="Calibri" w:cs="Calibri"/>
                <w:b/>
                <w:bCs/>
                <w:color w:val="000000"/>
                <w:szCs w:val="18"/>
              </w:rPr>
              <w:t xml:space="preserve">781.998 </w:t>
            </w:r>
          </w:p>
        </w:tc>
        <w:tc>
          <w:tcPr>
            <w:tcW w:w="1275" w:type="dxa"/>
            <w:tcBorders>
              <w:top w:val="nil"/>
              <w:left w:val="nil"/>
              <w:bottom w:val="single" w:color="auto" w:sz="4" w:space="0"/>
              <w:right w:val="single" w:color="auto" w:sz="4" w:space="0"/>
            </w:tcBorders>
            <w:shd w:val="clear" w:color="000000" w:fill="FFFFFF"/>
            <w:noWrap/>
            <w:vAlign w:val="bottom"/>
            <w:hideMark/>
          </w:tcPr>
          <w:p w:rsidRPr="006E5AFB" w:rsidR="004B3949" w:rsidP="00B46866" w:rsidRDefault="004B3949" w14:paraId="630DED2F" w14:textId="77777777">
            <w:pPr>
              <w:spacing w:line="240" w:lineRule="auto"/>
              <w:ind w:firstLine="361" w:firstLineChars="200"/>
              <w:jc w:val="right"/>
              <w:rPr>
                <w:rFonts w:ascii="Calibri" w:hAnsi="Calibri" w:cs="Calibri"/>
                <w:b/>
                <w:bCs/>
                <w:color w:val="000000"/>
                <w:szCs w:val="18"/>
              </w:rPr>
            </w:pPr>
            <w:r w:rsidRPr="006E5AFB">
              <w:rPr>
                <w:rFonts w:ascii="Calibri" w:hAnsi="Calibri" w:cs="Calibri"/>
                <w:b/>
                <w:bCs/>
                <w:color w:val="000000"/>
                <w:szCs w:val="18"/>
              </w:rPr>
              <w:t xml:space="preserve">224 </w:t>
            </w:r>
          </w:p>
        </w:tc>
      </w:tr>
      <w:tr w:rsidRPr="00B267C6" w:rsidR="004B3949" w:rsidTr="0018303A" w14:paraId="46EA96F4" w14:textId="77777777">
        <w:trPr>
          <w:trHeight w:val="150"/>
        </w:trPr>
        <w:tc>
          <w:tcPr>
            <w:tcW w:w="1204" w:type="dxa"/>
            <w:tcBorders>
              <w:top w:val="nil"/>
              <w:left w:val="single" w:color="auto" w:sz="4" w:space="0"/>
              <w:bottom w:val="nil"/>
              <w:right w:val="single" w:color="auto" w:sz="4" w:space="0"/>
            </w:tcBorders>
            <w:shd w:val="clear" w:color="000000" w:fill="FFFFFF"/>
            <w:noWrap/>
            <w:vAlign w:val="bottom"/>
            <w:hideMark/>
          </w:tcPr>
          <w:p w:rsidRPr="006E5AFB" w:rsidR="004B3949" w:rsidP="00B46866" w:rsidRDefault="004B3949" w14:paraId="4A799A05" w14:textId="77777777">
            <w:pPr>
              <w:spacing w:line="240" w:lineRule="auto"/>
              <w:ind w:firstLine="181" w:firstLineChars="100"/>
              <w:rPr>
                <w:rFonts w:ascii="Calibri" w:hAnsi="Calibri" w:cs="Calibri"/>
                <w:b/>
                <w:bCs/>
                <w:color w:val="000000"/>
                <w:szCs w:val="18"/>
              </w:rPr>
            </w:pPr>
            <w:r w:rsidRPr="006E5AFB">
              <w:rPr>
                <w:rFonts w:ascii="Calibri" w:hAnsi="Calibri" w:cs="Calibri"/>
                <w:b/>
                <w:bCs/>
                <w:color w:val="000000"/>
                <w:szCs w:val="18"/>
              </w:rPr>
              <w:t>HT-warmte</w:t>
            </w:r>
          </w:p>
        </w:tc>
        <w:tc>
          <w:tcPr>
            <w:tcW w:w="2410" w:type="dxa"/>
            <w:tcBorders>
              <w:top w:val="nil"/>
              <w:left w:val="nil"/>
              <w:bottom w:val="nil"/>
              <w:right w:val="single" w:color="auto" w:sz="4" w:space="0"/>
            </w:tcBorders>
            <w:shd w:val="clear" w:color="000000" w:fill="FFFFFF"/>
            <w:noWrap/>
            <w:vAlign w:val="bottom"/>
            <w:hideMark/>
          </w:tcPr>
          <w:p w:rsidRPr="006E5AFB" w:rsidR="004B3949" w:rsidP="00B46866" w:rsidRDefault="004B3949" w14:paraId="3616819E" w14:textId="77777777">
            <w:pPr>
              <w:spacing w:line="240" w:lineRule="auto"/>
              <w:ind w:firstLine="180" w:firstLineChars="100"/>
              <w:rPr>
                <w:rFonts w:ascii="Calibri" w:hAnsi="Calibri" w:cs="Calibri"/>
                <w:color w:val="000000"/>
                <w:szCs w:val="18"/>
              </w:rPr>
            </w:pPr>
            <w:r w:rsidRPr="006E5AFB">
              <w:rPr>
                <w:rFonts w:ascii="Calibri" w:hAnsi="Calibri" w:cs="Calibri"/>
                <w:color w:val="000000"/>
                <w:szCs w:val="18"/>
              </w:rPr>
              <w:t>Elektrische boiler</w:t>
            </w:r>
          </w:p>
        </w:tc>
        <w:tc>
          <w:tcPr>
            <w:tcW w:w="851" w:type="dxa"/>
            <w:tcBorders>
              <w:top w:val="nil"/>
              <w:left w:val="nil"/>
              <w:bottom w:val="nil"/>
              <w:right w:val="nil"/>
            </w:tcBorders>
            <w:shd w:val="clear" w:color="000000" w:fill="FFFFFF"/>
            <w:noWrap/>
            <w:vAlign w:val="bottom"/>
            <w:hideMark/>
          </w:tcPr>
          <w:p w:rsidRPr="006E5AFB" w:rsidR="004B3949" w:rsidP="00B46866" w:rsidRDefault="004B3949" w14:paraId="18774F09"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11</w:t>
            </w:r>
          </w:p>
        </w:tc>
        <w:tc>
          <w:tcPr>
            <w:tcW w:w="1134" w:type="dxa"/>
            <w:tcBorders>
              <w:top w:val="nil"/>
              <w:left w:val="single" w:color="auto" w:sz="4" w:space="0"/>
              <w:bottom w:val="nil"/>
              <w:right w:val="nil"/>
            </w:tcBorders>
            <w:shd w:val="clear" w:color="000000" w:fill="FFFFFF"/>
            <w:noWrap/>
            <w:vAlign w:val="bottom"/>
            <w:hideMark/>
          </w:tcPr>
          <w:p w:rsidRPr="006E5AFB" w:rsidR="004B3949" w:rsidP="00B46866" w:rsidRDefault="004B3949" w14:paraId="341FCE6F"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726 </w:t>
            </w:r>
          </w:p>
        </w:tc>
        <w:tc>
          <w:tcPr>
            <w:tcW w:w="963" w:type="dxa"/>
            <w:tcBorders>
              <w:top w:val="nil"/>
              <w:left w:val="single" w:color="auto" w:sz="4" w:space="0"/>
              <w:bottom w:val="nil"/>
              <w:right w:val="nil"/>
            </w:tcBorders>
            <w:shd w:val="clear" w:color="000000" w:fill="FFFFFF"/>
            <w:noWrap/>
            <w:vAlign w:val="bottom"/>
            <w:hideMark/>
          </w:tcPr>
          <w:p w:rsidRPr="006E5AFB" w:rsidR="004B3949" w:rsidP="00B46866" w:rsidRDefault="004B3949" w14:paraId="433F3AB6"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295 </w:t>
            </w:r>
          </w:p>
        </w:tc>
        <w:tc>
          <w:tcPr>
            <w:tcW w:w="1305" w:type="dxa"/>
            <w:tcBorders>
              <w:top w:val="nil"/>
              <w:left w:val="single" w:color="auto" w:sz="4" w:space="0"/>
              <w:bottom w:val="nil"/>
              <w:right w:val="single" w:color="auto" w:sz="4" w:space="0"/>
            </w:tcBorders>
            <w:shd w:val="clear" w:color="000000" w:fill="FFFFFF"/>
            <w:noWrap/>
            <w:vAlign w:val="bottom"/>
            <w:hideMark/>
          </w:tcPr>
          <w:p w:rsidRPr="006E5AFB" w:rsidR="004B3949" w:rsidP="00B46866" w:rsidRDefault="004B3949" w14:paraId="6BBC2F68"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214.165 </w:t>
            </w:r>
          </w:p>
        </w:tc>
        <w:tc>
          <w:tcPr>
            <w:tcW w:w="1275" w:type="dxa"/>
            <w:tcBorders>
              <w:top w:val="nil"/>
              <w:left w:val="nil"/>
              <w:bottom w:val="nil"/>
              <w:right w:val="single" w:color="auto" w:sz="4" w:space="0"/>
            </w:tcBorders>
            <w:shd w:val="clear" w:color="000000" w:fill="FFFFFF"/>
            <w:noWrap/>
            <w:vAlign w:val="bottom"/>
            <w:hideMark/>
          </w:tcPr>
          <w:p w:rsidRPr="006E5AFB" w:rsidR="004B3949" w:rsidP="00B46866" w:rsidRDefault="004B3949" w14:paraId="2D739A13"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248 </w:t>
            </w:r>
          </w:p>
        </w:tc>
      </w:tr>
      <w:tr w:rsidRPr="00B267C6" w:rsidR="004B3949" w:rsidTr="0018303A" w14:paraId="24726FE7" w14:textId="77777777">
        <w:trPr>
          <w:trHeight w:val="150"/>
        </w:trPr>
        <w:tc>
          <w:tcPr>
            <w:tcW w:w="1204" w:type="dxa"/>
            <w:tcBorders>
              <w:top w:val="nil"/>
              <w:left w:val="single" w:color="auto" w:sz="4" w:space="0"/>
              <w:bottom w:val="nil"/>
              <w:right w:val="single" w:color="auto" w:sz="4" w:space="0"/>
            </w:tcBorders>
            <w:noWrap/>
            <w:vAlign w:val="bottom"/>
            <w:hideMark/>
          </w:tcPr>
          <w:p w:rsidRPr="006E5AFB" w:rsidR="004B3949" w:rsidP="00B46866" w:rsidRDefault="004B3949" w14:paraId="30ADF67E" w14:textId="77777777">
            <w:pPr>
              <w:spacing w:line="240" w:lineRule="auto"/>
              <w:rPr>
                <w:rFonts w:ascii="Calibri" w:hAnsi="Calibri" w:cs="Calibri"/>
                <w:color w:val="000000"/>
                <w:szCs w:val="18"/>
              </w:rPr>
            </w:pPr>
            <w:r w:rsidRPr="006E5AFB">
              <w:rPr>
                <w:rFonts w:ascii="Calibri" w:hAnsi="Calibri" w:cs="Calibri"/>
                <w:color w:val="000000"/>
                <w:szCs w:val="18"/>
              </w:rPr>
              <w:t> </w:t>
            </w:r>
          </w:p>
        </w:tc>
        <w:tc>
          <w:tcPr>
            <w:tcW w:w="2410" w:type="dxa"/>
            <w:tcBorders>
              <w:top w:val="nil"/>
              <w:left w:val="nil"/>
              <w:bottom w:val="nil"/>
              <w:right w:val="single" w:color="auto" w:sz="4" w:space="0"/>
            </w:tcBorders>
            <w:shd w:val="clear" w:color="000000" w:fill="FFFFFF"/>
            <w:noWrap/>
            <w:vAlign w:val="bottom"/>
            <w:hideMark/>
          </w:tcPr>
          <w:p w:rsidRPr="006E5AFB" w:rsidR="004B3949" w:rsidP="00B46866" w:rsidRDefault="004B3949" w14:paraId="1CD6102D" w14:textId="77777777">
            <w:pPr>
              <w:spacing w:line="240" w:lineRule="auto"/>
              <w:ind w:firstLine="180" w:firstLineChars="100"/>
              <w:rPr>
                <w:rFonts w:ascii="Calibri" w:hAnsi="Calibri" w:cs="Calibri"/>
                <w:color w:val="000000"/>
                <w:szCs w:val="18"/>
              </w:rPr>
            </w:pPr>
            <w:r w:rsidRPr="006E5AFB">
              <w:rPr>
                <w:rFonts w:ascii="Calibri" w:hAnsi="Calibri" w:cs="Calibri"/>
                <w:color w:val="000000"/>
                <w:szCs w:val="18"/>
              </w:rPr>
              <w:t>Biomassaverbranding</w:t>
            </w:r>
          </w:p>
        </w:tc>
        <w:tc>
          <w:tcPr>
            <w:tcW w:w="851" w:type="dxa"/>
            <w:tcBorders>
              <w:top w:val="nil"/>
              <w:left w:val="nil"/>
              <w:bottom w:val="nil"/>
              <w:right w:val="nil"/>
            </w:tcBorders>
            <w:shd w:val="clear" w:color="000000" w:fill="FFFFFF"/>
            <w:noWrap/>
            <w:vAlign w:val="bottom"/>
            <w:hideMark/>
          </w:tcPr>
          <w:p w:rsidRPr="006E5AFB" w:rsidR="004B3949" w:rsidP="00B46866" w:rsidRDefault="004B3949" w14:paraId="5B373E00"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6</w:t>
            </w:r>
          </w:p>
        </w:tc>
        <w:tc>
          <w:tcPr>
            <w:tcW w:w="1134" w:type="dxa"/>
            <w:tcBorders>
              <w:top w:val="nil"/>
              <w:left w:val="single" w:color="auto" w:sz="4" w:space="0"/>
              <w:bottom w:val="nil"/>
              <w:right w:val="nil"/>
            </w:tcBorders>
            <w:shd w:val="clear" w:color="000000" w:fill="FFFFFF"/>
            <w:noWrap/>
            <w:vAlign w:val="bottom"/>
            <w:hideMark/>
          </w:tcPr>
          <w:p w:rsidRPr="006E5AFB" w:rsidR="004B3949" w:rsidP="00B46866" w:rsidRDefault="004B3949" w14:paraId="715273EB"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317 </w:t>
            </w:r>
          </w:p>
        </w:tc>
        <w:tc>
          <w:tcPr>
            <w:tcW w:w="963" w:type="dxa"/>
            <w:tcBorders>
              <w:top w:val="nil"/>
              <w:left w:val="single" w:color="auto" w:sz="4" w:space="0"/>
              <w:bottom w:val="nil"/>
              <w:right w:val="nil"/>
            </w:tcBorders>
            <w:shd w:val="clear" w:color="000000" w:fill="FFFFFF"/>
            <w:noWrap/>
            <w:vAlign w:val="bottom"/>
            <w:hideMark/>
          </w:tcPr>
          <w:p w:rsidRPr="006E5AFB" w:rsidR="004B3949" w:rsidP="00B46866" w:rsidRDefault="004B3949" w14:paraId="0335EA1F"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277 </w:t>
            </w:r>
          </w:p>
        </w:tc>
        <w:tc>
          <w:tcPr>
            <w:tcW w:w="1305" w:type="dxa"/>
            <w:tcBorders>
              <w:top w:val="nil"/>
              <w:left w:val="single" w:color="auto" w:sz="4" w:space="0"/>
              <w:bottom w:val="nil"/>
              <w:right w:val="single" w:color="auto" w:sz="4" w:space="0"/>
            </w:tcBorders>
            <w:shd w:val="clear" w:color="000000" w:fill="FFFFFF"/>
            <w:noWrap/>
            <w:vAlign w:val="bottom"/>
            <w:hideMark/>
          </w:tcPr>
          <w:p w:rsidRPr="006E5AFB" w:rsidR="004B3949" w:rsidP="00B46866" w:rsidRDefault="004B3949" w14:paraId="46636288"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117.329 </w:t>
            </w:r>
          </w:p>
        </w:tc>
        <w:tc>
          <w:tcPr>
            <w:tcW w:w="1275" w:type="dxa"/>
            <w:tcBorders>
              <w:top w:val="nil"/>
              <w:left w:val="nil"/>
              <w:bottom w:val="nil"/>
              <w:right w:val="single" w:color="auto" w:sz="4" w:space="0"/>
            </w:tcBorders>
            <w:shd w:val="clear" w:color="000000" w:fill="FFFFFF"/>
            <w:noWrap/>
            <w:vAlign w:val="bottom"/>
            <w:hideMark/>
          </w:tcPr>
          <w:p w:rsidRPr="006E5AFB" w:rsidR="004B3949" w:rsidP="00B46866" w:rsidRDefault="004B3949" w14:paraId="6DC7C8E2"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162 </w:t>
            </w:r>
          </w:p>
        </w:tc>
      </w:tr>
      <w:tr w:rsidRPr="00B267C6" w:rsidR="004B3949" w:rsidTr="0018303A" w14:paraId="30A17D4C" w14:textId="77777777">
        <w:trPr>
          <w:trHeight w:val="150"/>
        </w:trPr>
        <w:tc>
          <w:tcPr>
            <w:tcW w:w="1204" w:type="dxa"/>
            <w:tcBorders>
              <w:top w:val="nil"/>
              <w:left w:val="single" w:color="auto" w:sz="4" w:space="0"/>
              <w:bottom w:val="nil"/>
              <w:right w:val="single" w:color="auto" w:sz="4" w:space="0"/>
            </w:tcBorders>
            <w:shd w:val="clear" w:color="000000" w:fill="FFFFFF"/>
            <w:noWrap/>
            <w:vAlign w:val="bottom"/>
            <w:hideMark/>
          </w:tcPr>
          <w:p w:rsidRPr="006E5AFB" w:rsidR="004B3949" w:rsidP="00B46866" w:rsidRDefault="004B3949" w14:paraId="553BB6AD" w14:textId="77777777">
            <w:pPr>
              <w:spacing w:line="240" w:lineRule="auto"/>
              <w:ind w:firstLine="181" w:firstLineChars="100"/>
              <w:rPr>
                <w:rFonts w:ascii="Calibri" w:hAnsi="Calibri" w:cs="Calibri"/>
                <w:b/>
                <w:bCs/>
                <w:color w:val="000000"/>
                <w:szCs w:val="18"/>
              </w:rPr>
            </w:pPr>
            <w:r w:rsidRPr="006E5AFB">
              <w:rPr>
                <w:rFonts w:ascii="Calibri" w:hAnsi="Calibri" w:cs="Calibri"/>
                <w:b/>
                <w:bCs/>
                <w:color w:val="000000"/>
                <w:szCs w:val="18"/>
              </w:rPr>
              <w:t> </w:t>
            </w:r>
          </w:p>
        </w:tc>
        <w:tc>
          <w:tcPr>
            <w:tcW w:w="2410" w:type="dxa"/>
            <w:tcBorders>
              <w:top w:val="nil"/>
              <w:left w:val="nil"/>
              <w:bottom w:val="nil"/>
              <w:right w:val="single" w:color="auto" w:sz="4" w:space="0"/>
            </w:tcBorders>
            <w:shd w:val="clear" w:color="000000" w:fill="FFFFFF"/>
            <w:noWrap/>
            <w:vAlign w:val="bottom"/>
            <w:hideMark/>
          </w:tcPr>
          <w:p w:rsidRPr="006E5AFB" w:rsidR="004B3949" w:rsidP="00B46866" w:rsidRDefault="004B3949" w14:paraId="6EDBE8CE" w14:textId="77777777">
            <w:pPr>
              <w:spacing w:line="240" w:lineRule="auto"/>
              <w:ind w:firstLine="180" w:firstLineChars="100"/>
              <w:rPr>
                <w:rFonts w:ascii="Calibri" w:hAnsi="Calibri" w:cs="Calibri"/>
                <w:color w:val="000000"/>
                <w:szCs w:val="18"/>
              </w:rPr>
            </w:pPr>
            <w:r w:rsidRPr="006E5AFB">
              <w:rPr>
                <w:rFonts w:ascii="Calibri" w:hAnsi="Calibri" w:cs="Calibri"/>
                <w:color w:val="000000"/>
                <w:szCs w:val="18"/>
              </w:rPr>
              <w:t>Procesgeïntegreerde warmtepomp</w:t>
            </w:r>
          </w:p>
        </w:tc>
        <w:tc>
          <w:tcPr>
            <w:tcW w:w="851" w:type="dxa"/>
            <w:tcBorders>
              <w:top w:val="nil"/>
              <w:left w:val="nil"/>
              <w:bottom w:val="nil"/>
              <w:right w:val="nil"/>
            </w:tcBorders>
            <w:shd w:val="clear" w:color="000000" w:fill="FFFFFF"/>
            <w:noWrap/>
            <w:vAlign w:val="bottom"/>
            <w:hideMark/>
          </w:tcPr>
          <w:p w:rsidRPr="006E5AFB" w:rsidR="004B3949" w:rsidP="00B46866" w:rsidRDefault="004B3949" w14:paraId="057F1E80"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2</w:t>
            </w:r>
          </w:p>
        </w:tc>
        <w:tc>
          <w:tcPr>
            <w:tcW w:w="1134" w:type="dxa"/>
            <w:tcBorders>
              <w:top w:val="nil"/>
              <w:left w:val="single" w:color="auto" w:sz="4" w:space="0"/>
              <w:bottom w:val="nil"/>
              <w:right w:val="nil"/>
            </w:tcBorders>
            <w:shd w:val="clear" w:color="000000" w:fill="FFFFFF"/>
            <w:noWrap/>
            <w:vAlign w:val="bottom"/>
            <w:hideMark/>
          </w:tcPr>
          <w:p w:rsidRPr="006E5AFB" w:rsidR="004B3949" w:rsidP="00B46866" w:rsidRDefault="004B3949" w14:paraId="78C1CB1F"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121 </w:t>
            </w:r>
          </w:p>
        </w:tc>
        <w:tc>
          <w:tcPr>
            <w:tcW w:w="963" w:type="dxa"/>
            <w:tcBorders>
              <w:top w:val="nil"/>
              <w:left w:val="single" w:color="auto" w:sz="4" w:space="0"/>
              <w:bottom w:val="nil"/>
              <w:right w:val="nil"/>
            </w:tcBorders>
            <w:shd w:val="clear" w:color="000000" w:fill="FFFFFF"/>
            <w:noWrap/>
            <w:vAlign w:val="bottom"/>
            <w:hideMark/>
          </w:tcPr>
          <w:p w:rsidRPr="006E5AFB" w:rsidR="004B3949" w:rsidP="00B46866" w:rsidRDefault="004B3949" w14:paraId="3D9A4E10"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52 </w:t>
            </w:r>
          </w:p>
        </w:tc>
        <w:tc>
          <w:tcPr>
            <w:tcW w:w="1305" w:type="dxa"/>
            <w:tcBorders>
              <w:top w:val="nil"/>
              <w:left w:val="single" w:color="auto" w:sz="4" w:space="0"/>
              <w:bottom w:val="nil"/>
              <w:right w:val="single" w:color="auto" w:sz="4" w:space="0"/>
            </w:tcBorders>
            <w:shd w:val="clear" w:color="000000" w:fill="FFFFFF"/>
            <w:noWrap/>
            <w:vAlign w:val="bottom"/>
            <w:hideMark/>
          </w:tcPr>
          <w:p w:rsidRPr="006E5AFB" w:rsidR="004B3949" w:rsidP="00B46866" w:rsidRDefault="004B3949" w14:paraId="63B18192"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28.183 </w:t>
            </w:r>
          </w:p>
        </w:tc>
        <w:tc>
          <w:tcPr>
            <w:tcW w:w="1275" w:type="dxa"/>
            <w:tcBorders>
              <w:top w:val="nil"/>
              <w:left w:val="nil"/>
              <w:bottom w:val="nil"/>
              <w:right w:val="single" w:color="auto" w:sz="4" w:space="0"/>
            </w:tcBorders>
            <w:shd w:val="clear" w:color="000000" w:fill="FFFFFF"/>
            <w:noWrap/>
            <w:vAlign w:val="bottom"/>
            <w:hideMark/>
          </w:tcPr>
          <w:p w:rsidRPr="006E5AFB" w:rsidR="004B3949" w:rsidP="00B46866" w:rsidRDefault="004B3949" w14:paraId="2BC49C00"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223 </w:t>
            </w:r>
          </w:p>
        </w:tc>
      </w:tr>
      <w:tr w:rsidRPr="00B267C6" w:rsidR="004B3949" w:rsidTr="0018303A" w14:paraId="03EE03B1" w14:textId="77777777">
        <w:trPr>
          <w:trHeight w:val="150"/>
        </w:trPr>
        <w:tc>
          <w:tcPr>
            <w:tcW w:w="1204" w:type="dxa"/>
            <w:tcBorders>
              <w:top w:val="nil"/>
              <w:left w:val="single" w:color="auto" w:sz="4" w:space="0"/>
              <w:bottom w:val="nil"/>
              <w:right w:val="single" w:color="auto" w:sz="4" w:space="0"/>
            </w:tcBorders>
            <w:shd w:val="clear" w:color="000000" w:fill="FFFFFF"/>
            <w:noWrap/>
            <w:vAlign w:val="bottom"/>
            <w:hideMark/>
          </w:tcPr>
          <w:p w:rsidRPr="006E5AFB" w:rsidR="004B3949" w:rsidP="00B46866" w:rsidRDefault="004B3949" w14:paraId="3E50A985" w14:textId="77777777">
            <w:pPr>
              <w:spacing w:line="240" w:lineRule="auto"/>
              <w:ind w:firstLine="181" w:firstLineChars="100"/>
              <w:rPr>
                <w:rFonts w:ascii="Calibri" w:hAnsi="Calibri" w:cs="Calibri"/>
                <w:b/>
                <w:bCs/>
                <w:color w:val="000000"/>
                <w:szCs w:val="18"/>
              </w:rPr>
            </w:pPr>
            <w:r w:rsidRPr="006E5AFB">
              <w:rPr>
                <w:rFonts w:ascii="Calibri" w:hAnsi="Calibri" w:cs="Calibri"/>
                <w:b/>
                <w:bCs/>
                <w:color w:val="000000"/>
                <w:szCs w:val="18"/>
              </w:rPr>
              <w:t> </w:t>
            </w:r>
          </w:p>
        </w:tc>
        <w:tc>
          <w:tcPr>
            <w:tcW w:w="2410" w:type="dxa"/>
            <w:tcBorders>
              <w:top w:val="nil"/>
              <w:left w:val="nil"/>
              <w:bottom w:val="nil"/>
              <w:right w:val="single" w:color="auto" w:sz="4" w:space="0"/>
            </w:tcBorders>
            <w:shd w:val="clear" w:color="000000" w:fill="FFFFFF"/>
            <w:noWrap/>
            <w:vAlign w:val="bottom"/>
            <w:hideMark/>
          </w:tcPr>
          <w:p w:rsidRPr="006E5AFB" w:rsidR="004B3949" w:rsidP="00B46866" w:rsidRDefault="004B3949" w14:paraId="37843626" w14:textId="77777777">
            <w:pPr>
              <w:spacing w:line="240" w:lineRule="auto"/>
              <w:ind w:firstLine="180" w:firstLineChars="100"/>
              <w:rPr>
                <w:rFonts w:ascii="Calibri" w:hAnsi="Calibri" w:cs="Calibri"/>
                <w:color w:val="000000"/>
                <w:szCs w:val="18"/>
              </w:rPr>
            </w:pPr>
            <w:r w:rsidRPr="006E5AFB">
              <w:rPr>
                <w:rFonts w:ascii="Calibri" w:hAnsi="Calibri" w:cs="Calibri"/>
                <w:color w:val="000000"/>
                <w:szCs w:val="18"/>
              </w:rPr>
              <w:t>Industriële warmtepomp (open)</w:t>
            </w:r>
          </w:p>
        </w:tc>
        <w:tc>
          <w:tcPr>
            <w:tcW w:w="851" w:type="dxa"/>
            <w:tcBorders>
              <w:top w:val="nil"/>
              <w:left w:val="nil"/>
              <w:bottom w:val="nil"/>
              <w:right w:val="nil"/>
            </w:tcBorders>
            <w:shd w:val="clear" w:color="000000" w:fill="FFFFFF"/>
            <w:noWrap/>
            <w:vAlign w:val="bottom"/>
            <w:hideMark/>
          </w:tcPr>
          <w:p w:rsidRPr="006E5AFB" w:rsidR="004B3949" w:rsidP="00B46866" w:rsidRDefault="004B3949" w14:paraId="661E19AF"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1</w:t>
            </w:r>
          </w:p>
        </w:tc>
        <w:tc>
          <w:tcPr>
            <w:tcW w:w="1134" w:type="dxa"/>
            <w:tcBorders>
              <w:top w:val="nil"/>
              <w:left w:val="single" w:color="auto" w:sz="4" w:space="0"/>
              <w:bottom w:val="nil"/>
              <w:right w:val="nil"/>
            </w:tcBorders>
            <w:shd w:val="clear" w:color="000000" w:fill="FFFFFF"/>
            <w:noWrap/>
            <w:vAlign w:val="bottom"/>
            <w:hideMark/>
          </w:tcPr>
          <w:p w:rsidRPr="006E5AFB" w:rsidR="004B3949" w:rsidP="00B46866" w:rsidRDefault="004B3949" w14:paraId="2BCC2C29"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19 </w:t>
            </w:r>
          </w:p>
        </w:tc>
        <w:tc>
          <w:tcPr>
            <w:tcW w:w="963" w:type="dxa"/>
            <w:tcBorders>
              <w:top w:val="nil"/>
              <w:left w:val="single" w:color="auto" w:sz="4" w:space="0"/>
              <w:bottom w:val="nil"/>
              <w:right w:val="nil"/>
            </w:tcBorders>
            <w:shd w:val="clear" w:color="000000" w:fill="FFFFFF"/>
            <w:noWrap/>
            <w:vAlign w:val="bottom"/>
            <w:hideMark/>
          </w:tcPr>
          <w:p w:rsidRPr="006E5AFB" w:rsidR="004B3949" w:rsidP="00B46866" w:rsidRDefault="004B3949" w14:paraId="52C6F5B6"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9 </w:t>
            </w:r>
          </w:p>
        </w:tc>
        <w:tc>
          <w:tcPr>
            <w:tcW w:w="1305" w:type="dxa"/>
            <w:tcBorders>
              <w:top w:val="nil"/>
              <w:left w:val="single" w:color="auto" w:sz="4" w:space="0"/>
              <w:bottom w:val="nil"/>
              <w:right w:val="single" w:color="auto" w:sz="4" w:space="0"/>
            </w:tcBorders>
            <w:shd w:val="clear" w:color="000000" w:fill="FFFFFF"/>
            <w:noWrap/>
            <w:vAlign w:val="bottom"/>
            <w:hideMark/>
          </w:tcPr>
          <w:p w:rsidRPr="006E5AFB" w:rsidR="004B3949" w:rsidP="00B46866" w:rsidRDefault="004B3949" w14:paraId="35CD38A2"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5.991 </w:t>
            </w:r>
          </w:p>
        </w:tc>
        <w:tc>
          <w:tcPr>
            <w:tcW w:w="1275" w:type="dxa"/>
            <w:tcBorders>
              <w:top w:val="nil"/>
              <w:left w:val="nil"/>
              <w:bottom w:val="nil"/>
              <w:right w:val="single" w:color="auto" w:sz="4" w:space="0"/>
            </w:tcBorders>
            <w:shd w:val="clear" w:color="000000" w:fill="FFFFFF"/>
            <w:noWrap/>
            <w:vAlign w:val="bottom"/>
            <w:hideMark/>
          </w:tcPr>
          <w:p w:rsidRPr="006E5AFB" w:rsidR="004B3949" w:rsidP="00B46866" w:rsidRDefault="004B3949" w14:paraId="1D027FD0"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110 </w:t>
            </w:r>
          </w:p>
        </w:tc>
      </w:tr>
      <w:tr w:rsidRPr="00B267C6" w:rsidR="004B3949" w:rsidTr="0018303A" w14:paraId="3BEB1C23" w14:textId="77777777">
        <w:trPr>
          <w:trHeight w:val="150"/>
        </w:trPr>
        <w:tc>
          <w:tcPr>
            <w:tcW w:w="1204" w:type="dxa"/>
            <w:tcBorders>
              <w:top w:val="nil"/>
              <w:left w:val="single" w:color="auto" w:sz="4" w:space="0"/>
              <w:bottom w:val="single" w:color="auto" w:sz="4" w:space="0"/>
              <w:right w:val="single" w:color="auto" w:sz="4" w:space="0"/>
            </w:tcBorders>
            <w:shd w:val="clear" w:color="000000" w:fill="FFFFFF"/>
            <w:noWrap/>
            <w:vAlign w:val="bottom"/>
            <w:hideMark/>
          </w:tcPr>
          <w:p w:rsidRPr="006E5AFB" w:rsidR="004B3949" w:rsidP="00B46866" w:rsidRDefault="004B3949" w14:paraId="5D104875" w14:textId="77777777">
            <w:pPr>
              <w:spacing w:line="240" w:lineRule="auto"/>
              <w:ind w:firstLine="1084" w:firstLineChars="600"/>
              <w:rPr>
                <w:rFonts w:ascii="Calibri" w:hAnsi="Calibri" w:cs="Calibri"/>
                <w:b/>
                <w:bCs/>
                <w:color w:val="000000"/>
                <w:szCs w:val="18"/>
              </w:rPr>
            </w:pPr>
            <w:r w:rsidRPr="006E5AFB">
              <w:rPr>
                <w:rFonts w:ascii="Calibri" w:hAnsi="Calibri" w:cs="Calibri"/>
                <w:b/>
                <w:bCs/>
                <w:color w:val="000000"/>
                <w:szCs w:val="18"/>
              </w:rPr>
              <w:t> </w:t>
            </w:r>
          </w:p>
        </w:tc>
        <w:tc>
          <w:tcPr>
            <w:tcW w:w="2410" w:type="dxa"/>
            <w:tcBorders>
              <w:top w:val="nil"/>
              <w:left w:val="nil"/>
              <w:bottom w:val="single" w:color="auto" w:sz="4" w:space="0"/>
              <w:right w:val="single" w:color="auto" w:sz="4" w:space="0"/>
            </w:tcBorders>
            <w:shd w:val="clear" w:color="000000" w:fill="FFFFFF"/>
            <w:noWrap/>
            <w:vAlign w:val="bottom"/>
            <w:hideMark/>
          </w:tcPr>
          <w:p w:rsidRPr="006E5AFB" w:rsidR="004B3949" w:rsidP="00B46866" w:rsidRDefault="004B3949" w14:paraId="54B8A252" w14:textId="77777777">
            <w:pPr>
              <w:spacing w:line="240" w:lineRule="auto"/>
              <w:rPr>
                <w:rFonts w:ascii="Calibri" w:hAnsi="Calibri" w:cs="Calibri"/>
                <w:b/>
                <w:bCs/>
                <w:color w:val="000000"/>
                <w:szCs w:val="18"/>
              </w:rPr>
            </w:pPr>
            <w:r w:rsidRPr="006E5AFB">
              <w:rPr>
                <w:rFonts w:ascii="Calibri" w:hAnsi="Calibri" w:cs="Calibri"/>
                <w:b/>
                <w:bCs/>
                <w:color w:val="000000"/>
                <w:szCs w:val="18"/>
              </w:rPr>
              <w:t>Totaal HT-warmte</w:t>
            </w:r>
          </w:p>
        </w:tc>
        <w:tc>
          <w:tcPr>
            <w:tcW w:w="851" w:type="dxa"/>
            <w:tcBorders>
              <w:top w:val="nil"/>
              <w:left w:val="nil"/>
              <w:bottom w:val="single" w:color="auto" w:sz="4" w:space="0"/>
              <w:right w:val="nil"/>
            </w:tcBorders>
            <w:shd w:val="clear" w:color="000000" w:fill="FFFFFF"/>
            <w:noWrap/>
            <w:vAlign w:val="bottom"/>
            <w:hideMark/>
          </w:tcPr>
          <w:p w:rsidRPr="006E5AFB" w:rsidR="004B3949" w:rsidP="00B46866" w:rsidRDefault="004B3949" w14:paraId="4A37FA42" w14:textId="77777777">
            <w:pPr>
              <w:spacing w:line="240" w:lineRule="auto"/>
              <w:ind w:firstLine="361" w:firstLineChars="200"/>
              <w:jc w:val="right"/>
              <w:rPr>
                <w:rFonts w:ascii="Calibri" w:hAnsi="Calibri" w:cs="Calibri"/>
                <w:b/>
                <w:bCs/>
                <w:color w:val="000000"/>
                <w:szCs w:val="18"/>
              </w:rPr>
            </w:pPr>
            <w:r w:rsidRPr="006E5AFB">
              <w:rPr>
                <w:rFonts w:ascii="Calibri" w:hAnsi="Calibri" w:cs="Calibri"/>
                <w:b/>
                <w:bCs/>
                <w:color w:val="000000"/>
                <w:szCs w:val="18"/>
              </w:rPr>
              <w:t>20</w:t>
            </w:r>
          </w:p>
        </w:tc>
        <w:tc>
          <w:tcPr>
            <w:tcW w:w="1134" w:type="dxa"/>
            <w:tcBorders>
              <w:top w:val="nil"/>
              <w:left w:val="single" w:color="auto" w:sz="4" w:space="0"/>
              <w:bottom w:val="single" w:color="auto" w:sz="4" w:space="0"/>
              <w:right w:val="nil"/>
            </w:tcBorders>
            <w:shd w:val="clear" w:color="000000" w:fill="FFFFFF"/>
            <w:noWrap/>
            <w:vAlign w:val="bottom"/>
            <w:hideMark/>
          </w:tcPr>
          <w:p w:rsidRPr="006E5AFB" w:rsidR="004B3949" w:rsidP="00B46866" w:rsidRDefault="004B3949" w14:paraId="608880FA" w14:textId="77777777">
            <w:pPr>
              <w:spacing w:line="240" w:lineRule="auto"/>
              <w:ind w:firstLine="361" w:firstLineChars="200"/>
              <w:jc w:val="right"/>
              <w:rPr>
                <w:rFonts w:ascii="Calibri" w:hAnsi="Calibri" w:cs="Calibri"/>
                <w:b/>
                <w:bCs/>
                <w:color w:val="000000"/>
                <w:szCs w:val="18"/>
              </w:rPr>
            </w:pPr>
            <w:r w:rsidRPr="006E5AFB">
              <w:rPr>
                <w:rFonts w:ascii="Calibri" w:hAnsi="Calibri" w:cs="Calibri"/>
                <w:b/>
                <w:bCs/>
                <w:color w:val="000000"/>
                <w:szCs w:val="18"/>
              </w:rPr>
              <w:t xml:space="preserve">1.183 </w:t>
            </w:r>
          </w:p>
        </w:tc>
        <w:tc>
          <w:tcPr>
            <w:tcW w:w="963" w:type="dxa"/>
            <w:tcBorders>
              <w:top w:val="nil"/>
              <w:left w:val="single" w:color="auto" w:sz="4" w:space="0"/>
              <w:bottom w:val="single" w:color="auto" w:sz="4" w:space="0"/>
              <w:right w:val="nil"/>
            </w:tcBorders>
            <w:shd w:val="clear" w:color="000000" w:fill="FFFFFF"/>
            <w:noWrap/>
            <w:vAlign w:val="bottom"/>
            <w:hideMark/>
          </w:tcPr>
          <w:p w:rsidRPr="006E5AFB" w:rsidR="004B3949" w:rsidP="00B46866" w:rsidRDefault="004B3949" w14:paraId="6FC8F034" w14:textId="77777777">
            <w:pPr>
              <w:spacing w:line="240" w:lineRule="auto"/>
              <w:ind w:firstLine="361" w:firstLineChars="200"/>
              <w:jc w:val="right"/>
              <w:rPr>
                <w:rFonts w:ascii="Calibri" w:hAnsi="Calibri" w:cs="Calibri"/>
                <w:b/>
                <w:bCs/>
                <w:color w:val="000000"/>
                <w:szCs w:val="18"/>
              </w:rPr>
            </w:pPr>
            <w:r w:rsidRPr="006E5AFB">
              <w:rPr>
                <w:rFonts w:ascii="Calibri" w:hAnsi="Calibri" w:cs="Calibri"/>
                <w:b/>
                <w:bCs/>
                <w:color w:val="000000"/>
                <w:szCs w:val="18"/>
              </w:rPr>
              <w:t xml:space="preserve">614 </w:t>
            </w:r>
          </w:p>
        </w:tc>
        <w:tc>
          <w:tcPr>
            <w:tcW w:w="1305" w:type="dxa"/>
            <w:tcBorders>
              <w:top w:val="nil"/>
              <w:left w:val="single" w:color="auto" w:sz="4" w:space="0"/>
              <w:bottom w:val="single" w:color="auto" w:sz="4" w:space="0"/>
              <w:right w:val="single" w:color="auto" w:sz="4" w:space="0"/>
            </w:tcBorders>
            <w:shd w:val="clear" w:color="000000" w:fill="FFFFFF"/>
            <w:noWrap/>
            <w:vAlign w:val="bottom"/>
            <w:hideMark/>
          </w:tcPr>
          <w:p w:rsidRPr="006E5AFB" w:rsidR="004B3949" w:rsidP="00B46866" w:rsidRDefault="004B3949" w14:paraId="0AB3DEA0" w14:textId="77777777">
            <w:pPr>
              <w:spacing w:line="240" w:lineRule="auto"/>
              <w:ind w:firstLine="361" w:firstLineChars="200"/>
              <w:jc w:val="right"/>
              <w:rPr>
                <w:rFonts w:ascii="Calibri" w:hAnsi="Calibri" w:cs="Calibri"/>
                <w:b/>
                <w:bCs/>
                <w:color w:val="000000"/>
                <w:szCs w:val="18"/>
              </w:rPr>
            </w:pPr>
            <w:r w:rsidRPr="006E5AFB">
              <w:rPr>
                <w:rFonts w:ascii="Calibri" w:hAnsi="Calibri" w:cs="Calibri"/>
                <w:b/>
                <w:bCs/>
                <w:color w:val="000000"/>
                <w:szCs w:val="18"/>
              </w:rPr>
              <w:t xml:space="preserve">365.668 </w:t>
            </w:r>
          </w:p>
        </w:tc>
        <w:tc>
          <w:tcPr>
            <w:tcW w:w="1275" w:type="dxa"/>
            <w:tcBorders>
              <w:top w:val="nil"/>
              <w:left w:val="nil"/>
              <w:bottom w:val="single" w:color="auto" w:sz="4" w:space="0"/>
              <w:right w:val="single" w:color="auto" w:sz="4" w:space="0"/>
            </w:tcBorders>
            <w:shd w:val="clear" w:color="000000" w:fill="FFFFFF"/>
            <w:noWrap/>
            <w:vAlign w:val="bottom"/>
            <w:hideMark/>
          </w:tcPr>
          <w:p w:rsidRPr="006E5AFB" w:rsidR="004B3949" w:rsidP="00B46866" w:rsidRDefault="004B3949" w14:paraId="31704A9C" w14:textId="77777777">
            <w:pPr>
              <w:spacing w:line="240" w:lineRule="auto"/>
              <w:ind w:firstLine="361" w:firstLineChars="200"/>
              <w:jc w:val="right"/>
              <w:rPr>
                <w:rFonts w:ascii="Calibri" w:hAnsi="Calibri" w:cs="Calibri"/>
                <w:b/>
                <w:bCs/>
                <w:color w:val="000000"/>
                <w:szCs w:val="18"/>
              </w:rPr>
            </w:pPr>
            <w:r w:rsidRPr="006E5AFB">
              <w:rPr>
                <w:rFonts w:ascii="Calibri" w:hAnsi="Calibri" w:cs="Calibri"/>
                <w:b/>
                <w:bCs/>
                <w:color w:val="000000"/>
                <w:szCs w:val="18"/>
              </w:rPr>
              <w:t xml:space="preserve">215 </w:t>
            </w:r>
          </w:p>
        </w:tc>
      </w:tr>
      <w:tr w:rsidRPr="00B267C6" w:rsidR="004B3949" w:rsidTr="0018303A" w14:paraId="49B0BDD2" w14:textId="77777777">
        <w:trPr>
          <w:trHeight w:val="150"/>
        </w:trPr>
        <w:tc>
          <w:tcPr>
            <w:tcW w:w="1204" w:type="dxa"/>
            <w:tcBorders>
              <w:top w:val="nil"/>
              <w:left w:val="single" w:color="auto" w:sz="4" w:space="0"/>
              <w:bottom w:val="nil"/>
              <w:right w:val="single" w:color="auto" w:sz="4" w:space="0"/>
            </w:tcBorders>
            <w:shd w:val="clear" w:color="000000" w:fill="FFFFFF"/>
            <w:noWrap/>
            <w:vAlign w:val="bottom"/>
            <w:hideMark/>
          </w:tcPr>
          <w:p w:rsidRPr="006E5AFB" w:rsidR="004B3949" w:rsidP="00B46866" w:rsidRDefault="004B3949" w14:paraId="45A33FE9" w14:textId="77777777">
            <w:pPr>
              <w:spacing w:line="240" w:lineRule="auto"/>
              <w:ind w:firstLine="181" w:firstLineChars="100"/>
              <w:rPr>
                <w:rFonts w:ascii="Calibri" w:hAnsi="Calibri" w:cs="Calibri"/>
                <w:b/>
                <w:bCs/>
                <w:color w:val="000000"/>
                <w:szCs w:val="18"/>
              </w:rPr>
            </w:pPr>
            <w:r w:rsidRPr="006E5AFB">
              <w:rPr>
                <w:rFonts w:ascii="Calibri" w:hAnsi="Calibri" w:cs="Calibri"/>
                <w:b/>
                <w:bCs/>
                <w:color w:val="000000"/>
                <w:szCs w:val="18"/>
              </w:rPr>
              <w:t>Elektriciteit</w:t>
            </w:r>
          </w:p>
        </w:tc>
        <w:tc>
          <w:tcPr>
            <w:tcW w:w="2410" w:type="dxa"/>
            <w:tcBorders>
              <w:top w:val="nil"/>
              <w:left w:val="nil"/>
              <w:bottom w:val="nil"/>
              <w:right w:val="single" w:color="auto" w:sz="4" w:space="0"/>
            </w:tcBorders>
            <w:shd w:val="clear" w:color="000000" w:fill="FFFFFF"/>
            <w:noWrap/>
            <w:vAlign w:val="bottom"/>
            <w:hideMark/>
          </w:tcPr>
          <w:p w:rsidRPr="006E5AFB" w:rsidR="004B3949" w:rsidP="00B46866" w:rsidRDefault="004B3949" w14:paraId="22D79547" w14:textId="77777777">
            <w:pPr>
              <w:spacing w:line="240" w:lineRule="auto"/>
              <w:ind w:firstLine="180" w:firstLineChars="100"/>
              <w:rPr>
                <w:rFonts w:ascii="Calibri" w:hAnsi="Calibri" w:cs="Calibri"/>
                <w:color w:val="000000"/>
                <w:szCs w:val="18"/>
              </w:rPr>
            </w:pPr>
            <w:r w:rsidRPr="006E5AFB">
              <w:rPr>
                <w:rFonts w:ascii="Calibri" w:hAnsi="Calibri" w:cs="Calibri"/>
                <w:color w:val="000000"/>
                <w:szCs w:val="18"/>
              </w:rPr>
              <w:t>Zon-PV op veld</w:t>
            </w:r>
          </w:p>
        </w:tc>
        <w:tc>
          <w:tcPr>
            <w:tcW w:w="851" w:type="dxa"/>
            <w:tcBorders>
              <w:top w:val="nil"/>
              <w:left w:val="nil"/>
              <w:bottom w:val="nil"/>
              <w:right w:val="nil"/>
            </w:tcBorders>
            <w:shd w:val="clear" w:color="000000" w:fill="FFFFFF"/>
            <w:noWrap/>
            <w:vAlign w:val="bottom"/>
            <w:hideMark/>
          </w:tcPr>
          <w:p w:rsidRPr="006E5AFB" w:rsidR="004B3949" w:rsidP="00B46866" w:rsidRDefault="004B3949" w14:paraId="43869125"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51</w:t>
            </w:r>
          </w:p>
        </w:tc>
        <w:tc>
          <w:tcPr>
            <w:tcW w:w="1134" w:type="dxa"/>
            <w:tcBorders>
              <w:top w:val="nil"/>
              <w:left w:val="single" w:color="auto" w:sz="4" w:space="0"/>
              <w:bottom w:val="nil"/>
              <w:right w:val="nil"/>
            </w:tcBorders>
            <w:shd w:val="clear" w:color="000000" w:fill="FFFFFF"/>
            <w:noWrap/>
            <w:vAlign w:val="bottom"/>
            <w:hideMark/>
          </w:tcPr>
          <w:p w:rsidRPr="006E5AFB" w:rsidR="004B3949" w:rsidP="00B46866" w:rsidRDefault="004B3949" w14:paraId="1C7B15CE"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352 </w:t>
            </w:r>
          </w:p>
        </w:tc>
        <w:tc>
          <w:tcPr>
            <w:tcW w:w="963" w:type="dxa"/>
            <w:tcBorders>
              <w:top w:val="nil"/>
              <w:left w:val="single" w:color="auto" w:sz="4" w:space="0"/>
              <w:bottom w:val="nil"/>
              <w:right w:val="nil"/>
            </w:tcBorders>
            <w:shd w:val="clear" w:color="000000" w:fill="FFFFFF"/>
            <w:noWrap/>
            <w:vAlign w:val="bottom"/>
            <w:hideMark/>
          </w:tcPr>
          <w:p w:rsidRPr="006E5AFB" w:rsidR="004B3949" w:rsidP="00B46866" w:rsidRDefault="004B3949" w14:paraId="39003FC0"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772 </w:t>
            </w:r>
          </w:p>
        </w:tc>
        <w:tc>
          <w:tcPr>
            <w:tcW w:w="1305" w:type="dxa"/>
            <w:tcBorders>
              <w:top w:val="nil"/>
              <w:left w:val="single" w:color="auto" w:sz="4" w:space="0"/>
              <w:bottom w:val="nil"/>
              <w:right w:val="single" w:color="auto" w:sz="4" w:space="0"/>
            </w:tcBorders>
            <w:shd w:val="clear" w:color="000000" w:fill="FFFFFF"/>
            <w:noWrap/>
            <w:vAlign w:val="bottom"/>
            <w:hideMark/>
          </w:tcPr>
          <w:p w:rsidRPr="006E5AFB" w:rsidR="004B3949" w:rsidP="00B46866" w:rsidRDefault="004B3949" w14:paraId="599A8044"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44.389 </w:t>
            </w:r>
          </w:p>
        </w:tc>
        <w:tc>
          <w:tcPr>
            <w:tcW w:w="1275" w:type="dxa"/>
            <w:tcBorders>
              <w:top w:val="nil"/>
              <w:left w:val="nil"/>
              <w:bottom w:val="nil"/>
              <w:right w:val="single" w:color="auto" w:sz="4" w:space="0"/>
            </w:tcBorders>
            <w:shd w:val="clear" w:color="000000" w:fill="FFFFFF"/>
            <w:noWrap/>
            <w:vAlign w:val="bottom"/>
            <w:hideMark/>
          </w:tcPr>
          <w:p w:rsidRPr="006E5AFB" w:rsidR="004B3949" w:rsidP="00B46866" w:rsidRDefault="004B3949" w14:paraId="1737908A"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177 </w:t>
            </w:r>
          </w:p>
        </w:tc>
      </w:tr>
      <w:tr w:rsidRPr="00B267C6" w:rsidR="004B3949" w:rsidTr="0018303A" w14:paraId="09093FF4" w14:textId="77777777">
        <w:trPr>
          <w:trHeight w:val="150"/>
        </w:trPr>
        <w:tc>
          <w:tcPr>
            <w:tcW w:w="1204" w:type="dxa"/>
            <w:tcBorders>
              <w:top w:val="nil"/>
              <w:left w:val="single" w:color="auto" w:sz="4" w:space="0"/>
              <w:bottom w:val="nil"/>
              <w:right w:val="single" w:color="auto" w:sz="4" w:space="0"/>
            </w:tcBorders>
            <w:shd w:val="clear" w:color="000000" w:fill="FFFFFF"/>
            <w:noWrap/>
            <w:vAlign w:val="bottom"/>
            <w:hideMark/>
          </w:tcPr>
          <w:p w:rsidRPr="006E5AFB" w:rsidR="004B3949" w:rsidP="00B46866" w:rsidRDefault="004B3949" w14:paraId="1C6F0A44" w14:textId="77777777">
            <w:pPr>
              <w:spacing w:line="240" w:lineRule="auto"/>
              <w:ind w:firstLine="181" w:firstLineChars="100"/>
              <w:rPr>
                <w:rFonts w:ascii="Calibri" w:hAnsi="Calibri" w:cs="Calibri"/>
                <w:b/>
                <w:bCs/>
                <w:color w:val="000000"/>
                <w:szCs w:val="18"/>
              </w:rPr>
            </w:pPr>
            <w:r w:rsidRPr="006E5AFB">
              <w:rPr>
                <w:rFonts w:ascii="Calibri" w:hAnsi="Calibri" w:cs="Calibri"/>
                <w:b/>
                <w:bCs/>
                <w:color w:val="000000"/>
                <w:szCs w:val="18"/>
              </w:rPr>
              <w:t> </w:t>
            </w:r>
          </w:p>
        </w:tc>
        <w:tc>
          <w:tcPr>
            <w:tcW w:w="2410" w:type="dxa"/>
            <w:tcBorders>
              <w:top w:val="nil"/>
              <w:left w:val="nil"/>
              <w:bottom w:val="nil"/>
              <w:right w:val="single" w:color="auto" w:sz="4" w:space="0"/>
            </w:tcBorders>
            <w:shd w:val="clear" w:color="000000" w:fill="FFFFFF"/>
            <w:noWrap/>
            <w:vAlign w:val="bottom"/>
            <w:hideMark/>
          </w:tcPr>
          <w:p w:rsidRPr="006E5AFB" w:rsidR="004B3949" w:rsidP="00B46866" w:rsidRDefault="004B3949" w14:paraId="6AE99889" w14:textId="77777777">
            <w:pPr>
              <w:spacing w:line="240" w:lineRule="auto"/>
              <w:ind w:firstLine="180" w:firstLineChars="100"/>
              <w:rPr>
                <w:rFonts w:ascii="Calibri" w:hAnsi="Calibri" w:cs="Calibri"/>
                <w:color w:val="000000"/>
                <w:szCs w:val="18"/>
              </w:rPr>
            </w:pPr>
            <w:r w:rsidRPr="006E5AFB">
              <w:rPr>
                <w:rFonts w:ascii="Calibri" w:hAnsi="Calibri" w:cs="Calibri"/>
                <w:color w:val="000000"/>
                <w:szCs w:val="18"/>
              </w:rPr>
              <w:t>Wind op land</w:t>
            </w:r>
          </w:p>
        </w:tc>
        <w:tc>
          <w:tcPr>
            <w:tcW w:w="851" w:type="dxa"/>
            <w:tcBorders>
              <w:top w:val="nil"/>
              <w:left w:val="nil"/>
              <w:bottom w:val="nil"/>
              <w:right w:val="nil"/>
            </w:tcBorders>
            <w:shd w:val="clear" w:color="000000" w:fill="FFFFFF"/>
            <w:noWrap/>
            <w:vAlign w:val="bottom"/>
            <w:hideMark/>
          </w:tcPr>
          <w:p w:rsidRPr="006E5AFB" w:rsidR="004B3949" w:rsidP="00B46866" w:rsidRDefault="004B3949" w14:paraId="1E8DA4B3"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10</w:t>
            </w:r>
          </w:p>
        </w:tc>
        <w:tc>
          <w:tcPr>
            <w:tcW w:w="1134" w:type="dxa"/>
            <w:tcBorders>
              <w:top w:val="nil"/>
              <w:left w:val="single" w:color="auto" w:sz="4" w:space="0"/>
              <w:bottom w:val="nil"/>
              <w:right w:val="nil"/>
            </w:tcBorders>
            <w:shd w:val="clear" w:color="000000" w:fill="FFFFFF"/>
            <w:noWrap/>
            <w:vAlign w:val="bottom"/>
            <w:hideMark/>
          </w:tcPr>
          <w:p w:rsidRPr="006E5AFB" w:rsidR="004B3949" w:rsidP="00B46866" w:rsidRDefault="004B3949" w14:paraId="3AF43447"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238 </w:t>
            </w:r>
          </w:p>
        </w:tc>
        <w:tc>
          <w:tcPr>
            <w:tcW w:w="963" w:type="dxa"/>
            <w:tcBorders>
              <w:top w:val="nil"/>
              <w:left w:val="single" w:color="auto" w:sz="4" w:space="0"/>
              <w:bottom w:val="nil"/>
              <w:right w:val="nil"/>
            </w:tcBorders>
            <w:shd w:val="clear" w:color="000000" w:fill="FFFFFF"/>
            <w:noWrap/>
            <w:vAlign w:val="bottom"/>
            <w:hideMark/>
          </w:tcPr>
          <w:p w:rsidRPr="006E5AFB" w:rsidR="004B3949" w:rsidP="00B46866" w:rsidRDefault="004B3949" w14:paraId="45866C0C"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122 </w:t>
            </w:r>
          </w:p>
        </w:tc>
        <w:tc>
          <w:tcPr>
            <w:tcW w:w="1305" w:type="dxa"/>
            <w:tcBorders>
              <w:top w:val="nil"/>
              <w:left w:val="single" w:color="auto" w:sz="4" w:space="0"/>
              <w:bottom w:val="nil"/>
              <w:right w:val="single" w:color="auto" w:sz="4" w:space="0"/>
            </w:tcBorders>
            <w:shd w:val="clear" w:color="000000" w:fill="FFFFFF"/>
            <w:noWrap/>
            <w:vAlign w:val="bottom"/>
            <w:hideMark/>
          </w:tcPr>
          <w:p w:rsidRPr="006E5AFB" w:rsidR="004B3949" w:rsidP="00B46866" w:rsidRDefault="004B3949" w14:paraId="50EBE38C"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44.397 </w:t>
            </w:r>
          </w:p>
        </w:tc>
        <w:tc>
          <w:tcPr>
            <w:tcW w:w="1275" w:type="dxa"/>
            <w:tcBorders>
              <w:top w:val="nil"/>
              <w:left w:val="nil"/>
              <w:bottom w:val="nil"/>
              <w:right w:val="single" w:color="auto" w:sz="4" w:space="0"/>
            </w:tcBorders>
            <w:shd w:val="clear" w:color="000000" w:fill="FFFFFF"/>
            <w:noWrap/>
            <w:vAlign w:val="bottom"/>
            <w:hideMark/>
          </w:tcPr>
          <w:p w:rsidRPr="006E5AFB" w:rsidR="004B3949" w:rsidP="00B46866" w:rsidRDefault="004B3949" w14:paraId="04854DE0"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163 </w:t>
            </w:r>
          </w:p>
        </w:tc>
      </w:tr>
      <w:tr w:rsidRPr="00B267C6" w:rsidR="004B3949" w:rsidTr="0018303A" w14:paraId="79FDBCDD" w14:textId="77777777">
        <w:trPr>
          <w:trHeight w:val="150"/>
        </w:trPr>
        <w:tc>
          <w:tcPr>
            <w:tcW w:w="1204" w:type="dxa"/>
            <w:tcBorders>
              <w:top w:val="nil"/>
              <w:left w:val="single" w:color="auto" w:sz="4" w:space="0"/>
              <w:bottom w:val="nil"/>
              <w:right w:val="single" w:color="auto" w:sz="4" w:space="0"/>
            </w:tcBorders>
            <w:shd w:val="clear" w:color="000000" w:fill="FFFFFF"/>
            <w:noWrap/>
            <w:vAlign w:val="bottom"/>
            <w:hideMark/>
          </w:tcPr>
          <w:p w:rsidRPr="006E5AFB" w:rsidR="004B3949" w:rsidP="00B46866" w:rsidRDefault="004B3949" w14:paraId="42E7223F" w14:textId="77777777">
            <w:pPr>
              <w:spacing w:line="240" w:lineRule="auto"/>
              <w:ind w:firstLine="181" w:firstLineChars="100"/>
              <w:rPr>
                <w:rFonts w:ascii="Calibri" w:hAnsi="Calibri" w:cs="Calibri"/>
                <w:b/>
                <w:bCs/>
                <w:color w:val="000000"/>
                <w:szCs w:val="18"/>
              </w:rPr>
            </w:pPr>
            <w:r w:rsidRPr="006E5AFB">
              <w:rPr>
                <w:rFonts w:ascii="Calibri" w:hAnsi="Calibri" w:cs="Calibri"/>
                <w:b/>
                <w:bCs/>
                <w:color w:val="000000"/>
                <w:szCs w:val="18"/>
              </w:rPr>
              <w:t> </w:t>
            </w:r>
          </w:p>
        </w:tc>
        <w:tc>
          <w:tcPr>
            <w:tcW w:w="2410" w:type="dxa"/>
            <w:tcBorders>
              <w:top w:val="nil"/>
              <w:left w:val="nil"/>
              <w:bottom w:val="nil"/>
              <w:right w:val="single" w:color="auto" w:sz="4" w:space="0"/>
            </w:tcBorders>
            <w:shd w:val="clear" w:color="000000" w:fill="FFFFFF"/>
            <w:noWrap/>
            <w:vAlign w:val="bottom"/>
            <w:hideMark/>
          </w:tcPr>
          <w:p w:rsidRPr="006E5AFB" w:rsidR="004B3949" w:rsidP="00B46866" w:rsidRDefault="004B3949" w14:paraId="3819A3FA" w14:textId="77777777">
            <w:pPr>
              <w:spacing w:line="240" w:lineRule="auto"/>
              <w:ind w:firstLine="180" w:firstLineChars="100"/>
              <w:rPr>
                <w:rFonts w:ascii="Calibri" w:hAnsi="Calibri" w:cs="Calibri"/>
                <w:color w:val="000000"/>
                <w:szCs w:val="18"/>
              </w:rPr>
            </w:pPr>
            <w:r w:rsidRPr="006E5AFB">
              <w:rPr>
                <w:rFonts w:ascii="Calibri" w:hAnsi="Calibri" w:cs="Calibri"/>
                <w:color w:val="000000"/>
                <w:szCs w:val="18"/>
              </w:rPr>
              <w:t>Zon-PV op dak</w:t>
            </w:r>
          </w:p>
        </w:tc>
        <w:tc>
          <w:tcPr>
            <w:tcW w:w="851" w:type="dxa"/>
            <w:tcBorders>
              <w:top w:val="nil"/>
              <w:left w:val="nil"/>
              <w:bottom w:val="nil"/>
              <w:right w:val="nil"/>
            </w:tcBorders>
            <w:shd w:val="clear" w:color="000000" w:fill="FFFFFF"/>
            <w:noWrap/>
            <w:vAlign w:val="bottom"/>
            <w:hideMark/>
          </w:tcPr>
          <w:p w:rsidRPr="006E5AFB" w:rsidR="004B3949" w:rsidP="00B46866" w:rsidRDefault="004B3949" w14:paraId="4AB48689"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110</w:t>
            </w:r>
          </w:p>
        </w:tc>
        <w:tc>
          <w:tcPr>
            <w:tcW w:w="1134" w:type="dxa"/>
            <w:tcBorders>
              <w:top w:val="nil"/>
              <w:left w:val="single" w:color="auto" w:sz="4" w:space="0"/>
              <w:bottom w:val="nil"/>
              <w:right w:val="nil"/>
            </w:tcBorders>
            <w:shd w:val="clear" w:color="000000" w:fill="FFFFFF"/>
            <w:noWrap/>
            <w:vAlign w:val="bottom"/>
            <w:hideMark/>
          </w:tcPr>
          <w:p w:rsidRPr="006E5AFB" w:rsidR="004B3949" w:rsidP="00B46866" w:rsidRDefault="004B3949" w14:paraId="0A9A1203"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118 </w:t>
            </w:r>
          </w:p>
        </w:tc>
        <w:tc>
          <w:tcPr>
            <w:tcW w:w="963" w:type="dxa"/>
            <w:tcBorders>
              <w:top w:val="nil"/>
              <w:left w:val="single" w:color="auto" w:sz="4" w:space="0"/>
              <w:bottom w:val="nil"/>
              <w:right w:val="nil"/>
            </w:tcBorders>
            <w:shd w:val="clear" w:color="000000" w:fill="FFFFFF"/>
            <w:noWrap/>
            <w:vAlign w:val="bottom"/>
            <w:hideMark/>
          </w:tcPr>
          <w:p w:rsidRPr="006E5AFB" w:rsidR="004B3949" w:rsidP="00B46866" w:rsidRDefault="004B3949" w14:paraId="53B1A134"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244 </w:t>
            </w:r>
          </w:p>
        </w:tc>
        <w:tc>
          <w:tcPr>
            <w:tcW w:w="1305" w:type="dxa"/>
            <w:tcBorders>
              <w:top w:val="nil"/>
              <w:left w:val="single" w:color="auto" w:sz="4" w:space="0"/>
              <w:bottom w:val="nil"/>
              <w:right w:val="single" w:color="auto" w:sz="4" w:space="0"/>
            </w:tcBorders>
            <w:shd w:val="clear" w:color="000000" w:fill="FFFFFF"/>
            <w:noWrap/>
            <w:vAlign w:val="bottom"/>
            <w:hideMark/>
          </w:tcPr>
          <w:p w:rsidRPr="006E5AFB" w:rsidR="004B3949" w:rsidP="00B46866" w:rsidRDefault="004B3949" w14:paraId="608236DC"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32.698 </w:t>
            </w:r>
          </w:p>
        </w:tc>
        <w:tc>
          <w:tcPr>
            <w:tcW w:w="1275" w:type="dxa"/>
            <w:tcBorders>
              <w:top w:val="nil"/>
              <w:left w:val="nil"/>
              <w:bottom w:val="nil"/>
              <w:right w:val="single" w:color="auto" w:sz="4" w:space="0"/>
            </w:tcBorders>
            <w:shd w:val="clear" w:color="000000" w:fill="FFFFFF"/>
            <w:noWrap/>
            <w:vAlign w:val="bottom"/>
            <w:hideMark/>
          </w:tcPr>
          <w:p w:rsidRPr="006E5AFB" w:rsidR="004B3949" w:rsidP="00B46866" w:rsidRDefault="004B3949" w14:paraId="7E7F7022"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94 </w:t>
            </w:r>
          </w:p>
        </w:tc>
      </w:tr>
      <w:tr w:rsidRPr="00B267C6" w:rsidR="004B3949" w:rsidTr="0018303A" w14:paraId="20C6FA4B" w14:textId="77777777">
        <w:trPr>
          <w:trHeight w:val="150"/>
        </w:trPr>
        <w:tc>
          <w:tcPr>
            <w:tcW w:w="1204" w:type="dxa"/>
            <w:tcBorders>
              <w:top w:val="nil"/>
              <w:left w:val="single" w:color="auto" w:sz="4" w:space="0"/>
              <w:bottom w:val="nil"/>
              <w:right w:val="single" w:color="auto" w:sz="4" w:space="0"/>
            </w:tcBorders>
            <w:shd w:val="clear" w:color="000000" w:fill="FFFFFF"/>
            <w:noWrap/>
            <w:vAlign w:val="bottom"/>
            <w:hideMark/>
          </w:tcPr>
          <w:p w:rsidRPr="006E5AFB" w:rsidR="004B3949" w:rsidP="00B46866" w:rsidRDefault="004B3949" w14:paraId="16435583" w14:textId="77777777">
            <w:pPr>
              <w:spacing w:line="240" w:lineRule="auto"/>
              <w:ind w:firstLine="181" w:firstLineChars="100"/>
              <w:rPr>
                <w:rFonts w:ascii="Calibri" w:hAnsi="Calibri" w:cs="Calibri"/>
                <w:b/>
                <w:bCs/>
                <w:color w:val="000000"/>
                <w:szCs w:val="18"/>
              </w:rPr>
            </w:pPr>
            <w:r w:rsidRPr="006E5AFB">
              <w:rPr>
                <w:rFonts w:ascii="Calibri" w:hAnsi="Calibri" w:cs="Calibri"/>
                <w:b/>
                <w:bCs/>
                <w:color w:val="000000"/>
                <w:szCs w:val="18"/>
              </w:rPr>
              <w:t> </w:t>
            </w:r>
          </w:p>
        </w:tc>
        <w:tc>
          <w:tcPr>
            <w:tcW w:w="2410" w:type="dxa"/>
            <w:tcBorders>
              <w:top w:val="nil"/>
              <w:left w:val="nil"/>
              <w:bottom w:val="nil"/>
              <w:right w:val="single" w:color="auto" w:sz="4" w:space="0"/>
            </w:tcBorders>
            <w:shd w:val="clear" w:color="000000" w:fill="FFFFFF"/>
            <w:noWrap/>
            <w:vAlign w:val="bottom"/>
            <w:hideMark/>
          </w:tcPr>
          <w:p w:rsidRPr="006E5AFB" w:rsidR="004B3949" w:rsidP="00B46866" w:rsidRDefault="004B3949" w14:paraId="3034335F" w14:textId="77777777">
            <w:pPr>
              <w:spacing w:line="240" w:lineRule="auto"/>
              <w:ind w:firstLine="180" w:firstLineChars="100"/>
              <w:rPr>
                <w:rFonts w:ascii="Calibri" w:hAnsi="Calibri" w:cs="Calibri"/>
                <w:color w:val="000000"/>
                <w:szCs w:val="18"/>
              </w:rPr>
            </w:pPr>
            <w:r w:rsidRPr="006E5AFB">
              <w:rPr>
                <w:rFonts w:ascii="Calibri" w:hAnsi="Calibri" w:cs="Calibri"/>
                <w:color w:val="000000"/>
                <w:szCs w:val="18"/>
              </w:rPr>
              <w:t>Zon-PV op water</w:t>
            </w:r>
          </w:p>
        </w:tc>
        <w:tc>
          <w:tcPr>
            <w:tcW w:w="851" w:type="dxa"/>
            <w:tcBorders>
              <w:top w:val="nil"/>
              <w:left w:val="nil"/>
              <w:bottom w:val="nil"/>
              <w:right w:val="nil"/>
            </w:tcBorders>
            <w:shd w:val="clear" w:color="000000" w:fill="FFFFFF"/>
            <w:noWrap/>
            <w:vAlign w:val="bottom"/>
            <w:hideMark/>
          </w:tcPr>
          <w:p w:rsidRPr="006E5AFB" w:rsidR="004B3949" w:rsidP="00B46866" w:rsidRDefault="004B3949" w14:paraId="5DA38080"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4</w:t>
            </w:r>
          </w:p>
        </w:tc>
        <w:tc>
          <w:tcPr>
            <w:tcW w:w="1134" w:type="dxa"/>
            <w:tcBorders>
              <w:top w:val="nil"/>
              <w:left w:val="single" w:color="auto" w:sz="4" w:space="0"/>
              <w:bottom w:val="nil"/>
              <w:right w:val="nil"/>
            </w:tcBorders>
            <w:shd w:val="clear" w:color="000000" w:fill="FFFFFF"/>
            <w:noWrap/>
            <w:vAlign w:val="bottom"/>
            <w:hideMark/>
          </w:tcPr>
          <w:p w:rsidRPr="006E5AFB" w:rsidR="004B3949" w:rsidP="00B46866" w:rsidRDefault="004B3949" w14:paraId="6485A928"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28 </w:t>
            </w:r>
          </w:p>
        </w:tc>
        <w:tc>
          <w:tcPr>
            <w:tcW w:w="963" w:type="dxa"/>
            <w:tcBorders>
              <w:top w:val="nil"/>
              <w:left w:val="single" w:color="auto" w:sz="4" w:space="0"/>
              <w:bottom w:val="nil"/>
              <w:right w:val="nil"/>
            </w:tcBorders>
            <w:shd w:val="clear" w:color="000000" w:fill="FFFFFF"/>
            <w:noWrap/>
            <w:vAlign w:val="bottom"/>
            <w:hideMark/>
          </w:tcPr>
          <w:p w:rsidRPr="006E5AFB" w:rsidR="004B3949" w:rsidP="00B46866" w:rsidRDefault="004B3949" w14:paraId="76B74AA1"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58 </w:t>
            </w:r>
          </w:p>
        </w:tc>
        <w:tc>
          <w:tcPr>
            <w:tcW w:w="1305" w:type="dxa"/>
            <w:tcBorders>
              <w:top w:val="nil"/>
              <w:left w:val="single" w:color="auto" w:sz="4" w:space="0"/>
              <w:bottom w:val="nil"/>
              <w:right w:val="single" w:color="auto" w:sz="4" w:space="0"/>
            </w:tcBorders>
            <w:shd w:val="clear" w:color="000000" w:fill="FFFFFF"/>
            <w:noWrap/>
            <w:vAlign w:val="bottom"/>
            <w:hideMark/>
          </w:tcPr>
          <w:p w:rsidRPr="006E5AFB" w:rsidR="004B3949" w:rsidP="00B46866" w:rsidRDefault="004B3949" w14:paraId="70B7004A"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3.505 </w:t>
            </w:r>
          </w:p>
        </w:tc>
        <w:tc>
          <w:tcPr>
            <w:tcW w:w="1275" w:type="dxa"/>
            <w:tcBorders>
              <w:top w:val="nil"/>
              <w:left w:val="nil"/>
              <w:bottom w:val="nil"/>
              <w:right w:val="single" w:color="auto" w:sz="4" w:space="0"/>
            </w:tcBorders>
            <w:shd w:val="clear" w:color="000000" w:fill="FFFFFF"/>
            <w:noWrap/>
            <w:vAlign w:val="bottom"/>
            <w:hideMark/>
          </w:tcPr>
          <w:p w:rsidRPr="006E5AFB" w:rsidR="004B3949" w:rsidP="00B46866" w:rsidRDefault="004B3949" w14:paraId="37931630"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197 </w:t>
            </w:r>
          </w:p>
        </w:tc>
      </w:tr>
      <w:tr w:rsidRPr="00B267C6" w:rsidR="004B3949" w:rsidTr="0018303A" w14:paraId="4526FA83" w14:textId="77777777">
        <w:trPr>
          <w:trHeight w:val="150"/>
        </w:trPr>
        <w:tc>
          <w:tcPr>
            <w:tcW w:w="1204" w:type="dxa"/>
            <w:tcBorders>
              <w:top w:val="nil"/>
              <w:left w:val="single" w:color="auto" w:sz="4" w:space="0"/>
              <w:bottom w:val="nil"/>
              <w:right w:val="single" w:color="auto" w:sz="4" w:space="0"/>
            </w:tcBorders>
            <w:shd w:val="clear" w:color="000000" w:fill="FFFFFF"/>
            <w:noWrap/>
            <w:vAlign w:val="bottom"/>
            <w:hideMark/>
          </w:tcPr>
          <w:p w:rsidRPr="006E5AFB" w:rsidR="004B3949" w:rsidP="00B46866" w:rsidRDefault="004B3949" w14:paraId="0C7CD455" w14:textId="77777777">
            <w:pPr>
              <w:spacing w:line="240" w:lineRule="auto"/>
              <w:ind w:firstLine="181" w:firstLineChars="100"/>
              <w:rPr>
                <w:rFonts w:ascii="Calibri" w:hAnsi="Calibri" w:cs="Calibri"/>
                <w:b/>
                <w:bCs/>
                <w:color w:val="000000"/>
                <w:szCs w:val="18"/>
              </w:rPr>
            </w:pPr>
            <w:r w:rsidRPr="006E5AFB">
              <w:rPr>
                <w:rFonts w:ascii="Calibri" w:hAnsi="Calibri" w:cs="Calibri"/>
                <w:b/>
                <w:bCs/>
                <w:color w:val="000000"/>
                <w:szCs w:val="18"/>
              </w:rPr>
              <w:t> </w:t>
            </w:r>
          </w:p>
        </w:tc>
        <w:tc>
          <w:tcPr>
            <w:tcW w:w="2410" w:type="dxa"/>
            <w:tcBorders>
              <w:top w:val="nil"/>
              <w:left w:val="nil"/>
              <w:bottom w:val="nil"/>
              <w:right w:val="single" w:color="auto" w:sz="4" w:space="0"/>
            </w:tcBorders>
            <w:shd w:val="clear" w:color="000000" w:fill="FFFFFF"/>
            <w:vAlign w:val="bottom"/>
            <w:hideMark/>
          </w:tcPr>
          <w:p w:rsidRPr="006E5AFB" w:rsidR="004B3949" w:rsidP="00B46866" w:rsidRDefault="004B3949" w14:paraId="2BEA867D" w14:textId="77777777">
            <w:pPr>
              <w:spacing w:line="240" w:lineRule="auto"/>
              <w:ind w:firstLine="180" w:firstLineChars="100"/>
              <w:rPr>
                <w:rFonts w:ascii="Calibri" w:hAnsi="Calibri" w:cs="Calibri"/>
                <w:color w:val="000000"/>
                <w:szCs w:val="18"/>
              </w:rPr>
            </w:pPr>
            <w:r w:rsidRPr="006E5AFB">
              <w:rPr>
                <w:rFonts w:ascii="Calibri" w:hAnsi="Calibri" w:cs="Calibri"/>
                <w:color w:val="000000"/>
                <w:szCs w:val="18"/>
              </w:rPr>
              <w:t>Biomassavergisting (gecomb. opwekking)</w:t>
            </w:r>
          </w:p>
        </w:tc>
        <w:tc>
          <w:tcPr>
            <w:tcW w:w="851" w:type="dxa"/>
            <w:tcBorders>
              <w:top w:val="nil"/>
              <w:left w:val="nil"/>
              <w:bottom w:val="nil"/>
              <w:right w:val="nil"/>
            </w:tcBorders>
            <w:shd w:val="clear" w:color="000000" w:fill="FFFFFF"/>
            <w:noWrap/>
            <w:vAlign w:val="bottom"/>
            <w:hideMark/>
          </w:tcPr>
          <w:p w:rsidRPr="006E5AFB" w:rsidR="004B3949" w:rsidP="00B46866" w:rsidRDefault="004B3949" w14:paraId="5F36396F"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13</w:t>
            </w:r>
          </w:p>
        </w:tc>
        <w:tc>
          <w:tcPr>
            <w:tcW w:w="1134" w:type="dxa"/>
            <w:tcBorders>
              <w:top w:val="nil"/>
              <w:left w:val="single" w:color="auto" w:sz="4" w:space="0"/>
              <w:bottom w:val="nil"/>
              <w:right w:val="nil"/>
            </w:tcBorders>
            <w:shd w:val="clear" w:color="000000" w:fill="FFFFFF"/>
            <w:noWrap/>
            <w:vAlign w:val="bottom"/>
            <w:hideMark/>
          </w:tcPr>
          <w:p w:rsidRPr="006E5AFB" w:rsidR="004B3949" w:rsidP="00B46866" w:rsidRDefault="004B3949" w14:paraId="3E4630DD"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26 </w:t>
            </w:r>
          </w:p>
        </w:tc>
        <w:tc>
          <w:tcPr>
            <w:tcW w:w="963" w:type="dxa"/>
            <w:tcBorders>
              <w:top w:val="nil"/>
              <w:left w:val="single" w:color="auto" w:sz="4" w:space="0"/>
              <w:bottom w:val="nil"/>
              <w:right w:val="nil"/>
            </w:tcBorders>
            <w:shd w:val="clear" w:color="000000" w:fill="FFFFFF"/>
            <w:noWrap/>
            <w:vAlign w:val="bottom"/>
            <w:hideMark/>
          </w:tcPr>
          <w:p w:rsidRPr="006E5AFB" w:rsidR="004B3949" w:rsidP="00B46866" w:rsidRDefault="004B3949" w14:paraId="25CD6A73"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3 </w:t>
            </w:r>
          </w:p>
        </w:tc>
        <w:tc>
          <w:tcPr>
            <w:tcW w:w="1305" w:type="dxa"/>
            <w:tcBorders>
              <w:top w:val="nil"/>
              <w:left w:val="single" w:color="auto" w:sz="4" w:space="0"/>
              <w:bottom w:val="nil"/>
              <w:right w:val="single" w:color="auto" w:sz="4" w:space="0"/>
            </w:tcBorders>
            <w:shd w:val="clear" w:color="000000" w:fill="FFFFFF"/>
            <w:noWrap/>
            <w:vAlign w:val="bottom"/>
            <w:hideMark/>
          </w:tcPr>
          <w:p w:rsidRPr="006E5AFB" w:rsidR="004B3949" w:rsidP="00B46866" w:rsidRDefault="004B3949" w14:paraId="54798149"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7.105 </w:t>
            </w:r>
          </w:p>
        </w:tc>
        <w:tc>
          <w:tcPr>
            <w:tcW w:w="1275" w:type="dxa"/>
            <w:tcBorders>
              <w:top w:val="nil"/>
              <w:left w:val="nil"/>
              <w:bottom w:val="nil"/>
              <w:right w:val="single" w:color="auto" w:sz="4" w:space="0"/>
            </w:tcBorders>
            <w:shd w:val="clear" w:color="000000" w:fill="FFFFFF"/>
            <w:noWrap/>
            <w:vAlign w:val="bottom"/>
            <w:hideMark/>
          </w:tcPr>
          <w:p w:rsidRPr="006E5AFB" w:rsidR="004B3949" w:rsidP="00B46866" w:rsidRDefault="004B3949" w14:paraId="5461C09C"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262 </w:t>
            </w:r>
          </w:p>
        </w:tc>
      </w:tr>
      <w:tr w:rsidRPr="00B267C6" w:rsidR="004B3949" w:rsidTr="0018303A" w14:paraId="4377D8D0" w14:textId="77777777">
        <w:trPr>
          <w:trHeight w:val="150"/>
        </w:trPr>
        <w:tc>
          <w:tcPr>
            <w:tcW w:w="1204" w:type="dxa"/>
            <w:tcBorders>
              <w:top w:val="nil"/>
              <w:left w:val="single" w:color="auto" w:sz="4" w:space="0"/>
              <w:bottom w:val="nil"/>
              <w:right w:val="single" w:color="auto" w:sz="4" w:space="0"/>
            </w:tcBorders>
            <w:shd w:val="clear" w:color="000000" w:fill="FFFFFF"/>
            <w:noWrap/>
            <w:vAlign w:val="bottom"/>
            <w:hideMark/>
          </w:tcPr>
          <w:p w:rsidRPr="006E5AFB" w:rsidR="004B3949" w:rsidP="00B46866" w:rsidRDefault="004B3949" w14:paraId="03654544" w14:textId="77777777">
            <w:pPr>
              <w:spacing w:line="240" w:lineRule="auto"/>
              <w:ind w:firstLine="181" w:firstLineChars="100"/>
              <w:rPr>
                <w:rFonts w:ascii="Calibri" w:hAnsi="Calibri" w:cs="Calibri"/>
                <w:b/>
                <w:bCs/>
                <w:color w:val="000000"/>
                <w:szCs w:val="18"/>
              </w:rPr>
            </w:pPr>
            <w:r w:rsidRPr="006E5AFB">
              <w:rPr>
                <w:rFonts w:ascii="Calibri" w:hAnsi="Calibri" w:cs="Calibri"/>
                <w:b/>
                <w:bCs/>
                <w:color w:val="000000"/>
                <w:szCs w:val="18"/>
              </w:rPr>
              <w:t> </w:t>
            </w:r>
          </w:p>
        </w:tc>
        <w:tc>
          <w:tcPr>
            <w:tcW w:w="2410" w:type="dxa"/>
            <w:tcBorders>
              <w:top w:val="nil"/>
              <w:left w:val="nil"/>
              <w:bottom w:val="nil"/>
              <w:right w:val="single" w:color="auto" w:sz="4" w:space="0"/>
            </w:tcBorders>
            <w:shd w:val="clear" w:color="000000" w:fill="FFFFFF"/>
            <w:noWrap/>
            <w:vAlign w:val="bottom"/>
            <w:hideMark/>
          </w:tcPr>
          <w:p w:rsidRPr="006E5AFB" w:rsidR="004B3949" w:rsidP="00B46866" w:rsidRDefault="004B3949" w14:paraId="5F1EF4BA" w14:textId="77777777">
            <w:pPr>
              <w:spacing w:line="240" w:lineRule="auto"/>
              <w:ind w:firstLine="180" w:firstLineChars="100"/>
              <w:rPr>
                <w:rFonts w:ascii="Calibri" w:hAnsi="Calibri" w:cs="Calibri"/>
                <w:color w:val="000000"/>
                <w:szCs w:val="18"/>
              </w:rPr>
            </w:pPr>
            <w:r w:rsidRPr="006E5AFB">
              <w:rPr>
                <w:rFonts w:ascii="Calibri" w:hAnsi="Calibri" w:cs="Calibri"/>
                <w:color w:val="000000"/>
                <w:szCs w:val="18"/>
              </w:rPr>
              <w:t>Zon-PV aan gevel</w:t>
            </w:r>
          </w:p>
        </w:tc>
        <w:tc>
          <w:tcPr>
            <w:tcW w:w="851" w:type="dxa"/>
            <w:tcBorders>
              <w:top w:val="nil"/>
              <w:left w:val="nil"/>
              <w:bottom w:val="nil"/>
              <w:right w:val="nil"/>
            </w:tcBorders>
            <w:shd w:val="clear" w:color="000000" w:fill="FFFFFF"/>
            <w:noWrap/>
            <w:vAlign w:val="bottom"/>
            <w:hideMark/>
          </w:tcPr>
          <w:p w:rsidRPr="006E5AFB" w:rsidR="004B3949" w:rsidP="00B46866" w:rsidRDefault="004B3949" w14:paraId="419F7829"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1</w:t>
            </w:r>
          </w:p>
        </w:tc>
        <w:tc>
          <w:tcPr>
            <w:tcW w:w="1134" w:type="dxa"/>
            <w:tcBorders>
              <w:top w:val="nil"/>
              <w:left w:val="single" w:color="auto" w:sz="4" w:space="0"/>
              <w:bottom w:val="nil"/>
              <w:right w:val="nil"/>
            </w:tcBorders>
            <w:shd w:val="clear" w:color="000000" w:fill="FFFFFF"/>
            <w:noWrap/>
            <w:vAlign w:val="bottom"/>
            <w:hideMark/>
          </w:tcPr>
          <w:p w:rsidRPr="006E5AFB" w:rsidR="004B3949" w:rsidP="00B46866" w:rsidRDefault="004B3949" w14:paraId="1DD188A6"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1 </w:t>
            </w:r>
          </w:p>
        </w:tc>
        <w:tc>
          <w:tcPr>
            <w:tcW w:w="963" w:type="dxa"/>
            <w:tcBorders>
              <w:top w:val="nil"/>
              <w:left w:val="single" w:color="auto" w:sz="4" w:space="0"/>
              <w:bottom w:val="nil"/>
              <w:right w:val="nil"/>
            </w:tcBorders>
            <w:shd w:val="clear" w:color="000000" w:fill="FFFFFF"/>
            <w:noWrap/>
            <w:vAlign w:val="bottom"/>
            <w:hideMark/>
          </w:tcPr>
          <w:p w:rsidRPr="006E5AFB" w:rsidR="004B3949" w:rsidP="00B46866" w:rsidRDefault="004B3949" w14:paraId="0A741449"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1 </w:t>
            </w:r>
          </w:p>
        </w:tc>
        <w:tc>
          <w:tcPr>
            <w:tcW w:w="1305" w:type="dxa"/>
            <w:tcBorders>
              <w:top w:val="nil"/>
              <w:left w:val="single" w:color="auto" w:sz="4" w:space="0"/>
              <w:bottom w:val="nil"/>
              <w:right w:val="single" w:color="auto" w:sz="4" w:space="0"/>
            </w:tcBorders>
            <w:shd w:val="clear" w:color="000000" w:fill="FFFFFF"/>
            <w:noWrap/>
            <w:vAlign w:val="bottom"/>
            <w:hideMark/>
          </w:tcPr>
          <w:p w:rsidRPr="006E5AFB" w:rsidR="004B3949" w:rsidP="00B46866" w:rsidRDefault="004B3949" w14:paraId="223AEF0A"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101 </w:t>
            </w:r>
          </w:p>
        </w:tc>
        <w:tc>
          <w:tcPr>
            <w:tcW w:w="1275" w:type="dxa"/>
            <w:tcBorders>
              <w:top w:val="nil"/>
              <w:left w:val="nil"/>
              <w:bottom w:val="nil"/>
              <w:right w:val="single" w:color="auto" w:sz="4" w:space="0"/>
            </w:tcBorders>
            <w:shd w:val="clear" w:color="000000" w:fill="FFFFFF"/>
            <w:noWrap/>
            <w:vAlign w:val="bottom"/>
            <w:hideMark/>
          </w:tcPr>
          <w:p w:rsidRPr="006E5AFB" w:rsidR="004B3949" w:rsidP="00B46866" w:rsidRDefault="004B3949" w14:paraId="49F12727"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300 </w:t>
            </w:r>
          </w:p>
        </w:tc>
      </w:tr>
      <w:tr w:rsidRPr="00B267C6" w:rsidR="004B3949" w:rsidTr="0018303A" w14:paraId="3E462E01" w14:textId="77777777">
        <w:trPr>
          <w:trHeight w:val="150"/>
        </w:trPr>
        <w:tc>
          <w:tcPr>
            <w:tcW w:w="1204" w:type="dxa"/>
            <w:tcBorders>
              <w:top w:val="nil"/>
              <w:left w:val="single" w:color="auto" w:sz="4" w:space="0"/>
              <w:bottom w:val="single" w:color="auto" w:sz="4" w:space="0"/>
              <w:right w:val="single" w:color="auto" w:sz="4" w:space="0"/>
            </w:tcBorders>
            <w:shd w:val="clear" w:color="000000" w:fill="FFFFFF"/>
            <w:noWrap/>
            <w:vAlign w:val="bottom"/>
            <w:hideMark/>
          </w:tcPr>
          <w:p w:rsidRPr="006E5AFB" w:rsidR="004B3949" w:rsidP="00B46866" w:rsidRDefault="004B3949" w14:paraId="67C56EA3" w14:textId="77777777">
            <w:pPr>
              <w:spacing w:line="240" w:lineRule="auto"/>
              <w:ind w:firstLine="1084" w:firstLineChars="600"/>
              <w:rPr>
                <w:rFonts w:ascii="Calibri" w:hAnsi="Calibri" w:cs="Calibri"/>
                <w:b/>
                <w:bCs/>
                <w:color w:val="000000"/>
                <w:szCs w:val="18"/>
              </w:rPr>
            </w:pPr>
            <w:r w:rsidRPr="006E5AFB">
              <w:rPr>
                <w:rFonts w:ascii="Calibri" w:hAnsi="Calibri" w:cs="Calibri"/>
                <w:b/>
                <w:bCs/>
                <w:color w:val="000000"/>
                <w:szCs w:val="18"/>
              </w:rPr>
              <w:t> </w:t>
            </w:r>
          </w:p>
        </w:tc>
        <w:tc>
          <w:tcPr>
            <w:tcW w:w="2410" w:type="dxa"/>
            <w:tcBorders>
              <w:top w:val="nil"/>
              <w:left w:val="nil"/>
              <w:bottom w:val="single" w:color="auto" w:sz="4" w:space="0"/>
              <w:right w:val="single" w:color="auto" w:sz="4" w:space="0"/>
            </w:tcBorders>
            <w:shd w:val="clear" w:color="000000" w:fill="FFFFFF"/>
            <w:noWrap/>
            <w:vAlign w:val="bottom"/>
            <w:hideMark/>
          </w:tcPr>
          <w:p w:rsidRPr="006E5AFB" w:rsidR="004B3949" w:rsidP="00B46866" w:rsidRDefault="004B3949" w14:paraId="1C326392" w14:textId="77777777">
            <w:pPr>
              <w:spacing w:line="240" w:lineRule="auto"/>
              <w:rPr>
                <w:rFonts w:ascii="Calibri" w:hAnsi="Calibri" w:cs="Calibri"/>
                <w:b/>
                <w:bCs/>
                <w:color w:val="000000"/>
                <w:szCs w:val="18"/>
              </w:rPr>
            </w:pPr>
            <w:r w:rsidRPr="006E5AFB">
              <w:rPr>
                <w:rFonts w:ascii="Calibri" w:hAnsi="Calibri" w:cs="Calibri"/>
                <w:b/>
                <w:bCs/>
                <w:color w:val="000000"/>
                <w:szCs w:val="18"/>
              </w:rPr>
              <w:t>Totaal Elektriciteit</w:t>
            </w:r>
          </w:p>
        </w:tc>
        <w:tc>
          <w:tcPr>
            <w:tcW w:w="851" w:type="dxa"/>
            <w:tcBorders>
              <w:top w:val="nil"/>
              <w:left w:val="nil"/>
              <w:bottom w:val="single" w:color="auto" w:sz="4" w:space="0"/>
              <w:right w:val="nil"/>
            </w:tcBorders>
            <w:shd w:val="clear" w:color="000000" w:fill="FFFFFF"/>
            <w:noWrap/>
            <w:vAlign w:val="bottom"/>
            <w:hideMark/>
          </w:tcPr>
          <w:p w:rsidRPr="006E5AFB" w:rsidR="004B3949" w:rsidP="00B46866" w:rsidRDefault="004B3949" w14:paraId="54229149" w14:textId="77777777">
            <w:pPr>
              <w:spacing w:line="240" w:lineRule="auto"/>
              <w:ind w:firstLine="361" w:firstLineChars="200"/>
              <w:jc w:val="right"/>
              <w:rPr>
                <w:rFonts w:ascii="Calibri" w:hAnsi="Calibri" w:cs="Calibri"/>
                <w:b/>
                <w:bCs/>
                <w:color w:val="000000"/>
                <w:szCs w:val="18"/>
              </w:rPr>
            </w:pPr>
            <w:r w:rsidRPr="006E5AFB">
              <w:rPr>
                <w:rFonts w:ascii="Calibri" w:hAnsi="Calibri" w:cs="Calibri"/>
                <w:b/>
                <w:bCs/>
                <w:color w:val="000000"/>
                <w:szCs w:val="18"/>
              </w:rPr>
              <w:t>189</w:t>
            </w:r>
          </w:p>
        </w:tc>
        <w:tc>
          <w:tcPr>
            <w:tcW w:w="1134" w:type="dxa"/>
            <w:tcBorders>
              <w:top w:val="nil"/>
              <w:left w:val="single" w:color="auto" w:sz="4" w:space="0"/>
              <w:bottom w:val="single" w:color="auto" w:sz="4" w:space="0"/>
              <w:right w:val="nil"/>
            </w:tcBorders>
            <w:shd w:val="clear" w:color="000000" w:fill="FFFFFF"/>
            <w:noWrap/>
            <w:vAlign w:val="bottom"/>
            <w:hideMark/>
          </w:tcPr>
          <w:p w:rsidRPr="006E5AFB" w:rsidR="004B3949" w:rsidP="00B46866" w:rsidRDefault="004B3949" w14:paraId="4D2C6EAB" w14:textId="77777777">
            <w:pPr>
              <w:spacing w:line="240" w:lineRule="auto"/>
              <w:ind w:firstLine="361" w:firstLineChars="200"/>
              <w:jc w:val="right"/>
              <w:rPr>
                <w:rFonts w:ascii="Calibri" w:hAnsi="Calibri" w:cs="Calibri"/>
                <w:b/>
                <w:bCs/>
                <w:color w:val="000000"/>
                <w:szCs w:val="18"/>
              </w:rPr>
            </w:pPr>
            <w:r w:rsidRPr="006E5AFB">
              <w:rPr>
                <w:rFonts w:ascii="Calibri" w:hAnsi="Calibri" w:cs="Calibri"/>
                <w:b/>
                <w:bCs/>
                <w:color w:val="000000"/>
                <w:szCs w:val="18"/>
              </w:rPr>
              <w:t xml:space="preserve">763 </w:t>
            </w:r>
          </w:p>
        </w:tc>
        <w:tc>
          <w:tcPr>
            <w:tcW w:w="963" w:type="dxa"/>
            <w:tcBorders>
              <w:top w:val="nil"/>
              <w:left w:val="single" w:color="auto" w:sz="4" w:space="0"/>
              <w:bottom w:val="single" w:color="auto" w:sz="4" w:space="0"/>
              <w:right w:val="nil"/>
            </w:tcBorders>
            <w:shd w:val="clear" w:color="000000" w:fill="FFFFFF"/>
            <w:noWrap/>
            <w:vAlign w:val="bottom"/>
            <w:hideMark/>
          </w:tcPr>
          <w:p w:rsidRPr="006E5AFB" w:rsidR="004B3949" w:rsidP="00B46866" w:rsidRDefault="004B3949" w14:paraId="3C9E6519" w14:textId="77777777">
            <w:pPr>
              <w:spacing w:line="240" w:lineRule="auto"/>
              <w:ind w:firstLine="361" w:firstLineChars="200"/>
              <w:jc w:val="right"/>
              <w:rPr>
                <w:rFonts w:ascii="Calibri" w:hAnsi="Calibri" w:cs="Calibri"/>
                <w:b/>
                <w:bCs/>
                <w:color w:val="000000"/>
                <w:szCs w:val="18"/>
              </w:rPr>
            </w:pPr>
            <w:r w:rsidRPr="006E5AFB">
              <w:rPr>
                <w:rFonts w:ascii="Calibri" w:hAnsi="Calibri" w:cs="Calibri"/>
                <w:b/>
                <w:bCs/>
                <w:color w:val="000000"/>
                <w:szCs w:val="18"/>
              </w:rPr>
              <w:t xml:space="preserve">1.200 </w:t>
            </w:r>
          </w:p>
        </w:tc>
        <w:tc>
          <w:tcPr>
            <w:tcW w:w="1305" w:type="dxa"/>
            <w:tcBorders>
              <w:top w:val="nil"/>
              <w:left w:val="single" w:color="auto" w:sz="4" w:space="0"/>
              <w:bottom w:val="single" w:color="auto" w:sz="4" w:space="0"/>
              <w:right w:val="single" w:color="auto" w:sz="4" w:space="0"/>
            </w:tcBorders>
            <w:shd w:val="clear" w:color="000000" w:fill="FFFFFF"/>
            <w:noWrap/>
            <w:vAlign w:val="bottom"/>
            <w:hideMark/>
          </w:tcPr>
          <w:p w:rsidRPr="006E5AFB" w:rsidR="004B3949" w:rsidP="00B46866" w:rsidRDefault="004B3949" w14:paraId="239934CB" w14:textId="77777777">
            <w:pPr>
              <w:spacing w:line="240" w:lineRule="auto"/>
              <w:ind w:firstLine="361" w:firstLineChars="200"/>
              <w:jc w:val="right"/>
              <w:rPr>
                <w:rFonts w:ascii="Calibri" w:hAnsi="Calibri" w:cs="Calibri"/>
                <w:b/>
                <w:bCs/>
                <w:color w:val="000000"/>
                <w:szCs w:val="18"/>
              </w:rPr>
            </w:pPr>
            <w:r w:rsidRPr="006E5AFB">
              <w:rPr>
                <w:rFonts w:ascii="Calibri" w:hAnsi="Calibri" w:cs="Calibri"/>
                <w:b/>
                <w:bCs/>
                <w:color w:val="000000"/>
                <w:szCs w:val="18"/>
              </w:rPr>
              <w:t xml:space="preserve">132.195 </w:t>
            </w:r>
          </w:p>
        </w:tc>
        <w:tc>
          <w:tcPr>
            <w:tcW w:w="1275" w:type="dxa"/>
            <w:tcBorders>
              <w:top w:val="nil"/>
              <w:left w:val="nil"/>
              <w:bottom w:val="single" w:color="auto" w:sz="4" w:space="0"/>
              <w:right w:val="single" w:color="auto" w:sz="4" w:space="0"/>
            </w:tcBorders>
            <w:shd w:val="clear" w:color="000000" w:fill="FFFFFF"/>
            <w:noWrap/>
            <w:vAlign w:val="bottom"/>
            <w:hideMark/>
          </w:tcPr>
          <w:p w:rsidRPr="006E5AFB" w:rsidR="004B3949" w:rsidP="00B46866" w:rsidRDefault="004B3949" w14:paraId="478B18E0" w14:textId="77777777">
            <w:pPr>
              <w:spacing w:line="240" w:lineRule="auto"/>
              <w:ind w:firstLine="361" w:firstLineChars="200"/>
              <w:jc w:val="right"/>
              <w:rPr>
                <w:rFonts w:ascii="Calibri" w:hAnsi="Calibri" w:cs="Calibri"/>
                <w:b/>
                <w:bCs/>
                <w:color w:val="000000"/>
                <w:szCs w:val="18"/>
              </w:rPr>
            </w:pPr>
            <w:r w:rsidRPr="006E5AFB">
              <w:rPr>
                <w:rFonts w:ascii="Calibri" w:hAnsi="Calibri" w:cs="Calibri"/>
                <w:b/>
                <w:bCs/>
                <w:color w:val="000000"/>
                <w:szCs w:val="18"/>
              </w:rPr>
              <w:t xml:space="preserve">156 </w:t>
            </w:r>
          </w:p>
        </w:tc>
      </w:tr>
      <w:tr w:rsidRPr="00B267C6" w:rsidR="004B3949" w:rsidTr="0018303A" w14:paraId="613D94E6" w14:textId="77777777">
        <w:trPr>
          <w:trHeight w:val="150"/>
        </w:trPr>
        <w:tc>
          <w:tcPr>
            <w:tcW w:w="1204" w:type="dxa"/>
            <w:tcBorders>
              <w:top w:val="nil"/>
              <w:left w:val="single" w:color="auto" w:sz="4" w:space="0"/>
              <w:bottom w:val="nil"/>
              <w:right w:val="single" w:color="auto" w:sz="4" w:space="0"/>
            </w:tcBorders>
            <w:shd w:val="clear" w:color="000000" w:fill="FFFFFF"/>
            <w:noWrap/>
            <w:vAlign w:val="bottom"/>
            <w:hideMark/>
          </w:tcPr>
          <w:p w:rsidRPr="006E5AFB" w:rsidR="004B3949" w:rsidP="00B46866" w:rsidRDefault="004B3949" w14:paraId="255FB408" w14:textId="77777777">
            <w:pPr>
              <w:spacing w:line="240" w:lineRule="auto"/>
              <w:ind w:firstLine="181" w:firstLineChars="100"/>
              <w:rPr>
                <w:rFonts w:ascii="Calibri" w:hAnsi="Calibri" w:cs="Calibri"/>
                <w:b/>
                <w:bCs/>
                <w:color w:val="000000"/>
                <w:szCs w:val="18"/>
              </w:rPr>
            </w:pPr>
            <w:r w:rsidRPr="006E5AFB">
              <w:rPr>
                <w:rFonts w:ascii="Calibri" w:hAnsi="Calibri" w:cs="Calibri"/>
                <w:b/>
                <w:bCs/>
                <w:color w:val="000000"/>
                <w:szCs w:val="18"/>
              </w:rPr>
              <w:t>CCS/CCU</w:t>
            </w:r>
          </w:p>
        </w:tc>
        <w:tc>
          <w:tcPr>
            <w:tcW w:w="2410" w:type="dxa"/>
            <w:tcBorders>
              <w:top w:val="nil"/>
              <w:left w:val="nil"/>
              <w:bottom w:val="nil"/>
              <w:right w:val="single" w:color="auto" w:sz="4" w:space="0"/>
            </w:tcBorders>
            <w:shd w:val="clear" w:color="000000" w:fill="FFFFFF"/>
            <w:noWrap/>
            <w:vAlign w:val="bottom"/>
            <w:hideMark/>
          </w:tcPr>
          <w:p w:rsidRPr="006E5AFB" w:rsidR="004B3949" w:rsidP="00B46866" w:rsidRDefault="004B3949" w14:paraId="638A5E50" w14:textId="77777777">
            <w:pPr>
              <w:spacing w:line="240" w:lineRule="auto"/>
              <w:ind w:firstLine="180" w:firstLineChars="100"/>
              <w:rPr>
                <w:rFonts w:ascii="Calibri" w:hAnsi="Calibri" w:cs="Calibri"/>
                <w:color w:val="000000"/>
                <w:szCs w:val="18"/>
              </w:rPr>
            </w:pPr>
            <w:r w:rsidRPr="006E5AFB">
              <w:rPr>
                <w:rFonts w:ascii="Calibri" w:hAnsi="Calibri" w:cs="Calibri"/>
                <w:color w:val="000000"/>
                <w:szCs w:val="18"/>
              </w:rPr>
              <w:t>CO2-afvang en -opslag</w:t>
            </w:r>
          </w:p>
        </w:tc>
        <w:tc>
          <w:tcPr>
            <w:tcW w:w="851" w:type="dxa"/>
            <w:tcBorders>
              <w:top w:val="nil"/>
              <w:left w:val="nil"/>
              <w:bottom w:val="nil"/>
              <w:right w:val="nil"/>
            </w:tcBorders>
            <w:shd w:val="clear" w:color="000000" w:fill="FFFFFF"/>
            <w:noWrap/>
            <w:vAlign w:val="bottom"/>
            <w:hideMark/>
          </w:tcPr>
          <w:p w:rsidRPr="006E5AFB" w:rsidR="004B3949" w:rsidP="00B46866" w:rsidRDefault="004B3949" w14:paraId="4E5100DF"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19</w:t>
            </w:r>
          </w:p>
        </w:tc>
        <w:tc>
          <w:tcPr>
            <w:tcW w:w="1134" w:type="dxa"/>
            <w:tcBorders>
              <w:top w:val="nil"/>
              <w:left w:val="single" w:color="auto" w:sz="4" w:space="0"/>
              <w:bottom w:val="nil"/>
              <w:right w:val="nil"/>
            </w:tcBorders>
            <w:shd w:val="clear" w:color="000000" w:fill="FFFFFF"/>
            <w:noWrap/>
            <w:vAlign w:val="bottom"/>
            <w:hideMark/>
          </w:tcPr>
          <w:p w:rsidRPr="006E5AFB" w:rsidR="004B3949" w:rsidP="00B46866" w:rsidRDefault="004B3949" w14:paraId="149B54BD"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9.024 </w:t>
            </w:r>
          </w:p>
        </w:tc>
        <w:tc>
          <w:tcPr>
            <w:tcW w:w="963" w:type="dxa"/>
            <w:tcBorders>
              <w:top w:val="nil"/>
              <w:left w:val="single" w:color="auto" w:sz="4" w:space="0"/>
              <w:bottom w:val="nil"/>
              <w:right w:val="nil"/>
            </w:tcBorders>
            <w:shd w:val="clear" w:color="000000" w:fill="FFFFFF"/>
            <w:noWrap/>
            <w:vAlign w:val="bottom"/>
            <w:hideMark/>
          </w:tcPr>
          <w:p w:rsidRPr="006E5AFB" w:rsidR="004B3949" w:rsidP="00B46866" w:rsidRDefault="004B3949" w14:paraId="260E9574"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w:t>
            </w:r>
          </w:p>
        </w:tc>
        <w:tc>
          <w:tcPr>
            <w:tcW w:w="1305" w:type="dxa"/>
            <w:tcBorders>
              <w:top w:val="nil"/>
              <w:left w:val="single" w:color="auto" w:sz="4" w:space="0"/>
              <w:bottom w:val="nil"/>
              <w:right w:val="single" w:color="auto" w:sz="4" w:space="0"/>
            </w:tcBorders>
            <w:shd w:val="clear" w:color="000000" w:fill="FFFFFF"/>
            <w:noWrap/>
            <w:vAlign w:val="bottom"/>
            <w:hideMark/>
          </w:tcPr>
          <w:p w:rsidRPr="006E5AFB" w:rsidR="004B3949" w:rsidP="00B46866" w:rsidRDefault="004B3949" w14:paraId="18883EDC"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2.046.061 </w:t>
            </w:r>
          </w:p>
        </w:tc>
        <w:tc>
          <w:tcPr>
            <w:tcW w:w="1275" w:type="dxa"/>
            <w:tcBorders>
              <w:top w:val="nil"/>
              <w:left w:val="nil"/>
              <w:bottom w:val="nil"/>
              <w:right w:val="single" w:color="auto" w:sz="4" w:space="0"/>
            </w:tcBorders>
            <w:shd w:val="clear" w:color="000000" w:fill="FFFFFF"/>
            <w:noWrap/>
            <w:vAlign w:val="bottom"/>
            <w:hideMark/>
          </w:tcPr>
          <w:p w:rsidRPr="006E5AFB" w:rsidR="004B3949" w:rsidP="00B46866" w:rsidRDefault="004B3949" w14:paraId="3DE04ED8"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210 </w:t>
            </w:r>
          </w:p>
        </w:tc>
      </w:tr>
      <w:tr w:rsidRPr="00B267C6" w:rsidR="004B3949" w:rsidTr="0018303A" w14:paraId="73863A84" w14:textId="77777777">
        <w:trPr>
          <w:trHeight w:val="150"/>
        </w:trPr>
        <w:tc>
          <w:tcPr>
            <w:tcW w:w="1204" w:type="dxa"/>
            <w:tcBorders>
              <w:top w:val="nil"/>
              <w:left w:val="single" w:color="auto" w:sz="4" w:space="0"/>
              <w:bottom w:val="nil"/>
              <w:right w:val="single" w:color="auto" w:sz="4" w:space="0"/>
            </w:tcBorders>
            <w:shd w:val="clear" w:color="000000" w:fill="FFFFFF"/>
            <w:noWrap/>
            <w:vAlign w:val="bottom"/>
            <w:hideMark/>
          </w:tcPr>
          <w:p w:rsidRPr="006E5AFB" w:rsidR="004B3949" w:rsidP="00B46866" w:rsidRDefault="004B3949" w14:paraId="128632FE" w14:textId="77777777">
            <w:pPr>
              <w:spacing w:line="240" w:lineRule="auto"/>
              <w:ind w:firstLine="180" w:firstLineChars="100"/>
              <w:rPr>
                <w:rFonts w:ascii="Calibri" w:hAnsi="Calibri" w:cs="Calibri"/>
                <w:color w:val="000000"/>
                <w:szCs w:val="18"/>
              </w:rPr>
            </w:pPr>
            <w:r w:rsidRPr="006E5AFB">
              <w:rPr>
                <w:rFonts w:ascii="Calibri" w:hAnsi="Calibri" w:cs="Calibri"/>
                <w:color w:val="000000"/>
                <w:szCs w:val="18"/>
              </w:rPr>
              <w:t> </w:t>
            </w:r>
          </w:p>
        </w:tc>
        <w:tc>
          <w:tcPr>
            <w:tcW w:w="2410" w:type="dxa"/>
            <w:tcBorders>
              <w:top w:val="nil"/>
              <w:left w:val="nil"/>
              <w:bottom w:val="nil"/>
              <w:right w:val="single" w:color="auto" w:sz="4" w:space="0"/>
            </w:tcBorders>
            <w:shd w:val="clear" w:color="000000" w:fill="FFFFFF"/>
            <w:noWrap/>
            <w:vAlign w:val="bottom"/>
            <w:hideMark/>
          </w:tcPr>
          <w:p w:rsidRPr="006E5AFB" w:rsidR="004B3949" w:rsidP="00B46866" w:rsidRDefault="004B3949" w14:paraId="415F0248" w14:textId="77777777">
            <w:pPr>
              <w:spacing w:line="240" w:lineRule="auto"/>
              <w:ind w:firstLine="180" w:firstLineChars="100"/>
              <w:rPr>
                <w:rFonts w:ascii="Calibri" w:hAnsi="Calibri" w:cs="Calibri"/>
                <w:color w:val="000000"/>
                <w:szCs w:val="18"/>
              </w:rPr>
            </w:pPr>
            <w:r w:rsidRPr="006E5AFB">
              <w:rPr>
                <w:rFonts w:ascii="Calibri" w:hAnsi="Calibri" w:cs="Calibri"/>
                <w:color w:val="000000"/>
                <w:szCs w:val="18"/>
              </w:rPr>
              <w:t>CO2-afvang en -gebruik</w:t>
            </w:r>
          </w:p>
        </w:tc>
        <w:tc>
          <w:tcPr>
            <w:tcW w:w="851" w:type="dxa"/>
            <w:tcBorders>
              <w:top w:val="nil"/>
              <w:left w:val="nil"/>
              <w:bottom w:val="nil"/>
              <w:right w:val="nil"/>
            </w:tcBorders>
            <w:shd w:val="clear" w:color="000000" w:fill="FFFFFF"/>
            <w:noWrap/>
            <w:vAlign w:val="bottom"/>
            <w:hideMark/>
          </w:tcPr>
          <w:p w:rsidRPr="006E5AFB" w:rsidR="004B3949" w:rsidP="00B46866" w:rsidRDefault="004B3949" w14:paraId="74E74CFC"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39</w:t>
            </w:r>
          </w:p>
        </w:tc>
        <w:tc>
          <w:tcPr>
            <w:tcW w:w="1134" w:type="dxa"/>
            <w:tcBorders>
              <w:top w:val="nil"/>
              <w:left w:val="single" w:color="auto" w:sz="4" w:space="0"/>
              <w:bottom w:val="nil"/>
              <w:right w:val="nil"/>
            </w:tcBorders>
            <w:shd w:val="clear" w:color="000000" w:fill="FFFFFF"/>
            <w:noWrap/>
            <w:vAlign w:val="bottom"/>
            <w:hideMark/>
          </w:tcPr>
          <w:p w:rsidRPr="006E5AFB" w:rsidR="004B3949" w:rsidP="00B46866" w:rsidRDefault="004B3949" w14:paraId="68814EAA"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1.434 </w:t>
            </w:r>
          </w:p>
        </w:tc>
        <w:tc>
          <w:tcPr>
            <w:tcW w:w="963" w:type="dxa"/>
            <w:tcBorders>
              <w:top w:val="nil"/>
              <w:left w:val="single" w:color="auto" w:sz="4" w:space="0"/>
              <w:bottom w:val="nil"/>
              <w:right w:val="nil"/>
            </w:tcBorders>
            <w:shd w:val="clear" w:color="000000" w:fill="FFFFFF"/>
            <w:noWrap/>
            <w:vAlign w:val="bottom"/>
            <w:hideMark/>
          </w:tcPr>
          <w:p w:rsidRPr="006E5AFB" w:rsidR="004B3949" w:rsidP="00B46866" w:rsidRDefault="004B3949" w14:paraId="43B3B7FC"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w:t>
            </w:r>
          </w:p>
        </w:tc>
        <w:tc>
          <w:tcPr>
            <w:tcW w:w="1305" w:type="dxa"/>
            <w:tcBorders>
              <w:top w:val="nil"/>
              <w:left w:val="single" w:color="auto" w:sz="4" w:space="0"/>
              <w:bottom w:val="nil"/>
              <w:right w:val="single" w:color="auto" w:sz="4" w:space="0"/>
            </w:tcBorders>
            <w:shd w:val="clear" w:color="000000" w:fill="FFFFFF"/>
            <w:noWrap/>
            <w:vAlign w:val="bottom"/>
            <w:hideMark/>
          </w:tcPr>
          <w:p w:rsidRPr="006E5AFB" w:rsidR="004B3949" w:rsidP="00B46866" w:rsidRDefault="004B3949" w14:paraId="60A60B6C"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423.811 </w:t>
            </w:r>
          </w:p>
        </w:tc>
        <w:tc>
          <w:tcPr>
            <w:tcW w:w="1275" w:type="dxa"/>
            <w:tcBorders>
              <w:top w:val="nil"/>
              <w:left w:val="nil"/>
              <w:bottom w:val="nil"/>
              <w:right w:val="single" w:color="auto" w:sz="4" w:space="0"/>
            </w:tcBorders>
            <w:shd w:val="clear" w:color="000000" w:fill="FFFFFF"/>
            <w:noWrap/>
            <w:vAlign w:val="bottom"/>
            <w:hideMark/>
          </w:tcPr>
          <w:p w:rsidRPr="006E5AFB" w:rsidR="004B3949" w:rsidP="00B46866" w:rsidRDefault="004B3949" w14:paraId="5D111602" w14:textId="77777777">
            <w:pPr>
              <w:spacing w:line="240" w:lineRule="auto"/>
              <w:ind w:firstLine="360" w:firstLineChars="200"/>
              <w:jc w:val="right"/>
              <w:rPr>
                <w:rFonts w:ascii="Calibri" w:hAnsi="Calibri" w:cs="Calibri"/>
                <w:color w:val="000000"/>
                <w:szCs w:val="18"/>
              </w:rPr>
            </w:pPr>
            <w:r w:rsidRPr="006E5AFB">
              <w:rPr>
                <w:rFonts w:ascii="Calibri" w:hAnsi="Calibri" w:cs="Calibri"/>
                <w:color w:val="000000"/>
                <w:szCs w:val="18"/>
              </w:rPr>
              <w:t xml:space="preserve">294 </w:t>
            </w:r>
          </w:p>
        </w:tc>
      </w:tr>
      <w:tr w:rsidRPr="00B267C6" w:rsidR="004B3949" w:rsidTr="0018303A" w14:paraId="2F792171" w14:textId="77777777">
        <w:trPr>
          <w:trHeight w:val="150"/>
        </w:trPr>
        <w:tc>
          <w:tcPr>
            <w:tcW w:w="1204" w:type="dxa"/>
            <w:tcBorders>
              <w:top w:val="nil"/>
              <w:left w:val="single" w:color="auto" w:sz="4" w:space="0"/>
              <w:bottom w:val="nil"/>
              <w:right w:val="single" w:color="auto" w:sz="4" w:space="0"/>
            </w:tcBorders>
            <w:shd w:val="clear" w:color="000000" w:fill="FFFFFF"/>
            <w:noWrap/>
            <w:vAlign w:val="bottom"/>
            <w:hideMark/>
          </w:tcPr>
          <w:p w:rsidRPr="006E5AFB" w:rsidR="004B3949" w:rsidP="00B46866" w:rsidRDefault="004B3949" w14:paraId="7F7FDA74" w14:textId="77777777">
            <w:pPr>
              <w:spacing w:line="240" w:lineRule="auto"/>
              <w:ind w:firstLine="1084" w:firstLineChars="600"/>
              <w:rPr>
                <w:rFonts w:ascii="Calibri" w:hAnsi="Calibri" w:cs="Calibri"/>
                <w:b/>
                <w:bCs/>
                <w:color w:val="000000"/>
                <w:szCs w:val="18"/>
              </w:rPr>
            </w:pPr>
            <w:r w:rsidRPr="006E5AFB">
              <w:rPr>
                <w:rFonts w:ascii="Calibri" w:hAnsi="Calibri" w:cs="Calibri"/>
                <w:b/>
                <w:bCs/>
                <w:color w:val="000000"/>
                <w:szCs w:val="18"/>
              </w:rPr>
              <w:t> </w:t>
            </w:r>
          </w:p>
        </w:tc>
        <w:tc>
          <w:tcPr>
            <w:tcW w:w="2410" w:type="dxa"/>
            <w:tcBorders>
              <w:top w:val="nil"/>
              <w:left w:val="nil"/>
              <w:bottom w:val="nil"/>
              <w:right w:val="single" w:color="auto" w:sz="4" w:space="0"/>
            </w:tcBorders>
            <w:shd w:val="clear" w:color="000000" w:fill="FFFFFF"/>
            <w:noWrap/>
            <w:vAlign w:val="bottom"/>
            <w:hideMark/>
          </w:tcPr>
          <w:p w:rsidRPr="006E5AFB" w:rsidR="004B3949" w:rsidP="00B46866" w:rsidRDefault="004B3949" w14:paraId="66EC81C2" w14:textId="77777777">
            <w:pPr>
              <w:spacing w:line="240" w:lineRule="auto"/>
              <w:rPr>
                <w:rFonts w:ascii="Calibri" w:hAnsi="Calibri" w:cs="Calibri"/>
                <w:b/>
                <w:bCs/>
                <w:color w:val="000000"/>
                <w:szCs w:val="18"/>
              </w:rPr>
            </w:pPr>
            <w:r w:rsidRPr="006E5AFB">
              <w:rPr>
                <w:rFonts w:ascii="Calibri" w:hAnsi="Calibri" w:cs="Calibri"/>
                <w:b/>
                <w:bCs/>
                <w:color w:val="000000"/>
                <w:szCs w:val="18"/>
              </w:rPr>
              <w:t>Totaal CCS/CCU</w:t>
            </w:r>
          </w:p>
        </w:tc>
        <w:tc>
          <w:tcPr>
            <w:tcW w:w="851" w:type="dxa"/>
            <w:tcBorders>
              <w:top w:val="nil"/>
              <w:left w:val="nil"/>
              <w:bottom w:val="nil"/>
              <w:right w:val="nil"/>
            </w:tcBorders>
            <w:shd w:val="clear" w:color="000000" w:fill="FFFFFF"/>
            <w:noWrap/>
            <w:vAlign w:val="bottom"/>
            <w:hideMark/>
          </w:tcPr>
          <w:p w:rsidRPr="006E5AFB" w:rsidR="004B3949" w:rsidP="00B46866" w:rsidRDefault="004B3949" w14:paraId="1A3AE5CA" w14:textId="77777777">
            <w:pPr>
              <w:spacing w:line="240" w:lineRule="auto"/>
              <w:ind w:firstLine="361" w:firstLineChars="200"/>
              <w:jc w:val="right"/>
              <w:rPr>
                <w:rFonts w:ascii="Calibri" w:hAnsi="Calibri" w:cs="Calibri"/>
                <w:b/>
                <w:bCs/>
                <w:color w:val="000000"/>
                <w:szCs w:val="18"/>
              </w:rPr>
            </w:pPr>
            <w:r w:rsidRPr="006E5AFB">
              <w:rPr>
                <w:rFonts w:ascii="Calibri" w:hAnsi="Calibri" w:cs="Calibri"/>
                <w:b/>
                <w:bCs/>
                <w:color w:val="000000"/>
                <w:szCs w:val="18"/>
              </w:rPr>
              <w:t>58</w:t>
            </w:r>
          </w:p>
        </w:tc>
        <w:tc>
          <w:tcPr>
            <w:tcW w:w="1134" w:type="dxa"/>
            <w:tcBorders>
              <w:top w:val="nil"/>
              <w:left w:val="single" w:color="auto" w:sz="4" w:space="0"/>
              <w:bottom w:val="nil"/>
              <w:right w:val="nil"/>
            </w:tcBorders>
            <w:shd w:val="clear" w:color="000000" w:fill="FFFFFF"/>
            <w:noWrap/>
            <w:vAlign w:val="bottom"/>
            <w:hideMark/>
          </w:tcPr>
          <w:p w:rsidRPr="006E5AFB" w:rsidR="004B3949" w:rsidP="00B46866" w:rsidRDefault="004B3949" w14:paraId="608E48F4" w14:textId="77777777">
            <w:pPr>
              <w:spacing w:line="240" w:lineRule="auto"/>
              <w:ind w:firstLine="361" w:firstLineChars="200"/>
              <w:jc w:val="right"/>
              <w:rPr>
                <w:rFonts w:ascii="Calibri" w:hAnsi="Calibri" w:cs="Calibri"/>
                <w:b/>
                <w:bCs/>
                <w:color w:val="000000"/>
                <w:szCs w:val="18"/>
              </w:rPr>
            </w:pPr>
            <w:r w:rsidRPr="006E5AFB">
              <w:rPr>
                <w:rFonts w:ascii="Calibri" w:hAnsi="Calibri" w:cs="Calibri"/>
                <w:b/>
                <w:bCs/>
                <w:color w:val="000000"/>
                <w:szCs w:val="18"/>
              </w:rPr>
              <w:t xml:space="preserve">10.458 </w:t>
            </w:r>
          </w:p>
        </w:tc>
        <w:tc>
          <w:tcPr>
            <w:tcW w:w="963" w:type="dxa"/>
            <w:tcBorders>
              <w:top w:val="nil"/>
              <w:left w:val="single" w:color="auto" w:sz="4" w:space="0"/>
              <w:bottom w:val="nil"/>
              <w:right w:val="nil"/>
            </w:tcBorders>
            <w:shd w:val="clear" w:color="000000" w:fill="FFFFFF"/>
            <w:noWrap/>
            <w:vAlign w:val="bottom"/>
            <w:hideMark/>
          </w:tcPr>
          <w:p w:rsidRPr="006E5AFB" w:rsidR="004B3949" w:rsidP="00B46866" w:rsidRDefault="004B3949" w14:paraId="4D9198EC" w14:textId="77777777">
            <w:pPr>
              <w:spacing w:line="240" w:lineRule="auto"/>
              <w:ind w:firstLine="361" w:firstLineChars="200"/>
              <w:jc w:val="right"/>
              <w:rPr>
                <w:rFonts w:ascii="Calibri" w:hAnsi="Calibri" w:cs="Calibri"/>
                <w:b/>
                <w:bCs/>
                <w:color w:val="000000"/>
                <w:szCs w:val="18"/>
              </w:rPr>
            </w:pPr>
            <w:r w:rsidRPr="006E5AFB">
              <w:rPr>
                <w:rFonts w:ascii="Calibri" w:hAnsi="Calibri" w:cs="Calibri"/>
                <w:b/>
                <w:bCs/>
                <w:color w:val="000000"/>
                <w:szCs w:val="18"/>
              </w:rPr>
              <w:t> </w:t>
            </w:r>
          </w:p>
        </w:tc>
        <w:tc>
          <w:tcPr>
            <w:tcW w:w="1305" w:type="dxa"/>
            <w:tcBorders>
              <w:top w:val="nil"/>
              <w:left w:val="single" w:color="auto" w:sz="4" w:space="0"/>
              <w:bottom w:val="nil"/>
              <w:right w:val="single" w:color="auto" w:sz="4" w:space="0"/>
            </w:tcBorders>
            <w:shd w:val="clear" w:color="000000" w:fill="FFFFFF"/>
            <w:noWrap/>
            <w:vAlign w:val="bottom"/>
            <w:hideMark/>
          </w:tcPr>
          <w:p w:rsidRPr="006E5AFB" w:rsidR="004B3949" w:rsidP="00B46866" w:rsidRDefault="004B3949" w14:paraId="65A47F3B" w14:textId="77777777">
            <w:pPr>
              <w:spacing w:line="240" w:lineRule="auto"/>
              <w:ind w:firstLine="361" w:firstLineChars="200"/>
              <w:jc w:val="right"/>
              <w:rPr>
                <w:rFonts w:ascii="Calibri" w:hAnsi="Calibri" w:cs="Calibri"/>
                <w:b/>
                <w:bCs/>
                <w:color w:val="000000"/>
                <w:szCs w:val="18"/>
              </w:rPr>
            </w:pPr>
            <w:r w:rsidRPr="006E5AFB">
              <w:rPr>
                <w:rFonts w:ascii="Calibri" w:hAnsi="Calibri" w:cs="Calibri"/>
                <w:b/>
                <w:bCs/>
                <w:color w:val="000000"/>
                <w:szCs w:val="18"/>
              </w:rPr>
              <w:t xml:space="preserve">2.469.872 </w:t>
            </w:r>
          </w:p>
        </w:tc>
        <w:tc>
          <w:tcPr>
            <w:tcW w:w="1275" w:type="dxa"/>
            <w:tcBorders>
              <w:top w:val="nil"/>
              <w:left w:val="nil"/>
              <w:bottom w:val="nil"/>
              <w:right w:val="single" w:color="auto" w:sz="4" w:space="0"/>
            </w:tcBorders>
            <w:shd w:val="clear" w:color="000000" w:fill="FFFFFF"/>
            <w:noWrap/>
            <w:vAlign w:val="bottom"/>
            <w:hideMark/>
          </w:tcPr>
          <w:p w:rsidRPr="006E5AFB" w:rsidR="004B3949" w:rsidP="00B46866" w:rsidRDefault="004B3949" w14:paraId="72B1F10B" w14:textId="77777777">
            <w:pPr>
              <w:spacing w:line="240" w:lineRule="auto"/>
              <w:ind w:firstLine="361" w:firstLineChars="200"/>
              <w:jc w:val="right"/>
              <w:rPr>
                <w:rFonts w:ascii="Calibri" w:hAnsi="Calibri" w:cs="Calibri"/>
                <w:b/>
                <w:bCs/>
                <w:color w:val="000000"/>
                <w:szCs w:val="18"/>
              </w:rPr>
            </w:pPr>
            <w:r w:rsidRPr="006E5AFB">
              <w:rPr>
                <w:rFonts w:ascii="Calibri" w:hAnsi="Calibri" w:cs="Calibri"/>
                <w:b/>
                <w:bCs/>
                <w:color w:val="000000"/>
                <w:szCs w:val="18"/>
              </w:rPr>
              <w:t xml:space="preserve">280 </w:t>
            </w:r>
          </w:p>
        </w:tc>
      </w:tr>
      <w:tr w:rsidRPr="00B267C6" w:rsidR="004B3949" w:rsidTr="0018303A" w14:paraId="0E509B43" w14:textId="77777777">
        <w:trPr>
          <w:trHeight w:val="157"/>
        </w:trPr>
        <w:tc>
          <w:tcPr>
            <w:tcW w:w="1204" w:type="dxa"/>
            <w:tcBorders>
              <w:top w:val="single" w:color="auto" w:sz="4" w:space="0"/>
              <w:left w:val="single" w:color="auto" w:sz="4" w:space="0"/>
              <w:bottom w:val="single" w:color="auto" w:sz="4" w:space="0"/>
              <w:right w:val="nil"/>
            </w:tcBorders>
            <w:shd w:val="clear" w:color="000000" w:fill="EEECE1"/>
            <w:noWrap/>
            <w:vAlign w:val="bottom"/>
            <w:hideMark/>
          </w:tcPr>
          <w:p w:rsidRPr="006E5AFB" w:rsidR="004B3949" w:rsidP="00B46866" w:rsidRDefault="004B3949" w14:paraId="5504BC00" w14:textId="77777777">
            <w:pPr>
              <w:spacing w:line="240" w:lineRule="auto"/>
              <w:rPr>
                <w:rFonts w:ascii="Calibri" w:hAnsi="Calibri" w:cs="Calibri"/>
                <w:b/>
                <w:bCs/>
                <w:color w:val="000000"/>
                <w:szCs w:val="18"/>
              </w:rPr>
            </w:pPr>
            <w:r w:rsidRPr="006E5AFB">
              <w:rPr>
                <w:rFonts w:ascii="Calibri" w:hAnsi="Calibri" w:cs="Calibri"/>
                <w:b/>
                <w:bCs/>
                <w:color w:val="000000"/>
                <w:szCs w:val="18"/>
              </w:rPr>
              <w:t>TOTAAL</w:t>
            </w:r>
          </w:p>
        </w:tc>
        <w:tc>
          <w:tcPr>
            <w:tcW w:w="2410" w:type="dxa"/>
            <w:tcBorders>
              <w:top w:val="single" w:color="auto" w:sz="4" w:space="0"/>
              <w:left w:val="nil"/>
              <w:bottom w:val="single" w:color="auto" w:sz="4" w:space="0"/>
              <w:right w:val="single" w:color="auto" w:sz="4" w:space="0"/>
            </w:tcBorders>
            <w:shd w:val="clear" w:color="000000" w:fill="EEECE1"/>
            <w:noWrap/>
            <w:vAlign w:val="bottom"/>
            <w:hideMark/>
          </w:tcPr>
          <w:p w:rsidRPr="006E5AFB" w:rsidR="004B3949" w:rsidP="00B46866" w:rsidRDefault="004B3949" w14:paraId="31AD1E92" w14:textId="77777777">
            <w:pPr>
              <w:spacing w:line="240" w:lineRule="auto"/>
              <w:rPr>
                <w:rFonts w:ascii="Calibri" w:hAnsi="Calibri" w:cs="Calibri"/>
                <w:b/>
                <w:bCs/>
                <w:color w:val="000000"/>
                <w:szCs w:val="18"/>
              </w:rPr>
            </w:pPr>
            <w:r w:rsidRPr="006E5AFB">
              <w:rPr>
                <w:rFonts w:ascii="Calibri" w:hAnsi="Calibri" w:cs="Calibri"/>
                <w:b/>
                <w:bCs/>
                <w:color w:val="000000"/>
                <w:szCs w:val="18"/>
              </w:rPr>
              <w:t> </w:t>
            </w:r>
          </w:p>
        </w:tc>
        <w:tc>
          <w:tcPr>
            <w:tcW w:w="851" w:type="dxa"/>
            <w:tcBorders>
              <w:top w:val="single" w:color="auto" w:sz="4" w:space="0"/>
              <w:left w:val="nil"/>
              <w:bottom w:val="single" w:color="auto" w:sz="4" w:space="0"/>
              <w:right w:val="nil"/>
            </w:tcBorders>
            <w:shd w:val="clear" w:color="000000" w:fill="EEECE1"/>
            <w:noWrap/>
            <w:vAlign w:val="bottom"/>
            <w:hideMark/>
          </w:tcPr>
          <w:p w:rsidRPr="006E5AFB" w:rsidR="004B3949" w:rsidP="00B46866" w:rsidRDefault="004B3949" w14:paraId="597AA752" w14:textId="77777777">
            <w:pPr>
              <w:spacing w:line="240" w:lineRule="auto"/>
              <w:ind w:firstLine="361" w:firstLineChars="200"/>
              <w:jc w:val="right"/>
              <w:rPr>
                <w:rFonts w:ascii="Calibri" w:hAnsi="Calibri" w:cs="Calibri"/>
                <w:b/>
                <w:bCs/>
                <w:color w:val="000000"/>
                <w:szCs w:val="18"/>
              </w:rPr>
            </w:pPr>
            <w:r w:rsidRPr="006E5AFB">
              <w:rPr>
                <w:rFonts w:ascii="Calibri" w:hAnsi="Calibri" w:cs="Calibri"/>
                <w:b/>
                <w:bCs/>
                <w:color w:val="000000"/>
                <w:szCs w:val="18"/>
              </w:rPr>
              <w:t>468</w:t>
            </w:r>
          </w:p>
        </w:tc>
        <w:tc>
          <w:tcPr>
            <w:tcW w:w="1134" w:type="dxa"/>
            <w:tcBorders>
              <w:top w:val="single" w:color="auto" w:sz="4" w:space="0"/>
              <w:left w:val="single" w:color="auto" w:sz="4" w:space="0"/>
              <w:bottom w:val="single" w:color="auto" w:sz="4" w:space="0"/>
              <w:right w:val="nil"/>
            </w:tcBorders>
            <w:shd w:val="clear" w:color="000000" w:fill="EEECE1"/>
            <w:noWrap/>
            <w:vAlign w:val="bottom"/>
            <w:hideMark/>
          </w:tcPr>
          <w:p w:rsidRPr="006E5AFB" w:rsidR="004B3949" w:rsidP="00B46866" w:rsidRDefault="004B3949" w14:paraId="5171DE4A" w14:textId="77777777">
            <w:pPr>
              <w:spacing w:line="240" w:lineRule="auto"/>
              <w:ind w:firstLine="361" w:firstLineChars="200"/>
              <w:jc w:val="right"/>
              <w:rPr>
                <w:rFonts w:ascii="Calibri" w:hAnsi="Calibri" w:cs="Calibri"/>
                <w:b/>
                <w:bCs/>
                <w:color w:val="000000"/>
                <w:szCs w:val="18"/>
              </w:rPr>
            </w:pPr>
            <w:r w:rsidRPr="006E5AFB">
              <w:rPr>
                <w:rFonts w:ascii="Calibri" w:hAnsi="Calibri" w:cs="Calibri"/>
                <w:b/>
                <w:bCs/>
                <w:color w:val="000000"/>
                <w:szCs w:val="18"/>
              </w:rPr>
              <w:t xml:space="preserve">21.785 </w:t>
            </w:r>
          </w:p>
        </w:tc>
        <w:tc>
          <w:tcPr>
            <w:tcW w:w="963" w:type="dxa"/>
            <w:tcBorders>
              <w:top w:val="single" w:color="auto" w:sz="4" w:space="0"/>
              <w:left w:val="single" w:color="auto" w:sz="4" w:space="0"/>
              <w:bottom w:val="single" w:color="auto" w:sz="4" w:space="0"/>
              <w:right w:val="nil"/>
            </w:tcBorders>
            <w:shd w:val="clear" w:color="000000" w:fill="EEECE1"/>
            <w:noWrap/>
            <w:vAlign w:val="bottom"/>
            <w:hideMark/>
          </w:tcPr>
          <w:p w:rsidRPr="006E5AFB" w:rsidR="004B3949" w:rsidP="00B46866" w:rsidRDefault="004B3949" w14:paraId="18698D22" w14:textId="77777777">
            <w:pPr>
              <w:spacing w:line="240" w:lineRule="auto"/>
              <w:ind w:firstLine="361" w:firstLineChars="200"/>
              <w:jc w:val="right"/>
              <w:rPr>
                <w:rFonts w:ascii="Calibri" w:hAnsi="Calibri" w:cs="Calibri"/>
                <w:b/>
                <w:bCs/>
                <w:color w:val="000000"/>
                <w:szCs w:val="18"/>
              </w:rPr>
            </w:pPr>
            <w:r w:rsidRPr="006E5AFB">
              <w:rPr>
                <w:rFonts w:ascii="Calibri" w:hAnsi="Calibri" w:cs="Calibri"/>
                <w:b/>
                <w:bCs/>
                <w:color w:val="000000"/>
                <w:szCs w:val="18"/>
              </w:rPr>
              <w:t> </w:t>
            </w:r>
          </w:p>
        </w:tc>
        <w:tc>
          <w:tcPr>
            <w:tcW w:w="1305" w:type="dxa"/>
            <w:tcBorders>
              <w:top w:val="single" w:color="auto" w:sz="4" w:space="0"/>
              <w:left w:val="single" w:color="auto" w:sz="4" w:space="0"/>
              <w:bottom w:val="single" w:color="auto" w:sz="4" w:space="0"/>
              <w:right w:val="single" w:color="auto" w:sz="4" w:space="0"/>
            </w:tcBorders>
            <w:shd w:val="clear" w:color="000000" w:fill="EEECE1"/>
            <w:noWrap/>
            <w:vAlign w:val="bottom"/>
            <w:hideMark/>
          </w:tcPr>
          <w:p w:rsidRPr="006E5AFB" w:rsidR="004B3949" w:rsidP="00B46866" w:rsidRDefault="004B3949" w14:paraId="2458196F" w14:textId="77777777">
            <w:pPr>
              <w:spacing w:line="240" w:lineRule="auto"/>
              <w:ind w:firstLine="361" w:firstLineChars="200"/>
              <w:jc w:val="right"/>
              <w:rPr>
                <w:rFonts w:ascii="Calibri" w:hAnsi="Calibri" w:cs="Calibri"/>
                <w:b/>
                <w:bCs/>
                <w:color w:val="000000"/>
                <w:szCs w:val="18"/>
              </w:rPr>
            </w:pPr>
            <w:r w:rsidRPr="006E5AFB">
              <w:rPr>
                <w:rFonts w:ascii="Calibri" w:hAnsi="Calibri" w:cs="Calibri"/>
                <w:b/>
                <w:bCs/>
                <w:color w:val="000000"/>
                <w:szCs w:val="18"/>
              </w:rPr>
              <w:t xml:space="preserve">4.887.472 </w:t>
            </w:r>
          </w:p>
        </w:tc>
        <w:tc>
          <w:tcPr>
            <w:tcW w:w="1275" w:type="dxa"/>
            <w:tcBorders>
              <w:top w:val="single" w:color="auto" w:sz="4" w:space="0"/>
              <w:left w:val="nil"/>
              <w:bottom w:val="single" w:color="auto" w:sz="4" w:space="0"/>
              <w:right w:val="single" w:color="auto" w:sz="4" w:space="0"/>
            </w:tcBorders>
            <w:shd w:val="clear" w:color="000000" w:fill="EEECE1"/>
            <w:noWrap/>
            <w:vAlign w:val="bottom"/>
            <w:hideMark/>
          </w:tcPr>
          <w:p w:rsidRPr="006E5AFB" w:rsidR="004B3949" w:rsidP="00B46866" w:rsidRDefault="004B3949" w14:paraId="62D4871F" w14:textId="77777777">
            <w:pPr>
              <w:spacing w:line="240" w:lineRule="auto"/>
              <w:ind w:firstLine="361" w:firstLineChars="200"/>
              <w:jc w:val="right"/>
              <w:rPr>
                <w:rFonts w:ascii="Calibri" w:hAnsi="Calibri" w:cs="Calibri"/>
                <w:b/>
                <w:bCs/>
                <w:color w:val="000000"/>
                <w:szCs w:val="18"/>
              </w:rPr>
            </w:pPr>
            <w:r w:rsidRPr="006E5AFB">
              <w:rPr>
                <w:rFonts w:ascii="Calibri" w:hAnsi="Calibri" w:cs="Calibri"/>
                <w:b/>
                <w:bCs/>
                <w:color w:val="000000"/>
                <w:szCs w:val="18"/>
              </w:rPr>
              <w:t xml:space="preserve">252 </w:t>
            </w:r>
          </w:p>
        </w:tc>
      </w:tr>
    </w:tbl>
    <w:p w:rsidR="004B3949" w:rsidP="004B3949" w:rsidRDefault="004B3949" w14:paraId="45611B80" w14:textId="77777777">
      <w:pPr>
        <w:rPr>
          <w:b/>
          <w:bCs/>
          <w:szCs w:val="18"/>
        </w:rPr>
      </w:pPr>
    </w:p>
    <w:p w:rsidR="004B3949" w:rsidP="004B3949" w:rsidRDefault="00367266" w14:paraId="3968E640" w14:textId="55467866">
      <w:pPr>
        <w:rPr>
          <w:szCs w:val="18"/>
        </w:rPr>
      </w:pPr>
      <w:r>
        <w:rPr>
          <w:szCs w:val="18"/>
        </w:rPr>
        <w:t>D</w:t>
      </w:r>
      <w:r w:rsidR="004B3949">
        <w:rPr>
          <w:szCs w:val="18"/>
        </w:rPr>
        <w:t>e hoge overtekening</w:t>
      </w:r>
      <w:r>
        <w:rPr>
          <w:szCs w:val="18"/>
        </w:rPr>
        <w:t xml:space="preserve"> van dit jaar leidt ertoe dat te</w:t>
      </w:r>
      <w:r w:rsidR="004B3949">
        <w:rPr>
          <w:szCs w:val="18"/>
        </w:rPr>
        <w:t xml:space="preserve"> verwachten</w:t>
      </w:r>
      <w:r>
        <w:rPr>
          <w:szCs w:val="18"/>
        </w:rPr>
        <w:t xml:space="preserve"> is</w:t>
      </w:r>
      <w:r w:rsidR="004B3949">
        <w:rPr>
          <w:szCs w:val="18"/>
        </w:rPr>
        <w:t xml:space="preserve"> dat niet alle kwalificerende aanvragen een beschikking zullen krijgen. D</w:t>
      </w:r>
      <w:r w:rsidR="004237B0">
        <w:rPr>
          <w:szCs w:val="18"/>
        </w:rPr>
        <w:t xml:space="preserve">at past bij </w:t>
      </w:r>
      <w:r w:rsidR="004B3949">
        <w:rPr>
          <w:szCs w:val="18"/>
        </w:rPr>
        <w:t xml:space="preserve">de SDE++ </w:t>
      </w:r>
      <w:r w:rsidR="004237B0">
        <w:rPr>
          <w:szCs w:val="18"/>
        </w:rPr>
        <w:t xml:space="preserve">die </w:t>
      </w:r>
      <w:r w:rsidR="004B3949">
        <w:rPr>
          <w:szCs w:val="18"/>
        </w:rPr>
        <w:t>is opgezet op een manier die ervoor zorgt dat kostenefficiënte projecten, die met de minste subsidie de meeste CO</w:t>
      </w:r>
      <w:r w:rsidR="004B3949">
        <w:rPr>
          <w:szCs w:val="18"/>
          <w:vertAlign w:val="subscript"/>
        </w:rPr>
        <w:t>2</w:t>
      </w:r>
      <w:r w:rsidR="004B3949">
        <w:rPr>
          <w:szCs w:val="18"/>
        </w:rPr>
        <w:t xml:space="preserve"> kunnen reduceren, als eerst</w:t>
      </w:r>
      <w:r w:rsidR="004237B0">
        <w:rPr>
          <w:szCs w:val="18"/>
        </w:rPr>
        <w:t>e</w:t>
      </w:r>
      <w:r w:rsidR="004B3949">
        <w:rPr>
          <w:szCs w:val="18"/>
        </w:rPr>
        <w:t xml:space="preserve"> een </w:t>
      </w:r>
      <w:r w:rsidR="004B3949">
        <w:rPr>
          <w:szCs w:val="18"/>
        </w:rPr>
        <w:lastRenderedPageBreak/>
        <w:t>beschikking krijgen. Het streven van het kabinet is dan ook, bij het vaststellen van het budget, om een concurrerend</w:t>
      </w:r>
      <w:r w:rsidR="004237B0">
        <w:rPr>
          <w:szCs w:val="18"/>
        </w:rPr>
        <w:t>e</w:t>
      </w:r>
      <w:r w:rsidR="004B3949">
        <w:rPr>
          <w:szCs w:val="18"/>
        </w:rPr>
        <w:t xml:space="preserve"> tender op te zetten. Deze doelstelling wordt gegeven de ruime overtekening van het budget naar alle waarschijnlijkheid gehaald. </w:t>
      </w:r>
    </w:p>
    <w:p w:rsidR="00192229" w:rsidP="004B3949" w:rsidRDefault="00192229" w14:paraId="0470D070" w14:textId="77777777">
      <w:pPr>
        <w:rPr>
          <w:szCs w:val="18"/>
        </w:rPr>
      </w:pPr>
    </w:p>
    <w:p w:rsidR="004B3949" w:rsidP="004B3949" w:rsidRDefault="004B3949" w14:paraId="0855FC8C" w14:textId="711D19B9">
      <w:pPr>
        <w:rPr>
          <w:szCs w:val="18"/>
        </w:rPr>
      </w:pPr>
      <w:r>
        <w:rPr>
          <w:szCs w:val="18"/>
        </w:rPr>
        <w:t xml:space="preserve">Overtekening van het budget in deze mate betekent ook een signaal vanuit de markt dat ondernemers kansen zien om hun bedrijfsvoering te verduurzamen. Dit signaal is belangrijk, omdat het ondersteunen van deze projecten met de SDE++ betekent dat ondernemers hun bedrijf toekomstbestendig kunnen maken en zo mee kunnen gaan met de uitdagingen van deze tijd. </w:t>
      </w:r>
      <w:r w:rsidR="00D83164">
        <w:rPr>
          <w:szCs w:val="18"/>
        </w:rPr>
        <w:t xml:space="preserve">Uitputting van het budget brengt helaas ook mee dat niet al deze projecten </w:t>
      </w:r>
      <w:r w:rsidR="00D25208">
        <w:rPr>
          <w:szCs w:val="18"/>
        </w:rPr>
        <w:t xml:space="preserve">dit jaar </w:t>
      </w:r>
      <w:r w:rsidR="00D83164">
        <w:rPr>
          <w:szCs w:val="18"/>
        </w:rPr>
        <w:t xml:space="preserve">ondersteund </w:t>
      </w:r>
      <w:r w:rsidR="00A8663F">
        <w:rPr>
          <w:szCs w:val="18"/>
        </w:rPr>
        <w:t xml:space="preserve">en uitgevoerd </w:t>
      </w:r>
      <w:r w:rsidR="00D83164">
        <w:rPr>
          <w:szCs w:val="18"/>
        </w:rPr>
        <w:t>kunnen worden.</w:t>
      </w:r>
      <w:r w:rsidR="00D25208">
        <w:rPr>
          <w:szCs w:val="18"/>
        </w:rPr>
        <w:t xml:space="preserve"> Deze ondernemers kunnen in 2026 opnieuw een aanvraag indienen.</w:t>
      </w:r>
    </w:p>
    <w:p w:rsidR="004B3949" w:rsidP="004B3949" w:rsidRDefault="004B3949" w14:paraId="5C9AF4BD" w14:textId="77777777">
      <w:pPr>
        <w:rPr>
          <w:szCs w:val="18"/>
        </w:rPr>
      </w:pPr>
    </w:p>
    <w:p w:rsidRPr="00764D73" w:rsidR="004B3949" w:rsidP="004B3949" w:rsidRDefault="004B3949" w14:paraId="65C62B6C" w14:textId="77777777">
      <w:pPr>
        <w:rPr>
          <w:i/>
          <w:iCs/>
          <w:szCs w:val="18"/>
        </w:rPr>
      </w:pPr>
      <w:r w:rsidRPr="00764D73">
        <w:rPr>
          <w:i/>
          <w:iCs/>
          <w:szCs w:val="18"/>
        </w:rPr>
        <w:t>Hekjes</w:t>
      </w:r>
    </w:p>
    <w:p w:rsidR="004B3949" w:rsidP="004B3949" w:rsidRDefault="004B3949" w14:paraId="7E7CC0A5" w14:textId="3946FDD1">
      <w:pPr>
        <w:rPr>
          <w:szCs w:val="18"/>
        </w:rPr>
      </w:pPr>
      <w:r>
        <w:rPr>
          <w:szCs w:val="18"/>
        </w:rPr>
        <w:t xml:space="preserve">Ook in de openstellingsronde van 2025 zijn </w:t>
      </w:r>
      <w:r w:rsidRPr="00A33ADB">
        <w:rPr>
          <w:szCs w:val="18"/>
        </w:rPr>
        <w:t>hekjes</w:t>
      </w:r>
      <w:r w:rsidRPr="00764D73">
        <w:rPr>
          <w:szCs w:val="18"/>
        </w:rPr>
        <w:t xml:space="preserve"> gehanteerd. Een hekje reserveert budget voor technieken met een hogere subsidie-intensiteit, waardoor deze eerder aan bod komen. Dit zijn technieken die weliswaar op de korte termijn minder kosteneffectief zijn, maar op de langere termijn noodzakelijk</w:t>
      </w:r>
      <w:r>
        <w:rPr>
          <w:szCs w:val="18"/>
        </w:rPr>
        <w:t xml:space="preserve"> zijn</w:t>
      </w:r>
      <w:r w:rsidRPr="00764D73">
        <w:rPr>
          <w:szCs w:val="18"/>
        </w:rPr>
        <w:t xml:space="preserve"> voor de energietransitie</w:t>
      </w:r>
      <w:r>
        <w:rPr>
          <w:szCs w:val="18"/>
        </w:rPr>
        <w:t>. Het is van belang</w:t>
      </w:r>
      <w:r w:rsidRPr="00764D73">
        <w:rPr>
          <w:szCs w:val="18"/>
        </w:rPr>
        <w:t xml:space="preserve"> dat de kosten </w:t>
      </w:r>
      <w:r>
        <w:rPr>
          <w:szCs w:val="18"/>
        </w:rPr>
        <w:t xml:space="preserve">van deze technieken </w:t>
      </w:r>
      <w:r w:rsidRPr="00764D73">
        <w:rPr>
          <w:szCs w:val="18"/>
        </w:rPr>
        <w:t xml:space="preserve">kunnen dalen naarmate ze meer worden ingezet. Voor aanvragen binnen de domeinen moleculen, lagetemperatuurwarmte en hogetemperatuurwarmte was er per domein € </w:t>
      </w:r>
      <w:r>
        <w:rPr>
          <w:szCs w:val="18"/>
        </w:rPr>
        <w:t>750 miljoen</w:t>
      </w:r>
      <w:r w:rsidRPr="00764D73">
        <w:rPr>
          <w:szCs w:val="18"/>
        </w:rPr>
        <w:t xml:space="preserve"> budget gereserveerd. In elk van deze domeinen is een hoger bedrag aangevraagd dan het gereserveerde bedrag. In het domein moleculen is voor ca. € </w:t>
      </w:r>
      <w:r>
        <w:rPr>
          <w:szCs w:val="18"/>
        </w:rPr>
        <w:t>6,3</w:t>
      </w:r>
      <w:r w:rsidRPr="00764D73">
        <w:rPr>
          <w:szCs w:val="18"/>
        </w:rPr>
        <w:t xml:space="preserve"> miljard aangevraagd, voor lagetemperatuurwarmte € </w:t>
      </w:r>
      <w:r>
        <w:rPr>
          <w:szCs w:val="18"/>
        </w:rPr>
        <w:t>3</w:t>
      </w:r>
      <w:r w:rsidRPr="00764D73">
        <w:rPr>
          <w:szCs w:val="18"/>
        </w:rPr>
        <w:t xml:space="preserve"> miljard en voor hogetemperatuurwarmte € </w:t>
      </w:r>
      <w:r>
        <w:rPr>
          <w:szCs w:val="18"/>
        </w:rPr>
        <w:t>1</w:t>
      </w:r>
      <w:r w:rsidRPr="00764D73">
        <w:rPr>
          <w:szCs w:val="18"/>
        </w:rPr>
        <w:t>,</w:t>
      </w:r>
      <w:r>
        <w:rPr>
          <w:szCs w:val="18"/>
        </w:rPr>
        <w:t>2</w:t>
      </w:r>
      <w:r w:rsidRPr="00764D73">
        <w:rPr>
          <w:szCs w:val="18"/>
        </w:rPr>
        <w:t xml:space="preserve"> miljard. </w:t>
      </w:r>
    </w:p>
    <w:p w:rsidR="004B3949" w:rsidP="004B3949" w:rsidRDefault="004B3949" w14:paraId="12F78829" w14:textId="3A913D4B">
      <w:pPr>
        <w:rPr>
          <w:szCs w:val="18"/>
        </w:rPr>
      </w:pPr>
      <w:r w:rsidRPr="00764D73">
        <w:rPr>
          <w:szCs w:val="18"/>
        </w:rPr>
        <w:t xml:space="preserve">Nu het openstellingsbudget </w:t>
      </w:r>
      <w:r>
        <w:rPr>
          <w:szCs w:val="18"/>
        </w:rPr>
        <w:t xml:space="preserve">naar alle waarschijnlijkheid wordt </w:t>
      </w:r>
      <w:r w:rsidRPr="00764D73">
        <w:rPr>
          <w:szCs w:val="18"/>
        </w:rPr>
        <w:t>uitgeput, hebben de hekjes invloed op de verdeling van het budget</w:t>
      </w:r>
      <w:r>
        <w:rPr>
          <w:szCs w:val="18"/>
        </w:rPr>
        <w:t xml:space="preserve">, omdat aanvragen in deze domeinen tot </w:t>
      </w:r>
      <w:r w:rsidRPr="00764D73">
        <w:rPr>
          <w:szCs w:val="18"/>
        </w:rPr>
        <w:t>€</w:t>
      </w:r>
      <w:r>
        <w:rPr>
          <w:szCs w:val="18"/>
        </w:rPr>
        <w:t xml:space="preserve"> 750 miljoen in ieder geval een beschikking krijgen</w:t>
      </w:r>
      <w:r w:rsidRPr="00764D73">
        <w:rPr>
          <w:szCs w:val="18"/>
        </w:rPr>
        <w:t>.</w:t>
      </w:r>
      <w:r>
        <w:rPr>
          <w:szCs w:val="18"/>
        </w:rPr>
        <w:t xml:space="preserve"> Dit is een positieve ontwikkeling, omdat hiermee gestuurd wordt op kostenefficiëntie van de energietransitie op middellange en lange termijn. Na beoordeling van de aanvragen door RVO zal de effectiviteit van de hekjes worden onderzocht. Hierover wordt in de </w:t>
      </w:r>
      <w:r w:rsidR="00192229">
        <w:rPr>
          <w:szCs w:val="18"/>
        </w:rPr>
        <w:t>K</w:t>
      </w:r>
      <w:r w:rsidRPr="00C2653F">
        <w:rPr>
          <w:szCs w:val="18"/>
        </w:rPr>
        <w:t xml:space="preserve">amerbrief over de definitieve resultaten van de SDE++ 2025 gerapporteerd. </w:t>
      </w:r>
    </w:p>
    <w:p w:rsidRPr="00C2653F" w:rsidR="004B3949" w:rsidP="004B3949" w:rsidRDefault="004B3949" w14:paraId="3D2F3714" w14:textId="77777777">
      <w:pPr>
        <w:rPr>
          <w:szCs w:val="18"/>
        </w:rPr>
      </w:pPr>
    </w:p>
    <w:p w:rsidRPr="00C2653F" w:rsidR="004B3949" w:rsidP="004B3949" w:rsidRDefault="004B3949" w14:paraId="5760DE38" w14:textId="77777777">
      <w:pPr>
        <w:rPr>
          <w:szCs w:val="18"/>
        </w:rPr>
      </w:pPr>
      <w:r w:rsidRPr="00C2653F">
        <w:rPr>
          <w:b/>
          <w:bCs/>
          <w:szCs w:val="18"/>
        </w:rPr>
        <w:t>Duurzaamheidscriteria voor bestaande subsidiebeschikkingen</w:t>
      </w:r>
    </w:p>
    <w:p w:rsidR="00CA7573" w:rsidP="00CA7573" w:rsidRDefault="00CA7573" w14:paraId="7307C89C" w14:textId="77777777">
      <w:pPr>
        <w:rPr>
          <w:szCs w:val="18"/>
        </w:rPr>
      </w:pPr>
      <w:r w:rsidRPr="00C2653F">
        <w:rPr>
          <w:szCs w:val="18"/>
        </w:rPr>
        <w:t xml:space="preserve">Bedrijven met een subsidiebeschikking voor de bij- en meestook van vaste biomassa of voor het opwekken van industriële stoom of warmte met vaste biomassa moeten aan Nederlandse duurzaamheidscriteria voor biomassa voldoen. </w:t>
      </w:r>
      <w:r>
        <w:rPr>
          <w:szCs w:val="18"/>
        </w:rPr>
        <w:t xml:space="preserve">Deze duurzaamheidscriteria vinden hun oorsprong in de tijd van het sluiten van het Energieakkoord. </w:t>
      </w:r>
      <w:r w:rsidRPr="00C2653F">
        <w:rPr>
          <w:szCs w:val="18"/>
        </w:rPr>
        <w:t>De</w:t>
      </w:r>
      <w:r>
        <w:rPr>
          <w:szCs w:val="18"/>
        </w:rPr>
        <w:t xml:space="preserve"> Nederlandse duurzaamheids</w:t>
      </w:r>
      <w:r w:rsidRPr="00C2653F">
        <w:rPr>
          <w:szCs w:val="18"/>
        </w:rPr>
        <w:t xml:space="preserve">criteria zijn vastgelegd in de ‘Regeling conformiteitsbeoordeling vaste biomassa voor energietoepassingen’. </w:t>
      </w:r>
      <w:r w:rsidRPr="000539F5">
        <w:rPr>
          <w:szCs w:val="18"/>
        </w:rPr>
        <w:t xml:space="preserve">De minister van Economische Zaken heeft in september jl. een nieuwe aanpak aangekondigd voor het verminderen van onnodige of tegenstrijdige regels voor bedrijven. In dat kader is het kabinet begonnen met </w:t>
      </w:r>
      <w:r>
        <w:rPr>
          <w:szCs w:val="18"/>
        </w:rPr>
        <w:t>het oppakken van de verplichtingen die leiden tot de meest merkbare regeldrukvermindering voor ondernemers, met als doel het schrappen of verminderen van de regeldruk met 500 regels voor de zomer van 2026</w:t>
      </w:r>
      <w:r>
        <w:rPr>
          <w:rStyle w:val="Voetnootmarkering"/>
          <w:szCs w:val="18"/>
        </w:rPr>
        <w:footnoteReference w:id="2"/>
      </w:r>
      <w:r>
        <w:rPr>
          <w:szCs w:val="18"/>
        </w:rPr>
        <w:t xml:space="preserve">. </w:t>
      </w:r>
    </w:p>
    <w:p w:rsidR="00CA7573" w:rsidP="00CA7573" w:rsidRDefault="00CA7573" w14:paraId="0CA7F3E6" w14:textId="77777777">
      <w:pPr>
        <w:rPr>
          <w:szCs w:val="18"/>
        </w:rPr>
      </w:pPr>
    </w:p>
    <w:p w:rsidRPr="00C2653F" w:rsidR="00CA7573" w:rsidP="00CA7573" w:rsidRDefault="00CA7573" w14:paraId="22446F56" w14:textId="48D5E8CD">
      <w:pPr>
        <w:rPr>
          <w:szCs w:val="18"/>
        </w:rPr>
      </w:pPr>
      <w:r w:rsidRPr="00C2653F">
        <w:rPr>
          <w:szCs w:val="18"/>
        </w:rPr>
        <w:t>De afgelopen</w:t>
      </w:r>
      <w:r>
        <w:rPr>
          <w:szCs w:val="18"/>
        </w:rPr>
        <w:t xml:space="preserve"> tijd</w:t>
      </w:r>
      <w:r w:rsidRPr="00C2653F">
        <w:rPr>
          <w:szCs w:val="18"/>
        </w:rPr>
        <w:t xml:space="preserve"> </w:t>
      </w:r>
      <w:r>
        <w:rPr>
          <w:szCs w:val="18"/>
        </w:rPr>
        <w:t xml:space="preserve">heeft het </w:t>
      </w:r>
      <w:r w:rsidR="00192229">
        <w:rPr>
          <w:szCs w:val="18"/>
        </w:rPr>
        <w:t>k</w:t>
      </w:r>
      <w:r>
        <w:rPr>
          <w:szCs w:val="18"/>
        </w:rPr>
        <w:t xml:space="preserve">abinet in dat kader </w:t>
      </w:r>
      <w:r w:rsidRPr="00C2653F">
        <w:rPr>
          <w:szCs w:val="18"/>
        </w:rPr>
        <w:t>gesprekken gevoerd over een mogelijkheid om voor het aantonen van deze duurzaamheid van de biomassa over te stappen naar de</w:t>
      </w:r>
      <w:r>
        <w:rPr>
          <w:szCs w:val="18"/>
        </w:rPr>
        <w:t xml:space="preserve"> hiervoor geldende</w:t>
      </w:r>
      <w:r w:rsidRPr="00C2653F">
        <w:rPr>
          <w:szCs w:val="18"/>
        </w:rPr>
        <w:t xml:space="preserve"> eisen</w:t>
      </w:r>
      <w:r>
        <w:rPr>
          <w:szCs w:val="18"/>
        </w:rPr>
        <w:t xml:space="preserve"> uit</w:t>
      </w:r>
      <w:r w:rsidRPr="00C2653F">
        <w:rPr>
          <w:szCs w:val="18"/>
        </w:rPr>
        <w:t xml:space="preserve"> de Europese Richtlijn hernieuwbare </w:t>
      </w:r>
      <w:r w:rsidRPr="00C2653F">
        <w:rPr>
          <w:szCs w:val="18"/>
        </w:rPr>
        <w:lastRenderedPageBreak/>
        <w:t xml:space="preserve">energie (RED). </w:t>
      </w:r>
      <w:r>
        <w:rPr>
          <w:szCs w:val="18"/>
        </w:rPr>
        <w:t>Deze eisen zijn nu strenger dan de Nederlandse eisen en het scheelt regeldruk voor bedrijven en de overheid als niet langer twee systemen naast elkaar gehanteerd worden.</w:t>
      </w:r>
      <w:r w:rsidRPr="00C2653F">
        <w:rPr>
          <w:szCs w:val="18"/>
        </w:rPr>
        <w:t xml:space="preserve"> </w:t>
      </w:r>
      <w:r w:rsidRPr="00C2653F" w:rsidR="00181D24">
        <w:rPr>
          <w:szCs w:val="18"/>
        </w:rPr>
        <w:t>Alle marktpartijen voor wie dit relevant is hebben inmiddels laten weten dat zij de vrijwillige overstap</w:t>
      </w:r>
      <w:r w:rsidR="00181D24">
        <w:rPr>
          <w:szCs w:val="18"/>
        </w:rPr>
        <w:t xml:space="preserve"> naar de Europese regels</w:t>
      </w:r>
      <w:r w:rsidRPr="00C2653F" w:rsidR="00181D24">
        <w:rPr>
          <w:szCs w:val="18"/>
        </w:rPr>
        <w:t xml:space="preserve"> per 1 januari 2026 willen maken. </w:t>
      </w:r>
      <w:r>
        <w:rPr>
          <w:szCs w:val="18"/>
        </w:rPr>
        <w:t xml:space="preserve">Deze overstap moet vrijwillig plaatsvinden omdat het om een aanpassing van de voorwaarden van reeds beschikte subsidies gaat. </w:t>
      </w:r>
      <w:r w:rsidR="00192229">
        <w:rPr>
          <w:szCs w:val="18"/>
        </w:rPr>
        <w:t>Het kabinet is</w:t>
      </w:r>
      <w:r w:rsidRPr="00C2653F">
        <w:rPr>
          <w:szCs w:val="18"/>
        </w:rPr>
        <w:t xml:space="preserve"> voornemens om de regelgeving hierover daarop aan te passen. Deze wijzigingen zijn naar verwachting niet voor 1 januari 2026 gereed, maar zijn beoogd om op een later moment in 2026 te worden gepubliceerd met terugwerkende kracht tot 1 januari 2026.</w:t>
      </w:r>
    </w:p>
    <w:p w:rsidR="004B3949" w:rsidP="004B3949" w:rsidRDefault="004B3949" w14:paraId="5BB9DC50" w14:textId="77777777">
      <w:pPr>
        <w:rPr>
          <w:i/>
          <w:iCs/>
          <w:szCs w:val="18"/>
        </w:rPr>
      </w:pPr>
    </w:p>
    <w:p w:rsidRPr="0041584B" w:rsidR="004B3949" w:rsidP="004B3949" w:rsidRDefault="004B3949" w14:paraId="0445C381" w14:textId="77777777">
      <w:pPr>
        <w:rPr>
          <w:i/>
          <w:iCs/>
          <w:szCs w:val="18"/>
        </w:rPr>
      </w:pPr>
      <w:r w:rsidRPr="0041584B">
        <w:rPr>
          <w:i/>
          <w:iCs/>
          <w:szCs w:val="18"/>
        </w:rPr>
        <w:t>Tot slot</w:t>
      </w:r>
    </w:p>
    <w:p w:rsidR="004B3949" w:rsidP="004B3949" w:rsidRDefault="004B3949" w14:paraId="0369E88F" w14:textId="77777777">
      <w:pPr>
        <w:rPr>
          <w:szCs w:val="18"/>
        </w:rPr>
      </w:pPr>
      <w:r>
        <w:rPr>
          <w:szCs w:val="18"/>
        </w:rPr>
        <w:t>Het kabinet</w:t>
      </w:r>
      <w:r w:rsidRPr="0041584B">
        <w:rPr>
          <w:szCs w:val="18"/>
        </w:rPr>
        <w:t xml:space="preserve"> verwacht de Kamer medio 202</w:t>
      </w:r>
      <w:r>
        <w:rPr>
          <w:szCs w:val="18"/>
        </w:rPr>
        <w:t>6</w:t>
      </w:r>
      <w:r w:rsidRPr="0041584B">
        <w:rPr>
          <w:szCs w:val="18"/>
        </w:rPr>
        <w:t xml:space="preserve"> over de definitieve resultaten van de SDE++ 202</w:t>
      </w:r>
      <w:r>
        <w:rPr>
          <w:szCs w:val="18"/>
        </w:rPr>
        <w:t>5</w:t>
      </w:r>
      <w:r w:rsidRPr="0041584B">
        <w:rPr>
          <w:szCs w:val="18"/>
        </w:rPr>
        <w:t xml:space="preserve"> te kunnen informeren. Momenteel wordt</w:t>
      </w:r>
      <w:r>
        <w:rPr>
          <w:szCs w:val="18"/>
        </w:rPr>
        <w:t xml:space="preserve"> ook</w:t>
      </w:r>
      <w:r w:rsidRPr="0041584B">
        <w:rPr>
          <w:szCs w:val="18"/>
        </w:rPr>
        <w:t xml:space="preserve"> de openstellingsronde van de SDE++ van 202</w:t>
      </w:r>
      <w:r>
        <w:rPr>
          <w:szCs w:val="18"/>
        </w:rPr>
        <w:t>6</w:t>
      </w:r>
      <w:r w:rsidRPr="0041584B">
        <w:rPr>
          <w:szCs w:val="18"/>
        </w:rPr>
        <w:t xml:space="preserve"> voorbereid. Over de precieze invulling van de openstellingsronde wordt de Kamer zoals gebruikelijk begin 202</w:t>
      </w:r>
      <w:r>
        <w:rPr>
          <w:szCs w:val="18"/>
        </w:rPr>
        <w:t>6</w:t>
      </w:r>
      <w:r w:rsidRPr="0041584B">
        <w:rPr>
          <w:szCs w:val="18"/>
        </w:rPr>
        <w:t xml:space="preserve"> geïnformeerd.</w:t>
      </w:r>
    </w:p>
    <w:p w:rsidR="004B3949" w:rsidP="004B3949" w:rsidRDefault="004B3949" w14:paraId="110B6E60" w14:textId="77777777">
      <w:pPr>
        <w:rPr>
          <w:szCs w:val="18"/>
        </w:rPr>
      </w:pPr>
    </w:p>
    <w:p w:rsidR="004B3949" w:rsidP="004B3949" w:rsidRDefault="004B3949" w14:paraId="7E9603BB" w14:textId="77777777">
      <w:pPr>
        <w:rPr>
          <w:szCs w:val="18"/>
        </w:rPr>
      </w:pPr>
    </w:p>
    <w:p w:rsidR="00D22441" w:rsidP="00810C93" w:rsidRDefault="00D22441" w14:paraId="237AADE3" w14:textId="77777777"/>
    <w:p w:rsidR="00D22441" w:rsidP="00810C93" w:rsidRDefault="00D22441" w14:paraId="346DA7CB" w14:textId="77777777"/>
    <w:p w:rsidR="00292EB2" w:rsidRDefault="00292EB2" w14:paraId="6DCAF7C7" w14:textId="77777777">
      <w:pPr>
        <w:spacing w:line="240" w:lineRule="auto"/>
      </w:pPr>
    </w:p>
    <w:p w:rsidR="00D22441" w:rsidP="00810C93" w:rsidRDefault="004140B1" w14:paraId="1CD04FAA" w14:textId="77777777">
      <w:pPr>
        <w:rPr>
          <w:szCs w:val="18"/>
        </w:rPr>
      </w:pPr>
      <w:r w:rsidRPr="005461DA">
        <w:rPr>
          <w:szCs w:val="18"/>
        </w:rPr>
        <w:t>Sophie Hermans</w:t>
      </w:r>
    </w:p>
    <w:p w:rsidRPr="005461DA" w:rsidR="004E505E" w:rsidP="00524FB4" w:rsidRDefault="004140B1" w14:paraId="7E8CFC65" w14:textId="77777777">
      <w:pPr>
        <w:rPr>
          <w:szCs w:val="18"/>
        </w:rPr>
      </w:pPr>
      <w:r>
        <w:rPr>
          <w:szCs w:val="18"/>
        </w:rPr>
        <w:t>Minister van Klimaat en Groene Groei</w:t>
      </w:r>
    </w:p>
    <w:p w:rsidR="00BC222D" w:rsidP="00810C93" w:rsidRDefault="00BC222D" w14:paraId="01BBA2DF" w14:textId="77777777"/>
    <w:p w:rsidR="00BC222D" w:rsidP="00810C93" w:rsidRDefault="00BC222D" w14:paraId="1663FDBC" w14:textId="77777777"/>
    <w:p w:rsidR="00BC222D" w:rsidP="00810C93" w:rsidRDefault="00BC222D" w14:paraId="1509DC09" w14:textId="77777777"/>
    <w:p w:rsidR="00BC222D" w:rsidP="00810C93" w:rsidRDefault="00BC222D" w14:paraId="364AFB5E" w14:textId="77777777"/>
    <w:p w:rsidR="00BC222D" w:rsidP="00810C93" w:rsidRDefault="00BC222D" w14:paraId="759A2487" w14:textId="77777777"/>
    <w:p w:rsidR="00BC222D" w:rsidP="00810C93" w:rsidRDefault="00BC222D" w14:paraId="35785803" w14:textId="77777777"/>
    <w:p w:rsidR="00BC222D" w:rsidP="00810C93" w:rsidRDefault="00BC222D" w14:paraId="64D5466D" w14:textId="77777777"/>
    <w:p w:rsidR="00BC222D" w:rsidP="00810C93" w:rsidRDefault="00BC222D" w14:paraId="64FBAD8B" w14:textId="77777777"/>
    <w:p w:rsidR="00BC222D" w:rsidP="00810C93" w:rsidRDefault="00BC222D" w14:paraId="263DA78E" w14:textId="77777777"/>
    <w:p w:rsidR="00BC222D" w:rsidP="00810C93" w:rsidRDefault="00BC222D" w14:paraId="2651C84E" w14:textId="77777777"/>
    <w:p w:rsidR="00BC222D" w:rsidP="00810C93" w:rsidRDefault="00BC222D" w14:paraId="2A7E2A62" w14:textId="77777777"/>
    <w:p w:rsidR="00BC222D" w:rsidP="00810C93" w:rsidRDefault="00BC222D" w14:paraId="452CC778" w14:textId="77777777"/>
    <w:p w:rsidR="00BC222D" w:rsidP="00810C93" w:rsidRDefault="00BC222D" w14:paraId="61ED2693" w14:textId="77777777"/>
    <w:p w:rsidR="00BC222D" w:rsidP="00810C93" w:rsidRDefault="00BC222D" w14:paraId="61EDC964" w14:textId="77777777"/>
    <w:sectPr w:rsidR="00BC222D"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677E1" w14:textId="77777777" w:rsidR="00611BFB" w:rsidRDefault="00611BFB">
      <w:r>
        <w:separator/>
      </w:r>
    </w:p>
    <w:p w14:paraId="1A81A7B7" w14:textId="77777777" w:rsidR="00611BFB" w:rsidRDefault="00611BFB"/>
  </w:endnote>
  <w:endnote w:type="continuationSeparator" w:id="0">
    <w:p w14:paraId="10DFEEE0" w14:textId="77777777" w:rsidR="00611BFB" w:rsidRDefault="00611BFB">
      <w:r>
        <w:continuationSeparator/>
      </w:r>
    </w:p>
    <w:p w14:paraId="79DBB6CD" w14:textId="77777777" w:rsidR="00611BFB" w:rsidRDefault="00611B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0D12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05AC8" w14:paraId="1CF626F0" w14:textId="77777777" w:rsidTr="00CA6A25">
      <w:trPr>
        <w:trHeight w:hRule="exact" w:val="240"/>
      </w:trPr>
      <w:tc>
        <w:tcPr>
          <w:tcW w:w="7601" w:type="dxa"/>
        </w:tcPr>
        <w:p w14:paraId="78B41A75" w14:textId="77777777" w:rsidR="00527BD4" w:rsidRDefault="00527BD4" w:rsidP="003F1F6B">
          <w:pPr>
            <w:pStyle w:val="Huisstijl-Rubricering"/>
          </w:pPr>
        </w:p>
      </w:tc>
      <w:tc>
        <w:tcPr>
          <w:tcW w:w="2156" w:type="dxa"/>
        </w:tcPr>
        <w:p w14:paraId="3067E62D" w14:textId="2DDA28E3" w:rsidR="00527BD4" w:rsidRPr="00645414" w:rsidRDefault="004140B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2E591D">
            <w:t>4</w:t>
          </w:r>
          <w:r w:rsidR="00BC222D">
            <w:fldChar w:fldCharType="end"/>
          </w:r>
        </w:p>
      </w:tc>
    </w:tr>
  </w:tbl>
  <w:p w14:paraId="2A408FD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05AC8" w14:paraId="32D6DEED" w14:textId="77777777" w:rsidTr="00CA6A25">
      <w:trPr>
        <w:trHeight w:hRule="exact" w:val="240"/>
      </w:trPr>
      <w:tc>
        <w:tcPr>
          <w:tcW w:w="7601" w:type="dxa"/>
        </w:tcPr>
        <w:p w14:paraId="0480578E" w14:textId="77777777" w:rsidR="00527BD4" w:rsidRDefault="00527BD4" w:rsidP="008C356D">
          <w:pPr>
            <w:pStyle w:val="Huisstijl-Rubricering"/>
          </w:pPr>
        </w:p>
      </w:tc>
      <w:tc>
        <w:tcPr>
          <w:tcW w:w="2170" w:type="dxa"/>
        </w:tcPr>
        <w:p w14:paraId="4AAB9097" w14:textId="24CA66F3" w:rsidR="00527BD4" w:rsidRPr="00ED539E" w:rsidRDefault="004140B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3A1B">
            <w:fldChar w:fldCharType="begin"/>
          </w:r>
          <w:r>
            <w:instrText xml:space="preserve"> SECTIONPAGES   \* MERGEFORMAT </w:instrText>
          </w:r>
          <w:r w:rsidR="00BC3A1B">
            <w:fldChar w:fldCharType="separate"/>
          </w:r>
          <w:r w:rsidR="002E591D">
            <w:t>4</w:t>
          </w:r>
          <w:r w:rsidR="00BC3A1B">
            <w:fldChar w:fldCharType="end"/>
          </w:r>
        </w:p>
      </w:tc>
    </w:tr>
  </w:tbl>
  <w:p w14:paraId="7832FD6A" w14:textId="77777777" w:rsidR="00527BD4" w:rsidRPr="00BC3B53" w:rsidRDefault="00527BD4" w:rsidP="008C356D">
    <w:pPr>
      <w:pStyle w:val="Voettekst"/>
      <w:spacing w:line="240" w:lineRule="auto"/>
      <w:rPr>
        <w:sz w:val="2"/>
        <w:szCs w:val="2"/>
      </w:rPr>
    </w:pPr>
  </w:p>
  <w:p w14:paraId="5730CB1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14BB3" w14:textId="77777777" w:rsidR="00611BFB" w:rsidRDefault="00611BFB">
      <w:r>
        <w:separator/>
      </w:r>
    </w:p>
    <w:p w14:paraId="3671C85A" w14:textId="77777777" w:rsidR="00611BFB" w:rsidRDefault="00611BFB"/>
  </w:footnote>
  <w:footnote w:type="continuationSeparator" w:id="0">
    <w:p w14:paraId="52AB9401" w14:textId="77777777" w:rsidR="00611BFB" w:rsidRDefault="00611BFB">
      <w:r>
        <w:continuationSeparator/>
      </w:r>
    </w:p>
    <w:p w14:paraId="1B59C6D4" w14:textId="77777777" w:rsidR="00611BFB" w:rsidRDefault="00611BFB"/>
  </w:footnote>
  <w:footnote w:id="1">
    <w:p w14:paraId="73AAA1E8" w14:textId="77777777" w:rsidR="004B3949" w:rsidRPr="001F4674" w:rsidRDefault="004B3949" w:rsidP="004B3949">
      <w:pPr>
        <w:pStyle w:val="Voetnoottekst"/>
        <w:rPr>
          <w:szCs w:val="13"/>
        </w:rPr>
      </w:pPr>
      <w:r w:rsidRPr="001F4674">
        <w:rPr>
          <w:rStyle w:val="Voetnootmarkering"/>
          <w:szCs w:val="13"/>
        </w:rPr>
        <w:footnoteRef/>
      </w:r>
      <w:r w:rsidRPr="001F4674">
        <w:rPr>
          <w:szCs w:val="13"/>
        </w:rPr>
        <w:t xml:space="preserve"> Het openstellingsbudget geeft de maximale subsidie weer die alle projecten gezamenlijk over de gehele looptijd van de beschikking kunnen ontvangen. De werkelijke kasuitgaven aan de SDE++ zijn naar verwachting lager. Die hangen namelijk af van de marktwaarde van energie en CO</w:t>
      </w:r>
      <w:r w:rsidRPr="001F4674">
        <w:rPr>
          <w:szCs w:val="13"/>
          <w:vertAlign w:val="subscript"/>
        </w:rPr>
        <w:t>2</w:t>
      </w:r>
      <w:r w:rsidRPr="001F4674">
        <w:rPr>
          <w:szCs w:val="13"/>
        </w:rPr>
        <w:t>, de daadwerkelijke realisatie van beschikte projecten en de hoeveelheid energie die geproduceerd wordt of CO</w:t>
      </w:r>
      <w:r w:rsidRPr="001F4674">
        <w:rPr>
          <w:szCs w:val="13"/>
          <w:vertAlign w:val="subscript"/>
        </w:rPr>
        <w:t>2</w:t>
      </w:r>
      <w:r w:rsidRPr="001F4674">
        <w:rPr>
          <w:szCs w:val="13"/>
        </w:rPr>
        <w:t xml:space="preserve"> die gereduceerd wordt.</w:t>
      </w:r>
    </w:p>
  </w:footnote>
  <w:footnote w:id="2">
    <w:p w14:paraId="7FD31916" w14:textId="77777777" w:rsidR="00CA7573" w:rsidRPr="001F4674" w:rsidRDefault="00CA7573" w:rsidP="00CA7573">
      <w:pPr>
        <w:pStyle w:val="Voetnoottekst"/>
        <w:rPr>
          <w:szCs w:val="13"/>
        </w:rPr>
      </w:pPr>
      <w:r w:rsidRPr="001F4674">
        <w:rPr>
          <w:rStyle w:val="Voetnootmarkering"/>
          <w:szCs w:val="13"/>
        </w:rPr>
        <w:footnoteRef/>
      </w:r>
      <w:r w:rsidRPr="001F4674">
        <w:rPr>
          <w:szCs w:val="13"/>
        </w:rPr>
        <w:t xml:space="preserve"> Kamerstuk 32 637, nr. 706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05AC8" w14:paraId="5916B86A" w14:textId="77777777" w:rsidTr="00A50CF6">
      <w:tc>
        <w:tcPr>
          <w:tcW w:w="2156" w:type="dxa"/>
        </w:tcPr>
        <w:p w14:paraId="7E53349F" w14:textId="77777777" w:rsidR="00527BD4" w:rsidRPr="005819CE" w:rsidRDefault="004140B1" w:rsidP="00A50CF6">
          <w:pPr>
            <w:pStyle w:val="Huisstijl-Adres"/>
            <w:rPr>
              <w:b/>
            </w:rPr>
          </w:pPr>
          <w:r>
            <w:rPr>
              <w:b/>
            </w:rPr>
            <w:t>Klimaat en groene Groei</w:t>
          </w:r>
          <w:r w:rsidRPr="005819CE">
            <w:rPr>
              <w:b/>
            </w:rPr>
            <w:br/>
          </w:r>
        </w:p>
      </w:tc>
    </w:tr>
    <w:tr w:rsidR="00705AC8" w14:paraId="3A969B31" w14:textId="77777777" w:rsidTr="00A50CF6">
      <w:trPr>
        <w:trHeight w:hRule="exact" w:val="200"/>
      </w:trPr>
      <w:tc>
        <w:tcPr>
          <w:tcW w:w="2156" w:type="dxa"/>
        </w:tcPr>
        <w:p w14:paraId="57AD9E16" w14:textId="77777777" w:rsidR="00527BD4" w:rsidRPr="005819CE" w:rsidRDefault="00527BD4" w:rsidP="00A50CF6"/>
      </w:tc>
    </w:tr>
    <w:tr w:rsidR="00705AC8" w14:paraId="336BA13D" w14:textId="77777777" w:rsidTr="00502512">
      <w:trPr>
        <w:trHeight w:hRule="exact" w:val="774"/>
      </w:trPr>
      <w:tc>
        <w:tcPr>
          <w:tcW w:w="2156" w:type="dxa"/>
        </w:tcPr>
        <w:p w14:paraId="3ECC818A" w14:textId="77777777" w:rsidR="00527BD4" w:rsidRDefault="004140B1" w:rsidP="003A5290">
          <w:pPr>
            <w:pStyle w:val="Huisstijl-Kopje"/>
          </w:pPr>
          <w:r>
            <w:t>Ons kenmerk</w:t>
          </w:r>
        </w:p>
        <w:p w14:paraId="469263B3" w14:textId="77777777" w:rsidR="00502512" w:rsidRPr="00502512" w:rsidRDefault="004140B1" w:rsidP="003A5290">
          <w:pPr>
            <w:pStyle w:val="Huisstijl-Kopje"/>
            <w:rPr>
              <w:b w:val="0"/>
            </w:rPr>
          </w:pPr>
          <w:r>
            <w:rPr>
              <w:b w:val="0"/>
            </w:rPr>
            <w:t>KGG</w:t>
          </w:r>
          <w:r w:rsidRPr="00502512">
            <w:rPr>
              <w:b w:val="0"/>
            </w:rPr>
            <w:t xml:space="preserve"> / </w:t>
          </w:r>
          <w:r>
            <w:rPr>
              <w:b w:val="0"/>
            </w:rPr>
            <w:t>102521932</w:t>
          </w:r>
        </w:p>
        <w:p w14:paraId="79079853" w14:textId="77777777" w:rsidR="00527BD4" w:rsidRPr="005819CE" w:rsidRDefault="00527BD4" w:rsidP="00361A56">
          <w:pPr>
            <w:pStyle w:val="Huisstijl-Kopje"/>
          </w:pPr>
        </w:p>
      </w:tc>
    </w:tr>
  </w:tbl>
  <w:p w14:paraId="4315690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05AC8" w14:paraId="64A3447A" w14:textId="77777777" w:rsidTr="00751A6A">
      <w:trPr>
        <w:trHeight w:val="2636"/>
      </w:trPr>
      <w:tc>
        <w:tcPr>
          <w:tcW w:w="737" w:type="dxa"/>
        </w:tcPr>
        <w:p w14:paraId="0F5C9C92" w14:textId="77777777" w:rsidR="00527BD4" w:rsidRDefault="00527BD4" w:rsidP="00D0609E">
          <w:pPr>
            <w:framePr w:w="6340" w:h="2750" w:hRule="exact" w:hSpace="180" w:wrap="around" w:vAnchor="page" w:hAnchor="text" w:x="3873" w:y="-140"/>
            <w:spacing w:line="240" w:lineRule="auto"/>
          </w:pPr>
        </w:p>
      </w:tc>
      <w:tc>
        <w:tcPr>
          <w:tcW w:w="5156" w:type="dxa"/>
        </w:tcPr>
        <w:p w14:paraId="6EEF3593" w14:textId="77777777" w:rsidR="00527BD4" w:rsidRDefault="004140B1"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6C2D4E6C" wp14:editId="21266D89">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69E72C81" w14:textId="77777777" w:rsidR="007269E3" w:rsidRDefault="007269E3" w:rsidP="00651CEE">
          <w:pPr>
            <w:framePr w:w="6340" w:h="2750" w:hRule="exact" w:hSpace="180" w:wrap="around" w:vAnchor="page" w:hAnchor="text" w:x="3873" w:y="-140"/>
            <w:spacing w:line="240" w:lineRule="auto"/>
          </w:pPr>
        </w:p>
      </w:tc>
    </w:tr>
  </w:tbl>
  <w:p w14:paraId="6686E093" w14:textId="77777777" w:rsidR="00527BD4" w:rsidRDefault="00527BD4" w:rsidP="00D0609E">
    <w:pPr>
      <w:framePr w:w="6340" w:h="2750" w:hRule="exact" w:hSpace="180" w:wrap="around" w:vAnchor="page" w:hAnchor="text" w:x="3873" w:y="-140"/>
    </w:pPr>
  </w:p>
  <w:p w14:paraId="5F62429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05AC8" w:rsidRPr="00192229" w14:paraId="38F8503E" w14:textId="77777777" w:rsidTr="00A50CF6">
      <w:tc>
        <w:tcPr>
          <w:tcW w:w="2160" w:type="dxa"/>
        </w:tcPr>
        <w:p w14:paraId="57A176DE" w14:textId="77777777" w:rsidR="00527BD4" w:rsidRPr="005819CE" w:rsidRDefault="004140B1" w:rsidP="00A50CF6">
          <w:pPr>
            <w:pStyle w:val="Huisstijl-Adres"/>
            <w:rPr>
              <w:b/>
            </w:rPr>
          </w:pPr>
          <w:r>
            <w:rPr>
              <w:b/>
            </w:rPr>
            <w:t>Klimaat en groene Groei</w:t>
          </w:r>
          <w:r w:rsidRPr="005819CE">
            <w:rPr>
              <w:b/>
            </w:rPr>
            <w:br/>
          </w:r>
        </w:p>
        <w:p w14:paraId="6859FE95" w14:textId="77777777" w:rsidR="00527BD4" w:rsidRPr="00BE5ED9" w:rsidRDefault="004140B1" w:rsidP="00A50CF6">
          <w:pPr>
            <w:pStyle w:val="Huisstijl-Adres"/>
          </w:pPr>
          <w:r>
            <w:rPr>
              <w:b/>
            </w:rPr>
            <w:t>Bezoekadres</w:t>
          </w:r>
          <w:r>
            <w:rPr>
              <w:b/>
            </w:rPr>
            <w:br/>
          </w:r>
          <w:r>
            <w:t>Bezuidenhoutseweg 73</w:t>
          </w:r>
          <w:r w:rsidRPr="005819CE">
            <w:br/>
          </w:r>
          <w:r>
            <w:t>2594 AC Den Haag</w:t>
          </w:r>
        </w:p>
        <w:p w14:paraId="5F889576" w14:textId="77777777" w:rsidR="00EF495B" w:rsidRDefault="004140B1" w:rsidP="0098788A">
          <w:pPr>
            <w:pStyle w:val="Huisstijl-Adres"/>
          </w:pPr>
          <w:r>
            <w:rPr>
              <w:b/>
            </w:rPr>
            <w:t>Postadres</w:t>
          </w:r>
          <w:r>
            <w:rPr>
              <w:b/>
            </w:rPr>
            <w:br/>
          </w:r>
          <w:r>
            <w:t>Postbus 20401</w:t>
          </w:r>
          <w:r w:rsidRPr="005819CE">
            <w:br/>
            <w:t>2500 E</w:t>
          </w:r>
          <w:r>
            <w:t>K</w:t>
          </w:r>
          <w:r w:rsidRPr="005819CE">
            <w:t xml:space="preserve"> Den Haag</w:t>
          </w:r>
        </w:p>
        <w:p w14:paraId="15DAA8F6" w14:textId="77777777" w:rsidR="00EF495B" w:rsidRPr="005B3814" w:rsidRDefault="004140B1" w:rsidP="0098788A">
          <w:pPr>
            <w:pStyle w:val="Huisstijl-Adres"/>
          </w:pPr>
          <w:r>
            <w:rPr>
              <w:b/>
            </w:rPr>
            <w:t>Overheidsidentificatienr</w:t>
          </w:r>
          <w:r>
            <w:rPr>
              <w:b/>
            </w:rPr>
            <w:br/>
          </w:r>
          <w:r w:rsidR="002D0DDB" w:rsidRPr="002D0DDB">
            <w:t>00000003952069570000</w:t>
          </w:r>
        </w:p>
        <w:p w14:paraId="533BD21C" w14:textId="2AC6E8CC" w:rsidR="00527BD4" w:rsidRPr="001F4674" w:rsidRDefault="004140B1"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705AC8" w:rsidRPr="00192229" w14:paraId="785F72A5" w14:textId="77777777" w:rsidTr="00A50CF6">
      <w:trPr>
        <w:trHeight w:hRule="exact" w:val="200"/>
      </w:trPr>
      <w:tc>
        <w:tcPr>
          <w:tcW w:w="2160" w:type="dxa"/>
        </w:tcPr>
        <w:p w14:paraId="292B2CB9" w14:textId="77777777" w:rsidR="00527BD4" w:rsidRPr="001F4674" w:rsidRDefault="00527BD4" w:rsidP="00A50CF6"/>
      </w:tc>
    </w:tr>
    <w:tr w:rsidR="00705AC8" w14:paraId="30CB7446" w14:textId="77777777" w:rsidTr="00A50CF6">
      <w:tc>
        <w:tcPr>
          <w:tcW w:w="2160" w:type="dxa"/>
        </w:tcPr>
        <w:p w14:paraId="00BE220D" w14:textId="77777777" w:rsidR="000C0163" w:rsidRPr="005819CE" w:rsidRDefault="004140B1" w:rsidP="000C0163">
          <w:pPr>
            <w:pStyle w:val="Huisstijl-Kopje"/>
          </w:pPr>
          <w:r>
            <w:t>Ons kenmerk</w:t>
          </w:r>
          <w:r w:rsidRPr="005819CE">
            <w:t xml:space="preserve"> </w:t>
          </w:r>
        </w:p>
        <w:p w14:paraId="60C2EB58" w14:textId="275E7F3F" w:rsidR="00527BD4" w:rsidRPr="005819CE" w:rsidRDefault="004140B1" w:rsidP="001F4674">
          <w:pPr>
            <w:pStyle w:val="Huisstijl-Gegeven"/>
          </w:pPr>
          <w:r>
            <w:t>KGG</w:t>
          </w:r>
          <w:r w:rsidR="00926AE2">
            <w:t xml:space="preserve"> / </w:t>
          </w:r>
          <w:r>
            <w:t>102521932</w:t>
          </w:r>
        </w:p>
      </w:tc>
    </w:tr>
  </w:tbl>
  <w:p w14:paraId="08386B1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05AC8" w14:paraId="4340EEAB" w14:textId="77777777" w:rsidTr="007610AA">
      <w:trPr>
        <w:trHeight w:val="400"/>
      </w:trPr>
      <w:tc>
        <w:tcPr>
          <w:tcW w:w="7520" w:type="dxa"/>
          <w:gridSpan w:val="2"/>
        </w:tcPr>
        <w:p w14:paraId="7770F3AB" w14:textId="77777777" w:rsidR="00527BD4" w:rsidRPr="00BC3B53" w:rsidRDefault="004140B1" w:rsidP="00A50CF6">
          <w:pPr>
            <w:pStyle w:val="Huisstijl-Retouradres"/>
          </w:pPr>
          <w:r>
            <w:t>&gt; Retouradres Postbus 20401 2500 EK Den Haag</w:t>
          </w:r>
        </w:p>
      </w:tc>
    </w:tr>
    <w:tr w:rsidR="00705AC8" w14:paraId="7B76DD32" w14:textId="77777777" w:rsidTr="007610AA">
      <w:tc>
        <w:tcPr>
          <w:tcW w:w="7520" w:type="dxa"/>
          <w:gridSpan w:val="2"/>
        </w:tcPr>
        <w:p w14:paraId="2D10E03A" w14:textId="77777777" w:rsidR="00527BD4" w:rsidRPr="00983E8F" w:rsidRDefault="00527BD4" w:rsidP="00A50CF6">
          <w:pPr>
            <w:pStyle w:val="Huisstijl-Rubricering"/>
          </w:pPr>
        </w:p>
      </w:tc>
    </w:tr>
    <w:tr w:rsidR="00705AC8" w14:paraId="1487070A" w14:textId="77777777" w:rsidTr="007610AA">
      <w:trPr>
        <w:trHeight w:hRule="exact" w:val="2440"/>
      </w:trPr>
      <w:tc>
        <w:tcPr>
          <w:tcW w:w="7520" w:type="dxa"/>
          <w:gridSpan w:val="2"/>
        </w:tcPr>
        <w:p w14:paraId="1A10B5FC" w14:textId="77777777" w:rsidR="00527BD4" w:rsidRDefault="004140B1" w:rsidP="00A50CF6">
          <w:pPr>
            <w:pStyle w:val="Huisstijl-NAW"/>
          </w:pPr>
          <w:r>
            <w:t xml:space="preserve">De Voorzitter van de Tweede Kamer </w:t>
          </w:r>
        </w:p>
        <w:p w14:paraId="0E2250E7" w14:textId="77777777" w:rsidR="00705AC8" w:rsidRDefault="004140B1">
          <w:pPr>
            <w:pStyle w:val="Huisstijl-NAW"/>
          </w:pPr>
          <w:r>
            <w:t>der Staten-Generaal</w:t>
          </w:r>
        </w:p>
        <w:p w14:paraId="558664EA" w14:textId="77777777" w:rsidR="00705AC8" w:rsidRDefault="004140B1">
          <w:pPr>
            <w:pStyle w:val="Huisstijl-NAW"/>
          </w:pPr>
          <w:r>
            <w:t>Prinses Irenestraat 6</w:t>
          </w:r>
        </w:p>
        <w:p w14:paraId="1FDA4B4A" w14:textId="77777777" w:rsidR="00705AC8" w:rsidRDefault="004140B1">
          <w:pPr>
            <w:pStyle w:val="Huisstijl-NAW"/>
          </w:pPr>
          <w:r>
            <w:t>2595 BD DEN HAAG</w:t>
          </w:r>
        </w:p>
      </w:tc>
    </w:tr>
    <w:tr w:rsidR="00705AC8" w14:paraId="12E0FF80" w14:textId="77777777" w:rsidTr="007610AA">
      <w:trPr>
        <w:trHeight w:hRule="exact" w:val="400"/>
      </w:trPr>
      <w:tc>
        <w:tcPr>
          <w:tcW w:w="7520" w:type="dxa"/>
          <w:gridSpan w:val="2"/>
        </w:tcPr>
        <w:p w14:paraId="1B25C41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05AC8" w14:paraId="7D651513" w14:textId="77777777" w:rsidTr="007610AA">
      <w:trPr>
        <w:trHeight w:val="240"/>
      </w:trPr>
      <w:tc>
        <w:tcPr>
          <w:tcW w:w="900" w:type="dxa"/>
        </w:tcPr>
        <w:p w14:paraId="5CB6941C" w14:textId="77777777" w:rsidR="00527BD4" w:rsidRPr="007709EF" w:rsidRDefault="004140B1" w:rsidP="00A50CF6">
          <w:pPr>
            <w:rPr>
              <w:szCs w:val="18"/>
            </w:rPr>
          </w:pPr>
          <w:r>
            <w:rPr>
              <w:szCs w:val="18"/>
            </w:rPr>
            <w:t>Datum</w:t>
          </w:r>
        </w:p>
      </w:tc>
      <w:tc>
        <w:tcPr>
          <w:tcW w:w="6620" w:type="dxa"/>
        </w:tcPr>
        <w:p w14:paraId="635CE25E" w14:textId="01CED6C6" w:rsidR="00527BD4" w:rsidRPr="007709EF" w:rsidRDefault="006E669C" w:rsidP="00A50CF6">
          <w:r>
            <w:t>11 december 2025</w:t>
          </w:r>
        </w:p>
      </w:tc>
    </w:tr>
    <w:tr w:rsidR="00705AC8" w14:paraId="389F334B" w14:textId="77777777" w:rsidTr="007610AA">
      <w:trPr>
        <w:trHeight w:val="240"/>
      </w:trPr>
      <w:tc>
        <w:tcPr>
          <w:tcW w:w="900" w:type="dxa"/>
        </w:tcPr>
        <w:p w14:paraId="29E66D72" w14:textId="77777777" w:rsidR="00527BD4" w:rsidRPr="007709EF" w:rsidRDefault="004140B1" w:rsidP="00A50CF6">
          <w:pPr>
            <w:rPr>
              <w:szCs w:val="18"/>
            </w:rPr>
          </w:pPr>
          <w:r>
            <w:rPr>
              <w:szCs w:val="18"/>
            </w:rPr>
            <w:t>Betreft</w:t>
          </w:r>
        </w:p>
      </w:tc>
      <w:tc>
        <w:tcPr>
          <w:tcW w:w="6620" w:type="dxa"/>
        </w:tcPr>
        <w:p w14:paraId="0801657D" w14:textId="77777777" w:rsidR="00527BD4" w:rsidRPr="007709EF" w:rsidRDefault="004140B1" w:rsidP="00A50CF6">
          <w:r>
            <w:t>Voorlopige resultaten SDE++ 2025</w:t>
          </w:r>
        </w:p>
      </w:tc>
    </w:tr>
  </w:tbl>
  <w:p w14:paraId="4E7F97A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3C621BA">
      <w:start w:val="1"/>
      <w:numFmt w:val="bullet"/>
      <w:pStyle w:val="Lijstopsomteken"/>
      <w:lvlText w:val="•"/>
      <w:lvlJc w:val="left"/>
      <w:pPr>
        <w:tabs>
          <w:tab w:val="num" w:pos="227"/>
        </w:tabs>
        <w:ind w:left="227" w:hanging="227"/>
      </w:pPr>
      <w:rPr>
        <w:rFonts w:ascii="Verdana" w:hAnsi="Verdana" w:hint="default"/>
        <w:sz w:val="18"/>
        <w:szCs w:val="18"/>
      </w:rPr>
    </w:lvl>
    <w:lvl w:ilvl="1" w:tplc="1F08BF32" w:tentative="1">
      <w:start w:val="1"/>
      <w:numFmt w:val="bullet"/>
      <w:lvlText w:val="o"/>
      <w:lvlJc w:val="left"/>
      <w:pPr>
        <w:tabs>
          <w:tab w:val="num" w:pos="1440"/>
        </w:tabs>
        <w:ind w:left="1440" w:hanging="360"/>
      </w:pPr>
      <w:rPr>
        <w:rFonts w:ascii="Courier New" w:hAnsi="Courier New" w:cs="Courier New" w:hint="default"/>
      </w:rPr>
    </w:lvl>
    <w:lvl w:ilvl="2" w:tplc="8A10098C" w:tentative="1">
      <w:start w:val="1"/>
      <w:numFmt w:val="bullet"/>
      <w:lvlText w:val=""/>
      <w:lvlJc w:val="left"/>
      <w:pPr>
        <w:tabs>
          <w:tab w:val="num" w:pos="2160"/>
        </w:tabs>
        <w:ind w:left="2160" w:hanging="360"/>
      </w:pPr>
      <w:rPr>
        <w:rFonts w:ascii="Wingdings" w:hAnsi="Wingdings" w:hint="default"/>
      </w:rPr>
    </w:lvl>
    <w:lvl w:ilvl="3" w:tplc="B05A2456" w:tentative="1">
      <w:start w:val="1"/>
      <w:numFmt w:val="bullet"/>
      <w:lvlText w:val=""/>
      <w:lvlJc w:val="left"/>
      <w:pPr>
        <w:tabs>
          <w:tab w:val="num" w:pos="2880"/>
        </w:tabs>
        <w:ind w:left="2880" w:hanging="360"/>
      </w:pPr>
      <w:rPr>
        <w:rFonts w:ascii="Symbol" w:hAnsi="Symbol" w:hint="default"/>
      </w:rPr>
    </w:lvl>
    <w:lvl w:ilvl="4" w:tplc="78E42D7C" w:tentative="1">
      <w:start w:val="1"/>
      <w:numFmt w:val="bullet"/>
      <w:lvlText w:val="o"/>
      <w:lvlJc w:val="left"/>
      <w:pPr>
        <w:tabs>
          <w:tab w:val="num" w:pos="3600"/>
        </w:tabs>
        <w:ind w:left="3600" w:hanging="360"/>
      </w:pPr>
      <w:rPr>
        <w:rFonts w:ascii="Courier New" w:hAnsi="Courier New" w:cs="Courier New" w:hint="default"/>
      </w:rPr>
    </w:lvl>
    <w:lvl w:ilvl="5" w:tplc="32068222" w:tentative="1">
      <w:start w:val="1"/>
      <w:numFmt w:val="bullet"/>
      <w:lvlText w:val=""/>
      <w:lvlJc w:val="left"/>
      <w:pPr>
        <w:tabs>
          <w:tab w:val="num" w:pos="4320"/>
        </w:tabs>
        <w:ind w:left="4320" w:hanging="360"/>
      </w:pPr>
      <w:rPr>
        <w:rFonts w:ascii="Wingdings" w:hAnsi="Wingdings" w:hint="default"/>
      </w:rPr>
    </w:lvl>
    <w:lvl w:ilvl="6" w:tplc="C3CE5974" w:tentative="1">
      <w:start w:val="1"/>
      <w:numFmt w:val="bullet"/>
      <w:lvlText w:val=""/>
      <w:lvlJc w:val="left"/>
      <w:pPr>
        <w:tabs>
          <w:tab w:val="num" w:pos="5040"/>
        </w:tabs>
        <w:ind w:left="5040" w:hanging="360"/>
      </w:pPr>
      <w:rPr>
        <w:rFonts w:ascii="Symbol" w:hAnsi="Symbol" w:hint="default"/>
      </w:rPr>
    </w:lvl>
    <w:lvl w:ilvl="7" w:tplc="0AFE1D68" w:tentative="1">
      <w:start w:val="1"/>
      <w:numFmt w:val="bullet"/>
      <w:lvlText w:val="o"/>
      <w:lvlJc w:val="left"/>
      <w:pPr>
        <w:tabs>
          <w:tab w:val="num" w:pos="5760"/>
        </w:tabs>
        <w:ind w:left="5760" w:hanging="360"/>
      </w:pPr>
      <w:rPr>
        <w:rFonts w:ascii="Courier New" w:hAnsi="Courier New" w:cs="Courier New" w:hint="default"/>
      </w:rPr>
    </w:lvl>
    <w:lvl w:ilvl="8" w:tplc="64963A8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4C2A3A4">
      <w:start w:val="1"/>
      <w:numFmt w:val="bullet"/>
      <w:pStyle w:val="Lijstopsomteken2"/>
      <w:lvlText w:val="–"/>
      <w:lvlJc w:val="left"/>
      <w:pPr>
        <w:tabs>
          <w:tab w:val="num" w:pos="227"/>
        </w:tabs>
        <w:ind w:left="227" w:firstLine="0"/>
      </w:pPr>
      <w:rPr>
        <w:rFonts w:ascii="Verdana" w:hAnsi="Verdana" w:hint="default"/>
      </w:rPr>
    </w:lvl>
    <w:lvl w:ilvl="1" w:tplc="6EF2B454" w:tentative="1">
      <w:start w:val="1"/>
      <w:numFmt w:val="bullet"/>
      <w:lvlText w:val="o"/>
      <w:lvlJc w:val="left"/>
      <w:pPr>
        <w:tabs>
          <w:tab w:val="num" w:pos="1440"/>
        </w:tabs>
        <w:ind w:left="1440" w:hanging="360"/>
      </w:pPr>
      <w:rPr>
        <w:rFonts w:ascii="Courier New" w:hAnsi="Courier New" w:cs="Courier New" w:hint="default"/>
      </w:rPr>
    </w:lvl>
    <w:lvl w:ilvl="2" w:tplc="90C0B332" w:tentative="1">
      <w:start w:val="1"/>
      <w:numFmt w:val="bullet"/>
      <w:lvlText w:val=""/>
      <w:lvlJc w:val="left"/>
      <w:pPr>
        <w:tabs>
          <w:tab w:val="num" w:pos="2160"/>
        </w:tabs>
        <w:ind w:left="2160" w:hanging="360"/>
      </w:pPr>
      <w:rPr>
        <w:rFonts w:ascii="Wingdings" w:hAnsi="Wingdings" w:hint="default"/>
      </w:rPr>
    </w:lvl>
    <w:lvl w:ilvl="3" w:tplc="3176C438" w:tentative="1">
      <w:start w:val="1"/>
      <w:numFmt w:val="bullet"/>
      <w:lvlText w:val=""/>
      <w:lvlJc w:val="left"/>
      <w:pPr>
        <w:tabs>
          <w:tab w:val="num" w:pos="2880"/>
        </w:tabs>
        <w:ind w:left="2880" w:hanging="360"/>
      </w:pPr>
      <w:rPr>
        <w:rFonts w:ascii="Symbol" w:hAnsi="Symbol" w:hint="default"/>
      </w:rPr>
    </w:lvl>
    <w:lvl w:ilvl="4" w:tplc="1AB61270" w:tentative="1">
      <w:start w:val="1"/>
      <w:numFmt w:val="bullet"/>
      <w:lvlText w:val="o"/>
      <w:lvlJc w:val="left"/>
      <w:pPr>
        <w:tabs>
          <w:tab w:val="num" w:pos="3600"/>
        </w:tabs>
        <w:ind w:left="3600" w:hanging="360"/>
      </w:pPr>
      <w:rPr>
        <w:rFonts w:ascii="Courier New" w:hAnsi="Courier New" w:cs="Courier New" w:hint="default"/>
      </w:rPr>
    </w:lvl>
    <w:lvl w:ilvl="5" w:tplc="C2D84F34" w:tentative="1">
      <w:start w:val="1"/>
      <w:numFmt w:val="bullet"/>
      <w:lvlText w:val=""/>
      <w:lvlJc w:val="left"/>
      <w:pPr>
        <w:tabs>
          <w:tab w:val="num" w:pos="4320"/>
        </w:tabs>
        <w:ind w:left="4320" w:hanging="360"/>
      </w:pPr>
      <w:rPr>
        <w:rFonts w:ascii="Wingdings" w:hAnsi="Wingdings" w:hint="default"/>
      </w:rPr>
    </w:lvl>
    <w:lvl w:ilvl="6" w:tplc="0D3042D6" w:tentative="1">
      <w:start w:val="1"/>
      <w:numFmt w:val="bullet"/>
      <w:lvlText w:val=""/>
      <w:lvlJc w:val="left"/>
      <w:pPr>
        <w:tabs>
          <w:tab w:val="num" w:pos="5040"/>
        </w:tabs>
        <w:ind w:left="5040" w:hanging="360"/>
      </w:pPr>
      <w:rPr>
        <w:rFonts w:ascii="Symbol" w:hAnsi="Symbol" w:hint="default"/>
      </w:rPr>
    </w:lvl>
    <w:lvl w:ilvl="7" w:tplc="7D825F76" w:tentative="1">
      <w:start w:val="1"/>
      <w:numFmt w:val="bullet"/>
      <w:lvlText w:val="o"/>
      <w:lvlJc w:val="left"/>
      <w:pPr>
        <w:tabs>
          <w:tab w:val="num" w:pos="5760"/>
        </w:tabs>
        <w:ind w:left="5760" w:hanging="360"/>
      </w:pPr>
      <w:rPr>
        <w:rFonts w:ascii="Courier New" w:hAnsi="Courier New" w:cs="Courier New" w:hint="default"/>
      </w:rPr>
    </w:lvl>
    <w:lvl w:ilvl="8" w:tplc="B52CDF2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77264713">
    <w:abstractNumId w:val="10"/>
  </w:num>
  <w:num w:numId="2" w16cid:durableId="2119055489">
    <w:abstractNumId w:val="7"/>
  </w:num>
  <w:num w:numId="3" w16cid:durableId="1014769531">
    <w:abstractNumId w:val="6"/>
  </w:num>
  <w:num w:numId="4" w16cid:durableId="173571515">
    <w:abstractNumId w:val="5"/>
  </w:num>
  <w:num w:numId="5" w16cid:durableId="1121343269">
    <w:abstractNumId w:val="4"/>
  </w:num>
  <w:num w:numId="6" w16cid:durableId="294651528">
    <w:abstractNumId w:val="8"/>
  </w:num>
  <w:num w:numId="7" w16cid:durableId="772288362">
    <w:abstractNumId w:val="3"/>
  </w:num>
  <w:num w:numId="8" w16cid:durableId="79721331">
    <w:abstractNumId w:val="2"/>
  </w:num>
  <w:num w:numId="9" w16cid:durableId="1051612324">
    <w:abstractNumId w:val="1"/>
  </w:num>
  <w:num w:numId="10" w16cid:durableId="1178035438">
    <w:abstractNumId w:val="0"/>
  </w:num>
  <w:num w:numId="11" w16cid:durableId="1584218520">
    <w:abstractNumId w:val="9"/>
  </w:num>
  <w:num w:numId="12" w16cid:durableId="2001154363">
    <w:abstractNumId w:val="11"/>
  </w:num>
  <w:num w:numId="13" w16cid:durableId="172961791">
    <w:abstractNumId w:val="13"/>
  </w:num>
  <w:num w:numId="14" w16cid:durableId="85754221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539F5"/>
    <w:rsid w:val="0006024D"/>
    <w:rsid w:val="00071193"/>
    <w:rsid w:val="00071F28"/>
    <w:rsid w:val="00074079"/>
    <w:rsid w:val="00083B9E"/>
    <w:rsid w:val="00090FA7"/>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1D24"/>
    <w:rsid w:val="0018303A"/>
    <w:rsid w:val="00185576"/>
    <w:rsid w:val="00185951"/>
    <w:rsid w:val="00192229"/>
    <w:rsid w:val="00196B8B"/>
    <w:rsid w:val="001A2BEA"/>
    <w:rsid w:val="001A6D93"/>
    <w:rsid w:val="001C32EC"/>
    <w:rsid w:val="001C38BD"/>
    <w:rsid w:val="001C4D5A"/>
    <w:rsid w:val="001E34C6"/>
    <w:rsid w:val="001E5581"/>
    <w:rsid w:val="001F3C70"/>
    <w:rsid w:val="001F4674"/>
    <w:rsid w:val="00200D88"/>
    <w:rsid w:val="00200F90"/>
    <w:rsid w:val="00201F68"/>
    <w:rsid w:val="002068B6"/>
    <w:rsid w:val="00212F2A"/>
    <w:rsid w:val="00214F2B"/>
    <w:rsid w:val="00217880"/>
    <w:rsid w:val="00222D66"/>
    <w:rsid w:val="00224A8A"/>
    <w:rsid w:val="002309A8"/>
    <w:rsid w:val="00236CFE"/>
    <w:rsid w:val="002428E3"/>
    <w:rsid w:val="00243031"/>
    <w:rsid w:val="00260BAF"/>
    <w:rsid w:val="002650F7"/>
    <w:rsid w:val="00271A8E"/>
    <w:rsid w:val="00273F3B"/>
    <w:rsid w:val="00274DB7"/>
    <w:rsid w:val="00275984"/>
    <w:rsid w:val="00280F74"/>
    <w:rsid w:val="002822CA"/>
    <w:rsid w:val="00286998"/>
    <w:rsid w:val="00291AB7"/>
    <w:rsid w:val="00292EB2"/>
    <w:rsid w:val="0029422B"/>
    <w:rsid w:val="0029479D"/>
    <w:rsid w:val="002A0938"/>
    <w:rsid w:val="002B153C"/>
    <w:rsid w:val="002B52FC"/>
    <w:rsid w:val="002C2830"/>
    <w:rsid w:val="002D001A"/>
    <w:rsid w:val="002D0DDB"/>
    <w:rsid w:val="002D28E2"/>
    <w:rsid w:val="002D317B"/>
    <w:rsid w:val="002D3587"/>
    <w:rsid w:val="002D502D"/>
    <w:rsid w:val="002E0F69"/>
    <w:rsid w:val="002E591D"/>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67266"/>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BAB"/>
    <w:rsid w:val="003B7EE7"/>
    <w:rsid w:val="003C2CCB"/>
    <w:rsid w:val="003D39EC"/>
    <w:rsid w:val="003D5DED"/>
    <w:rsid w:val="003E3DD5"/>
    <w:rsid w:val="003F07C6"/>
    <w:rsid w:val="003F1F6B"/>
    <w:rsid w:val="003F3757"/>
    <w:rsid w:val="003F38BD"/>
    <w:rsid w:val="003F44B7"/>
    <w:rsid w:val="003F759D"/>
    <w:rsid w:val="004008E9"/>
    <w:rsid w:val="00413B2E"/>
    <w:rsid w:val="00413D48"/>
    <w:rsid w:val="004140B1"/>
    <w:rsid w:val="004237B0"/>
    <w:rsid w:val="00441AC2"/>
    <w:rsid w:val="0044249B"/>
    <w:rsid w:val="0045023C"/>
    <w:rsid w:val="00451A5B"/>
    <w:rsid w:val="00452BCD"/>
    <w:rsid w:val="00452CEA"/>
    <w:rsid w:val="00465B52"/>
    <w:rsid w:val="0046708E"/>
    <w:rsid w:val="00472A65"/>
    <w:rsid w:val="00474463"/>
    <w:rsid w:val="0047456F"/>
    <w:rsid w:val="00474B75"/>
    <w:rsid w:val="00483F0B"/>
    <w:rsid w:val="00496319"/>
    <w:rsid w:val="00497279"/>
    <w:rsid w:val="004A163B"/>
    <w:rsid w:val="004A670A"/>
    <w:rsid w:val="004A696A"/>
    <w:rsid w:val="004B3949"/>
    <w:rsid w:val="004B4ECF"/>
    <w:rsid w:val="004B5465"/>
    <w:rsid w:val="004B70F0"/>
    <w:rsid w:val="004C21A8"/>
    <w:rsid w:val="004D505E"/>
    <w:rsid w:val="004D72CA"/>
    <w:rsid w:val="004E2242"/>
    <w:rsid w:val="004E505E"/>
    <w:rsid w:val="004F42FF"/>
    <w:rsid w:val="004F44C2"/>
    <w:rsid w:val="00502512"/>
    <w:rsid w:val="00503FD2"/>
    <w:rsid w:val="00505262"/>
    <w:rsid w:val="00512549"/>
    <w:rsid w:val="00516022"/>
    <w:rsid w:val="00521CEE"/>
    <w:rsid w:val="00524FB4"/>
    <w:rsid w:val="00525F4C"/>
    <w:rsid w:val="00527BD4"/>
    <w:rsid w:val="00537095"/>
    <w:rsid w:val="005403C8"/>
    <w:rsid w:val="005429DC"/>
    <w:rsid w:val="005461DA"/>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5AB1"/>
    <w:rsid w:val="005F62D3"/>
    <w:rsid w:val="005F6D11"/>
    <w:rsid w:val="00600CF0"/>
    <w:rsid w:val="006048F4"/>
    <w:rsid w:val="0060660A"/>
    <w:rsid w:val="00611BFB"/>
    <w:rsid w:val="00613B1D"/>
    <w:rsid w:val="00617A44"/>
    <w:rsid w:val="006202B6"/>
    <w:rsid w:val="00625CD0"/>
    <w:rsid w:val="0062627D"/>
    <w:rsid w:val="00627432"/>
    <w:rsid w:val="006448E4"/>
    <w:rsid w:val="00645414"/>
    <w:rsid w:val="00651CEE"/>
    <w:rsid w:val="00653606"/>
    <w:rsid w:val="006540F9"/>
    <w:rsid w:val="00660E00"/>
    <w:rsid w:val="006610E9"/>
    <w:rsid w:val="00661591"/>
    <w:rsid w:val="00662153"/>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D790F"/>
    <w:rsid w:val="006E3546"/>
    <w:rsid w:val="006E3FA9"/>
    <w:rsid w:val="006E669C"/>
    <w:rsid w:val="006E7D82"/>
    <w:rsid w:val="006F038F"/>
    <w:rsid w:val="006F0F93"/>
    <w:rsid w:val="006F31F2"/>
    <w:rsid w:val="006F7494"/>
    <w:rsid w:val="006F751F"/>
    <w:rsid w:val="00705433"/>
    <w:rsid w:val="00705AC8"/>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2B20"/>
    <w:rsid w:val="007F1FE4"/>
    <w:rsid w:val="007F439C"/>
    <w:rsid w:val="007F5331"/>
    <w:rsid w:val="007F5E32"/>
    <w:rsid w:val="00800CCA"/>
    <w:rsid w:val="00806120"/>
    <w:rsid w:val="00806F63"/>
    <w:rsid w:val="00810C93"/>
    <w:rsid w:val="00812028"/>
    <w:rsid w:val="00812DD8"/>
    <w:rsid w:val="00813082"/>
    <w:rsid w:val="00814D03"/>
    <w:rsid w:val="00820371"/>
    <w:rsid w:val="00821FC1"/>
    <w:rsid w:val="008233C9"/>
    <w:rsid w:val="00823AE2"/>
    <w:rsid w:val="0083178B"/>
    <w:rsid w:val="00831EE4"/>
    <w:rsid w:val="00833695"/>
    <w:rsid w:val="008336B7"/>
    <w:rsid w:val="00833A8E"/>
    <w:rsid w:val="00836ACA"/>
    <w:rsid w:val="00842CD8"/>
    <w:rsid w:val="00843052"/>
    <w:rsid w:val="008431FA"/>
    <w:rsid w:val="00847444"/>
    <w:rsid w:val="008517C6"/>
    <w:rsid w:val="008547BA"/>
    <w:rsid w:val="008553C7"/>
    <w:rsid w:val="00857FEB"/>
    <w:rsid w:val="008601AF"/>
    <w:rsid w:val="00867318"/>
    <w:rsid w:val="00872271"/>
    <w:rsid w:val="0088296E"/>
    <w:rsid w:val="00883137"/>
    <w:rsid w:val="00894A3B"/>
    <w:rsid w:val="008A1F5D"/>
    <w:rsid w:val="008A28F5"/>
    <w:rsid w:val="008A5950"/>
    <w:rsid w:val="008B1198"/>
    <w:rsid w:val="008B3471"/>
    <w:rsid w:val="008B3929"/>
    <w:rsid w:val="008B4125"/>
    <w:rsid w:val="008B4CB3"/>
    <w:rsid w:val="008B567B"/>
    <w:rsid w:val="008B7B24"/>
    <w:rsid w:val="008C356D"/>
    <w:rsid w:val="008D43B5"/>
    <w:rsid w:val="008E0B3F"/>
    <w:rsid w:val="008E49AD"/>
    <w:rsid w:val="008E5E7F"/>
    <w:rsid w:val="008E698E"/>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24D7"/>
    <w:rsid w:val="00983B4E"/>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66A79"/>
    <w:rsid w:val="00A715F8"/>
    <w:rsid w:val="00A740BD"/>
    <w:rsid w:val="00A77F6F"/>
    <w:rsid w:val="00A831FD"/>
    <w:rsid w:val="00A83352"/>
    <w:rsid w:val="00A850A2"/>
    <w:rsid w:val="00A8663F"/>
    <w:rsid w:val="00A91FA3"/>
    <w:rsid w:val="00A927D3"/>
    <w:rsid w:val="00AA7FC9"/>
    <w:rsid w:val="00AB237D"/>
    <w:rsid w:val="00AB5933"/>
    <w:rsid w:val="00AE013D"/>
    <w:rsid w:val="00AE11B7"/>
    <w:rsid w:val="00AE12A5"/>
    <w:rsid w:val="00AE7F68"/>
    <w:rsid w:val="00AF2321"/>
    <w:rsid w:val="00AF52F6"/>
    <w:rsid w:val="00AF52FD"/>
    <w:rsid w:val="00AF54A8"/>
    <w:rsid w:val="00AF7237"/>
    <w:rsid w:val="00B0043A"/>
    <w:rsid w:val="00B00D75"/>
    <w:rsid w:val="00B06399"/>
    <w:rsid w:val="00B070CB"/>
    <w:rsid w:val="00B12456"/>
    <w:rsid w:val="00B145F0"/>
    <w:rsid w:val="00B259C8"/>
    <w:rsid w:val="00B26CCF"/>
    <w:rsid w:val="00B30FC2"/>
    <w:rsid w:val="00B331A2"/>
    <w:rsid w:val="00B425F0"/>
    <w:rsid w:val="00B42DFA"/>
    <w:rsid w:val="00B5256E"/>
    <w:rsid w:val="00B531DD"/>
    <w:rsid w:val="00B55014"/>
    <w:rsid w:val="00B62232"/>
    <w:rsid w:val="00B703F5"/>
    <w:rsid w:val="00B70BF3"/>
    <w:rsid w:val="00B71DC2"/>
    <w:rsid w:val="00B849F5"/>
    <w:rsid w:val="00B91CFC"/>
    <w:rsid w:val="00B93893"/>
    <w:rsid w:val="00BA1397"/>
    <w:rsid w:val="00BA7E0A"/>
    <w:rsid w:val="00BC222D"/>
    <w:rsid w:val="00BC2C00"/>
    <w:rsid w:val="00BC3A1B"/>
    <w:rsid w:val="00BC3B53"/>
    <w:rsid w:val="00BC3B96"/>
    <w:rsid w:val="00BC4AE3"/>
    <w:rsid w:val="00BC5B28"/>
    <w:rsid w:val="00BC6409"/>
    <w:rsid w:val="00BD2370"/>
    <w:rsid w:val="00BE1A1C"/>
    <w:rsid w:val="00BE3F88"/>
    <w:rsid w:val="00BE4756"/>
    <w:rsid w:val="00BE5ED9"/>
    <w:rsid w:val="00BE7B41"/>
    <w:rsid w:val="00BF1951"/>
    <w:rsid w:val="00C15A91"/>
    <w:rsid w:val="00C206F1"/>
    <w:rsid w:val="00C217E1"/>
    <w:rsid w:val="00C219B1"/>
    <w:rsid w:val="00C4015B"/>
    <w:rsid w:val="00C40C60"/>
    <w:rsid w:val="00C43FE6"/>
    <w:rsid w:val="00C5258E"/>
    <w:rsid w:val="00C530C9"/>
    <w:rsid w:val="00C619A7"/>
    <w:rsid w:val="00C73D5F"/>
    <w:rsid w:val="00C82AFE"/>
    <w:rsid w:val="00C83DBC"/>
    <w:rsid w:val="00C97C80"/>
    <w:rsid w:val="00CA47D3"/>
    <w:rsid w:val="00CA6533"/>
    <w:rsid w:val="00CA6A25"/>
    <w:rsid w:val="00CA6A3F"/>
    <w:rsid w:val="00CA7573"/>
    <w:rsid w:val="00CA7C99"/>
    <w:rsid w:val="00CB16D0"/>
    <w:rsid w:val="00CB18D5"/>
    <w:rsid w:val="00CC6290"/>
    <w:rsid w:val="00CC6947"/>
    <w:rsid w:val="00CC7B6B"/>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5208"/>
    <w:rsid w:val="00D264D6"/>
    <w:rsid w:val="00D33BF0"/>
    <w:rsid w:val="00D33DE0"/>
    <w:rsid w:val="00D36447"/>
    <w:rsid w:val="00D46FF7"/>
    <w:rsid w:val="00D516BE"/>
    <w:rsid w:val="00D5423B"/>
    <w:rsid w:val="00D54E6A"/>
    <w:rsid w:val="00D54F4E"/>
    <w:rsid w:val="00D56E01"/>
    <w:rsid w:val="00D57A56"/>
    <w:rsid w:val="00D604B3"/>
    <w:rsid w:val="00D60BA4"/>
    <w:rsid w:val="00D62419"/>
    <w:rsid w:val="00D77870"/>
    <w:rsid w:val="00D80977"/>
    <w:rsid w:val="00D80CCE"/>
    <w:rsid w:val="00D83164"/>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E5961"/>
    <w:rsid w:val="00DF2583"/>
    <w:rsid w:val="00DF54D9"/>
    <w:rsid w:val="00DF7283"/>
    <w:rsid w:val="00E01A59"/>
    <w:rsid w:val="00E10DC6"/>
    <w:rsid w:val="00E11F8E"/>
    <w:rsid w:val="00E15881"/>
    <w:rsid w:val="00E16A8F"/>
    <w:rsid w:val="00E21DE3"/>
    <w:rsid w:val="00E273C5"/>
    <w:rsid w:val="00E307D1"/>
    <w:rsid w:val="00E3731D"/>
    <w:rsid w:val="00E47003"/>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31B6"/>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5E8F"/>
    <w:rsid w:val="00F66F13"/>
    <w:rsid w:val="00F74073"/>
    <w:rsid w:val="00F75603"/>
    <w:rsid w:val="00F82537"/>
    <w:rsid w:val="00F845B4"/>
    <w:rsid w:val="00F8713B"/>
    <w:rsid w:val="00F93F9E"/>
    <w:rsid w:val="00FA2CD7"/>
    <w:rsid w:val="00FB06ED"/>
    <w:rsid w:val="00FC2311"/>
    <w:rsid w:val="00FC3165"/>
    <w:rsid w:val="00FC36AB"/>
    <w:rsid w:val="00FC4300"/>
    <w:rsid w:val="00FC4C1B"/>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690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4B3949"/>
    <w:rPr>
      <w:vertAlign w:val="superscript"/>
    </w:rPr>
  </w:style>
  <w:style w:type="paragraph" w:styleId="Revisie">
    <w:name w:val="Revision"/>
    <w:hidden/>
    <w:uiPriority w:val="99"/>
    <w:semiHidden/>
    <w:rsid w:val="004237B0"/>
    <w:rPr>
      <w:rFonts w:ascii="Verdana" w:hAnsi="Verdana"/>
      <w:sz w:val="18"/>
      <w:szCs w:val="24"/>
      <w:lang w:val="nl-NL" w:eastAsia="nl-NL"/>
    </w:rPr>
  </w:style>
  <w:style w:type="character" w:styleId="Verwijzingopmerking">
    <w:name w:val="annotation reference"/>
    <w:basedOn w:val="Standaardalinea-lettertype"/>
    <w:semiHidden/>
    <w:unhideWhenUsed/>
    <w:rsid w:val="004237B0"/>
    <w:rPr>
      <w:sz w:val="16"/>
      <w:szCs w:val="16"/>
    </w:rPr>
  </w:style>
  <w:style w:type="paragraph" w:styleId="Tekstopmerking">
    <w:name w:val="annotation text"/>
    <w:basedOn w:val="Standaard"/>
    <w:link w:val="TekstopmerkingChar"/>
    <w:unhideWhenUsed/>
    <w:rsid w:val="004237B0"/>
    <w:pPr>
      <w:spacing w:line="240" w:lineRule="auto"/>
    </w:pPr>
    <w:rPr>
      <w:sz w:val="20"/>
      <w:szCs w:val="20"/>
    </w:rPr>
  </w:style>
  <w:style w:type="character" w:customStyle="1" w:styleId="TekstopmerkingChar">
    <w:name w:val="Tekst opmerking Char"/>
    <w:basedOn w:val="Standaardalinea-lettertype"/>
    <w:link w:val="Tekstopmerking"/>
    <w:rsid w:val="004237B0"/>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4237B0"/>
    <w:rPr>
      <w:b/>
      <w:bCs/>
    </w:rPr>
  </w:style>
  <w:style w:type="character" w:customStyle="1" w:styleId="OnderwerpvanopmerkingChar">
    <w:name w:val="Onderwerp van opmerking Char"/>
    <w:basedOn w:val="TekstopmerkingChar"/>
    <w:link w:val="Onderwerpvanopmerking"/>
    <w:semiHidden/>
    <w:rsid w:val="004237B0"/>
    <w:rPr>
      <w:rFonts w:ascii="Verdana" w:hAnsi="Verdana"/>
      <w:b/>
      <w:bCs/>
      <w:lang w:val="nl-NL" w:eastAsia="nl-NL"/>
    </w:rPr>
  </w:style>
  <w:style w:type="character" w:styleId="Onopgelostemelding">
    <w:name w:val="Unresolved Mention"/>
    <w:basedOn w:val="Standaardalinea-lettertype"/>
    <w:uiPriority w:val="99"/>
    <w:semiHidden/>
    <w:unhideWhenUsed/>
    <w:rsid w:val="00423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327187">
      <w:bodyDiv w:val="1"/>
      <w:marLeft w:val="0"/>
      <w:marRight w:val="0"/>
      <w:marTop w:val="0"/>
      <w:marBottom w:val="0"/>
      <w:divBdr>
        <w:top w:val="none" w:sz="0" w:space="0" w:color="auto"/>
        <w:left w:val="none" w:sz="0" w:space="0" w:color="auto"/>
        <w:bottom w:val="none" w:sz="0" w:space="0" w:color="auto"/>
        <w:right w:val="none" w:sz="0" w:space="0" w:color="auto"/>
      </w:divBdr>
    </w:div>
    <w:div w:id="900753709">
      <w:bodyDiv w:val="1"/>
      <w:marLeft w:val="0"/>
      <w:marRight w:val="0"/>
      <w:marTop w:val="0"/>
      <w:marBottom w:val="0"/>
      <w:divBdr>
        <w:top w:val="none" w:sz="0" w:space="0" w:color="auto"/>
        <w:left w:val="none" w:sz="0" w:space="0" w:color="auto"/>
        <w:bottom w:val="none" w:sz="0" w:space="0" w:color="auto"/>
        <w:right w:val="none" w:sz="0" w:space="0" w:color="auto"/>
      </w:divBdr>
    </w:div>
    <w:div w:id="1280448562">
      <w:bodyDiv w:val="1"/>
      <w:marLeft w:val="0"/>
      <w:marRight w:val="0"/>
      <w:marTop w:val="0"/>
      <w:marBottom w:val="0"/>
      <w:divBdr>
        <w:top w:val="none" w:sz="0" w:space="0" w:color="auto"/>
        <w:left w:val="none" w:sz="0" w:space="0" w:color="auto"/>
        <w:bottom w:val="none" w:sz="0" w:space="0" w:color="auto"/>
        <w:right w:val="none" w:sz="0" w:space="0" w:color="auto"/>
      </w:divBdr>
    </w:div>
    <w:div w:id="189762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1339</ap:Words>
  <ap:Characters>7368</ap:Characters>
  <ap:DocSecurity>0</ap:DocSecurity>
  <ap:Lines>61</ap:Lines>
  <ap:Paragraphs>17</ap:Paragraphs>
  <ap:ScaleCrop>false</ap:ScaleCrop>
  <ap:LinksUpToDate>false</ap:LinksUpToDate>
  <ap:CharactersWithSpaces>8690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2025-12-11T15:39:00.0000000Z</dcterms:created>
  <dcterms:modified xsi:type="dcterms:W3CDTF">2025-12-11T15:39:00.0000000Z</dcterms:modified>
  <dc:description>------------------------</dc:description>
  <dc:subject/>
  <keywords/>
  <version/>
  <category/>
</coreProperties>
</file>