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E7C" w:rsidR="00381E7C" w:rsidRDefault="00D25FD2" w14:paraId="08BDA96E" w14:textId="3C227B7C">
      <w:pPr>
        <w:rPr>
          <w:rFonts w:ascii="Calibri" w:hAnsi="Calibri" w:cs="Calibri"/>
        </w:rPr>
      </w:pPr>
      <w:r w:rsidRPr="00381E7C">
        <w:rPr>
          <w:rFonts w:ascii="Calibri" w:hAnsi="Calibri" w:cs="Calibri"/>
        </w:rPr>
        <w:t>31</w:t>
      </w:r>
      <w:r w:rsidRPr="00381E7C" w:rsidR="00381E7C">
        <w:rPr>
          <w:rFonts w:ascii="Calibri" w:hAnsi="Calibri" w:cs="Calibri"/>
        </w:rPr>
        <w:t xml:space="preserve"> </w:t>
      </w:r>
      <w:r w:rsidRPr="00381E7C">
        <w:rPr>
          <w:rFonts w:ascii="Calibri" w:hAnsi="Calibri" w:cs="Calibri"/>
        </w:rPr>
        <w:t>239</w:t>
      </w:r>
      <w:r w:rsidRPr="00381E7C" w:rsidR="00381E7C">
        <w:rPr>
          <w:rFonts w:ascii="Calibri" w:hAnsi="Calibri" w:cs="Calibri"/>
        </w:rPr>
        <w:tab/>
      </w:r>
      <w:r w:rsidRPr="00381E7C" w:rsidR="00381E7C">
        <w:rPr>
          <w:rFonts w:ascii="Calibri" w:hAnsi="Calibri" w:cs="Calibri"/>
        </w:rPr>
        <w:tab/>
        <w:t xml:space="preserve">Stimulering duurzame energieproductie </w:t>
      </w:r>
    </w:p>
    <w:p w:rsidRPr="00381E7C" w:rsidR="00381E7C" w:rsidP="00381E7C" w:rsidRDefault="00381E7C" w14:paraId="31EC054B" w14:textId="77777777">
      <w:pPr>
        <w:rPr>
          <w:rFonts w:ascii="Calibri" w:hAnsi="Calibri" w:cs="Calibri"/>
        </w:rPr>
      </w:pPr>
      <w:r w:rsidRPr="00381E7C">
        <w:rPr>
          <w:rFonts w:ascii="Calibri" w:hAnsi="Calibri" w:cs="Calibri"/>
        </w:rPr>
        <w:t xml:space="preserve">Nr. </w:t>
      </w:r>
      <w:r w:rsidRPr="00381E7C" w:rsidR="00D25FD2">
        <w:rPr>
          <w:rFonts w:ascii="Calibri" w:hAnsi="Calibri" w:cs="Calibri"/>
        </w:rPr>
        <w:t>441</w:t>
      </w:r>
      <w:r w:rsidRPr="00381E7C">
        <w:rPr>
          <w:rFonts w:ascii="Calibri" w:hAnsi="Calibri" w:cs="Calibri"/>
        </w:rPr>
        <w:tab/>
      </w:r>
      <w:r w:rsidRPr="00381E7C">
        <w:rPr>
          <w:rFonts w:ascii="Calibri" w:hAnsi="Calibri" w:cs="Calibri"/>
        </w:rPr>
        <w:tab/>
        <w:t>Brief van de minister van Klimaat en Groene Groei</w:t>
      </w:r>
    </w:p>
    <w:p w:rsidRPr="00381E7C" w:rsidR="00381E7C" w:rsidP="00381E7C" w:rsidRDefault="00381E7C" w14:paraId="2D02A0B2" w14:textId="1C7AE691">
      <w:pPr>
        <w:rPr>
          <w:rFonts w:ascii="Calibri" w:hAnsi="Calibri" w:cs="Calibri"/>
        </w:rPr>
      </w:pPr>
      <w:r w:rsidRPr="00381E7C">
        <w:rPr>
          <w:rFonts w:ascii="Calibri" w:hAnsi="Calibri" w:cs="Calibri"/>
        </w:rPr>
        <w:t>Aan de Voorzitter van de Tweede Kamer der Staten-Generaal</w:t>
      </w:r>
    </w:p>
    <w:p w:rsidRPr="00381E7C" w:rsidR="00D25FD2" w:rsidP="00381E7C" w:rsidRDefault="00381E7C" w14:paraId="1132A8E1" w14:textId="24A480A2">
      <w:pPr>
        <w:rPr>
          <w:rFonts w:ascii="Calibri" w:hAnsi="Calibri" w:cs="Calibri"/>
        </w:rPr>
      </w:pPr>
      <w:r w:rsidRPr="00381E7C">
        <w:rPr>
          <w:rFonts w:ascii="Calibri" w:hAnsi="Calibri" w:cs="Calibri"/>
        </w:rPr>
        <w:t>Den Haag, 11 december 2025</w:t>
      </w:r>
      <w:r w:rsidRPr="00381E7C" w:rsidR="00D25FD2">
        <w:rPr>
          <w:rFonts w:ascii="Calibri" w:hAnsi="Calibri" w:cs="Calibri"/>
        </w:rPr>
        <w:br/>
      </w:r>
      <w:r w:rsidRPr="00381E7C" w:rsidR="00D25FD2">
        <w:rPr>
          <w:rFonts w:ascii="Calibri" w:hAnsi="Calibri" w:cs="Calibri"/>
        </w:rPr>
        <w:br/>
        <w:t>Met deze brief informeert het kabinet de Kamer over de voorlopige resultaten van de openstelling van de SDE++ in 2025. Deze subsidieregeling ondersteunt ondernemers bij investeringen in hernieuwbare energie. Hiermee draagt de regeling bij aan vergroting van de energieonafhankelijkheid, verlagen van energiekosten en het verduurzamen van ons bedrijfsleven en energievoorziening. Er is dit jaar veel interesse getoond in de SDE++, met een ruime overtekening van het budget tot gevolg. Dit is positief, omdat het betekent dat ondernemers veel kansen zien voor het toekomstbestendig maken van hun bedrijfsvoering.</w:t>
      </w:r>
    </w:p>
    <w:p w:rsidRPr="00381E7C" w:rsidR="00D25FD2" w:rsidP="00D25FD2" w:rsidRDefault="00D25FD2" w14:paraId="5F85741D" w14:textId="77777777">
      <w:pPr>
        <w:spacing w:after="0"/>
        <w:rPr>
          <w:rFonts w:ascii="Calibri" w:hAnsi="Calibri" w:cs="Calibri"/>
        </w:rPr>
      </w:pPr>
      <w:r w:rsidRPr="00381E7C">
        <w:rPr>
          <w:rFonts w:ascii="Calibri" w:hAnsi="Calibri" w:cs="Calibri"/>
        </w:rPr>
        <w:t xml:space="preserve"> </w:t>
      </w:r>
    </w:p>
    <w:p w:rsidRPr="00381E7C" w:rsidR="00D25FD2" w:rsidP="00D25FD2" w:rsidRDefault="00D25FD2" w14:paraId="1DC4551A" w14:textId="77777777">
      <w:pPr>
        <w:spacing w:after="0"/>
        <w:rPr>
          <w:rFonts w:ascii="Calibri" w:hAnsi="Calibri" w:cs="Calibri"/>
          <w:b/>
          <w:bCs/>
        </w:rPr>
      </w:pPr>
      <w:r w:rsidRPr="00381E7C">
        <w:rPr>
          <w:rFonts w:ascii="Calibri" w:hAnsi="Calibri" w:cs="Calibri"/>
          <w:b/>
          <w:bCs/>
        </w:rPr>
        <w:t>Verloop openstelling SDE++ 2025</w:t>
      </w:r>
    </w:p>
    <w:p w:rsidRPr="00381E7C" w:rsidR="00D25FD2" w:rsidP="00D25FD2" w:rsidRDefault="00D25FD2" w14:paraId="100194C0" w14:textId="77777777">
      <w:pPr>
        <w:spacing w:after="0"/>
        <w:rPr>
          <w:rFonts w:ascii="Calibri" w:hAnsi="Calibri" w:cs="Calibri"/>
        </w:rPr>
      </w:pPr>
      <w:r w:rsidRPr="00381E7C">
        <w:rPr>
          <w:rFonts w:ascii="Calibri" w:hAnsi="Calibri" w:cs="Calibri"/>
        </w:rPr>
        <w:t>Van 7 oktober tot en met 6 november vond de openstelling van de SDE++ in 2025 plaats. Hiervoor was een openstellingsbudget van € 8 miljard beschikbaar</w:t>
      </w:r>
      <w:r w:rsidRPr="00381E7C">
        <w:rPr>
          <w:rStyle w:val="Voetnootmarkering"/>
          <w:rFonts w:ascii="Calibri" w:hAnsi="Calibri" w:cs="Calibri"/>
        </w:rPr>
        <w:footnoteReference w:id="1"/>
      </w:r>
      <w:r w:rsidRPr="00381E7C">
        <w:rPr>
          <w:rFonts w:ascii="Calibri" w:hAnsi="Calibri" w:cs="Calibri"/>
        </w:rPr>
        <w:t>. Gedurende de openstelling zijn 468 subsidieaanvragen ingediend, met een budgetclaim van in totaal bijna € 22 miljard. Dit bedrag zal uiteindelijk lager worden doordat dubbele of incomplete aanvragen afvallen, zoals aanvragen waarbij de vergunningen nog niet rond zijn. Tabel 1 bevat een overzicht van alle aanvragen per techniek van de openstellingsronde 2025. De aanvragen worden op dit moment door de Rijksdienst voor Ondernemend Nederland (RVO) beoordeeld op volledigheid en technische en financiële haalbaarheid. Op grond daarvan zal het aantal positieve beschikkingen op de aanvragen nog afnemen.</w:t>
      </w:r>
    </w:p>
    <w:p w:rsidRPr="00381E7C" w:rsidR="00D25FD2" w:rsidP="00D25FD2" w:rsidRDefault="00D25FD2" w14:paraId="27B4361C" w14:textId="77777777">
      <w:pPr>
        <w:spacing w:after="0"/>
        <w:rPr>
          <w:rFonts w:ascii="Calibri" w:hAnsi="Calibri" w:cs="Calibri"/>
        </w:rPr>
      </w:pPr>
    </w:p>
    <w:p w:rsidRPr="00381E7C" w:rsidR="00D25FD2" w:rsidP="00D25FD2" w:rsidRDefault="00D25FD2" w14:paraId="478C9807" w14:textId="77777777">
      <w:pPr>
        <w:spacing w:after="0"/>
        <w:rPr>
          <w:rFonts w:ascii="Calibri" w:hAnsi="Calibri" w:cs="Calibri"/>
        </w:rPr>
      </w:pPr>
      <w:r w:rsidRPr="00381E7C">
        <w:rPr>
          <w:rFonts w:ascii="Calibri" w:hAnsi="Calibri" w:cs="Calibri"/>
        </w:rPr>
        <w:t>De aanvragen voor de SDE++ betreffen een goede verdeling over de verschillende technieken die de regeling ondersteunt. Opvallend is dit jaar een grote interesse binnen het domein moleculen, waarbij bijvoorbeeld waterstof en groen gas worden geproduceerd, met een totaal aangevraagd budget van ruim € 6,3 miljard. Ook zijn er veel aanvragen geweest voor CO</w:t>
      </w:r>
      <w:r w:rsidRPr="00381E7C">
        <w:rPr>
          <w:rFonts w:ascii="Calibri" w:hAnsi="Calibri" w:cs="Calibri"/>
          <w:vertAlign w:val="subscript"/>
        </w:rPr>
        <w:t>2</w:t>
      </w:r>
      <w:r w:rsidRPr="00381E7C">
        <w:rPr>
          <w:rFonts w:ascii="Calibri" w:hAnsi="Calibri" w:cs="Calibri"/>
        </w:rPr>
        <w:t xml:space="preserve">-afvang en -opslag, met een totale budgetclaim van ca € 9 miljard. Het komt soms voor dat projecten in twee categorieën worden ingediend. Hiermee willen de aanvragers voorkomen dat zij in de verkeerde categorie indienen, waardoor de aanvraag zou worden afgewezen. Een project kan echter maar één subsidiebeschikking ontvangen. Hierdoor zal, voor zover RVO nu kan overzien, zo’n € 3,1 miljard aan aanvragen afvallen. </w:t>
      </w:r>
    </w:p>
    <w:p w:rsidRPr="00381E7C" w:rsidR="00D25FD2" w:rsidP="00D25FD2" w:rsidRDefault="00D25FD2" w14:paraId="77B125CC" w14:textId="77777777">
      <w:pPr>
        <w:spacing w:after="0"/>
        <w:rPr>
          <w:rFonts w:ascii="Calibri" w:hAnsi="Calibri" w:cs="Calibri"/>
          <w:b/>
          <w:bCs/>
        </w:rPr>
      </w:pPr>
    </w:p>
    <w:p w:rsidRPr="00381E7C" w:rsidR="00D25FD2" w:rsidP="00D25FD2" w:rsidRDefault="00D25FD2" w14:paraId="6203FA78" w14:textId="77777777">
      <w:pPr>
        <w:spacing w:after="0"/>
        <w:rPr>
          <w:rFonts w:ascii="Calibri" w:hAnsi="Calibri" w:cs="Calibri"/>
          <w:b/>
          <w:bCs/>
        </w:rPr>
      </w:pPr>
      <w:r w:rsidRPr="00381E7C">
        <w:rPr>
          <w:rFonts w:ascii="Calibri" w:hAnsi="Calibri" w:cs="Calibri"/>
          <w:b/>
          <w:bCs/>
        </w:rPr>
        <w:lastRenderedPageBreak/>
        <w:t>Tabel 1</w:t>
      </w:r>
    </w:p>
    <w:tbl>
      <w:tblPr>
        <w:tblW w:w="9373" w:type="dxa"/>
        <w:tblCellMar>
          <w:left w:w="70" w:type="dxa"/>
          <w:right w:w="70" w:type="dxa"/>
        </w:tblCellMar>
        <w:tblLook w:val="04A0" w:firstRow="1" w:lastRow="0" w:firstColumn="1" w:lastColumn="0" w:noHBand="0" w:noVBand="1"/>
      </w:tblPr>
      <w:tblGrid>
        <w:gridCol w:w="1391"/>
        <w:gridCol w:w="2410"/>
        <w:gridCol w:w="847"/>
        <w:gridCol w:w="1169"/>
        <w:gridCol w:w="1042"/>
        <w:gridCol w:w="1359"/>
        <w:gridCol w:w="1275"/>
      </w:tblGrid>
      <w:tr w:rsidRPr="00381E7C" w:rsidR="00D25FD2" w:rsidTr="00381E7C" w14:paraId="630AF1E2" w14:textId="77777777">
        <w:trPr>
          <w:trHeight w:val="601"/>
        </w:trPr>
        <w:tc>
          <w:tcPr>
            <w:tcW w:w="1271" w:type="dxa"/>
            <w:tcBorders>
              <w:top w:val="single" w:color="auto" w:sz="4" w:space="0"/>
              <w:left w:val="single" w:color="auto" w:sz="4" w:space="0"/>
              <w:bottom w:val="single" w:color="auto" w:sz="4" w:space="0"/>
              <w:right w:val="single" w:color="auto" w:sz="4" w:space="0"/>
            </w:tcBorders>
            <w:shd w:val="clear" w:color="000000" w:fill="EEECE1"/>
            <w:noWrap/>
            <w:vAlign w:val="bottom"/>
            <w:hideMark/>
          </w:tcPr>
          <w:p w:rsidRPr="00381E7C" w:rsidR="00D25FD2" w:rsidP="00D25FD2" w:rsidRDefault="00D25FD2" w14:paraId="4DACB512" w14:textId="77777777">
            <w:pPr>
              <w:spacing w:after="0" w:line="240" w:lineRule="auto"/>
              <w:ind w:firstLine="201" w:firstLineChars="100"/>
              <w:rPr>
                <w:rFonts w:ascii="Calibri" w:hAnsi="Calibri" w:cs="Calibri"/>
                <w:b/>
                <w:bCs/>
                <w:sz w:val="20"/>
                <w:szCs w:val="20"/>
              </w:rPr>
            </w:pPr>
            <w:r w:rsidRPr="00381E7C">
              <w:rPr>
                <w:rFonts w:ascii="Calibri" w:hAnsi="Calibri" w:cs="Calibri"/>
                <w:b/>
                <w:bCs/>
                <w:sz w:val="20"/>
                <w:szCs w:val="20"/>
              </w:rPr>
              <w:t>Domein</w:t>
            </w:r>
          </w:p>
        </w:tc>
        <w:tc>
          <w:tcPr>
            <w:tcW w:w="2410" w:type="dxa"/>
            <w:tcBorders>
              <w:top w:val="single" w:color="auto" w:sz="4" w:space="0"/>
              <w:left w:val="nil"/>
              <w:bottom w:val="single" w:color="auto" w:sz="4" w:space="0"/>
              <w:right w:val="single" w:color="auto" w:sz="4" w:space="0"/>
            </w:tcBorders>
            <w:shd w:val="clear" w:color="000000" w:fill="EEECE1"/>
            <w:noWrap/>
            <w:vAlign w:val="bottom"/>
            <w:hideMark/>
          </w:tcPr>
          <w:p w:rsidRPr="00381E7C" w:rsidR="00D25FD2" w:rsidP="00D25FD2" w:rsidRDefault="00D25FD2" w14:paraId="75AB4775" w14:textId="77777777">
            <w:pPr>
              <w:spacing w:after="0" w:line="240" w:lineRule="auto"/>
              <w:ind w:firstLine="201" w:firstLineChars="100"/>
              <w:rPr>
                <w:rFonts w:ascii="Calibri" w:hAnsi="Calibri" w:cs="Calibri"/>
                <w:b/>
                <w:bCs/>
                <w:sz w:val="20"/>
                <w:szCs w:val="20"/>
              </w:rPr>
            </w:pPr>
            <w:r w:rsidRPr="00381E7C">
              <w:rPr>
                <w:rFonts w:ascii="Calibri" w:hAnsi="Calibri" w:cs="Calibri"/>
                <w:b/>
                <w:bCs/>
                <w:sz w:val="20"/>
                <w:szCs w:val="20"/>
              </w:rPr>
              <w:t>Categorie</w:t>
            </w:r>
          </w:p>
        </w:tc>
        <w:tc>
          <w:tcPr>
            <w:tcW w:w="847" w:type="dxa"/>
            <w:tcBorders>
              <w:top w:val="single" w:color="auto" w:sz="4" w:space="0"/>
              <w:left w:val="nil"/>
              <w:bottom w:val="single" w:color="auto" w:sz="4" w:space="0"/>
              <w:right w:val="nil"/>
            </w:tcBorders>
            <w:shd w:val="clear" w:color="000000" w:fill="EEECE1"/>
            <w:vAlign w:val="bottom"/>
            <w:hideMark/>
          </w:tcPr>
          <w:p w:rsidRPr="00381E7C" w:rsidR="00D25FD2" w:rsidP="00D25FD2" w:rsidRDefault="00D25FD2" w14:paraId="46E13E20" w14:textId="77777777">
            <w:pPr>
              <w:spacing w:after="0" w:line="240" w:lineRule="auto"/>
              <w:jc w:val="center"/>
              <w:rPr>
                <w:rFonts w:ascii="Calibri" w:hAnsi="Calibri" w:cs="Calibri"/>
                <w:b/>
                <w:bCs/>
                <w:sz w:val="20"/>
                <w:szCs w:val="20"/>
              </w:rPr>
            </w:pPr>
            <w:r w:rsidRPr="00381E7C">
              <w:rPr>
                <w:rFonts w:ascii="Calibri" w:hAnsi="Calibri" w:cs="Calibri"/>
                <w:b/>
                <w:bCs/>
                <w:sz w:val="20"/>
                <w:szCs w:val="20"/>
              </w:rPr>
              <w:t>Aantal</w:t>
            </w:r>
          </w:p>
        </w:tc>
        <w:tc>
          <w:tcPr>
            <w:tcW w:w="1169" w:type="dxa"/>
            <w:tcBorders>
              <w:top w:val="single" w:color="auto" w:sz="4" w:space="0"/>
              <w:left w:val="single" w:color="auto" w:sz="4" w:space="0"/>
              <w:bottom w:val="single" w:color="auto" w:sz="4" w:space="0"/>
              <w:right w:val="nil"/>
            </w:tcBorders>
            <w:shd w:val="clear" w:color="000000" w:fill="EEECE1"/>
            <w:vAlign w:val="bottom"/>
            <w:hideMark/>
          </w:tcPr>
          <w:p w:rsidRPr="00381E7C" w:rsidR="00D25FD2" w:rsidP="00D25FD2" w:rsidRDefault="00D25FD2" w14:paraId="4A193DBF" w14:textId="77777777">
            <w:pPr>
              <w:spacing w:after="0" w:line="240" w:lineRule="auto"/>
              <w:jc w:val="center"/>
              <w:rPr>
                <w:rFonts w:ascii="Calibri" w:hAnsi="Calibri" w:cs="Calibri"/>
                <w:b/>
                <w:bCs/>
                <w:sz w:val="20"/>
                <w:szCs w:val="20"/>
              </w:rPr>
            </w:pPr>
            <w:r w:rsidRPr="00381E7C">
              <w:rPr>
                <w:rFonts w:ascii="Calibri" w:hAnsi="Calibri" w:cs="Calibri"/>
                <w:b/>
                <w:bCs/>
                <w:sz w:val="20"/>
                <w:szCs w:val="20"/>
              </w:rPr>
              <w:t>Budgetclaim</w:t>
            </w:r>
            <w:r w:rsidRPr="00381E7C">
              <w:rPr>
                <w:rFonts w:ascii="Calibri" w:hAnsi="Calibri" w:cs="Calibri"/>
                <w:b/>
                <w:bCs/>
                <w:sz w:val="20"/>
                <w:szCs w:val="20"/>
              </w:rPr>
              <w:br/>
            </w:r>
            <w:r w:rsidRPr="00381E7C">
              <w:rPr>
                <w:rFonts w:ascii="Calibri" w:hAnsi="Calibri" w:cs="Calibri"/>
                <w:b/>
                <w:bCs/>
                <w:sz w:val="20"/>
                <w:szCs w:val="20"/>
              </w:rPr>
              <w:br/>
              <w:t>[€ mln]</w:t>
            </w:r>
          </w:p>
        </w:tc>
        <w:tc>
          <w:tcPr>
            <w:tcW w:w="1042" w:type="dxa"/>
            <w:tcBorders>
              <w:top w:val="single" w:color="auto" w:sz="4" w:space="0"/>
              <w:left w:val="single" w:color="auto" w:sz="4" w:space="0"/>
              <w:bottom w:val="single" w:color="auto" w:sz="4" w:space="0"/>
              <w:right w:val="nil"/>
            </w:tcBorders>
            <w:shd w:val="clear" w:color="000000" w:fill="EEECE1"/>
            <w:vAlign w:val="bottom"/>
            <w:hideMark/>
          </w:tcPr>
          <w:p w:rsidRPr="00381E7C" w:rsidR="00D25FD2" w:rsidP="00D25FD2" w:rsidRDefault="00D25FD2" w14:paraId="4562A659" w14:textId="77777777">
            <w:pPr>
              <w:spacing w:after="0" w:line="240" w:lineRule="auto"/>
              <w:jc w:val="center"/>
              <w:rPr>
                <w:rFonts w:ascii="Calibri" w:hAnsi="Calibri" w:cs="Calibri"/>
                <w:b/>
                <w:bCs/>
                <w:sz w:val="20"/>
                <w:szCs w:val="20"/>
              </w:rPr>
            </w:pPr>
            <w:r w:rsidRPr="00381E7C">
              <w:rPr>
                <w:rFonts w:ascii="Calibri" w:hAnsi="Calibri" w:cs="Calibri"/>
                <w:b/>
                <w:bCs/>
                <w:sz w:val="20"/>
                <w:szCs w:val="20"/>
              </w:rPr>
              <w:t>Vermogen¹</w:t>
            </w:r>
            <w:r w:rsidRPr="00381E7C">
              <w:rPr>
                <w:rFonts w:ascii="Calibri" w:hAnsi="Calibri" w:cs="Calibri"/>
                <w:b/>
                <w:bCs/>
                <w:sz w:val="20"/>
                <w:szCs w:val="20"/>
              </w:rPr>
              <w:br/>
            </w:r>
            <w:r w:rsidRPr="00381E7C">
              <w:rPr>
                <w:rFonts w:ascii="Calibri" w:hAnsi="Calibri" w:cs="Calibri"/>
                <w:b/>
                <w:bCs/>
                <w:sz w:val="20"/>
                <w:szCs w:val="20"/>
              </w:rPr>
              <w:br/>
              <w:t>[MW]</w:t>
            </w:r>
          </w:p>
        </w:tc>
        <w:tc>
          <w:tcPr>
            <w:tcW w:w="1359" w:type="dxa"/>
            <w:tcBorders>
              <w:top w:val="single" w:color="auto" w:sz="4" w:space="0"/>
              <w:left w:val="single" w:color="auto" w:sz="4" w:space="0"/>
              <w:bottom w:val="single" w:color="auto" w:sz="4" w:space="0"/>
              <w:right w:val="single" w:color="auto" w:sz="4" w:space="0"/>
            </w:tcBorders>
            <w:shd w:val="clear" w:color="000000" w:fill="EEECE1"/>
            <w:vAlign w:val="bottom"/>
            <w:hideMark/>
          </w:tcPr>
          <w:p w:rsidRPr="00381E7C" w:rsidR="00D25FD2" w:rsidP="00D25FD2" w:rsidRDefault="00D25FD2" w14:paraId="749475A0" w14:textId="77777777">
            <w:pPr>
              <w:spacing w:after="0" w:line="240" w:lineRule="auto"/>
              <w:jc w:val="center"/>
              <w:rPr>
                <w:rFonts w:ascii="Calibri" w:hAnsi="Calibri" w:cs="Calibri"/>
                <w:b/>
                <w:bCs/>
                <w:sz w:val="20"/>
                <w:szCs w:val="20"/>
              </w:rPr>
            </w:pPr>
            <w:r w:rsidRPr="00381E7C">
              <w:rPr>
                <w:rFonts w:ascii="Calibri" w:hAnsi="Calibri" w:cs="Calibri"/>
                <w:b/>
                <w:bCs/>
                <w:sz w:val="20"/>
                <w:szCs w:val="20"/>
              </w:rPr>
              <w:t>CO2 reductie</w:t>
            </w:r>
            <w:r w:rsidRPr="00381E7C">
              <w:rPr>
                <w:rFonts w:ascii="Calibri" w:hAnsi="Calibri" w:cs="Calibri"/>
                <w:b/>
                <w:bCs/>
                <w:sz w:val="20"/>
                <w:szCs w:val="20"/>
              </w:rPr>
              <w:br/>
            </w:r>
            <w:r w:rsidRPr="00381E7C">
              <w:rPr>
                <w:rFonts w:ascii="Calibri" w:hAnsi="Calibri" w:cs="Calibri"/>
                <w:b/>
                <w:bCs/>
                <w:sz w:val="20"/>
                <w:szCs w:val="20"/>
              </w:rPr>
              <w:br/>
              <w:t>[tCO₂/jr]</w:t>
            </w:r>
          </w:p>
        </w:tc>
        <w:tc>
          <w:tcPr>
            <w:tcW w:w="1275" w:type="dxa"/>
            <w:tcBorders>
              <w:top w:val="single" w:color="auto" w:sz="4" w:space="0"/>
              <w:left w:val="nil"/>
              <w:bottom w:val="single" w:color="auto" w:sz="4" w:space="0"/>
              <w:right w:val="single" w:color="auto" w:sz="4" w:space="0"/>
            </w:tcBorders>
            <w:shd w:val="clear" w:color="000000" w:fill="EEECE1"/>
            <w:vAlign w:val="bottom"/>
            <w:hideMark/>
          </w:tcPr>
          <w:p w:rsidRPr="00381E7C" w:rsidR="00D25FD2" w:rsidP="00D25FD2" w:rsidRDefault="00D25FD2" w14:paraId="7E717E65" w14:textId="77777777">
            <w:pPr>
              <w:spacing w:after="0" w:line="240" w:lineRule="auto"/>
              <w:jc w:val="center"/>
              <w:rPr>
                <w:rFonts w:ascii="Calibri" w:hAnsi="Calibri" w:cs="Calibri"/>
                <w:b/>
                <w:bCs/>
                <w:sz w:val="20"/>
                <w:szCs w:val="20"/>
              </w:rPr>
            </w:pPr>
            <w:r w:rsidRPr="00381E7C">
              <w:rPr>
                <w:rFonts w:ascii="Calibri" w:hAnsi="Calibri" w:cs="Calibri"/>
                <w:b/>
                <w:bCs/>
                <w:sz w:val="20"/>
                <w:szCs w:val="20"/>
              </w:rPr>
              <w:t>Gemiddelde</w:t>
            </w:r>
            <w:r w:rsidRPr="00381E7C">
              <w:rPr>
                <w:rFonts w:ascii="Calibri" w:hAnsi="Calibri" w:cs="Calibri"/>
                <w:b/>
                <w:bCs/>
                <w:sz w:val="20"/>
                <w:szCs w:val="20"/>
              </w:rPr>
              <w:br/>
              <w:t>subsidie-</w:t>
            </w:r>
            <w:r w:rsidRPr="00381E7C">
              <w:rPr>
                <w:rFonts w:ascii="Calibri" w:hAnsi="Calibri" w:cs="Calibri"/>
                <w:b/>
                <w:bCs/>
                <w:sz w:val="20"/>
                <w:szCs w:val="20"/>
              </w:rPr>
              <w:br/>
              <w:t>intensiteit²</w:t>
            </w:r>
            <w:r w:rsidRPr="00381E7C">
              <w:rPr>
                <w:rFonts w:ascii="Calibri" w:hAnsi="Calibri" w:cs="Calibri"/>
                <w:b/>
                <w:bCs/>
                <w:sz w:val="20"/>
                <w:szCs w:val="20"/>
              </w:rPr>
              <w:br/>
              <w:t>[€/tCO₂]</w:t>
            </w:r>
          </w:p>
        </w:tc>
      </w:tr>
      <w:tr w:rsidRPr="00381E7C" w:rsidR="00D25FD2" w:rsidTr="00381E7C" w14:paraId="55A698D9"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35EE5B6C"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Moleculen</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1435FC6E"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Biomassavergassing</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7621B24B"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2</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05C1D92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1.360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78B3F12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161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2A372C0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199.544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1A1C24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310 </w:t>
            </w:r>
          </w:p>
        </w:tc>
      </w:tr>
      <w:tr w:rsidRPr="00381E7C" w:rsidR="00D25FD2" w:rsidTr="00381E7C" w14:paraId="6D8CF4D0"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342971E"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5CAC5561"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Biomassavergisting (hern. gas)</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5A545143"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73</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FBE6E2C"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1.785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7795915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243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3FF553C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395.992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419ADFEA"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259 </w:t>
            </w:r>
          </w:p>
        </w:tc>
      </w:tr>
      <w:tr w:rsidRPr="00381E7C" w:rsidR="00D25FD2" w:rsidTr="00381E7C" w14:paraId="0BECFD75"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5398C37A"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68FF929"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Waterstofproductie uit elektrolyse</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7C566B9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3</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A69731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1.645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A702179"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234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1AC1180B"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197.068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CC425D9"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386 </w:t>
            </w:r>
          </w:p>
        </w:tc>
      </w:tr>
      <w:tr w:rsidRPr="00381E7C" w:rsidR="00D25FD2" w:rsidTr="00381E7C" w14:paraId="7FDC0FA7"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1DC41C4A"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077E11DC"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Waterstofproductie uit vergassing</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0A7FE9A2"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832B4FB"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1.155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7C55E5C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276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65E343C"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268.175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670682F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65 </w:t>
            </w:r>
          </w:p>
        </w:tc>
      </w:tr>
      <w:tr w:rsidRPr="00381E7C" w:rsidR="00D25FD2" w:rsidTr="00381E7C" w14:paraId="2A5AF437"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38518184"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9E26492"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Geavanceerde hernieuwbare brandstoffen</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6D38F0AE"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3C76338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400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DA3A6A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40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2A3DEC2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76.961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4995B9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42 </w:t>
            </w:r>
          </w:p>
        </w:tc>
      </w:tr>
      <w:tr w:rsidRPr="00381E7C" w:rsidR="00D25FD2" w:rsidTr="00381E7C" w14:paraId="6F864496" w14:textId="77777777">
        <w:trPr>
          <w:trHeight w:val="150"/>
        </w:trPr>
        <w:tc>
          <w:tcPr>
            <w:tcW w:w="1271"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7E57A556" w14:textId="77777777">
            <w:pPr>
              <w:spacing w:after="0" w:line="240" w:lineRule="auto"/>
              <w:ind w:firstLine="1205" w:firstLineChars="6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036EDFC3" w14:textId="77777777">
            <w:pPr>
              <w:spacing w:after="0" w:line="240" w:lineRule="auto"/>
              <w:rPr>
                <w:rFonts w:ascii="Calibri" w:hAnsi="Calibri" w:cs="Calibri"/>
                <w:b/>
                <w:bCs/>
                <w:color w:val="000000"/>
                <w:sz w:val="20"/>
                <w:szCs w:val="20"/>
              </w:rPr>
            </w:pPr>
            <w:r w:rsidRPr="00381E7C">
              <w:rPr>
                <w:rFonts w:ascii="Calibri" w:hAnsi="Calibri" w:cs="Calibri"/>
                <w:b/>
                <w:bCs/>
                <w:color w:val="000000"/>
                <w:sz w:val="20"/>
                <w:szCs w:val="20"/>
              </w:rPr>
              <w:t>Totaal Moleculen</w:t>
            </w:r>
          </w:p>
        </w:tc>
        <w:tc>
          <w:tcPr>
            <w:tcW w:w="847" w:type="dxa"/>
            <w:tcBorders>
              <w:top w:val="nil"/>
              <w:left w:val="nil"/>
              <w:bottom w:val="single" w:color="auto" w:sz="4" w:space="0"/>
              <w:right w:val="nil"/>
            </w:tcBorders>
            <w:shd w:val="clear" w:color="000000" w:fill="FFFFFF"/>
            <w:noWrap/>
            <w:vAlign w:val="bottom"/>
            <w:hideMark/>
          </w:tcPr>
          <w:p w:rsidRPr="00381E7C" w:rsidR="00D25FD2" w:rsidP="00D25FD2" w:rsidRDefault="00D25FD2" w14:paraId="4F8AF7B5"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80</w:t>
            </w:r>
          </w:p>
        </w:tc>
        <w:tc>
          <w:tcPr>
            <w:tcW w:w="1169"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214DB99E"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6.345</w:t>
            </w:r>
          </w:p>
        </w:tc>
        <w:tc>
          <w:tcPr>
            <w:tcW w:w="1042"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3DD6943A"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954 </w:t>
            </w:r>
          </w:p>
        </w:tc>
        <w:tc>
          <w:tcPr>
            <w:tcW w:w="1359"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6C0146E4"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1.137.740 </w:t>
            </w:r>
          </w:p>
        </w:tc>
        <w:tc>
          <w:tcPr>
            <w:tcW w:w="1275"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08098028"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230 </w:t>
            </w:r>
          </w:p>
        </w:tc>
      </w:tr>
      <w:tr w:rsidRPr="00381E7C" w:rsidR="00D25FD2" w:rsidTr="00381E7C" w14:paraId="7C7C0600"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D022854"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LT-warmte</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6D1DF7B"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Geothermie</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5C7737AA"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5</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49F679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1.177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2572A0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176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4F55F7B"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343.281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045CF05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207 </w:t>
            </w:r>
          </w:p>
        </w:tc>
      </w:tr>
      <w:tr w:rsidRPr="00381E7C" w:rsidR="00D25FD2" w:rsidTr="00381E7C" w14:paraId="0EFBBE71"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3CFF1F24"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25A8CB5"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Lucht-water warmtepomp</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06D4D36C"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80</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DBF9DA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660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B0F7A6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246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BD711B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164.737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54CE721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233 </w:t>
            </w:r>
          </w:p>
        </w:tc>
      </w:tr>
      <w:tr w:rsidRPr="00381E7C" w:rsidR="00D25FD2" w:rsidTr="00381E7C" w14:paraId="61C58A89"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6AC59F9C"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3A89041B"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Restwarmtebenutting</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356F50F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14</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0A8195FB"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617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86382E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138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CA15453"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133.370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42CB26B"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242 </w:t>
            </w:r>
          </w:p>
        </w:tc>
      </w:tr>
      <w:tr w:rsidRPr="00381E7C" w:rsidR="00D25FD2" w:rsidTr="00381E7C" w14:paraId="5362A21E"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2609789"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EA266F1"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Geothermie met warmtepomp</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3754154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2</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FC103A9"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363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AB62D1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37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59EC4B6E"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75.952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59169BC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300 </w:t>
            </w:r>
          </w:p>
        </w:tc>
      </w:tr>
      <w:tr w:rsidRPr="00381E7C" w:rsidR="00D25FD2" w:rsidTr="00381E7C" w14:paraId="40E6FCFD"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9F232AB"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B8E6E77"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Industriële warmtepomp (gesloten)</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1230826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11</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A06911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190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8F8EEA2"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53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20E77713"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57.822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6ACFCC8C"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132 </w:t>
            </w:r>
          </w:p>
        </w:tc>
      </w:tr>
      <w:tr w:rsidRPr="00381E7C" w:rsidR="00D25FD2" w:rsidTr="00381E7C" w14:paraId="706C0F06"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8843F90"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0487665C"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Aquathermie</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596E926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3</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01F2DE4C"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16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D46C68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8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F3AF65E"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3.333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140A766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290 </w:t>
            </w:r>
          </w:p>
        </w:tc>
      </w:tr>
      <w:tr w:rsidRPr="00381E7C" w:rsidR="00D25FD2" w:rsidTr="00381E7C" w14:paraId="3124B445"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C894453"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390F1AC4"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Biomassavergisting (hern. warmte)</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1382995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4</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442353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13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4AFF595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41123AF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3.436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36CD498"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269 </w:t>
            </w:r>
          </w:p>
        </w:tc>
      </w:tr>
      <w:tr w:rsidRPr="00381E7C" w:rsidR="00D25FD2" w:rsidTr="00381E7C" w14:paraId="5C5BCDA9"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68248804"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5C82F032"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Zonthermie</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264599D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2</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72B814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0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3B0A84A3"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0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1D8F3BE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67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1AF8F85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232 </w:t>
            </w:r>
          </w:p>
        </w:tc>
      </w:tr>
      <w:tr w:rsidRPr="00381E7C" w:rsidR="00D25FD2" w:rsidTr="00381E7C" w14:paraId="32FB6064" w14:textId="77777777">
        <w:trPr>
          <w:trHeight w:val="150"/>
        </w:trPr>
        <w:tc>
          <w:tcPr>
            <w:tcW w:w="1271"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48EDC51B" w14:textId="77777777">
            <w:pPr>
              <w:spacing w:after="0" w:line="240" w:lineRule="auto"/>
              <w:ind w:firstLine="1205" w:firstLineChars="6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64AF682F" w14:textId="77777777">
            <w:pPr>
              <w:spacing w:after="0" w:line="240" w:lineRule="auto"/>
              <w:rPr>
                <w:rFonts w:ascii="Calibri" w:hAnsi="Calibri" w:cs="Calibri"/>
                <w:b/>
                <w:bCs/>
                <w:color w:val="000000"/>
                <w:sz w:val="20"/>
                <w:szCs w:val="20"/>
              </w:rPr>
            </w:pPr>
            <w:r w:rsidRPr="00381E7C">
              <w:rPr>
                <w:rFonts w:ascii="Calibri" w:hAnsi="Calibri" w:cs="Calibri"/>
                <w:b/>
                <w:bCs/>
                <w:color w:val="000000"/>
                <w:sz w:val="20"/>
                <w:szCs w:val="20"/>
              </w:rPr>
              <w:t>Totaal LT-warmte</w:t>
            </w:r>
          </w:p>
        </w:tc>
        <w:tc>
          <w:tcPr>
            <w:tcW w:w="847" w:type="dxa"/>
            <w:tcBorders>
              <w:top w:val="nil"/>
              <w:left w:val="nil"/>
              <w:bottom w:val="single" w:color="auto" w:sz="4" w:space="0"/>
              <w:right w:val="nil"/>
            </w:tcBorders>
            <w:shd w:val="clear" w:color="000000" w:fill="FFFFFF"/>
            <w:noWrap/>
            <w:vAlign w:val="bottom"/>
            <w:hideMark/>
          </w:tcPr>
          <w:p w:rsidRPr="00381E7C" w:rsidR="00D25FD2" w:rsidP="00D25FD2" w:rsidRDefault="00D25FD2" w14:paraId="383CC8F0"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121</w:t>
            </w:r>
          </w:p>
        </w:tc>
        <w:tc>
          <w:tcPr>
            <w:tcW w:w="1169"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0EF56E51"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3.036 </w:t>
            </w:r>
          </w:p>
        </w:tc>
        <w:tc>
          <w:tcPr>
            <w:tcW w:w="1042"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7895C5B5"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659 </w:t>
            </w:r>
          </w:p>
        </w:tc>
        <w:tc>
          <w:tcPr>
            <w:tcW w:w="1359"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24CE9802"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781.998 </w:t>
            </w:r>
          </w:p>
        </w:tc>
        <w:tc>
          <w:tcPr>
            <w:tcW w:w="1275"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24AA43E5"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224 </w:t>
            </w:r>
          </w:p>
        </w:tc>
      </w:tr>
      <w:tr w:rsidRPr="00381E7C" w:rsidR="00D25FD2" w:rsidTr="00381E7C" w14:paraId="25C7403B"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0AD98A5"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HT-warmte</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4EC5D43F"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Elektrische boiler</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166C5AB8"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11</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5E0F28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726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31C5DD6C"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295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ECC35AE"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214.165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4B34059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248 </w:t>
            </w:r>
          </w:p>
        </w:tc>
      </w:tr>
      <w:tr w:rsidRPr="00381E7C" w:rsidR="00D25FD2" w:rsidTr="00381E7C" w14:paraId="279C384E" w14:textId="77777777">
        <w:trPr>
          <w:trHeight w:val="150"/>
        </w:trPr>
        <w:tc>
          <w:tcPr>
            <w:tcW w:w="1271" w:type="dxa"/>
            <w:tcBorders>
              <w:top w:val="nil"/>
              <w:left w:val="single" w:color="auto" w:sz="4" w:space="0"/>
              <w:bottom w:val="nil"/>
              <w:right w:val="single" w:color="auto" w:sz="4" w:space="0"/>
            </w:tcBorders>
            <w:noWrap/>
            <w:vAlign w:val="bottom"/>
            <w:hideMark/>
          </w:tcPr>
          <w:p w:rsidRPr="00381E7C" w:rsidR="00D25FD2" w:rsidP="00D25FD2" w:rsidRDefault="00D25FD2" w14:paraId="67F7F11F" w14:textId="77777777">
            <w:pPr>
              <w:spacing w:after="0" w:line="240" w:lineRule="auto"/>
              <w:rPr>
                <w:rFonts w:ascii="Calibri" w:hAnsi="Calibri" w:cs="Calibri"/>
                <w:color w:val="000000"/>
                <w:sz w:val="20"/>
                <w:szCs w:val="20"/>
              </w:rPr>
            </w:pPr>
            <w:r w:rsidRPr="00381E7C">
              <w:rPr>
                <w:rFonts w:ascii="Calibri" w:hAnsi="Calibri" w:cs="Calibri"/>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DEA1C5D"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Biomassaverbranding</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094ED70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6</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309D019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317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251C41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277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65DD34F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117.329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246F7C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162 </w:t>
            </w:r>
          </w:p>
        </w:tc>
      </w:tr>
      <w:tr w:rsidRPr="00381E7C" w:rsidR="00D25FD2" w:rsidTr="00381E7C" w14:paraId="629662C0"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2F28C601"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4A40DAA5"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Procesgeïntegreerde warmtepomp</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3510D45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2</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1AE023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121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B98BDB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52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5DB21FD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28.183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157C74B8"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223 </w:t>
            </w:r>
          </w:p>
        </w:tc>
      </w:tr>
      <w:tr w:rsidRPr="00381E7C" w:rsidR="00D25FD2" w:rsidTr="00381E7C" w14:paraId="26CCC8D2"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3E574A86"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35D2CA4D"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Industriële warmtepomp (open)</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72A7BAB8"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7B3216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19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E14358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9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855FA6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5.991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6573CEAE"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110 </w:t>
            </w:r>
          </w:p>
        </w:tc>
      </w:tr>
      <w:tr w:rsidRPr="00381E7C" w:rsidR="00D25FD2" w:rsidTr="00381E7C" w14:paraId="59C7ADAE" w14:textId="77777777">
        <w:trPr>
          <w:trHeight w:val="150"/>
        </w:trPr>
        <w:tc>
          <w:tcPr>
            <w:tcW w:w="1271"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1940F170" w14:textId="77777777">
            <w:pPr>
              <w:spacing w:after="0" w:line="240" w:lineRule="auto"/>
              <w:ind w:firstLine="1205" w:firstLineChars="6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6B7B24A9" w14:textId="77777777">
            <w:pPr>
              <w:spacing w:after="0" w:line="240" w:lineRule="auto"/>
              <w:rPr>
                <w:rFonts w:ascii="Calibri" w:hAnsi="Calibri" w:cs="Calibri"/>
                <w:b/>
                <w:bCs/>
                <w:color w:val="000000"/>
                <w:sz w:val="20"/>
                <w:szCs w:val="20"/>
              </w:rPr>
            </w:pPr>
            <w:r w:rsidRPr="00381E7C">
              <w:rPr>
                <w:rFonts w:ascii="Calibri" w:hAnsi="Calibri" w:cs="Calibri"/>
                <w:b/>
                <w:bCs/>
                <w:color w:val="000000"/>
                <w:sz w:val="20"/>
                <w:szCs w:val="20"/>
              </w:rPr>
              <w:t>Totaal HT-warmte</w:t>
            </w:r>
          </w:p>
        </w:tc>
        <w:tc>
          <w:tcPr>
            <w:tcW w:w="847" w:type="dxa"/>
            <w:tcBorders>
              <w:top w:val="nil"/>
              <w:left w:val="nil"/>
              <w:bottom w:val="single" w:color="auto" w:sz="4" w:space="0"/>
              <w:right w:val="nil"/>
            </w:tcBorders>
            <w:shd w:val="clear" w:color="000000" w:fill="FFFFFF"/>
            <w:noWrap/>
            <w:vAlign w:val="bottom"/>
            <w:hideMark/>
          </w:tcPr>
          <w:p w:rsidRPr="00381E7C" w:rsidR="00D25FD2" w:rsidP="00D25FD2" w:rsidRDefault="00D25FD2" w14:paraId="6E3A5277"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20</w:t>
            </w:r>
          </w:p>
        </w:tc>
        <w:tc>
          <w:tcPr>
            <w:tcW w:w="1169"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4E7A8ECC"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1.183 </w:t>
            </w:r>
          </w:p>
        </w:tc>
        <w:tc>
          <w:tcPr>
            <w:tcW w:w="1042"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4EC513C8"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614 </w:t>
            </w:r>
          </w:p>
        </w:tc>
        <w:tc>
          <w:tcPr>
            <w:tcW w:w="1359"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7994BA2B"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365.668 </w:t>
            </w:r>
          </w:p>
        </w:tc>
        <w:tc>
          <w:tcPr>
            <w:tcW w:w="1275"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59B6EDA5"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215 </w:t>
            </w:r>
          </w:p>
        </w:tc>
      </w:tr>
      <w:tr w:rsidRPr="00381E7C" w:rsidR="00D25FD2" w:rsidTr="00381E7C" w14:paraId="4C49F3C7"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5C5EC4C6"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Elektriciteit</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3AAFD498"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Zon-PV op veld</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067B9DF2"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51</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4F66EE68"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352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3AD4ED0A"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772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159669A2"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44.389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465F2CE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177 </w:t>
            </w:r>
          </w:p>
        </w:tc>
      </w:tr>
      <w:tr w:rsidRPr="00381E7C" w:rsidR="00D25FD2" w:rsidTr="00381E7C" w14:paraId="6E7A62F1"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4C1A0809"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1DB32CF2"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Wind op land</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7DCFF41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10</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DD2F3D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238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0E1337C"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122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2A80CE4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44.397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A753B8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163 </w:t>
            </w:r>
          </w:p>
        </w:tc>
      </w:tr>
      <w:tr w:rsidRPr="00381E7C" w:rsidR="00D25FD2" w:rsidTr="00381E7C" w14:paraId="7FF22095"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6832A5C5"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A0E57E5"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Zon-PV op dak</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134EEA8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110</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587D3B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118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6D321A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244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7CBEC048"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32.698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3CE3885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94 </w:t>
            </w:r>
          </w:p>
        </w:tc>
      </w:tr>
      <w:tr w:rsidRPr="00381E7C" w:rsidR="00D25FD2" w:rsidTr="00381E7C" w14:paraId="644E7312"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6D8F010"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4B7E5A12"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Zon-PV op water</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4952509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4</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75EA617B"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28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3BAAA77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58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1CE75CC5"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3.505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2DEB18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197 </w:t>
            </w:r>
          </w:p>
        </w:tc>
      </w:tr>
      <w:tr w:rsidRPr="00381E7C" w:rsidR="00D25FD2" w:rsidTr="00381E7C" w14:paraId="6DDD8DA9"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30A15554"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vAlign w:val="bottom"/>
            <w:hideMark/>
          </w:tcPr>
          <w:p w:rsidRPr="00381E7C" w:rsidR="00D25FD2" w:rsidP="00D25FD2" w:rsidRDefault="00D25FD2" w14:paraId="38533E8C"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Biomassavergisting (gecomb. opwekking)</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6C93623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13</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D2AC9C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26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1D8B47A3"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347ED31"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7.105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9633462"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262 </w:t>
            </w:r>
          </w:p>
        </w:tc>
      </w:tr>
      <w:tr w:rsidRPr="00381E7C" w:rsidR="00D25FD2" w:rsidTr="00381E7C" w14:paraId="00D80D1C"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6790791D"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2C833CF4"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Zon-PV aan gevel</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41C63A4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6CB777C2"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57A3AD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4D315E58"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101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9FD2DEE"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300 </w:t>
            </w:r>
          </w:p>
        </w:tc>
      </w:tr>
      <w:tr w:rsidRPr="00381E7C" w:rsidR="00D25FD2" w:rsidTr="00381E7C" w14:paraId="6B694932" w14:textId="77777777">
        <w:trPr>
          <w:trHeight w:val="150"/>
        </w:trPr>
        <w:tc>
          <w:tcPr>
            <w:tcW w:w="1271"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7B7B9235" w14:textId="77777777">
            <w:pPr>
              <w:spacing w:after="0" w:line="240" w:lineRule="auto"/>
              <w:ind w:firstLine="1205" w:firstLineChars="6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4EA4ED72" w14:textId="77777777">
            <w:pPr>
              <w:spacing w:after="0" w:line="240" w:lineRule="auto"/>
              <w:rPr>
                <w:rFonts w:ascii="Calibri" w:hAnsi="Calibri" w:cs="Calibri"/>
                <w:b/>
                <w:bCs/>
                <w:color w:val="000000"/>
                <w:sz w:val="20"/>
                <w:szCs w:val="20"/>
              </w:rPr>
            </w:pPr>
            <w:r w:rsidRPr="00381E7C">
              <w:rPr>
                <w:rFonts w:ascii="Calibri" w:hAnsi="Calibri" w:cs="Calibri"/>
                <w:b/>
                <w:bCs/>
                <w:color w:val="000000"/>
                <w:sz w:val="20"/>
                <w:szCs w:val="20"/>
              </w:rPr>
              <w:t>Totaal Elektriciteit</w:t>
            </w:r>
          </w:p>
        </w:tc>
        <w:tc>
          <w:tcPr>
            <w:tcW w:w="847" w:type="dxa"/>
            <w:tcBorders>
              <w:top w:val="nil"/>
              <w:left w:val="nil"/>
              <w:bottom w:val="single" w:color="auto" w:sz="4" w:space="0"/>
              <w:right w:val="nil"/>
            </w:tcBorders>
            <w:shd w:val="clear" w:color="000000" w:fill="FFFFFF"/>
            <w:noWrap/>
            <w:vAlign w:val="bottom"/>
            <w:hideMark/>
          </w:tcPr>
          <w:p w:rsidRPr="00381E7C" w:rsidR="00D25FD2" w:rsidP="00D25FD2" w:rsidRDefault="00D25FD2" w14:paraId="28360CE7"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189</w:t>
            </w:r>
          </w:p>
        </w:tc>
        <w:tc>
          <w:tcPr>
            <w:tcW w:w="1169"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3C99AF44"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763 </w:t>
            </w:r>
          </w:p>
        </w:tc>
        <w:tc>
          <w:tcPr>
            <w:tcW w:w="1042" w:type="dxa"/>
            <w:tcBorders>
              <w:top w:val="nil"/>
              <w:left w:val="single" w:color="auto" w:sz="4" w:space="0"/>
              <w:bottom w:val="single" w:color="auto" w:sz="4" w:space="0"/>
              <w:right w:val="nil"/>
            </w:tcBorders>
            <w:shd w:val="clear" w:color="000000" w:fill="FFFFFF"/>
            <w:noWrap/>
            <w:vAlign w:val="bottom"/>
            <w:hideMark/>
          </w:tcPr>
          <w:p w:rsidRPr="00381E7C" w:rsidR="00D25FD2" w:rsidP="00D25FD2" w:rsidRDefault="00D25FD2" w14:paraId="6EE5AA21"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1.200 </w:t>
            </w:r>
          </w:p>
        </w:tc>
        <w:tc>
          <w:tcPr>
            <w:tcW w:w="1359" w:type="dxa"/>
            <w:tcBorders>
              <w:top w:val="nil"/>
              <w:left w:val="single" w:color="auto" w:sz="4" w:space="0"/>
              <w:bottom w:val="single" w:color="auto" w:sz="4" w:space="0"/>
              <w:right w:val="single" w:color="auto" w:sz="4" w:space="0"/>
            </w:tcBorders>
            <w:shd w:val="clear" w:color="000000" w:fill="FFFFFF"/>
            <w:noWrap/>
            <w:vAlign w:val="bottom"/>
            <w:hideMark/>
          </w:tcPr>
          <w:p w:rsidRPr="00381E7C" w:rsidR="00D25FD2" w:rsidP="00D25FD2" w:rsidRDefault="00D25FD2" w14:paraId="7BBC9970"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132.195 </w:t>
            </w:r>
          </w:p>
        </w:tc>
        <w:tc>
          <w:tcPr>
            <w:tcW w:w="1275" w:type="dxa"/>
            <w:tcBorders>
              <w:top w:val="nil"/>
              <w:left w:val="nil"/>
              <w:bottom w:val="single" w:color="auto" w:sz="4" w:space="0"/>
              <w:right w:val="single" w:color="auto" w:sz="4" w:space="0"/>
            </w:tcBorders>
            <w:shd w:val="clear" w:color="000000" w:fill="FFFFFF"/>
            <w:noWrap/>
            <w:vAlign w:val="bottom"/>
            <w:hideMark/>
          </w:tcPr>
          <w:p w:rsidRPr="00381E7C" w:rsidR="00D25FD2" w:rsidP="00D25FD2" w:rsidRDefault="00D25FD2" w14:paraId="0D575BCC"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156 </w:t>
            </w:r>
          </w:p>
        </w:tc>
      </w:tr>
      <w:tr w:rsidRPr="00381E7C" w:rsidR="00D25FD2" w:rsidTr="00381E7C" w14:paraId="79104489"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4129E3D2" w14:textId="77777777">
            <w:pPr>
              <w:spacing w:after="0" w:line="240" w:lineRule="auto"/>
              <w:ind w:firstLine="201" w:firstLineChars="100"/>
              <w:rPr>
                <w:rFonts w:ascii="Calibri" w:hAnsi="Calibri" w:cs="Calibri"/>
                <w:b/>
                <w:bCs/>
                <w:color w:val="000000"/>
                <w:sz w:val="20"/>
                <w:szCs w:val="20"/>
              </w:rPr>
            </w:pPr>
            <w:r w:rsidRPr="00381E7C">
              <w:rPr>
                <w:rFonts w:ascii="Calibri" w:hAnsi="Calibri" w:cs="Calibri"/>
                <w:b/>
                <w:bCs/>
                <w:color w:val="000000"/>
                <w:sz w:val="20"/>
                <w:szCs w:val="20"/>
              </w:rPr>
              <w:t>CCS/CCU</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F15D56A"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CO2-afvang en -opslag</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03A93374"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19</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0D27AB02"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9.024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45D8123D"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D4095F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2.046.061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01C4E19F"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210 </w:t>
            </w:r>
          </w:p>
        </w:tc>
      </w:tr>
      <w:tr w:rsidRPr="00381E7C" w:rsidR="00D25FD2" w:rsidTr="00381E7C" w14:paraId="561A7466"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00222952"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3997E869" w14:textId="77777777">
            <w:pPr>
              <w:spacing w:after="0" w:line="240" w:lineRule="auto"/>
              <w:ind w:firstLine="200" w:firstLineChars="100"/>
              <w:rPr>
                <w:rFonts w:ascii="Calibri" w:hAnsi="Calibri" w:cs="Calibri"/>
                <w:color w:val="000000"/>
                <w:sz w:val="20"/>
                <w:szCs w:val="20"/>
              </w:rPr>
            </w:pPr>
            <w:r w:rsidRPr="00381E7C">
              <w:rPr>
                <w:rFonts w:ascii="Calibri" w:hAnsi="Calibri" w:cs="Calibri"/>
                <w:color w:val="000000"/>
                <w:sz w:val="20"/>
                <w:szCs w:val="20"/>
              </w:rPr>
              <w:t>CO2-afvang en -gebruik</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13BBD1C6"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39</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76B61B0"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1.434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5D8F5EB9"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6031CB7A"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423.811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7157F337" w14:textId="77777777">
            <w:pPr>
              <w:spacing w:after="0" w:line="240" w:lineRule="auto"/>
              <w:ind w:firstLine="400" w:firstLineChars="200"/>
              <w:jc w:val="right"/>
              <w:rPr>
                <w:rFonts w:ascii="Calibri" w:hAnsi="Calibri" w:cs="Calibri"/>
                <w:color w:val="000000"/>
                <w:sz w:val="20"/>
                <w:szCs w:val="20"/>
              </w:rPr>
            </w:pPr>
            <w:r w:rsidRPr="00381E7C">
              <w:rPr>
                <w:rFonts w:ascii="Calibri" w:hAnsi="Calibri" w:cs="Calibri"/>
                <w:color w:val="000000"/>
                <w:sz w:val="20"/>
                <w:szCs w:val="20"/>
              </w:rPr>
              <w:t xml:space="preserve">294 </w:t>
            </w:r>
          </w:p>
        </w:tc>
      </w:tr>
      <w:tr w:rsidRPr="00381E7C" w:rsidR="00D25FD2" w:rsidTr="00381E7C" w14:paraId="5B7C3315" w14:textId="77777777">
        <w:trPr>
          <w:trHeight w:val="150"/>
        </w:trPr>
        <w:tc>
          <w:tcPr>
            <w:tcW w:w="1271"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4FF04ACA" w14:textId="77777777">
            <w:pPr>
              <w:spacing w:after="0" w:line="240" w:lineRule="auto"/>
              <w:ind w:firstLine="1205" w:firstLineChars="600"/>
              <w:rPr>
                <w:rFonts w:ascii="Calibri" w:hAnsi="Calibri" w:cs="Calibri"/>
                <w:b/>
                <w:bCs/>
                <w:color w:val="000000"/>
                <w:sz w:val="20"/>
                <w:szCs w:val="20"/>
              </w:rPr>
            </w:pPr>
            <w:r w:rsidRPr="00381E7C">
              <w:rPr>
                <w:rFonts w:ascii="Calibri" w:hAnsi="Calibri" w:cs="Calibri"/>
                <w:b/>
                <w:bCs/>
                <w:color w:val="000000"/>
                <w:sz w:val="20"/>
                <w:szCs w:val="20"/>
              </w:rPr>
              <w:t> </w:t>
            </w:r>
          </w:p>
        </w:tc>
        <w:tc>
          <w:tcPr>
            <w:tcW w:w="2410"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50720A23" w14:textId="77777777">
            <w:pPr>
              <w:spacing w:after="0" w:line="240" w:lineRule="auto"/>
              <w:rPr>
                <w:rFonts w:ascii="Calibri" w:hAnsi="Calibri" w:cs="Calibri"/>
                <w:b/>
                <w:bCs/>
                <w:color w:val="000000"/>
                <w:sz w:val="20"/>
                <w:szCs w:val="20"/>
              </w:rPr>
            </w:pPr>
            <w:r w:rsidRPr="00381E7C">
              <w:rPr>
                <w:rFonts w:ascii="Calibri" w:hAnsi="Calibri" w:cs="Calibri"/>
                <w:b/>
                <w:bCs/>
                <w:color w:val="000000"/>
                <w:sz w:val="20"/>
                <w:szCs w:val="20"/>
              </w:rPr>
              <w:t>Totaal CCS/CCU</w:t>
            </w:r>
          </w:p>
        </w:tc>
        <w:tc>
          <w:tcPr>
            <w:tcW w:w="847" w:type="dxa"/>
            <w:tcBorders>
              <w:top w:val="nil"/>
              <w:left w:val="nil"/>
              <w:bottom w:val="nil"/>
              <w:right w:val="nil"/>
            </w:tcBorders>
            <w:shd w:val="clear" w:color="000000" w:fill="FFFFFF"/>
            <w:noWrap/>
            <w:vAlign w:val="bottom"/>
            <w:hideMark/>
          </w:tcPr>
          <w:p w:rsidRPr="00381E7C" w:rsidR="00D25FD2" w:rsidP="00D25FD2" w:rsidRDefault="00D25FD2" w14:paraId="41FBC9FD"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58</w:t>
            </w:r>
          </w:p>
        </w:tc>
        <w:tc>
          <w:tcPr>
            <w:tcW w:w="1169"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7380D09D"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10.458 </w:t>
            </w:r>
          </w:p>
        </w:tc>
        <w:tc>
          <w:tcPr>
            <w:tcW w:w="1042" w:type="dxa"/>
            <w:tcBorders>
              <w:top w:val="nil"/>
              <w:left w:val="single" w:color="auto" w:sz="4" w:space="0"/>
              <w:bottom w:val="nil"/>
              <w:right w:val="nil"/>
            </w:tcBorders>
            <w:shd w:val="clear" w:color="000000" w:fill="FFFFFF"/>
            <w:noWrap/>
            <w:vAlign w:val="bottom"/>
            <w:hideMark/>
          </w:tcPr>
          <w:p w:rsidRPr="00381E7C" w:rsidR="00D25FD2" w:rsidP="00D25FD2" w:rsidRDefault="00D25FD2" w14:paraId="2FD011D8"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w:t>
            </w:r>
          </w:p>
        </w:tc>
        <w:tc>
          <w:tcPr>
            <w:tcW w:w="1359" w:type="dxa"/>
            <w:tcBorders>
              <w:top w:val="nil"/>
              <w:left w:val="single" w:color="auto" w:sz="4" w:space="0"/>
              <w:bottom w:val="nil"/>
              <w:right w:val="single" w:color="auto" w:sz="4" w:space="0"/>
            </w:tcBorders>
            <w:shd w:val="clear" w:color="000000" w:fill="FFFFFF"/>
            <w:noWrap/>
            <w:vAlign w:val="bottom"/>
            <w:hideMark/>
          </w:tcPr>
          <w:p w:rsidRPr="00381E7C" w:rsidR="00D25FD2" w:rsidP="00D25FD2" w:rsidRDefault="00D25FD2" w14:paraId="5C495A38"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2.469.872 </w:t>
            </w:r>
          </w:p>
        </w:tc>
        <w:tc>
          <w:tcPr>
            <w:tcW w:w="1275" w:type="dxa"/>
            <w:tcBorders>
              <w:top w:val="nil"/>
              <w:left w:val="nil"/>
              <w:bottom w:val="nil"/>
              <w:right w:val="single" w:color="auto" w:sz="4" w:space="0"/>
            </w:tcBorders>
            <w:shd w:val="clear" w:color="000000" w:fill="FFFFFF"/>
            <w:noWrap/>
            <w:vAlign w:val="bottom"/>
            <w:hideMark/>
          </w:tcPr>
          <w:p w:rsidRPr="00381E7C" w:rsidR="00D25FD2" w:rsidP="00D25FD2" w:rsidRDefault="00D25FD2" w14:paraId="0516EC84"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280 </w:t>
            </w:r>
          </w:p>
        </w:tc>
      </w:tr>
      <w:tr w:rsidRPr="00381E7C" w:rsidR="00D25FD2" w:rsidTr="00381E7C" w14:paraId="58234033" w14:textId="77777777">
        <w:trPr>
          <w:trHeight w:val="157"/>
        </w:trPr>
        <w:tc>
          <w:tcPr>
            <w:tcW w:w="1271" w:type="dxa"/>
            <w:tcBorders>
              <w:top w:val="single" w:color="auto" w:sz="4" w:space="0"/>
              <w:left w:val="single" w:color="auto" w:sz="4" w:space="0"/>
              <w:bottom w:val="single" w:color="auto" w:sz="4" w:space="0"/>
              <w:right w:val="nil"/>
            </w:tcBorders>
            <w:shd w:val="clear" w:color="000000" w:fill="EEECE1"/>
            <w:noWrap/>
            <w:vAlign w:val="bottom"/>
            <w:hideMark/>
          </w:tcPr>
          <w:p w:rsidRPr="00381E7C" w:rsidR="00D25FD2" w:rsidP="00D25FD2" w:rsidRDefault="00D25FD2" w14:paraId="46C09022" w14:textId="77777777">
            <w:pPr>
              <w:spacing w:after="0" w:line="240" w:lineRule="auto"/>
              <w:rPr>
                <w:rFonts w:ascii="Calibri" w:hAnsi="Calibri" w:cs="Calibri"/>
                <w:b/>
                <w:bCs/>
                <w:color w:val="000000"/>
                <w:sz w:val="20"/>
                <w:szCs w:val="20"/>
              </w:rPr>
            </w:pPr>
            <w:r w:rsidRPr="00381E7C">
              <w:rPr>
                <w:rFonts w:ascii="Calibri" w:hAnsi="Calibri" w:cs="Calibri"/>
                <w:b/>
                <w:bCs/>
                <w:color w:val="000000"/>
                <w:sz w:val="20"/>
                <w:szCs w:val="20"/>
              </w:rPr>
              <w:t>TOTAAL</w:t>
            </w:r>
          </w:p>
        </w:tc>
        <w:tc>
          <w:tcPr>
            <w:tcW w:w="2410" w:type="dxa"/>
            <w:tcBorders>
              <w:top w:val="single" w:color="auto" w:sz="4" w:space="0"/>
              <w:left w:val="nil"/>
              <w:bottom w:val="single" w:color="auto" w:sz="4" w:space="0"/>
              <w:right w:val="single" w:color="auto" w:sz="4" w:space="0"/>
            </w:tcBorders>
            <w:shd w:val="clear" w:color="000000" w:fill="EEECE1"/>
            <w:noWrap/>
            <w:vAlign w:val="bottom"/>
            <w:hideMark/>
          </w:tcPr>
          <w:p w:rsidRPr="00381E7C" w:rsidR="00D25FD2" w:rsidP="00D25FD2" w:rsidRDefault="00D25FD2" w14:paraId="64664A95" w14:textId="77777777">
            <w:pPr>
              <w:spacing w:after="0" w:line="240" w:lineRule="auto"/>
              <w:rPr>
                <w:rFonts w:ascii="Calibri" w:hAnsi="Calibri" w:cs="Calibri"/>
                <w:b/>
                <w:bCs/>
                <w:color w:val="000000"/>
                <w:sz w:val="20"/>
                <w:szCs w:val="20"/>
              </w:rPr>
            </w:pPr>
            <w:r w:rsidRPr="00381E7C">
              <w:rPr>
                <w:rFonts w:ascii="Calibri" w:hAnsi="Calibri" w:cs="Calibri"/>
                <w:b/>
                <w:bCs/>
                <w:color w:val="000000"/>
                <w:sz w:val="20"/>
                <w:szCs w:val="20"/>
              </w:rPr>
              <w:t> </w:t>
            </w:r>
          </w:p>
        </w:tc>
        <w:tc>
          <w:tcPr>
            <w:tcW w:w="847" w:type="dxa"/>
            <w:tcBorders>
              <w:top w:val="single" w:color="auto" w:sz="4" w:space="0"/>
              <w:left w:val="nil"/>
              <w:bottom w:val="single" w:color="auto" w:sz="4" w:space="0"/>
              <w:right w:val="nil"/>
            </w:tcBorders>
            <w:shd w:val="clear" w:color="000000" w:fill="EEECE1"/>
            <w:noWrap/>
            <w:vAlign w:val="bottom"/>
            <w:hideMark/>
          </w:tcPr>
          <w:p w:rsidRPr="00381E7C" w:rsidR="00D25FD2" w:rsidP="00D25FD2" w:rsidRDefault="00D25FD2" w14:paraId="434814FD"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468</w:t>
            </w:r>
          </w:p>
        </w:tc>
        <w:tc>
          <w:tcPr>
            <w:tcW w:w="1169" w:type="dxa"/>
            <w:tcBorders>
              <w:top w:val="single" w:color="auto" w:sz="4" w:space="0"/>
              <w:left w:val="single" w:color="auto" w:sz="4" w:space="0"/>
              <w:bottom w:val="single" w:color="auto" w:sz="4" w:space="0"/>
              <w:right w:val="nil"/>
            </w:tcBorders>
            <w:shd w:val="clear" w:color="000000" w:fill="EEECE1"/>
            <w:noWrap/>
            <w:vAlign w:val="bottom"/>
            <w:hideMark/>
          </w:tcPr>
          <w:p w:rsidRPr="00381E7C" w:rsidR="00D25FD2" w:rsidP="00D25FD2" w:rsidRDefault="00D25FD2" w14:paraId="3F5A061A"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21.785 </w:t>
            </w:r>
          </w:p>
        </w:tc>
        <w:tc>
          <w:tcPr>
            <w:tcW w:w="1042" w:type="dxa"/>
            <w:tcBorders>
              <w:top w:val="single" w:color="auto" w:sz="4" w:space="0"/>
              <w:left w:val="single" w:color="auto" w:sz="4" w:space="0"/>
              <w:bottom w:val="single" w:color="auto" w:sz="4" w:space="0"/>
              <w:right w:val="nil"/>
            </w:tcBorders>
            <w:shd w:val="clear" w:color="000000" w:fill="EEECE1"/>
            <w:noWrap/>
            <w:vAlign w:val="bottom"/>
            <w:hideMark/>
          </w:tcPr>
          <w:p w:rsidRPr="00381E7C" w:rsidR="00D25FD2" w:rsidP="00D25FD2" w:rsidRDefault="00D25FD2" w14:paraId="7BA8E544"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w:t>
            </w:r>
          </w:p>
        </w:tc>
        <w:tc>
          <w:tcPr>
            <w:tcW w:w="1359" w:type="dxa"/>
            <w:tcBorders>
              <w:top w:val="single" w:color="auto" w:sz="4" w:space="0"/>
              <w:left w:val="single" w:color="auto" w:sz="4" w:space="0"/>
              <w:bottom w:val="single" w:color="auto" w:sz="4" w:space="0"/>
              <w:right w:val="single" w:color="auto" w:sz="4" w:space="0"/>
            </w:tcBorders>
            <w:shd w:val="clear" w:color="000000" w:fill="EEECE1"/>
            <w:noWrap/>
            <w:vAlign w:val="bottom"/>
            <w:hideMark/>
          </w:tcPr>
          <w:p w:rsidRPr="00381E7C" w:rsidR="00D25FD2" w:rsidP="00D25FD2" w:rsidRDefault="00D25FD2" w14:paraId="19704908"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4.887.472 </w:t>
            </w:r>
          </w:p>
        </w:tc>
        <w:tc>
          <w:tcPr>
            <w:tcW w:w="1275" w:type="dxa"/>
            <w:tcBorders>
              <w:top w:val="single" w:color="auto" w:sz="4" w:space="0"/>
              <w:left w:val="nil"/>
              <w:bottom w:val="single" w:color="auto" w:sz="4" w:space="0"/>
              <w:right w:val="single" w:color="auto" w:sz="4" w:space="0"/>
            </w:tcBorders>
            <w:shd w:val="clear" w:color="000000" w:fill="EEECE1"/>
            <w:noWrap/>
            <w:vAlign w:val="bottom"/>
            <w:hideMark/>
          </w:tcPr>
          <w:p w:rsidRPr="00381E7C" w:rsidR="00D25FD2" w:rsidP="00D25FD2" w:rsidRDefault="00D25FD2" w14:paraId="03AE7DF8" w14:textId="77777777">
            <w:pPr>
              <w:spacing w:after="0" w:line="240" w:lineRule="auto"/>
              <w:ind w:firstLine="402" w:firstLineChars="200"/>
              <w:jc w:val="right"/>
              <w:rPr>
                <w:rFonts w:ascii="Calibri" w:hAnsi="Calibri" w:cs="Calibri"/>
                <w:b/>
                <w:bCs/>
                <w:color w:val="000000"/>
                <w:sz w:val="20"/>
                <w:szCs w:val="20"/>
              </w:rPr>
            </w:pPr>
            <w:r w:rsidRPr="00381E7C">
              <w:rPr>
                <w:rFonts w:ascii="Calibri" w:hAnsi="Calibri" w:cs="Calibri"/>
                <w:b/>
                <w:bCs/>
                <w:color w:val="000000"/>
                <w:sz w:val="20"/>
                <w:szCs w:val="20"/>
              </w:rPr>
              <w:t xml:space="preserve">252 </w:t>
            </w:r>
          </w:p>
        </w:tc>
      </w:tr>
    </w:tbl>
    <w:p w:rsidRPr="00381E7C" w:rsidR="00D25FD2" w:rsidP="00D25FD2" w:rsidRDefault="00D25FD2" w14:paraId="5B62CBB4" w14:textId="77777777">
      <w:pPr>
        <w:spacing w:after="0"/>
        <w:rPr>
          <w:rFonts w:ascii="Calibri" w:hAnsi="Calibri" w:cs="Calibri"/>
          <w:b/>
          <w:bCs/>
        </w:rPr>
      </w:pPr>
    </w:p>
    <w:p w:rsidRPr="00381E7C" w:rsidR="00D25FD2" w:rsidP="00D25FD2" w:rsidRDefault="00D25FD2" w14:paraId="782D96CC" w14:textId="77777777">
      <w:pPr>
        <w:spacing w:after="0"/>
        <w:rPr>
          <w:rFonts w:ascii="Calibri" w:hAnsi="Calibri" w:cs="Calibri"/>
        </w:rPr>
      </w:pPr>
      <w:r w:rsidRPr="00381E7C">
        <w:rPr>
          <w:rFonts w:ascii="Calibri" w:hAnsi="Calibri" w:cs="Calibri"/>
        </w:rPr>
        <w:t>De hoge overtekening van dit jaar leidt ertoe dat te verwachten is dat niet alle kwalificerende aanvragen een beschikking zullen krijgen. Dat past bij de SDE++ die is opgezet op een manier die ervoor zorgt dat kostenefficiënte projecten, die met de minste subsidie de meeste CO</w:t>
      </w:r>
      <w:r w:rsidRPr="00381E7C">
        <w:rPr>
          <w:rFonts w:ascii="Calibri" w:hAnsi="Calibri" w:cs="Calibri"/>
          <w:vertAlign w:val="subscript"/>
        </w:rPr>
        <w:t>2</w:t>
      </w:r>
      <w:r w:rsidRPr="00381E7C">
        <w:rPr>
          <w:rFonts w:ascii="Calibri" w:hAnsi="Calibri" w:cs="Calibri"/>
        </w:rPr>
        <w:t xml:space="preserve"> kunnen reduceren, als eerste een beschikking </w:t>
      </w:r>
      <w:r w:rsidRPr="00381E7C">
        <w:rPr>
          <w:rFonts w:ascii="Calibri" w:hAnsi="Calibri" w:cs="Calibri"/>
        </w:rPr>
        <w:lastRenderedPageBreak/>
        <w:t xml:space="preserve">krijgen. Het streven van het kabinet is dan ook, bij het vaststellen van het budget, om een concurrerende tender op te zetten. Deze doelstelling wordt gegeven de ruime overtekening van het budget naar alle waarschijnlijkheid gehaald. </w:t>
      </w:r>
    </w:p>
    <w:p w:rsidRPr="00381E7C" w:rsidR="00D25FD2" w:rsidP="00D25FD2" w:rsidRDefault="00D25FD2" w14:paraId="07FF0B38" w14:textId="77777777">
      <w:pPr>
        <w:spacing w:after="0"/>
        <w:rPr>
          <w:rFonts w:ascii="Calibri" w:hAnsi="Calibri" w:cs="Calibri"/>
        </w:rPr>
      </w:pPr>
    </w:p>
    <w:p w:rsidRPr="00381E7C" w:rsidR="00D25FD2" w:rsidP="00D25FD2" w:rsidRDefault="00D25FD2" w14:paraId="5E5E279A" w14:textId="77777777">
      <w:pPr>
        <w:spacing w:after="0"/>
        <w:rPr>
          <w:rFonts w:ascii="Calibri" w:hAnsi="Calibri" w:cs="Calibri"/>
        </w:rPr>
      </w:pPr>
      <w:r w:rsidRPr="00381E7C">
        <w:rPr>
          <w:rFonts w:ascii="Calibri" w:hAnsi="Calibri" w:cs="Calibri"/>
        </w:rPr>
        <w:t>Overtekening van het budget in deze mate betekent ook een signaal vanuit de markt dat ondernemers kansen zien om hun bedrijfsvoering te verduurzamen. Dit signaal is belangrijk, omdat het ondersteunen van deze projecten met de SDE++ betekent dat ondernemers hun bedrijf toekomstbestendig kunnen maken en zo mee kunnen gaan met de uitdagingen van deze tijd. Uitputting van het budget brengt helaas ook mee dat niet al deze projecten dit jaar ondersteund en uitgevoerd kunnen worden. Deze ondernemers kunnen in 2026 opnieuw een aanvraag indienen.</w:t>
      </w:r>
    </w:p>
    <w:p w:rsidRPr="00381E7C" w:rsidR="00D25FD2" w:rsidP="00D25FD2" w:rsidRDefault="00D25FD2" w14:paraId="5D222AFE" w14:textId="77777777">
      <w:pPr>
        <w:spacing w:after="0"/>
        <w:rPr>
          <w:rFonts w:ascii="Calibri" w:hAnsi="Calibri" w:cs="Calibri"/>
        </w:rPr>
      </w:pPr>
    </w:p>
    <w:p w:rsidRPr="00381E7C" w:rsidR="00D25FD2" w:rsidP="00D25FD2" w:rsidRDefault="00D25FD2" w14:paraId="02D82945" w14:textId="77777777">
      <w:pPr>
        <w:spacing w:after="0"/>
        <w:rPr>
          <w:rFonts w:ascii="Calibri" w:hAnsi="Calibri" w:cs="Calibri"/>
          <w:i/>
          <w:iCs/>
        </w:rPr>
      </w:pPr>
      <w:r w:rsidRPr="00381E7C">
        <w:rPr>
          <w:rFonts w:ascii="Calibri" w:hAnsi="Calibri" w:cs="Calibri"/>
          <w:i/>
          <w:iCs/>
        </w:rPr>
        <w:t>Hekjes</w:t>
      </w:r>
    </w:p>
    <w:p w:rsidRPr="00381E7C" w:rsidR="00D25FD2" w:rsidP="00D25FD2" w:rsidRDefault="00D25FD2" w14:paraId="39B3EB1F" w14:textId="77777777">
      <w:pPr>
        <w:spacing w:after="0"/>
        <w:rPr>
          <w:rFonts w:ascii="Calibri" w:hAnsi="Calibri" w:cs="Calibri"/>
        </w:rPr>
      </w:pPr>
      <w:r w:rsidRPr="00381E7C">
        <w:rPr>
          <w:rFonts w:ascii="Calibri" w:hAnsi="Calibri" w:cs="Calibri"/>
        </w:rPr>
        <w:t xml:space="preserve">Ook in de openstellingsronde van 2025 zijn hekjes gehanteerd. Een hekje reserveert budget voor technieken met een hogere subsidie-intensiteit, waardoor deze eerder aan bod komen. Dit zijn technieken die weliswaar op de korte termijn minder kosteneffectief zijn, maar op de langere termijn noodzakelijk zijn voor de energietransitie. Het is van belang dat de kosten van deze technieken kunnen dalen naarmate ze meer worden ingezet. Voor aanvragen binnen de domeinen moleculen, lagetemperatuurwarmte en hogetemperatuurwarmte was er per domein € 750 miljoen budget gereserveerd. In elk van deze domeinen is een hoger bedrag aangevraagd dan het gereserveerde bedrag. In het domein moleculen is voor ca. € 6,3 miljard aangevraagd, voor lagetemperatuurwarmte € 3 miljard en voor hogetemperatuurwarmte € 1,2 miljard. </w:t>
      </w:r>
    </w:p>
    <w:p w:rsidRPr="00381E7C" w:rsidR="00D25FD2" w:rsidP="00D25FD2" w:rsidRDefault="00D25FD2" w14:paraId="464FE0CD" w14:textId="77777777">
      <w:pPr>
        <w:spacing w:after="0"/>
        <w:rPr>
          <w:rFonts w:ascii="Calibri" w:hAnsi="Calibri" w:cs="Calibri"/>
        </w:rPr>
      </w:pPr>
      <w:r w:rsidRPr="00381E7C">
        <w:rPr>
          <w:rFonts w:ascii="Calibri" w:hAnsi="Calibri" w:cs="Calibri"/>
        </w:rPr>
        <w:t xml:space="preserve">Nu het openstellingsbudget naar alle waarschijnlijkheid wordt uitgeput, hebben de hekjes invloed op de verdeling van het budget, omdat aanvragen in deze domeinen tot € 750 miljoen in ieder geval een beschikking krijgen. Dit is een positieve ontwikkeling, omdat hiermee gestuurd wordt op kostenefficiëntie van de energietransitie op middellange en lange termijn. Na beoordeling van de aanvragen door RVO zal de effectiviteit van de hekjes worden onderzocht. Hierover wordt in de Kamerbrief over de definitieve resultaten van de SDE++ 2025 gerapporteerd. </w:t>
      </w:r>
    </w:p>
    <w:p w:rsidRPr="00381E7C" w:rsidR="00D25FD2" w:rsidP="00D25FD2" w:rsidRDefault="00D25FD2" w14:paraId="016FEF78" w14:textId="77777777">
      <w:pPr>
        <w:spacing w:after="0"/>
        <w:rPr>
          <w:rFonts w:ascii="Calibri" w:hAnsi="Calibri" w:cs="Calibri"/>
        </w:rPr>
      </w:pPr>
    </w:p>
    <w:p w:rsidRPr="00381E7C" w:rsidR="00D25FD2" w:rsidP="00D25FD2" w:rsidRDefault="00D25FD2" w14:paraId="3E427DA6" w14:textId="77777777">
      <w:pPr>
        <w:spacing w:after="0"/>
        <w:rPr>
          <w:rFonts w:ascii="Calibri" w:hAnsi="Calibri" w:cs="Calibri"/>
        </w:rPr>
      </w:pPr>
      <w:r w:rsidRPr="00381E7C">
        <w:rPr>
          <w:rFonts w:ascii="Calibri" w:hAnsi="Calibri" w:cs="Calibri"/>
          <w:b/>
          <w:bCs/>
        </w:rPr>
        <w:t>Duurzaamheidscriteria voor bestaande subsidiebeschikkingen</w:t>
      </w:r>
    </w:p>
    <w:p w:rsidRPr="00381E7C" w:rsidR="00D25FD2" w:rsidP="00D25FD2" w:rsidRDefault="00D25FD2" w14:paraId="17DB25D8" w14:textId="77777777">
      <w:pPr>
        <w:spacing w:after="0"/>
        <w:rPr>
          <w:rFonts w:ascii="Calibri" w:hAnsi="Calibri" w:cs="Calibri"/>
        </w:rPr>
      </w:pPr>
      <w:r w:rsidRPr="00381E7C">
        <w:rPr>
          <w:rFonts w:ascii="Calibri" w:hAnsi="Calibri" w:cs="Calibri"/>
        </w:rPr>
        <w:t xml:space="preserve">Bedrijven met een subsidiebeschikking voor de bij- en meestook van vaste biomassa of voor het opwekken van industriële stoom of warmte met vaste biomassa moeten aan Nederlandse duurzaamheidscriteria voor biomassa voldoen. Deze duurzaamheidscriteria vinden hun oorsprong in de tijd van het sluiten van het Energieakkoord. De Nederlandse duurzaamheidscriteria zijn vastgelegd in de ‘Regeling conformiteitsbeoordeling vaste biomassa voor energietoepassingen’. De minister van Economische Zaken heeft in september jl. een nieuwe aanpak aangekondigd voor het verminderen van onnodige of tegenstrijdige regels voor bedrijven. In dat kader is het kabinet begonnen met het oppakken van de verplichtingen die leiden tot de meest merkbare regeldrukvermindering voor </w:t>
      </w:r>
      <w:r w:rsidRPr="00381E7C">
        <w:rPr>
          <w:rFonts w:ascii="Calibri" w:hAnsi="Calibri" w:cs="Calibri"/>
        </w:rPr>
        <w:lastRenderedPageBreak/>
        <w:t>ondernemers, met als doel het schrappen of verminderen van de regeldruk met 500 regels voor de zomer van 2026</w:t>
      </w:r>
      <w:r w:rsidRPr="00381E7C">
        <w:rPr>
          <w:rStyle w:val="Voetnootmarkering"/>
          <w:rFonts w:ascii="Calibri" w:hAnsi="Calibri" w:cs="Calibri"/>
        </w:rPr>
        <w:footnoteReference w:id="2"/>
      </w:r>
      <w:r w:rsidRPr="00381E7C">
        <w:rPr>
          <w:rFonts w:ascii="Calibri" w:hAnsi="Calibri" w:cs="Calibri"/>
        </w:rPr>
        <w:t xml:space="preserve">. </w:t>
      </w:r>
    </w:p>
    <w:p w:rsidRPr="00381E7C" w:rsidR="00D25FD2" w:rsidP="00D25FD2" w:rsidRDefault="00D25FD2" w14:paraId="4D479AEC" w14:textId="77777777">
      <w:pPr>
        <w:spacing w:after="0"/>
        <w:rPr>
          <w:rFonts w:ascii="Calibri" w:hAnsi="Calibri" w:cs="Calibri"/>
        </w:rPr>
      </w:pPr>
    </w:p>
    <w:p w:rsidRPr="00381E7C" w:rsidR="00D25FD2" w:rsidP="00D25FD2" w:rsidRDefault="00D25FD2" w14:paraId="4F0F2633" w14:textId="77777777">
      <w:pPr>
        <w:spacing w:after="0"/>
        <w:rPr>
          <w:rFonts w:ascii="Calibri" w:hAnsi="Calibri" w:cs="Calibri"/>
        </w:rPr>
      </w:pPr>
      <w:r w:rsidRPr="00381E7C">
        <w:rPr>
          <w:rFonts w:ascii="Calibri" w:hAnsi="Calibri" w:cs="Calibri"/>
        </w:rPr>
        <w:t>De afgelopen tijd heeft het kabinet in dat kader gesprekken gevoerd over een mogelijkheid om voor het aantonen van deze duurzaamheid van de biomassa over te stappen naar de hiervoor geldende eisen uit de Europese Richtlijn hernieuwbare energie (RED). Deze eisen zijn nu strenger dan de Nederlandse eisen en het scheelt regeldruk voor bedrijven en de overheid als niet langer twee systemen naast elkaar gehanteerd worden. Alle marktpartijen voor wie dit relevant is hebben inmiddels laten weten dat zij de vrijwillige overstap naar de Europese regels per 1 januari 2026 willen maken. Deze overstap moet vrijwillig plaatsvinden omdat het om een aanpassing van de voorwaarden van reeds beschikte subsidies gaat. Het kabinet is voornemens om de regelgeving hierover daarop aan te passen. Deze wijzigingen zijn naar verwachting niet voor 1 januari 2026 gereed, maar zijn beoogd om op een later moment in 2026 te worden gepubliceerd met terugwerkende kracht tot 1 januari 2026.</w:t>
      </w:r>
    </w:p>
    <w:p w:rsidRPr="00381E7C" w:rsidR="00D25FD2" w:rsidP="00D25FD2" w:rsidRDefault="00D25FD2" w14:paraId="133963E6" w14:textId="77777777">
      <w:pPr>
        <w:spacing w:after="0"/>
        <w:rPr>
          <w:rFonts w:ascii="Calibri" w:hAnsi="Calibri" w:cs="Calibri"/>
          <w:i/>
          <w:iCs/>
        </w:rPr>
      </w:pPr>
    </w:p>
    <w:p w:rsidRPr="00381E7C" w:rsidR="00D25FD2" w:rsidP="00D25FD2" w:rsidRDefault="00D25FD2" w14:paraId="1BBA1B37" w14:textId="77777777">
      <w:pPr>
        <w:spacing w:after="0"/>
        <w:rPr>
          <w:rFonts w:ascii="Calibri" w:hAnsi="Calibri" w:cs="Calibri"/>
          <w:i/>
          <w:iCs/>
        </w:rPr>
      </w:pPr>
      <w:r w:rsidRPr="00381E7C">
        <w:rPr>
          <w:rFonts w:ascii="Calibri" w:hAnsi="Calibri" w:cs="Calibri"/>
          <w:i/>
          <w:iCs/>
        </w:rPr>
        <w:t>Tot slot</w:t>
      </w:r>
    </w:p>
    <w:p w:rsidRPr="00381E7C" w:rsidR="00D25FD2" w:rsidP="00D25FD2" w:rsidRDefault="00D25FD2" w14:paraId="4DB2CA59" w14:textId="77777777">
      <w:pPr>
        <w:spacing w:after="0"/>
        <w:rPr>
          <w:rFonts w:ascii="Calibri" w:hAnsi="Calibri" w:cs="Calibri"/>
        </w:rPr>
      </w:pPr>
      <w:r w:rsidRPr="00381E7C">
        <w:rPr>
          <w:rFonts w:ascii="Calibri" w:hAnsi="Calibri" w:cs="Calibri"/>
        </w:rPr>
        <w:t>Het kabinet verwacht de Kamer medio 2026 over de definitieve resultaten van de SDE++ 2025 te kunnen informeren. Momenteel wordt ook de openstellingsronde van de SDE++ van 2026 voorbereid. Over de precieze invulling van de openstellingsronde wordt de Kamer zoals gebruikelijk begin 2026 geïnformeerd.</w:t>
      </w:r>
    </w:p>
    <w:p w:rsidRPr="00381E7C" w:rsidR="00D25FD2" w:rsidP="00381E7C" w:rsidRDefault="00D25FD2" w14:paraId="5F09891A" w14:textId="77777777">
      <w:pPr>
        <w:pStyle w:val="Geenafstand"/>
        <w:rPr>
          <w:rFonts w:ascii="Calibri" w:hAnsi="Calibri" w:cs="Calibri"/>
        </w:rPr>
      </w:pPr>
    </w:p>
    <w:p w:rsidRPr="00381E7C" w:rsidR="00381E7C" w:rsidP="00381E7C" w:rsidRDefault="00381E7C" w14:paraId="2409E88F" w14:textId="55346551">
      <w:pPr>
        <w:pStyle w:val="Geenafstand"/>
        <w:rPr>
          <w:rFonts w:ascii="Calibri" w:hAnsi="Calibri" w:cs="Calibri"/>
        </w:rPr>
      </w:pPr>
      <w:r w:rsidRPr="00381E7C">
        <w:rPr>
          <w:rFonts w:ascii="Calibri" w:hAnsi="Calibri" w:cs="Calibri"/>
        </w:rPr>
        <w:t>De m</w:t>
      </w:r>
      <w:r w:rsidRPr="00381E7C">
        <w:rPr>
          <w:rFonts w:ascii="Calibri" w:hAnsi="Calibri" w:cs="Calibri"/>
        </w:rPr>
        <w:t>inister van Klimaat en Groene Groei</w:t>
      </w:r>
      <w:r w:rsidRPr="00381E7C">
        <w:rPr>
          <w:rFonts w:ascii="Calibri" w:hAnsi="Calibri" w:cs="Calibri"/>
        </w:rPr>
        <w:t>,</w:t>
      </w:r>
    </w:p>
    <w:p w:rsidRPr="00381E7C" w:rsidR="00D25FD2" w:rsidP="00381E7C" w:rsidRDefault="00D25FD2" w14:paraId="2E22F810" w14:textId="6A29CDFB">
      <w:pPr>
        <w:pStyle w:val="Geenafstand"/>
        <w:rPr>
          <w:rFonts w:ascii="Calibri" w:hAnsi="Calibri" w:cs="Calibri"/>
        </w:rPr>
      </w:pPr>
      <w:r w:rsidRPr="00381E7C">
        <w:rPr>
          <w:rFonts w:ascii="Calibri" w:hAnsi="Calibri" w:cs="Calibri"/>
        </w:rPr>
        <w:t>S</w:t>
      </w:r>
      <w:r w:rsidRPr="00381E7C" w:rsidR="00381E7C">
        <w:rPr>
          <w:rFonts w:ascii="Calibri" w:hAnsi="Calibri" w:cs="Calibri"/>
        </w:rPr>
        <w:t xml:space="preserve">.T.M. </w:t>
      </w:r>
      <w:r w:rsidRPr="00381E7C">
        <w:rPr>
          <w:rFonts w:ascii="Calibri" w:hAnsi="Calibri" w:cs="Calibri"/>
        </w:rPr>
        <w:t>Hermans</w:t>
      </w:r>
    </w:p>
    <w:p w:rsidRPr="00381E7C" w:rsidR="00F80165" w:rsidP="00381E7C" w:rsidRDefault="00F80165" w14:paraId="0D633DF5" w14:textId="77777777">
      <w:pPr>
        <w:pStyle w:val="Geenafstand"/>
        <w:rPr>
          <w:rFonts w:ascii="Calibri" w:hAnsi="Calibri" w:cs="Calibri"/>
        </w:rPr>
      </w:pPr>
    </w:p>
    <w:sectPr w:rsidRPr="00381E7C" w:rsidR="00F80165" w:rsidSect="00641A2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FE74" w14:textId="77777777" w:rsidR="00D25FD2" w:rsidRDefault="00D25FD2" w:rsidP="00D25FD2">
      <w:pPr>
        <w:spacing w:after="0" w:line="240" w:lineRule="auto"/>
      </w:pPr>
      <w:r>
        <w:separator/>
      </w:r>
    </w:p>
  </w:endnote>
  <w:endnote w:type="continuationSeparator" w:id="0">
    <w:p w14:paraId="25930141" w14:textId="77777777" w:rsidR="00D25FD2" w:rsidRDefault="00D25FD2" w:rsidP="00D2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AFB1" w14:textId="77777777" w:rsidR="00D25FD2" w:rsidRPr="00D25FD2" w:rsidRDefault="00D25FD2" w:rsidP="00D25F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5338" w14:textId="77777777" w:rsidR="00D25FD2" w:rsidRPr="00D25FD2" w:rsidRDefault="00D25FD2" w:rsidP="00D25F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1AF1" w14:textId="77777777" w:rsidR="00D25FD2" w:rsidRPr="00D25FD2" w:rsidRDefault="00D25FD2" w:rsidP="00D25F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7D2F" w14:textId="77777777" w:rsidR="00D25FD2" w:rsidRDefault="00D25FD2" w:rsidP="00D25FD2">
      <w:pPr>
        <w:spacing w:after="0" w:line="240" w:lineRule="auto"/>
      </w:pPr>
      <w:r>
        <w:separator/>
      </w:r>
    </w:p>
  </w:footnote>
  <w:footnote w:type="continuationSeparator" w:id="0">
    <w:p w14:paraId="4ACE87F3" w14:textId="77777777" w:rsidR="00D25FD2" w:rsidRDefault="00D25FD2" w:rsidP="00D25FD2">
      <w:pPr>
        <w:spacing w:after="0" w:line="240" w:lineRule="auto"/>
      </w:pPr>
      <w:r>
        <w:continuationSeparator/>
      </w:r>
    </w:p>
  </w:footnote>
  <w:footnote w:id="1">
    <w:p w14:paraId="11895BD5" w14:textId="77777777" w:rsidR="00D25FD2" w:rsidRPr="00381E7C" w:rsidRDefault="00D25FD2" w:rsidP="00381E7C">
      <w:pPr>
        <w:pStyle w:val="Voetnoottekst"/>
        <w:spacing w:line="240" w:lineRule="auto"/>
        <w:rPr>
          <w:rFonts w:ascii="Calibri" w:hAnsi="Calibri" w:cs="Calibri"/>
          <w:sz w:val="20"/>
        </w:rPr>
      </w:pPr>
      <w:r w:rsidRPr="00381E7C">
        <w:rPr>
          <w:rStyle w:val="Voetnootmarkering"/>
          <w:rFonts w:ascii="Calibri" w:hAnsi="Calibri" w:cs="Calibri"/>
          <w:sz w:val="20"/>
        </w:rPr>
        <w:footnoteRef/>
      </w:r>
      <w:r w:rsidRPr="00381E7C">
        <w:rPr>
          <w:rFonts w:ascii="Calibri" w:hAnsi="Calibri" w:cs="Calibri"/>
          <w:sz w:val="20"/>
        </w:rPr>
        <w:t xml:space="preserve"> Het openstellingsbudget geeft de maximale subsidie weer die alle projecten gezamenlijk over de gehele looptijd van de beschikking kunnen ontvangen. De werkelijke kasuitgaven aan de SDE++ zijn naar verwachting lager. Die hangen namelijk af van de marktwaarde van energie en CO</w:t>
      </w:r>
      <w:r w:rsidRPr="00381E7C">
        <w:rPr>
          <w:rFonts w:ascii="Calibri" w:hAnsi="Calibri" w:cs="Calibri"/>
          <w:sz w:val="20"/>
          <w:vertAlign w:val="subscript"/>
        </w:rPr>
        <w:t>2</w:t>
      </w:r>
      <w:r w:rsidRPr="00381E7C">
        <w:rPr>
          <w:rFonts w:ascii="Calibri" w:hAnsi="Calibri" w:cs="Calibri"/>
          <w:sz w:val="20"/>
        </w:rPr>
        <w:t>, de daadwerkelijke realisatie van beschikte projecten en de hoeveelheid energie die geproduceerd wordt of CO</w:t>
      </w:r>
      <w:r w:rsidRPr="00381E7C">
        <w:rPr>
          <w:rFonts w:ascii="Calibri" w:hAnsi="Calibri" w:cs="Calibri"/>
          <w:sz w:val="20"/>
          <w:vertAlign w:val="subscript"/>
        </w:rPr>
        <w:t>2</w:t>
      </w:r>
      <w:r w:rsidRPr="00381E7C">
        <w:rPr>
          <w:rFonts w:ascii="Calibri" w:hAnsi="Calibri" w:cs="Calibri"/>
          <w:sz w:val="20"/>
        </w:rPr>
        <w:t xml:space="preserve"> die gereduceerd wordt.</w:t>
      </w:r>
    </w:p>
  </w:footnote>
  <w:footnote w:id="2">
    <w:p w14:paraId="5D94ADB4" w14:textId="77777777" w:rsidR="00D25FD2" w:rsidRPr="00381E7C" w:rsidRDefault="00D25FD2" w:rsidP="00381E7C">
      <w:pPr>
        <w:pStyle w:val="Voetnoottekst"/>
        <w:spacing w:line="240" w:lineRule="auto"/>
        <w:rPr>
          <w:rFonts w:ascii="Calibri" w:hAnsi="Calibri" w:cs="Calibri"/>
          <w:sz w:val="20"/>
        </w:rPr>
      </w:pPr>
      <w:r w:rsidRPr="00381E7C">
        <w:rPr>
          <w:rStyle w:val="Voetnootmarkering"/>
          <w:rFonts w:ascii="Calibri" w:hAnsi="Calibri" w:cs="Calibri"/>
          <w:sz w:val="20"/>
        </w:rPr>
        <w:footnoteRef/>
      </w:r>
      <w:r w:rsidRPr="00381E7C">
        <w:rPr>
          <w:rFonts w:ascii="Calibri" w:hAnsi="Calibri" w:cs="Calibri"/>
          <w:sz w:val="20"/>
        </w:rPr>
        <w:t xml:space="preserve"> Kamerstuk 32 637, nr.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8E22" w14:textId="77777777" w:rsidR="00D25FD2" w:rsidRPr="00D25FD2" w:rsidRDefault="00D25FD2" w:rsidP="00D25F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0CB4" w14:textId="77777777" w:rsidR="00D25FD2" w:rsidRPr="00D25FD2" w:rsidRDefault="00D25FD2" w:rsidP="00D25F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19A4" w14:textId="77777777" w:rsidR="00D25FD2" w:rsidRPr="00D25FD2" w:rsidRDefault="00D25FD2" w:rsidP="00D25F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2"/>
    <w:rsid w:val="00381E7C"/>
    <w:rsid w:val="004F5290"/>
    <w:rsid w:val="00641A2E"/>
    <w:rsid w:val="00D25FD2"/>
    <w:rsid w:val="00EA20A8"/>
    <w:rsid w:val="00F80165"/>
    <w:rsid w:val="00F8160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1413"/>
  <w15:chartTrackingRefBased/>
  <w15:docId w15:val="{41538142-BAC3-49E6-A5F4-658883D8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5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5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5F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5F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5F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5F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5F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5F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5F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5F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5F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5F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5F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5F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5F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5F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5F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5FD2"/>
    <w:rPr>
      <w:rFonts w:eastAsiaTheme="majorEastAsia" w:cstheme="majorBidi"/>
      <w:color w:val="272727" w:themeColor="text1" w:themeTint="D8"/>
    </w:rPr>
  </w:style>
  <w:style w:type="paragraph" w:styleId="Titel">
    <w:name w:val="Title"/>
    <w:basedOn w:val="Standaard"/>
    <w:next w:val="Standaard"/>
    <w:link w:val="TitelChar"/>
    <w:uiPriority w:val="10"/>
    <w:qFormat/>
    <w:rsid w:val="00D25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5F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5F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5F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5F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5FD2"/>
    <w:rPr>
      <w:i/>
      <w:iCs/>
      <w:color w:val="404040" w:themeColor="text1" w:themeTint="BF"/>
    </w:rPr>
  </w:style>
  <w:style w:type="paragraph" w:styleId="Lijstalinea">
    <w:name w:val="List Paragraph"/>
    <w:basedOn w:val="Standaard"/>
    <w:uiPriority w:val="34"/>
    <w:qFormat/>
    <w:rsid w:val="00D25FD2"/>
    <w:pPr>
      <w:ind w:left="720"/>
      <w:contextualSpacing/>
    </w:pPr>
  </w:style>
  <w:style w:type="character" w:styleId="Intensievebenadrukking">
    <w:name w:val="Intense Emphasis"/>
    <w:basedOn w:val="Standaardalinea-lettertype"/>
    <w:uiPriority w:val="21"/>
    <w:qFormat/>
    <w:rsid w:val="00D25FD2"/>
    <w:rPr>
      <w:i/>
      <w:iCs/>
      <w:color w:val="0F4761" w:themeColor="accent1" w:themeShade="BF"/>
    </w:rPr>
  </w:style>
  <w:style w:type="paragraph" w:styleId="Duidelijkcitaat">
    <w:name w:val="Intense Quote"/>
    <w:basedOn w:val="Standaard"/>
    <w:next w:val="Standaard"/>
    <w:link w:val="DuidelijkcitaatChar"/>
    <w:uiPriority w:val="30"/>
    <w:qFormat/>
    <w:rsid w:val="00D25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5FD2"/>
    <w:rPr>
      <w:i/>
      <w:iCs/>
      <w:color w:val="0F4761" w:themeColor="accent1" w:themeShade="BF"/>
    </w:rPr>
  </w:style>
  <w:style w:type="character" w:styleId="Intensieveverwijzing">
    <w:name w:val="Intense Reference"/>
    <w:basedOn w:val="Standaardalinea-lettertype"/>
    <w:uiPriority w:val="32"/>
    <w:qFormat/>
    <w:rsid w:val="00D25FD2"/>
    <w:rPr>
      <w:b/>
      <w:bCs/>
      <w:smallCaps/>
      <w:color w:val="0F4761" w:themeColor="accent1" w:themeShade="BF"/>
      <w:spacing w:val="5"/>
    </w:rPr>
  </w:style>
  <w:style w:type="paragraph" w:styleId="Koptekst">
    <w:name w:val="header"/>
    <w:basedOn w:val="Standaard"/>
    <w:link w:val="KoptekstChar"/>
    <w:rsid w:val="00D25F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25F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25F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25F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25F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25FD2"/>
    <w:rPr>
      <w:rFonts w:ascii="Verdana" w:hAnsi="Verdana"/>
      <w:noProof/>
      <w:sz w:val="13"/>
      <w:szCs w:val="24"/>
      <w:lang w:eastAsia="nl-NL"/>
    </w:rPr>
  </w:style>
  <w:style w:type="paragraph" w:customStyle="1" w:styleId="Huisstijl-Gegeven">
    <w:name w:val="Huisstijl-Gegeven"/>
    <w:basedOn w:val="Standaard"/>
    <w:link w:val="Huisstijl-GegevenCharChar"/>
    <w:rsid w:val="00D25F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25F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25FD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25F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25FD2"/>
    <w:pPr>
      <w:spacing w:after="0"/>
    </w:pPr>
    <w:rPr>
      <w:b/>
    </w:rPr>
  </w:style>
  <w:style w:type="paragraph" w:customStyle="1" w:styleId="Huisstijl-Paginanummering">
    <w:name w:val="Huisstijl-Paginanummering"/>
    <w:basedOn w:val="Standaard"/>
    <w:rsid w:val="00D25F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25F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25F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25FD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D25FD2"/>
    <w:rPr>
      <w:vertAlign w:val="superscript"/>
    </w:rPr>
  </w:style>
  <w:style w:type="paragraph" w:styleId="Geenafstand">
    <w:name w:val="No Spacing"/>
    <w:uiPriority w:val="1"/>
    <w:qFormat/>
    <w:rsid w:val="00381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1363</ap:Words>
  <ap:Characters>7501</ap:Characters>
  <ap:DocSecurity>0</ap:DocSecurity>
  <ap:Lines>62</ap:Lines>
  <ap:Paragraphs>17</ap:Paragraphs>
  <ap:ScaleCrop>false</ap:ScaleCrop>
  <ap:LinksUpToDate>false</ap:LinksUpToDate>
  <ap:CharactersWithSpaces>8847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2025-12-15T14:20:00.0000000Z</dcterms:created>
  <dcterms:modified xsi:type="dcterms:W3CDTF">2025-12-15T14:20:00.0000000Z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