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F72" w:rsidP="004C3F72" w:rsidRDefault="004C3F72" w14:paraId="536DC33B" w14:textId="426B2E32">
      <w:r>
        <w:t>AH 648</w:t>
      </w:r>
    </w:p>
    <w:p w:rsidR="004C3F72" w:rsidP="004C3F72" w:rsidRDefault="004C3F72" w14:paraId="0F814F55" w14:textId="730E48FB">
      <w:r>
        <w:t>2025Z19921</w:t>
      </w:r>
    </w:p>
    <w:p w:rsidRPr="009B5FE1" w:rsidR="004C3F72" w:rsidP="005864F3" w:rsidRDefault="004C3F72" w14:paraId="35AE221F" w14:textId="1D71D2D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en de </w:t>
      </w:r>
      <w:r w:rsidRPr="004C3F72">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11 december 2025)</w:t>
      </w:r>
    </w:p>
    <w:p w:rsidRPr="00463E9A" w:rsidR="004C3F72" w:rsidP="004C3F72" w:rsidRDefault="004C3F72" w14:paraId="1A19CE0E" w14:textId="006ECCA9"/>
    <w:p w:rsidRPr="00463E9A" w:rsidR="004C3F72" w:rsidP="004C3F72" w:rsidRDefault="004C3F72" w14:paraId="34E79F94" w14:textId="77777777">
      <w:r w:rsidRPr="00463E9A">
        <w:rPr>
          <w:b/>
        </w:rPr>
        <w:t xml:space="preserve">Vraag 1 </w:t>
      </w:r>
    </w:p>
    <w:p w:rsidRPr="00BB74A0" w:rsidR="004C3F72" w:rsidP="004C3F72" w:rsidRDefault="004C3F72" w14:paraId="34E1AEE2" w14:textId="77777777">
      <w:pPr>
        <w:rPr>
          <w:b/>
        </w:rPr>
      </w:pPr>
      <w:r w:rsidRPr="00463E9A">
        <w:t>Erkent u de rol van goud in het conflict dat via handel de internationale markt op komt? Welke inzet pleegt u om via Dubai eerlijke handel te bevorderen als onderdeel van bredere inspanningen voor vrede en stabiliteit in Soedan en is het kabinet bereid het wapenexportbeleid richting de Verenigde Arabische Emiraten (VAE) aan te scherpen en diplomatieke druk uit te oefenen gezien hun betrokkenheid bij handel in goud en wapens?</w:t>
      </w:r>
      <w:r>
        <w:br/>
      </w:r>
      <w:r>
        <w:br/>
      </w:r>
      <w:r w:rsidRPr="00463E9A">
        <w:rPr>
          <w:b/>
        </w:rPr>
        <w:t>Antwoord</w:t>
      </w:r>
      <w:r>
        <w:rPr>
          <w:b/>
        </w:rPr>
        <w:br/>
      </w:r>
      <w:r w:rsidRPr="00463E9A">
        <w:rPr>
          <w:bCs/>
        </w:rPr>
        <w:t xml:space="preserve">Zoals in veel conflictsituaties speelt </w:t>
      </w:r>
      <w:r w:rsidRPr="0087121E">
        <w:rPr>
          <w:bCs/>
        </w:rPr>
        <w:t>de export van waardevolle grondstoffen zoals goud</w:t>
      </w:r>
      <w:r>
        <w:rPr>
          <w:bCs/>
        </w:rPr>
        <w:t>,</w:t>
      </w:r>
      <w:r w:rsidRPr="0087121E">
        <w:rPr>
          <w:bCs/>
        </w:rPr>
        <w:t xml:space="preserve"> maar bijvoorbeeld ook Arabische gom</w:t>
      </w:r>
      <w:r>
        <w:rPr>
          <w:bCs/>
        </w:rPr>
        <w:t>,</w:t>
      </w:r>
      <w:r w:rsidRPr="0087121E">
        <w:rPr>
          <w:bCs/>
        </w:rPr>
        <w:t xml:space="preserve"> in Soedan een rol bij het in stand houden van het conflict.</w:t>
      </w:r>
      <w:r w:rsidRPr="00463E9A">
        <w:rPr>
          <w:bCs/>
        </w:rPr>
        <w:tab/>
      </w:r>
    </w:p>
    <w:p w:rsidR="004C3F72" w:rsidP="004C3F72" w:rsidRDefault="004C3F72" w14:paraId="50FEDDD5" w14:textId="77777777">
      <w:r>
        <w:rPr>
          <w:bCs/>
        </w:rPr>
        <w:t>S</w:t>
      </w:r>
      <w:r w:rsidRPr="00463E9A">
        <w:t xml:space="preserve">inds 2021 </w:t>
      </w:r>
      <w:r>
        <w:t xml:space="preserve">gelden er </w:t>
      </w:r>
      <w:r w:rsidRPr="00463E9A">
        <w:t xml:space="preserve">verplichtingen voor bedrijven in Nederland die onder de Europese conflictmineralenverordening vallen. </w:t>
      </w:r>
      <w:bookmarkStart w:name="_Hlk215475414" w:id="0"/>
      <w:r w:rsidRPr="00463E9A">
        <w:t>Deze voorziet in wettelijke gepaste zorgvuldigheidsverplichtingen voor Europese</w:t>
      </w:r>
      <w:r>
        <w:t xml:space="preserve"> </w:t>
      </w:r>
      <w:r w:rsidRPr="00463E9A">
        <w:t xml:space="preserve">importeurs die boven een bepaalde drempelwaarden tin, tantaal, wolfraam en goud (3TG) importeren. </w:t>
      </w:r>
      <w:bookmarkStart w:name="_Hlk215480489" w:id="1"/>
      <w:r w:rsidRPr="00463E9A">
        <w:t xml:space="preserve">Deze Verordening ziet toe op de controle op handel in 3TG met als doel om bij te dragen aan het tegengaan van de financiering van gewapende groepen en </w:t>
      </w:r>
      <w:r>
        <w:t xml:space="preserve">van </w:t>
      </w:r>
      <w:r w:rsidRPr="00463E9A">
        <w:t>mensenrechtenschendingen. Hoewel de Verordening niet landenspecifiek is bestaat er onder de Verordening wel een lijst van conflict- en hoog risicogebieden, opgesteld door onafhankelijke externe experts.</w:t>
      </w:r>
      <w:bookmarkEnd w:id="0"/>
      <w:r w:rsidRPr="00463E9A">
        <w:t xml:space="preserve"> Er zijn 18 S</w:t>
      </w:r>
      <w:r>
        <w:t>oe</w:t>
      </w:r>
      <w:r w:rsidRPr="00463E9A">
        <w:t>danese regio’s opgenomen in de lijst</w:t>
      </w:r>
      <w:r>
        <w:t>.</w:t>
      </w:r>
      <w:r w:rsidRPr="00463E9A">
        <w:rPr>
          <w:rStyle w:val="Voetnootmarkering"/>
        </w:rPr>
        <w:footnoteReference w:id="1"/>
      </w:r>
      <w:r w:rsidRPr="00463E9A">
        <w:t xml:space="preserve"> Lidstaten en de Europese Commissie hebben geen directe invloed op de lijst. Desalniettemin heeft het kabinet zorgen over doorvoerlanden besproken met de Commissie. De Commissie gaf aan de intentie te hebben om het element van doorvoerlanden onderdeel te maken van de aanbestedingsprocedure voor actualisatie van de lijst.</w:t>
      </w:r>
      <w:bookmarkEnd w:id="1"/>
    </w:p>
    <w:p w:rsidR="004C3F72" w:rsidP="004C3F72" w:rsidRDefault="004C3F72" w14:paraId="5C910407" w14:textId="77777777">
      <w:pPr>
        <w:rPr>
          <w:rFonts w:eastAsia="Verdana" w:cs="Verdana"/>
        </w:rPr>
      </w:pPr>
    </w:p>
    <w:p w:rsidRPr="00463E9A" w:rsidR="004C3F72" w:rsidP="004C3F72" w:rsidRDefault="004C3F72" w14:paraId="42545D9B" w14:textId="77777777">
      <w:pPr>
        <w:rPr>
          <w:rFonts w:eastAsia="Verdana" w:cs="Verdana"/>
          <w:sz w:val="16"/>
          <w:szCs w:val="16"/>
        </w:rPr>
      </w:pPr>
      <w:r w:rsidRPr="0087121E">
        <w:rPr>
          <w:rFonts w:eastAsia="Verdana" w:cs="Verdana"/>
        </w:rPr>
        <w:t>In algemene zin verwacht het kabinet van alle Nederlandse bedrijven die interna</w:t>
      </w:r>
      <w:r w:rsidRPr="00463E9A">
        <w:rPr>
          <w:rFonts w:eastAsia="Verdana" w:cs="Verdana"/>
        </w:rPr>
        <w:t xml:space="preserve">tionaal opereren dat zij de OESO-richtlijnen voor multinationale ondernemingen inzake maatschappelijk verantwoord ondernemen en </w:t>
      </w:r>
      <w:r w:rsidRPr="00463E9A">
        <w:rPr>
          <w:rFonts w:eastAsia="Verdana" w:cs="Verdana"/>
          <w:i/>
          <w:iCs/>
        </w:rPr>
        <w:t xml:space="preserve">de UN </w:t>
      </w:r>
      <w:r w:rsidRPr="00463E9A">
        <w:rPr>
          <w:rFonts w:eastAsia="Verdana" w:cs="Verdana"/>
          <w:i/>
          <w:iCs/>
        </w:rPr>
        <w:lastRenderedPageBreak/>
        <w:t>Guiding Principles on Business and Human Rights</w:t>
      </w:r>
      <w:r w:rsidRPr="00463E9A">
        <w:rPr>
          <w:rFonts w:eastAsia="Verdana" w:cs="Verdana"/>
        </w:rPr>
        <w:t xml:space="preserve"> toepassen. Daarbij wordt het bedrijfsleven ondersteund middels een mix van maatregelen.</w:t>
      </w:r>
    </w:p>
    <w:p w:rsidRPr="008F6643" w:rsidR="004C3F72" w:rsidP="004C3F72" w:rsidRDefault="004C3F72" w14:paraId="3997CDB7" w14:textId="77777777"/>
    <w:p w:rsidRPr="008F6643" w:rsidR="004C3F72" w:rsidP="004C3F72" w:rsidRDefault="004C3F72" w14:paraId="0FBBA71F" w14:textId="77777777">
      <w:r>
        <w:t xml:space="preserve">Wat betreft wapenexport </w:t>
      </w:r>
      <w:r w:rsidRPr="008F6643">
        <w:t>toetst</w:t>
      </w:r>
      <w:r>
        <w:t xml:space="preserve"> het kabinet</w:t>
      </w:r>
      <w:r w:rsidRPr="008F6643">
        <w:t xml:space="preserve"> alle vergunningaanvragen voor de uitvoer van militaire goederen per geval en zorgvuldig conform het EU Gemeenschappelijk Standpunt inzake wapenexportcontrole (2008/944/GBVB), met onder andere specifieke aandacht voor het risico op omleiding van de goederen naar ongewenste eindgebruikers. Daarbij wordt ook zorgvuldig gekeken naar het eventuele risico op omleiding naar Soedan. </w:t>
      </w:r>
    </w:p>
    <w:p w:rsidRPr="00463E9A" w:rsidR="004C3F72" w:rsidP="004C3F72" w:rsidRDefault="004C3F72" w14:paraId="2D07083C" w14:textId="77777777"/>
    <w:p w:rsidR="004C3F72" w:rsidP="004C3F72" w:rsidRDefault="004C3F72" w14:paraId="01D3B394" w14:textId="77777777">
      <w:r w:rsidRPr="00463E9A">
        <w:t>Conform de aangenomen motie van Piri c.s.</w:t>
      </w:r>
      <w:r w:rsidRPr="00463E9A">
        <w:rPr>
          <w:rStyle w:val="Voetnootmarkering"/>
        </w:rPr>
        <w:footnoteReference w:id="2"/>
      </w:r>
      <w:r w:rsidRPr="00463E9A">
        <w:t xml:space="preserve"> heeft het kabinet tijdens de Raad Buitenlandse Zaken gepleit voor aanvullende EU</w:t>
      </w:r>
      <w:r>
        <w:t>-</w:t>
      </w:r>
      <w:r w:rsidRPr="00463E9A">
        <w:t>sancties tegen actoren die het conflict in stand houden, binnen en buiten Soedan.</w:t>
      </w:r>
      <w:r>
        <w:t xml:space="preserve"> </w:t>
      </w:r>
      <w:r w:rsidRPr="00731F2C">
        <w:t>Nederland spreekt bovendien externe actoren aan op hun verantwoordelijkheid om geen</w:t>
      </w:r>
      <w:r>
        <w:t xml:space="preserve"> </w:t>
      </w:r>
      <w:r w:rsidRPr="00731F2C">
        <w:t>handelingen te verrichten die het conflict voeden en om in te zetten op de-escalatie,</w:t>
      </w:r>
      <w:r>
        <w:t xml:space="preserve"> </w:t>
      </w:r>
      <w:r w:rsidRPr="00731F2C">
        <w:t>naleving van het internationaal humanitair recht en ongehinderde humanitaire toegang.</w:t>
      </w:r>
    </w:p>
    <w:p w:rsidRPr="00463E9A" w:rsidR="004C3F72" w:rsidP="004C3F72" w:rsidRDefault="004C3F72" w14:paraId="319CD6B6" w14:textId="77777777"/>
    <w:p w:rsidRPr="00463E9A" w:rsidR="004C3F72" w:rsidP="004C3F72" w:rsidRDefault="004C3F72" w14:paraId="68E5C275" w14:textId="77777777">
      <w:r w:rsidRPr="00463E9A">
        <w:rPr>
          <w:b/>
        </w:rPr>
        <w:t>Vraag 2</w:t>
      </w:r>
    </w:p>
    <w:p w:rsidRPr="00463E9A" w:rsidR="004C3F72" w:rsidP="004C3F72" w:rsidRDefault="004C3F72" w14:paraId="5161F824" w14:textId="77777777">
      <w:r w:rsidRPr="00463E9A">
        <w:t xml:space="preserve">Wat is uw inzet met betrekking tot Soedan in de aankomende Raad Buitenlandse Zaken (RBZ)? In hoeverre vormt de betrokkenheid van de VAE bij het conflict een obstakel in de voortgang van onderhandelingen over een vrijhandelsakkoord? </w:t>
      </w:r>
    </w:p>
    <w:p w:rsidRPr="00463E9A" w:rsidR="004C3F72" w:rsidP="004C3F72" w:rsidRDefault="004C3F72" w14:paraId="36795DA9" w14:textId="77777777"/>
    <w:p w:rsidRPr="00463E9A" w:rsidR="004C3F72" w:rsidP="004C3F72" w:rsidRDefault="004C3F72" w14:paraId="690AFB67" w14:textId="77777777">
      <w:pPr>
        <w:rPr>
          <w:b/>
        </w:rPr>
      </w:pPr>
      <w:r w:rsidRPr="00463E9A">
        <w:rPr>
          <w:b/>
        </w:rPr>
        <w:t>Antwoord</w:t>
      </w:r>
    </w:p>
    <w:p w:rsidRPr="00463E9A" w:rsidR="004C3F72" w:rsidP="004C3F72" w:rsidRDefault="004C3F72" w14:paraId="655B848B" w14:textId="77777777">
      <w:pPr>
        <w:rPr>
          <w:bCs/>
        </w:rPr>
      </w:pPr>
      <w:r w:rsidRPr="00463E9A">
        <w:t>Tijdens de Raad Buitenlandse Zaken van 20 november jl. heeft Nederland opnieuw opgeroepen tot een onmiddellijke wapenstilstand, naleving van het humanitair oorlogsrecht, bescherming van burgers en onbelemmerde humanitaire toegang voor hulporganisaties. Ook heeft Nederland conform de moties van Baarle</w:t>
      </w:r>
      <w:r w:rsidRPr="00463E9A">
        <w:rPr>
          <w:rStyle w:val="Voetnootmarkering"/>
        </w:rPr>
        <w:footnoteReference w:id="3"/>
      </w:r>
      <w:r w:rsidRPr="00463E9A">
        <w:t xml:space="preserve"> en Piri</w:t>
      </w:r>
      <w:r w:rsidRPr="00463E9A">
        <w:rPr>
          <w:rStyle w:val="Voetnootmarkering"/>
        </w:rPr>
        <w:footnoteReference w:id="4"/>
      </w:r>
      <w:r w:rsidRPr="00463E9A">
        <w:t xml:space="preserve"> gepleit voor het verder verhogen van de humanitaire hulp vanuit de EU voor Soedan en voor aanvullende sancties, inclusief op het hoogste niveau. Daarnaast pleitte Nederland ook voor engagement vanuit de EU met externe actoren, inclusief in de context van EU-GCC relaties, conform de motie Ceder c.s.</w:t>
      </w:r>
      <w:r w:rsidRPr="00463E9A">
        <w:rPr>
          <w:rStyle w:val="Voetnootmarkering"/>
        </w:rPr>
        <w:footnoteReference w:id="5"/>
      </w:r>
      <w:r w:rsidRPr="00463E9A">
        <w:t xml:space="preserve"> </w:t>
      </w:r>
      <w:r>
        <w:t xml:space="preserve">De Minister van Buitenlandse Zaken heeft </w:t>
      </w:r>
      <w:r w:rsidRPr="00A23919">
        <w:t xml:space="preserve">sinds de val van El Fasher met alle relevante regionale actoren op ministerieel niveau contact gehad en het belang van een staakt het vuren benadrukt. </w:t>
      </w:r>
      <w:r w:rsidRPr="00463E9A">
        <w:t xml:space="preserve">De EU en lidstaten blijven eensgezind over de ernst van de situatie </w:t>
      </w:r>
      <w:r w:rsidRPr="00463E9A">
        <w:lastRenderedPageBreak/>
        <w:t>in Soedan en blijven samenwerken met het samenwerkingsverband van de VS, Verenigde Arabische Emiraten, Saoedi-Arabië en Egypte (</w:t>
      </w:r>
      <w:r>
        <w:t xml:space="preserve">de </w:t>
      </w:r>
      <w:r w:rsidRPr="00463E9A">
        <w:t>Quad), de Afrikaanse Unie, en andere internationale partners</w:t>
      </w:r>
      <w:r w:rsidRPr="00463E9A">
        <w:rPr>
          <w:bCs/>
        </w:rPr>
        <w:t xml:space="preserve"> om het conflict en het humanitaire leed in het land te beëindigen.</w:t>
      </w:r>
    </w:p>
    <w:p w:rsidRPr="00463E9A" w:rsidR="004C3F72" w:rsidP="004C3F72" w:rsidRDefault="004C3F72" w14:paraId="02F8B871" w14:textId="77777777">
      <w:pPr>
        <w:rPr>
          <w:bCs/>
        </w:rPr>
      </w:pPr>
    </w:p>
    <w:p w:rsidRPr="00463E9A" w:rsidR="004C3F72" w:rsidP="004C3F72" w:rsidRDefault="004C3F72" w14:paraId="1AC888C4" w14:textId="77777777">
      <w:pPr>
        <w:rPr>
          <w:bCs/>
        </w:rPr>
      </w:pPr>
      <w:r w:rsidRPr="00463E9A">
        <w:rPr>
          <w:bCs/>
        </w:rPr>
        <w:t>Op 28 mei 2025 zijn de onderhandelingen over een mogelijk handelsverdrag (FTA) tussen de EU en de VAE gestart. De onderhandelingen richten zich op het opheffen van beperkingen op de handel in goederen, diensten en investeringen, evenals samenwerking in strategische sectoren zoals hernieuwbare energie, groene waterstof en kritieke grondstoffen.</w:t>
      </w:r>
      <w:r>
        <w:rPr>
          <w:bCs/>
        </w:rPr>
        <w:t xml:space="preserve"> </w:t>
      </w:r>
      <w:r w:rsidRPr="00463E9A">
        <w:rPr>
          <w:bCs/>
        </w:rPr>
        <w:t>Conform het betreffende BNC-fiche</w:t>
      </w:r>
      <w:r w:rsidRPr="00463E9A">
        <w:rPr>
          <w:rStyle w:val="Voetnootmarkering"/>
          <w:bCs/>
        </w:rPr>
        <w:footnoteReference w:id="6"/>
      </w:r>
      <w:r w:rsidRPr="00463E9A">
        <w:rPr>
          <w:bCs/>
        </w:rPr>
        <w:t xml:space="preserve"> heeft het kabinet een positieve grondhouding ten aanzien van EU-handelsakkoorden, waarbij het uitgangspunt blijft dat ieder akkoord op de eigen merites wordt beoordeeld. Juist nu het wereldwijde handelssysteem onder druk staat, is het belangrijk dat we, conform de motie Hirsch-Ceder</w:t>
      </w:r>
      <w:r w:rsidRPr="00463E9A">
        <w:rPr>
          <w:rStyle w:val="Voetnootmarkering"/>
          <w:bCs/>
        </w:rPr>
        <w:footnoteReference w:id="7"/>
      </w:r>
      <w:r w:rsidRPr="00463E9A">
        <w:rPr>
          <w:bCs/>
        </w:rPr>
        <w:t>, afspraken blijven maken met internationale partners over moderne en duurzame handelsbetrekkingen, en ons inzetten voor een open en op regels gebaseerd handelssysteem.</w:t>
      </w:r>
    </w:p>
    <w:p w:rsidRPr="00463E9A" w:rsidR="004C3F72" w:rsidP="004C3F72" w:rsidRDefault="004C3F72" w14:paraId="1A338626" w14:textId="77777777">
      <w:pPr>
        <w:rPr>
          <w:bCs/>
        </w:rPr>
      </w:pPr>
    </w:p>
    <w:p w:rsidRPr="00463E9A" w:rsidR="004C3F72" w:rsidP="004C3F72" w:rsidRDefault="004C3F72" w14:paraId="45AE1A19" w14:textId="77777777">
      <w:pPr>
        <w:rPr>
          <w:bCs/>
        </w:rPr>
      </w:pPr>
      <w:r w:rsidRPr="00463E9A">
        <w:rPr>
          <w:bCs/>
        </w:rPr>
        <w:t>In het mandaat voor de onderhandelingen met de VAE wordt verwezen naar de beginselen en doelstellingen van het externe optreden van de EU, waaronder de naleving van het internationaal recht door derde landen. De Raad heeft met dit onderhandelingsmandaat ingestemd. Het is nu aan de Commissie om op basis hiervan tot een onderhandelingsresultaat te komen met de VAE. Het kabinet zal daarover een positie innemen op het moment dat een eventueel onderhandelingsresultaat ter besluitvorming wordt voorgelegd aan de Raad.</w:t>
      </w:r>
    </w:p>
    <w:p w:rsidR="004C3F72" w:rsidP="004C3F72" w:rsidRDefault="004C3F72" w14:paraId="432C170F" w14:textId="77777777">
      <w:pPr>
        <w:rPr>
          <w:b/>
        </w:rPr>
      </w:pPr>
    </w:p>
    <w:p w:rsidR="004C3F72" w:rsidP="004C3F72" w:rsidRDefault="004C3F72" w14:paraId="0D7D7C75" w14:textId="77777777">
      <w:pPr>
        <w:rPr>
          <w:b/>
        </w:rPr>
      </w:pPr>
    </w:p>
    <w:p w:rsidRPr="00463E9A" w:rsidR="004C3F72" w:rsidP="004C3F72" w:rsidRDefault="004C3F72" w14:paraId="221C5E76" w14:textId="77777777">
      <w:pPr>
        <w:rPr>
          <w:b/>
        </w:rPr>
      </w:pPr>
    </w:p>
    <w:p w:rsidRPr="00463E9A" w:rsidR="004C3F72" w:rsidP="004C3F72" w:rsidRDefault="004C3F72" w14:paraId="3560930F" w14:textId="77777777">
      <w:r w:rsidRPr="00463E9A">
        <w:rPr>
          <w:b/>
        </w:rPr>
        <w:t>Vraag 3</w:t>
      </w:r>
    </w:p>
    <w:p w:rsidRPr="00463E9A" w:rsidR="004C3F72" w:rsidP="004C3F72" w:rsidRDefault="004C3F72" w14:paraId="54F67725" w14:textId="77777777">
      <w:r w:rsidRPr="00463E9A">
        <w:t>Bent u bereid om extra financiering voor voedselzekerheid te overwegen, bijvoorbeeld via de Dutch Relief Alliance, die met hun lokaal personeel nog toegang heeft tot de meest afgesloten regio's in Soedan?</w:t>
      </w:r>
      <w:r w:rsidRPr="00463E9A">
        <w:br/>
      </w:r>
    </w:p>
    <w:p w:rsidRPr="00463E9A" w:rsidR="004C3F72" w:rsidP="004C3F72" w:rsidRDefault="004C3F72" w14:paraId="0E45B856" w14:textId="77777777">
      <w:r w:rsidRPr="00463E9A">
        <w:rPr>
          <w:b/>
        </w:rPr>
        <w:t>Antwoord</w:t>
      </w:r>
    </w:p>
    <w:p w:rsidRPr="00463E9A" w:rsidR="004C3F72" w:rsidP="004C3F72" w:rsidRDefault="004C3F72" w14:paraId="23BD7251" w14:textId="77777777">
      <w:r w:rsidRPr="00463E9A">
        <w:t xml:space="preserve">Het kabinet heeft besloten een extra humanitaire bijdrage van EUR 10 miljoen te doen aan het </w:t>
      </w:r>
      <w:r w:rsidRPr="00463E9A">
        <w:rPr>
          <w:i/>
          <w:iCs/>
        </w:rPr>
        <w:t xml:space="preserve">Sudan Humanitarian Fund </w:t>
      </w:r>
      <w:r w:rsidRPr="00463E9A">
        <w:t>van de Verenigde Naties</w:t>
      </w:r>
      <w:r w:rsidRPr="00463E9A">
        <w:rPr>
          <w:i/>
          <w:iCs/>
        </w:rPr>
        <w:t>.</w:t>
      </w:r>
      <w:r w:rsidRPr="00D27F2E">
        <w:t xml:space="preserve"> (</w:t>
      </w:r>
      <w:r w:rsidRPr="00463E9A">
        <w:t>SHF</w:t>
      </w:r>
      <w:r w:rsidRPr="00463E9A">
        <w:rPr>
          <w:i/>
          <w:iCs/>
        </w:rPr>
        <w:t>).</w:t>
      </w:r>
      <w:r w:rsidRPr="00463E9A">
        <w:t xml:space="preserve"> Deze </w:t>
      </w:r>
      <w:r w:rsidRPr="00463E9A">
        <w:lastRenderedPageBreak/>
        <w:t>bijdrage is reeds aangekondigd in de Tweede suppletoire begroting BHO 2025 (Kamerstuk 36850-XVII) en verder toegelicht in de Kamerbrief over de extra bijdrage aan Soedan (</w:t>
      </w:r>
      <w:r>
        <w:t xml:space="preserve">Kamerstuk </w:t>
      </w:r>
      <w:r w:rsidRPr="006C2FC3">
        <w:t>29237-237</w:t>
      </w:r>
      <w:r w:rsidRPr="00463E9A">
        <w:t>). Het SHF zet in op de hoogste noden, waaronder voedselzekerheid, in de meest getroffen gebieden.</w:t>
      </w:r>
    </w:p>
    <w:p w:rsidRPr="00463E9A" w:rsidR="004C3F72" w:rsidP="004C3F72" w:rsidRDefault="004C3F72" w14:paraId="35D7544F" w14:textId="77777777"/>
    <w:p w:rsidRPr="00463E9A" w:rsidR="004C3F72" w:rsidP="004C3F72" w:rsidRDefault="004C3F72" w14:paraId="20CA2E19" w14:textId="77777777">
      <w:r>
        <w:t>Met flexibele</w:t>
      </w:r>
      <w:r w:rsidRPr="00463E9A">
        <w:t xml:space="preserve"> financiering kan vanuit het SHF voortdurend worden ingespeeld op de veranderende noden. Daarbij wordt gekeken naar complementariteit en naar welke organisaties het best in staat zijn om hulp te verlenen. Dit zijn vaak lokale organisaties. Via het SHF</w:t>
      </w:r>
      <w:r w:rsidRPr="00463E9A">
        <w:rPr>
          <w:i/>
          <w:iCs/>
        </w:rPr>
        <w:t xml:space="preserve"> </w:t>
      </w:r>
      <w:r w:rsidRPr="00463E9A">
        <w:t xml:space="preserve">worden dan </w:t>
      </w:r>
      <w:r w:rsidRPr="006F2585">
        <w:t>ook</w:t>
      </w:r>
      <w:r>
        <w:rPr>
          <w:i/>
          <w:iCs/>
        </w:rPr>
        <w:t xml:space="preserve"> </w:t>
      </w:r>
      <w:r w:rsidRPr="006F2585">
        <w:t>de</w:t>
      </w:r>
      <w:r w:rsidRPr="00463E9A">
        <w:rPr>
          <w:i/>
          <w:iCs/>
        </w:rPr>
        <w:t xml:space="preserve"> Emergency Response Rooms</w:t>
      </w:r>
      <w:r w:rsidRPr="00463E9A">
        <w:t xml:space="preserve"> gefinancierd. Dit zijn kleine vrijwilligersinitiatieven die een cruciale rol spelen in het verlenen van levensreddende hulp, waaronder voedselvoorziening via gaarkeukens, ook op moeilijk bereikbare plaatsen. </w:t>
      </w:r>
    </w:p>
    <w:p w:rsidRPr="00463E9A" w:rsidR="004C3F72" w:rsidP="004C3F72" w:rsidRDefault="004C3F72" w14:paraId="07572EEE" w14:textId="77777777"/>
    <w:p w:rsidRPr="00463E9A" w:rsidR="004C3F72" w:rsidP="004C3F72" w:rsidRDefault="004C3F72" w14:paraId="36B01CA1" w14:textId="77777777">
      <w:r w:rsidRPr="00463E9A">
        <w:rPr>
          <w:b/>
        </w:rPr>
        <w:t>Vraag 4</w:t>
      </w:r>
    </w:p>
    <w:p w:rsidRPr="00463E9A" w:rsidR="004C3F72" w:rsidP="004C3F72" w:rsidRDefault="004C3F72" w14:paraId="1D4720DC" w14:textId="77777777">
      <w:r w:rsidRPr="00463E9A">
        <w:t>Bent u bereid de oproep om toegang tot humanitaire hulp toe te laten, kracht bij te zetten door de Sudan Armed Forces (SAF) en Rapid Support Forces (RSF) aan te sporen tot toelating van humanitaire hulp in alle delen van Soedan en door organisaties te steunen in onderhandelingen over toegang, bijvoorbeeld via alternatieve routes, andere transportmiddelen en veiligheidsmaatregelen?</w:t>
      </w:r>
      <w:r w:rsidRPr="00463E9A">
        <w:br/>
      </w:r>
    </w:p>
    <w:p w:rsidRPr="00463E9A" w:rsidR="004C3F72" w:rsidP="004C3F72" w:rsidRDefault="004C3F72" w14:paraId="4CC45FA1" w14:textId="77777777">
      <w:r w:rsidRPr="00463E9A">
        <w:rPr>
          <w:b/>
        </w:rPr>
        <w:t>Antwoord</w:t>
      </w:r>
    </w:p>
    <w:p w:rsidRPr="00463E9A" w:rsidR="004C3F72" w:rsidP="004C3F72" w:rsidRDefault="004C3F72" w14:paraId="249576CF" w14:textId="77777777">
      <w:r w:rsidRPr="00463E9A">
        <w:t xml:space="preserve">Via diplomatieke inzet in bilaterale en multilaterale kanalen blijft Nederland zich inzetten voor een staakt-het-vuren en het verbeteren van humanitaire toegang. In diverse statements heeft Nederland samen met de Europese Unie en andere landen de strijdende partijen opgeroepen om de strijd te staken, </w:t>
      </w:r>
      <w:r>
        <w:t>het h</w:t>
      </w:r>
      <w:r w:rsidRPr="00463E9A">
        <w:t xml:space="preserve">umanitair </w:t>
      </w:r>
      <w:r>
        <w:t>o</w:t>
      </w:r>
      <w:r w:rsidRPr="00463E9A">
        <w:t xml:space="preserve">orlogsrecht te respecteren, burgers te beschermen en hulp ongehinderd toe te laten. </w:t>
      </w:r>
    </w:p>
    <w:p w:rsidR="004C3F72" w:rsidP="004C3F72" w:rsidRDefault="004C3F72" w14:paraId="14FBBC71" w14:textId="77777777"/>
    <w:p w:rsidRPr="00463E9A" w:rsidR="004C3F72" w:rsidP="004C3F72" w:rsidRDefault="004C3F72" w14:paraId="1878FB58" w14:textId="77777777">
      <w:r w:rsidRPr="00463E9A">
        <w:t xml:space="preserve">Nederland spreekt bovendien externe actoren aan op hun verantwoordelijkheid om geen handelingen te verrichten die het conflict voeden en om in te zetten op de-escalatie, het humanitair oorlogsrecht </w:t>
      </w:r>
      <w:r>
        <w:t xml:space="preserve">na te leven </w:t>
      </w:r>
      <w:r w:rsidRPr="00463E9A">
        <w:t>en ongehinderde humanitaire toegang</w:t>
      </w:r>
      <w:r>
        <w:t xml:space="preserve"> te verlenen</w:t>
      </w:r>
      <w:r w:rsidRPr="00463E9A">
        <w:t xml:space="preserve">. In de Raad Buitenlandse Zaken (RBZ) van 20 november jl. onderstreepte Nederland het belang van ongehinderde humanitaire hulp en pleitte voor het verder verhogen van de humanitaire hulp vanuit de EU voor Soedan. </w:t>
      </w:r>
    </w:p>
    <w:p w:rsidRPr="00463E9A" w:rsidR="004C3F72" w:rsidP="004C3F72" w:rsidRDefault="004C3F72" w14:paraId="744F0C99" w14:textId="77777777">
      <w:r w:rsidRPr="00463E9A">
        <w:t>Verder is Nederland voortdurend in contact met humanitaire actoren, waaronder de Verenigde Naties, over hoe de coördinatie verloopt en hoe deze verder verbeterd kan worden, bijvoorbeeld op locaties waar de hulp snel opgeschaald moet worden door grote toestroom van vluchtelingen, zoals in Tawila in Darfoer.</w:t>
      </w:r>
    </w:p>
    <w:p w:rsidRPr="00703057" w:rsidR="004C3F72" w:rsidP="004C3F72" w:rsidRDefault="004C3F72" w14:paraId="17A33B2D" w14:textId="77777777"/>
    <w:p w:rsidR="004E3952" w:rsidRDefault="004E3952" w14:paraId="6C21EEE8" w14:textId="77777777"/>
    <w:sectPr w:rsidR="004E3952" w:rsidSect="004C3F7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CFB2" w14:textId="77777777" w:rsidR="004C3F72" w:rsidRDefault="004C3F72" w:rsidP="004C3F72">
      <w:pPr>
        <w:spacing w:after="0" w:line="240" w:lineRule="auto"/>
      </w:pPr>
      <w:r>
        <w:separator/>
      </w:r>
    </w:p>
  </w:endnote>
  <w:endnote w:type="continuationSeparator" w:id="0">
    <w:p w14:paraId="29785EA4" w14:textId="77777777" w:rsidR="004C3F72" w:rsidRDefault="004C3F72" w:rsidP="004C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FDE8" w14:textId="77777777" w:rsidR="004C3F72" w:rsidRPr="004C3F72" w:rsidRDefault="004C3F72" w:rsidP="004C3F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BF26" w14:textId="77777777" w:rsidR="004C3F72" w:rsidRPr="004C3F72" w:rsidRDefault="004C3F72" w:rsidP="004C3F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1E88" w14:textId="77777777" w:rsidR="004C3F72" w:rsidRPr="004C3F72" w:rsidRDefault="004C3F72" w:rsidP="004C3F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6C71" w14:textId="77777777" w:rsidR="004C3F72" w:rsidRDefault="004C3F72" w:rsidP="004C3F72">
      <w:pPr>
        <w:spacing w:after="0" w:line="240" w:lineRule="auto"/>
      </w:pPr>
      <w:r>
        <w:separator/>
      </w:r>
    </w:p>
  </w:footnote>
  <w:footnote w:type="continuationSeparator" w:id="0">
    <w:p w14:paraId="1B3290C3" w14:textId="77777777" w:rsidR="004C3F72" w:rsidRDefault="004C3F72" w:rsidP="004C3F72">
      <w:pPr>
        <w:spacing w:after="0" w:line="240" w:lineRule="auto"/>
      </w:pPr>
      <w:r>
        <w:continuationSeparator/>
      </w:r>
    </w:p>
  </w:footnote>
  <w:footnote w:id="1">
    <w:p w14:paraId="176A1E48" w14:textId="77777777" w:rsidR="004C3F72" w:rsidRPr="006F2585" w:rsidRDefault="004C3F72" w:rsidP="004C3F72">
      <w:pPr>
        <w:pStyle w:val="Voetnoottekst"/>
        <w:rPr>
          <w:lang w:val="en-US"/>
        </w:rPr>
      </w:pPr>
      <w:r w:rsidRPr="00463E9A">
        <w:rPr>
          <w:rStyle w:val="Voetnootmarkering"/>
          <w:sz w:val="16"/>
          <w:szCs w:val="16"/>
        </w:rPr>
        <w:footnoteRef/>
      </w:r>
      <w:r w:rsidRPr="006F2585">
        <w:rPr>
          <w:sz w:val="16"/>
          <w:szCs w:val="16"/>
          <w:lang w:val="en-US"/>
        </w:rPr>
        <w:t xml:space="preserve"> </w:t>
      </w:r>
      <w:r w:rsidRPr="000A2FEA">
        <w:rPr>
          <w:sz w:val="16"/>
          <w:szCs w:val="16"/>
          <w:lang w:val="en-US"/>
        </w:rPr>
        <w:t>Meer informatie over</w:t>
      </w:r>
      <w:r w:rsidRPr="006F2585">
        <w:rPr>
          <w:sz w:val="16"/>
          <w:szCs w:val="16"/>
          <w:lang w:val="en-US"/>
        </w:rPr>
        <w:t xml:space="preserve"> de </w:t>
      </w:r>
      <w:hyperlink r:id="rId1" w:history="1">
        <w:r w:rsidRPr="006F2585">
          <w:rPr>
            <w:rStyle w:val="Hyperlink"/>
            <w:sz w:val="16"/>
            <w:szCs w:val="16"/>
            <w:lang w:val="en-US"/>
          </w:rPr>
          <w:t>Indicative, non-exhaustive list of conflict-affected and high-risk areas under Regulation (EU) 2017/821)</w:t>
        </w:r>
      </w:hyperlink>
      <w:r w:rsidRPr="006F2585">
        <w:rPr>
          <w:sz w:val="16"/>
          <w:szCs w:val="16"/>
          <w:lang w:val="en-US"/>
        </w:rPr>
        <w:t xml:space="preserve"> is online publiek beschikbaar.</w:t>
      </w:r>
    </w:p>
  </w:footnote>
  <w:footnote w:id="2">
    <w:p w14:paraId="5D18667A" w14:textId="77777777" w:rsidR="004C3F72" w:rsidRPr="00463E9A" w:rsidRDefault="004C3F72" w:rsidP="004C3F72">
      <w:pPr>
        <w:pStyle w:val="Voetnoottekst"/>
      </w:pPr>
      <w:r w:rsidRPr="00463E9A">
        <w:rPr>
          <w:rStyle w:val="Voetnootmarkering"/>
          <w:sz w:val="16"/>
          <w:szCs w:val="16"/>
        </w:rPr>
        <w:footnoteRef/>
      </w:r>
      <w:r w:rsidRPr="00463E9A">
        <w:rPr>
          <w:sz w:val="16"/>
          <w:szCs w:val="16"/>
        </w:rPr>
        <w:t xml:space="preserve"> Kamerstuk 21501, nr. 3278.</w:t>
      </w:r>
    </w:p>
  </w:footnote>
  <w:footnote w:id="3">
    <w:p w14:paraId="0C204A9D" w14:textId="77777777" w:rsidR="004C3F72" w:rsidRPr="00C14609" w:rsidRDefault="004C3F72" w:rsidP="004C3F72">
      <w:pPr>
        <w:pStyle w:val="Voetnoottekst"/>
        <w:rPr>
          <w:sz w:val="16"/>
          <w:szCs w:val="16"/>
        </w:rPr>
      </w:pPr>
      <w:r w:rsidRPr="00C14609">
        <w:rPr>
          <w:rStyle w:val="Voetnootmarkering"/>
          <w:sz w:val="16"/>
          <w:szCs w:val="16"/>
        </w:rPr>
        <w:footnoteRef/>
      </w:r>
      <w:r w:rsidRPr="00C14609">
        <w:rPr>
          <w:sz w:val="16"/>
          <w:szCs w:val="16"/>
        </w:rPr>
        <w:t xml:space="preserve"> Motie van Baarle 21501-02 Nr. 3279</w:t>
      </w:r>
    </w:p>
  </w:footnote>
  <w:footnote w:id="4">
    <w:p w14:paraId="4DDB18EA" w14:textId="77777777" w:rsidR="004C3F72" w:rsidRPr="00C14609" w:rsidRDefault="004C3F72" w:rsidP="004C3F72">
      <w:pPr>
        <w:pStyle w:val="Voetnoottekst"/>
        <w:rPr>
          <w:sz w:val="16"/>
          <w:szCs w:val="16"/>
        </w:rPr>
      </w:pPr>
      <w:r w:rsidRPr="00C14609">
        <w:rPr>
          <w:rStyle w:val="Voetnootmarkering"/>
          <w:sz w:val="16"/>
          <w:szCs w:val="16"/>
        </w:rPr>
        <w:footnoteRef/>
      </w:r>
      <w:r w:rsidRPr="00C14609">
        <w:rPr>
          <w:sz w:val="16"/>
          <w:szCs w:val="16"/>
        </w:rPr>
        <w:t xml:space="preserve"> Motie Piri 21501-02 Nr. 3279</w:t>
      </w:r>
    </w:p>
  </w:footnote>
  <w:footnote w:id="5">
    <w:p w14:paraId="6957A578" w14:textId="77777777" w:rsidR="004C3F72" w:rsidRPr="00C14609" w:rsidRDefault="004C3F72" w:rsidP="004C3F72">
      <w:pPr>
        <w:pStyle w:val="Voetnoottekst"/>
        <w:rPr>
          <w:sz w:val="16"/>
          <w:szCs w:val="16"/>
        </w:rPr>
      </w:pPr>
      <w:r w:rsidRPr="00C14609">
        <w:rPr>
          <w:rStyle w:val="Voetnootmarkering"/>
          <w:sz w:val="16"/>
          <w:szCs w:val="16"/>
        </w:rPr>
        <w:footnoteRef/>
      </w:r>
      <w:r w:rsidRPr="00C14609">
        <w:rPr>
          <w:sz w:val="16"/>
          <w:szCs w:val="16"/>
        </w:rPr>
        <w:t xml:space="preserve"> Motie Ceder c.s. 21501-02 Nr. 3276</w:t>
      </w:r>
    </w:p>
  </w:footnote>
  <w:footnote w:id="6">
    <w:p w14:paraId="6273CBFA" w14:textId="77777777" w:rsidR="004C3F72" w:rsidRPr="00C14609" w:rsidRDefault="004C3F72" w:rsidP="004C3F72">
      <w:pPr>
        <w:pStyle w:val="Voetnoottekst"/>
        <w:rPr>
          <w:sz w:val="16"/>
          <w:szCs w:val="16"/>
        </w:rPr>
      </w:pPr>
      <w:r w:rsidRPr="00C14609">
        <w:rPr>
          <w:rStyle w:val="Voetnootmarkering"/>
          <w:sz w:val="16"/>
          <w:szCs w:val="16"/>
        </w:rPr>
        <w:footnoteRef/>
      </w:r>
      <w:r w:rsidRPr="00C14609">
        <w:rPr>
          <w:sz w:val="16"/>
          <w:szCs w:val="16"/>
        </w:rPr>
        <w:t xml:space="preserve"> Kamerstuk 22 122 nr. 4083.</w:t>
      </w:r>
    </w:p>
  </w:footnote>
  <w:footnote w:id="7">
    <w:p w14:paraId="0F65186E" w14:textId="77777777" w:rsidR="004C3F72" w:rsidRPr="004C3F72" w:rsidRDefault="004C3F72" w:rsidP="004C3F72">
      <w:pPr>
        <w:pStyle w:val="Voetnoottekst"/>
      </w:pPr>
      <w:r w:rsidRPr="00C14609">
        <w:rPr>
          <w:rStyle w:val="Voetnootmarkering"/>
          <w:sz w:val="16"/>
          <w:szCs w:val="16"/>
        </w:rPr>
        <w:footnoteRef/>
      </w:r>
      <w:r w:rsidRPr="00C14609">
        <w:rPr>
          <w:sz w:val="16"/>
          <w:szCs w:val="16"/>
        </w:rPr>
        <w:t xml:space="preserve"> Motie Hirsch-Ceder 21501-02 nr. 3101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1E42" w14:textId="77777777" w:rsidR="004C3F72" w:rsidRPr="004C3F72" w:rsidRDefault="004C3F72" w:rsidP="004C3F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27AC" w14:textId="77777777" w:rsidR="004C3F72" w:rsidRPr="004C3F72" w:rsidRDefault="004C3F72" w:rsidP="004C3F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5DC0" w14:textId="77777777" w:rsidR="004C3F72" w:rsidRPr="004C3F72" w:rsidRDefault="004C3F72" w:rsidP="004C3F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72"/>
    <w:rsid w:val="004C3F72"/>
    <w:rsid w:val="004E3952"/>
    <w:rsid w:val="00592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729E"/>
  <w15:chartTrackingRefBased/>
  <w15:docId w15:val="{F2CAE23C-11B5-4AF1-A624-1F745596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C3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3F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3F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3F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3F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F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F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F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F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C3F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3F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3F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3F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3F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F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F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F72"/>
    <w:rPr>
      <w:rFonts w:eastAsiaTheme="majorEastAsia" w:cstheme="majorBidi"/>
      <w:color w:val="272727" w:themeColor="text1" w:themeTint="D8"/>
    </w:rPr>
  </w:style>
  <w:style w:type="paragraph" w:styleId="Titel">
    <w:name w:val="Title"/>
    <w:basedOn w:val="Standaard"/>
    <w:next w:val="Standaard"/>
    <w:link w:val="TitelChar"/>
    <w:uiPriority w:val="10"/>
    <w:qFormat/>
    <w:rsid w:val="004C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F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F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F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F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F72"/>
    <w:rPr>
      <w:i/>
      <w:iCs/>
      <w:color w:val="404040" w:themeColor="text1" w:themeTint="BF"/>
    </w:rPr>
  </w:style>
  <w:style w:type="paragraph" w:styleId="Lijstalinea">
    <w:name w:val="List Paragraph"/>
    <w:basedOn w:val="Standaard"/>
    <w:uiPriority w:val="34"/>
    <w:qFormat/>
    <w:rsid w:val="004C3F72"/>
    <w:pPr>
      <w:ind w:left="720"/>
      <w:contextualSpacing/>
    </w:pPr>
  </w:style>
  <w:style w:type="character" w:styleId="Intensievebenadrukking">
    <w:name w:val="Intense Emphasis"/>
    <w:basedOn w:val="Standaardalinea-lettertype"/>
    <w:uiPriority w:val="21"/>
    <w:qFormat/>
    <w:rsid w:val="004C3F72"/>
    <w:rPr>
      <w:i/>
      <w:iCs/>
      <w:color w:val="2F5496" w:themeColor="accent1" w:themeShade="BF"/>
    </w:rPr>
  </w:style>
  <w:style w:type="paragraph" w:styleId="Duidelijkcitaat">
    <w:name w:val="Intense Quote"/>
    <w:basedOn w:val="Standaard"/>
    <w:next w:val="Standaard"/>
    <w:link w:val="DuidelijkcitaatChar"/>
    <w:uiPriority w:val="30"/>
    <w:qFormat/>
    <w:rsid w:val="004C3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3F72"/>
    <w:rPr>
      <w:i/>
      <w:iCs/>
      <w:color w:val="2F5496" w:themeColor="accent1" w:themeShade="BF"/>
    </w:rPr>
  </w:style>
  <w:style w:type="character" w:styleId="Intensieveverwijzing">
    <w:name w:val="Intense Reference"/>
    <w:basedOn w:val="Standaardalinea-lettertype"/>
    <w:uiPriority w:val="32"/>
    <w:qFormat/>
    <w:rsid w:val="004C3F72"/>
    <w:rPr>
      <w:b/>
      <w:bCs/>
      <w:smallCaps/>
      <w:color w:val="2F5496" w:themeColor="accent1" w:themeShade="BF"/>
      <w:spacing w:val="5"/>
    </w:rPr>
  </w:style>
  <w:style w:type="character" w:styleId="Hyperlink">
    <w:name w:val="Hyperlink"/>
    <w:basedOn w:val="Standaardalinea-lettertype"/>
    <w:uiPriority w:val="99"/>
    <w:unhideWhenUsed/>
    <w:rsid w:val="004C3F72"/>
    <w:rPr>
      <w:color w:val="0563C1" w:themeColor="hyperlink"/>
      <w:u w:val="single"/>
    </w:rPr>
  </w:style>
  <w:style w:type="paragraph" w:styleId="Voettekst">
    <w:name w:val="footer"/>
    <w:basedOn w:val="Standaard"/>
    <w:link w:val="VoettekstChar"/>
    <w:uiPriority w:val="99"/>
    <w:unhideWhenUsed/>
    <w:rsid w:val="004C3F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3F7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C3F7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C3F7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C3F72"/>
    <w:rPr>
      <w:vertAlign w:val="superscript"/>
    </w:rPr>
  </w:style>
  <w:style w:type="paragraph" w:styleId="Koptekst">
    <w:name w:val="header"/>
    <w:basedOn w:val="Standaard"/>
    <w:link w:val="KoptekstChar"/>
    <w:uiPriority w:val="99"/>
    <w:unhideWhenUsed/>
    <w:rsid w:val="004C3F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ahraslist.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1317</ap:Words>
  <ap:Characters>7247</ap:Characters>
  <ap:DocSecurity>0</ap:DocSecurity>
  <ap:Lines>60</ap:Lines>
  <ap:Paragraphs>17</ap:Paragraphs>
  <ap:ScaleCrop>false</ap:ScaleCrop>
  <ap:LinksUpToDate>false</ap:LinksUpToDate>
  <ap:CharactersWithSpaces>8547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2025-12-12T08:32:00.0000000Z</dcterms:created>
  <dcterms:modified xsi:type="dcterms:W3CDTF">2025-12-12T08:33:00.0000000Z</dcterms:modified>
  <version/>
  <category/>
</coreProperties>
</file>