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C3977" w:rsidR="008A595A" w:rsidP="008A595A" w:rsidRDefault="008A595A" w14:paraId="09EAF1A9" w14:textId="77777777">
      <w:pPr>
        <w:spacing w:after="0"/>
        <w:ind w:left="1410" w:hanging="1410"/>
        <w:rPr>
          <w:rFonts w:ascii="Times New Roman" w:hAnsi="Times New Roman" w:cs="Times New Roman"/>
          <w:sz w:val="24"/>
          <w:szCs w:val="24"/>
        </w:rPr>
      </w:pPr>
      <w:r w:rsidRPr="00FC3977">
        <w:rPr>
          <w:rFonts w:ascii="Times New Roman" w:hAnsi="Times New Roman" w:cs="Times New Roman"/>
          <w:b/>
          <w:sz w:val="24"/>
          <w:szCs w:val="24"/>
        </w:rPr>
        <w:t>36 850 XIII</w:t>
      </w:r>
      <w:r w:rsidRPr="00FC3977">
        <w:rPr>
          <w:rFonts w:ascii="Times New Roman" w:hAnsi="Times New Roman" w:cs="Times New Roman"/>
          <w:b/>
          <w:sz w:val="24"/>
          <w:szCs w:val="24"/>
        </w:rPr>
        <w:tab/>
      </w:r>
      <w:r w:rsidRPr="00FC3977">
        <w:rPr>
          <w:rFonts w:ascii="Times New Roman" w:hAnsi="Times New Roman" w:cs="Times New Roman"/>
          <w:b/>
          <w:bCs/>
          <w:sz w:val="24"/>
          <w:szCs w:val="24"/>
        </w:rPr>
        <w:t>Wijziging van de begrotingsstaten van het Ministerie van Economische Zaken (XIII) voor het jaar 2025 (wijziging samenhangende met de Najaarsnota)</w:t>
      </w:r>
    </w:p>
    <w:p w:rsidRPr="00FC3977" w:rsidR="008A595A" w:rsidP="008A595A" w:rsidRDefault="008A595A" w14:paraId="154584E3" w14:textId="77777777">
      <w:pPr>
        <w:spacing w:after="0"/>
        <w:ind w:left="1410" w:hanging="1410"/>
        <w:rPr>
          <w:rFonts w:ascii="Times New Roman" w:hAnsi="Times New Roman" w:eastAsia="Calibri" w:cs="Times New Roman"/>
          <w:sz w:val="24"/>
          <w:szCs w:val="24"/>
        </w:rPr>
      </w:pPr>
    </w:p>
    <w:p w:rsidRPr="00FC3977" w:rsidR="008A595A" w:rsidP="008A595A" w:rsidRDefault="008A595A" w14:paraId="2707BD8D" w14:textId="77777777">
      <w:pPr>
        <w:autoSpaceDE w:val="0"/>
        <w:autoSpaceDN w:val="0"/>
        <w:adjustRightInd w:val="0"/>
        <w:spacing w:after="0"/>
        <w:ind w:left="1410" w:hanging="1410"/>
        <w:rPr>
          <w:rFonts w:ascii="Times New Roman" w:hAnsi="Times New Roman" w:eastAsia="Calibri" w:cs="Times New Roman"/>
          <w:color w:val="000000"/>
          <w:sz w:val="24"/>
          <w:szCs w:val="24"/>
        </w:rPr>
      </w:pPr>
      <w:r w:rsidRPr="00FC3977">
        <w:rPr>
          <w:rFonts w:ascii="Times New Roman" w:hAnsi="Times New Roman" w:eastAsia="Calibri" w:cs="Times New Roman"/>
          <w:b/>
          <w:color w:val="000000"/>
          <w:sz w:val="24"/>
          <w:szCs w:val="24"/>
        </w:rPr>
        <w:t xml:space="preserve">Nr. </w:t>
      </w:r>
      <w:r w:rsidRPr="00FC3977">
        <w:rPr>
          <w:rFonts w:ascii="Times New Roman" w:hAnsi="Times New Roman" w:cs="Times New Roman"/>
          <w:b/>
          <w:sz w:val="24"/>
          <w:szCs w:val="24"/>
        </w:rPr>
        <w:t>4</w:t>
      </w:r>
      <w:r w:rsidRPr="00FC3977">
        <w:rPr>
          <w:rFonts w:ascii="Times New Roman" w:hAnsi="Times New Roman" w:eastAsia="Calibri" w:cs="Times New Roman"/>
          <w:b/>
          <w:color w:val="000000"/>
          <w:sz w:val="24"/>
          <w:szCs w:val="24"/>
        </w:rPr>
        <w:tab/>
        <w:t>VERSLAG HOUDENDE EEN LIJST VAN VRAGEN EN ANTWOORDEN</w:t>
      </w:r>
      <w:r w:rsidRPr="00FC3977">
        <w:rPr>
          <w:rFonts w:ascii="Times New Roman" w:hAnsi="Times New Roman" w:eastAsia="Calibri" w:cs="Times New Roman"/>
          <w:color w:val="000000"/>
          <w:sz w:val="24"/>
          <w:szCs w:val="24"/>
        </w:rPr>
        <w:t xml:space="preserve"> </w:t>
      </w:r>
    </w:p>
    <w:p w:rsidRPr="00FC3977" w:rsidR="008A595A" w:rsidP="008A595A" w:rsidRDefault="008A595A" w14:paraId="6EFF8FD4" w14:textId="77777777">
      <w:pPr>
        <w:autoSpaceDE w:val="0"/>
        <w:autoSpaceDN w:val="0"/>
        <w:adjustRightInd w:val="0"/>
        <w:spacing w:after="0"/>
        <w:ind w:firstLine="708"/>
        <w:rPr>
          <w:rFonts w:ascii="Times New Roman" w:hAnsi="Times New Roman" w:eastAsia="Calibri" w:cs="Times New Roman"/>
          <w:color w:val="000000"/>
          <w:sz w:val="24"/>
          <w:szCs w:val="24"/>
        </w:rPr>
      </w:pPr>
      <w:r w:rsidRPr="00FC3977">
        <w:rPr>
          <w:rFonts w:ascii="Times New Roman" w:hAnsi="Times New Roman" w:eastAsia="Calibri" w:cs="Times New Roman"/>
          <w:color w:val="000000"/>
          <w:sz w:val="24"/>
          <w:szCs w:val="24"/>
        </w:rPr>
        <w:tab/>
        <w:t xml:space="preserve">Vastgesteld </w:t>
      </w:r>
      <w:r w:rsidRPr="00FC3977">
        <w:rPr>
          <w:rFonts w:ascii="Times New Roman" w:hAnsi="Times New Roman" w:cs="Times New Roman"/>
          <w:sz w:val="24"/>
          <w:szCs w:val="24"/>
        </w:rPr>
        <w:t>14 januari 2026</w:t>
      </w:r>
    </w:p>
    <w:p w:rsidRPr="00FC3977" w:rsidR="008A595A" w:rsidP="008A595A" w:rsidRDefault="008A595A" w14:paraId="5D3DAE67" w14:textId="77777777">
      <w:pPr>
        <w:autoSpaceDE w:val="0"/>
        <w:autoSpaceDN w:val="0"/>
        <w:adjustRightInd w:val="0"/>
        <w:spacing w:after="0"/>
        <w:rPr>
          <w:rFonts w:ascii="Times New Roman" w:hAnsi="Times New Roman" w:eastAsia="Calibri" w:cs="Times New Roman"/>
          <w:color w:val="000000"/>
          <w:sz w:val="24"/>
          <w:szCs w:val="24"/>
        </w:rPr>
      </w:pPr>
    </w:p>
    <w:p w:rsidRPr="00FC3977" w:rsidR="008A595A" w:rsidP="008A595A" w:rsidRDefault="008A595A" w14:paraId="22587EF6" w14:textId="77777777">
      <w:pPr>
        <w:autoSpaceDE w:val="0"/>
        <w:autoSpaceDN w:val="0"/>
        <w:adjustRightInd w:val="0"/>
        <w:spacing w:after="0"/>
        <w:rPr>
          <w:rFonts w:ascii="Times New Roman" w:hAnsi="Times New Roman" w:eastAsia="Calibri" w:cs="Times New Roman"/>
          <w:color w:val="000000"/>
          <w:sz w:val="24"/>
          <w:szCs w:val="24"/>
        </w:rPr>
      </w:pPr>
      <w:r w:rsidRPr="00FC3977">
        <w:rPr>
          <w:rFonts w:ascii="Times New Roman" w:hAnsi="Times New Roman" w:eastAsia="Calibri" w:cs="Times New Roman"/>
          <w:color w:val="000000"/>
          <w:sz w:val="24"/>
          <w:szCs w:val="24"/>
        </w:rPr>
        <w:t>De</w:t>
      </w:r>
      <w:r w:rsidRPr="00FC3977">
        <w:rPr>
          <w:rFonts w:ascii="Times New Roman" w:hAnsi="Times New Roman" w:cs="Times New Roman"/>
          <w:sz w:val="24"/>
          <w:szCs w:val="24"/>
        </w:rPr>
        <w:t xml:space="preserve"> vaste </w:t>
      </w:r>
      <w:r w:rsidRPr="00FC3977">
        <w:rPr>
          <w:rFonts w:ascii="Times New Roman" w:hAnsi="Times New Roman" w:eastAsia="Calibri" w:cs="Times New Roman"/>
          <w:color w:val="000000"/>
          <w:sz w:val="24"/>
          <w:szCs w:val="24"/>
        </w:rPr>
        <w:t>commissie voor</w:t>
      </w:r>
      <w:r w:rsidRPr="00FC3977">
        <w:rPr>
          <w:rFonts w:ascii="Times New Roman" w:hAnsi="Times New Roman" w:cs="Times New Roman"/>
          <w:sz w:val="24"/>
          <w:szCs w:val="24"/>
        </w:rPr>
        <w:t xml:space="preserve"> Digitale Zaken,</w:t>
      </w:r>
      <w:r w:rsidRPr="00FC3977">
        <w:rPr>
          <w:rFonts w:ascii="Times New Roman" w:hAnsi="Times New Roman" w:eastAsia="Calibri" w:cs="Times New Roman"/>
          <w:color w:val="000000"/>
          <w:sz w:val="24"/>
          <w:szCs w:val="24"/>
        </w:rPr>
        <w:t xml:space="preserve"> belast met het voorbereidend onderzoek van dit voorstel van wet, heeft de eer verslag uit te brengen in de vorm van een lijst van vragen met de daarop gegeven</w:t>
      </w:r>
      <w:r w:rsidRPr="00FC3977">
        <w:rPr>
          <w:rFonts w:ascii="Times New Roman" w:hAnsi="Times New Roman" w:cs="Times New Roman"/>
          <w:sz w:val="24"/>
          <w:szCs w:val="24"/>
        </w:rPr>
        <w:t xml:space="preserve"> antwoorden</w:t>
      </w:r>
      <w:r w:rsidRPr="00FC3977">
        <w:rPr>
          <w:rFonts w:ascii="Times New Roman" w:hAnsi="Times New Roman" w:eastAsia="Calibri" w:cs="Times New Roman"/>
          <w:color w:val="000000"/>
          <w:sz w:val="24"/>
          <w:szCs w:val="24"/>
        </w:rPr>
        <w:t xml:space="preserve">. </w:t>
      </w:r>
    </w:p>
    <w:p w:rsidRPr="00FC3977" w:rsidR="008A595A" w:rsidP="008A595A" w:rsidRDefault="008A595A" w14:paraId="380B592B" w14:textId="77777777">
      <w:pPr>
        <w:autoSpaceDE w:val="0"/>
        <w:autoSpaceDN w:val="0"/>
        <w:adjustRightInd w:val="0"/>
        <w:spacing w:after="0"/>
        <w:rPr>
          <w:rFonts w:ascii="Times New Roman" w:hAnsi="Times New Roman" w:eastAsia="Calibri" w:cs="Times New Roman"/>
          <w:color w:val="000000"/>
          <w:sz w:val="24"/>
          <w:szCs w:val="24"/>
        </w:rPr>
      </w:pPr>
    </w:p>
    <w:p w:rsidRPr="00FC3977" w:rsidR="008A595A" w:rsidP="008A595A" w:rsidRDefault="008A595A" w14:paraId="26688A22" w14:textId="77777777">
      <w:pPr>
        <w:autoSpaceDE w:val="0"/>
        <w:autoSpaceDN w:val="0"/>
        <w:adjustRightInd w:val="0"/>
        <w:spacing w:after="0"/>
        <w:rPr>
          <w:rFonts w:ascii="Times New Roman" w:hAnsi="Times New Roman" w:eastAsia="Calibri" w:cs="Times New Roman"/>
          <w:color w:val="000000"/>
          <w:sz w:val="24"/>
          <w:szCs w:val="24"/>
        </w:rPr>
      </w:pPr>
      <w:r w:rsidRPr="00FC3977">
        <w:rPr>
          <w:rFonts w:ascii="Times New Roman" w:hAnsi="Times New Roman" w:eastAsia="Calibri" w:cs="Times New Roman"/>
          <w:color w:val="000000"/>
          <w:sz w:val="24"/>
          <w:szCs w:val="24"/>
        </w:rPr>
        <w:t xml:space="preserve">De </w:t>
      </w:r>
      <w:r w:rsidRPr="00FC3977">
        <w:rPr>
          <w:rFonts w:ascii="Times New Roman" w:hAnsi="Times New Roman" w:cs="Times New Roman"/>
          <w:sz w:val="24"/>
          <w:szCs w:val="24"/>
        </w:rPr>
        <w:t>vragen</w:t>
      </w:r>
      <w:r w:rsidRPr="00FC3977">
        <w:rPr>
          <w:rFonts w:ascii="Times New Roman" w:hAnsi="Times New Roman" w:eastAsia="Calibri" w:cs="Times New Roman"/>
          <w:color w:val="000000"/>
          <w:sz w:val="24"/>
          <w:szCs w:val="24"/>
        </w:rPr>
        <w:t xml:space="preserve"> </w:t>
      </w:r>
      <w:r w:rsidRPr="00FC3977">
        <w:rPr>
          <w:rFonts w:ascii="Times New Roman" w:hAnsi="Times New Roman" w:cs="Times New Roman"/>
          <w:sz w:val="24"/>
          <w:szCs w:val="24"/>
        </w:rPr>
        <w:t>zijn</w:t>
      </w:r>
      <w:r w:rsidRPr="00FC3977">
        <w:rPr>
          <w:rFonts w:ascii="Times New Roman" w:hAnsi="Times New Roman" w:eastAsia="Calibri" w:cs="Times New Roman"/>
          <w:color w:val="000000"/>
          <w:sz w:val="24"/>
          <w:szCs w:val="24"/>
        </w:rPr>
        <w:t xml:space="preserve"> op </w:t>
      </w:r>
      <w:r w:rsidRPr="00FC3977">
        <w:rPr>
          <w:rFonts w:ascii="Times New Roman" w:hAnsi="Times New Roman" w:cs="Times New Roman"/>
          <w:sz w:val="24"/>
          <w:szCs w:val="24"/>
        </w:rPr>
        <w:t xml:space="preserve">8 december 2025 </w:t>
      </w:r>
      <w:r w:rsidRPr="00FC3977">
        <w:rPr>
          <w:rFonts w:ascii="Times New Roman" w:hAnsi="Times New Roman" w:eastAsia="Calibri" w:cs="Times New Roman"/>
          <w:color w:val="000000"/>
          <w:sz w:val="24"/>
          <w:szCs w:val="24"/>
        </w:rPr>
        <w:t>voorgelegd aan de minister van</w:t>
      </w:r>
      <w:r w:rsidRPr="00FC3977">
        <w:rPr>
          <w:rFonts w:ascii="Times New Roman" w:hAnsi="Times New Roman" w:cs="Times New Roman"/>
          <w:sz w:val="24"/>
          <w:szCs w:val="24"/>
        </w:rPr>
        <w:t xml:space="preserve"> Economische Zaken</w:t>
      </w:r>
      <w:r w:rsidRPr="00FC3977">
        <w:rPr>
          <w:rFonts w:ascii="Times New Roman" w:hAnsi="Times New Roman" w:eastAsia="Calibri" w:cs="Times New Roman"/>
          <w:color w:val="000000"/>
          <w:sz w:val="24"/>
          <w:szCs w:val="24"/>
        </w:rPr>
        <w:t>. Bij brief van</w:t>
      </w:r>
      <w:r w:rsidRPr="00FC3977">
        <w:rPr>
          <w:rFonts w:ascii="Times New Roman" w:hAnsi="Times New Roman" w:cs="Times New Roman"/>
          <w:sz w:val="24"/>
          <w:szCs w:val="24"/>
        </w:rPr>
        <w:t xml:space="preserve"> 11 december 2025 zijn </w:t>
      </w:r>
      <w:r w:rsidRPr="00FC3977">
        <w:rPr>
          <w:rFonts w:ascii="Times New Roman" w:hAnsi="Times New Roman" w:eastAsia="Calibri" w:cs="Times New Roman"/>
          <w:color w:val="000000"/>
          <w:sz w:val="24"/>
          <w:szCs w:val="24"/>
        </w:rPr>
        <w:t>ze door de minister van</w:t>
      </w:r>
      <w:r w:rsidRPr="00FC3977">
        <w:rPr>
          <w:rFonts w:ascii="Times New Roman" w:hAnsi="Times New Roman" w:cs="Times New Roman"/>
          <w:sz w:val="24"/>
          <w:szCs w:val="24"/>
        </w:rPr>
        <w:t xml:space="preserve"> Economische Zaken</w:t>
      </w:r>
      <w:r w:rsidRPr="00FC3977">
        <w:rPr>
          <w:rFonts w:ascii="Times New Roman" w:hAnsi="Times New Roman" w:eastAsia="Calibri" w:cs="Times New Roman"/>
          <w:color w:val="000000"/>
          <w:sz w:val="24"/>
          <w:szCs w:val="24"/>
        </w:rPr>
        <w:t xml:space="preserve"> beantwoord. </w:t>
      </w:r>
    </w:p>
    <w:p w:rsidRPr="00FC3977" w:rsidR="008A595A" w:rsidP="008A595A" w:rsidRDefault="008A595A" w14:paraId="13880715" w14:textId="77777777">
      <w:pPr>
        <w:autoSpaceDE w:val="0"/>
        <w:autoSpaceDN w:val="0"/>
        <w:adjustRightInd w:val="0"/>
        <w:spacing w:after="0"/>
        <w:rPr>
          <w:rFonts w:ascii="Times New Roman" w:hAnsi="Times New Roman" w:eastAsia="Calibri" w:cs="Times New Roman"/>
          <w:color w:val="000000"/>
          <w:sz w:val="24"/>
          <w:szCs w:val="24"/>
        </w:rPr>
      </w:pPr>
    </w:p>
    <w:p w:rsidRPr="00FC3977" w:rsidR="008A595A" w:rsidP="008A595A" w:rsidRDefault="008A595A" w14:paraId="6484641A" w14:textId="77777777">
      <w:pPr>
        <w:autoSpaceDE w:val="0"/>
        <w:autoSpaceDN w:val="0"/>
        <w:adjustRightInd w:val="0"/>
        <w:spacing w:after="0"/>
        <w:rPr>
          <w:rFonts w:ascii="Times New Roman" w:hAnsi="Times New Roman" w:eastAsia="Calibri" w:cs="Times New Roman"/>
          <w:color w:val="000000"/>
          <w:sz w:val="24"/>
          <w:szCs w:val="24"/>
        </w:rPr>
      </w:pPr>
      <w:r w:rsidRPr="00FC3977">
        <w:rPr>
          <w:rFonts w:ascii="Times New Roman" w:hAnsi="Times New Roman" w:eastAsia="Calibri" w:cs="Times New Roman"/>
          <w:color w:val="000000"/>
          <w:sz w:val="24"/>
          <w:szCs w:val="24"/>
        </w:rPr>
        <w:t xml:space="preserve">Met de vaststelling van het verslag acht de commissie de openbare behandeling van het wetsvoorstel voldoende voorbereid. </w:t>
      </w:r>
    </w:p>
    <w:p w:rsidRPr="00FC3977" w:rsidR="008A595A" w:rsidP="008A595A" w:rsidRDefault="008A595A" w14:paraId="4601317B" w14:textId="77777777">
      <w:pPr>
        <w:autoSpaceDE w:val="0"/>
        <w:autoSpaceDN w:val="0"/>
        <w:adjustRightInd w:val="0"/>
        <w:spacing w:after="0"/>
        <w:rPr>
          <w:rFonts w:ascii="Times New Roman" w:hAnsi="Times New Roman" w:eastAsia="Calibri" w:cs="Times New Roman"/>
          <w:color w:val="000000"/>
          <w:sz w:val="24"/>
          <w:szCs w:val="24"/>
        </w:rPr>
      </w:pPr>
    </w:p>
    <w:p w:rsidRPr="00FC3977" w:rsidR="008A595A" w:rsidP="008A595A" w:rsidRDefault="008A595A" w14:paraId="36D41513" w14:textId="77777777">
      <w:pPr>
        <w:autoSpaceDE w:val="0"/>
        <w:autoSpaceDN w:val="0"/>
        <w:adjustRightInd w:val="0"/>
        <w:spacing w:after="0"/>
        <w:rPr>
          <w:rFonts w:ascii="Times New Roman" w:hAnsi="Times New Roman" w:eastAsia="Calibri" w:cs="Times New Roman"/>
          <w:color w:val="000000"/>
          <w:sz w:val="24"/>
          <w:szCs w:val="24"/>
        </w:rPr>
      </w:pPr>
      <w:r w:rsidRPr="00FC3977">
        <w:rPr>
          <w:rFonts w:ascii="Times New Roman" w:hAnsi="Times New Roman" w:eastAsia="Calibri" w:cs="Times New Roman"/>
          <w:color w:val="000000"/>
          <w:sz w:val="24"/>
          <w:szCs w:val="24"/>
        </w:rPr>
        <w:t>De fungerend voorzitter van de commissie,</w:t>
      </w:r>
    </w:p>
    <w:p w:rsidRPr="00FC3977" w:rsidR="008A595A" w:rsidP="008A595A" w:rsidRDefault="008A595A" w14:paraId="01394822" w14:textId="77777777">
      <w:pPr>
        <w:autoSpaceDE w:val="0"/>
        <w:autoSpaceDN w:val="0"/>
        <w:adjustRightInd w:val="0"/>
        <w:spacing w:after="0"/>
        <w:rPr>
          <w:rFonts w:ascii="Times New Roman" w:hAnsi="Times New Roman" w:cs="Times New Roman"/>
          <w:sz w:val="24"/>
          <w:szCs w:val="24"/>
        </w:rPr>
      </w:pPr>
      <w:r w:rsidRPr="00FC3977">
        <w:rPr>
          <w:rFonts w:ascii="Times New Roman" w:hAnsi="Times New Roman" w:cs="Times New Roman"/>
          <w:sz w:val="24"/>
          <w:szCs w:val="24"/>
        </w:rPr>
        <w:t>Kathmann</w:t>
      </w:r>
    </w:p>
    <w:p w:rsidRPr="00FC3977" w:rsidR="008A595A" w:rsidP="008A595A" w:rsidRDefault="008A595A" w14:paraId="0D90E5BF" w14:textId="77777777">
      <w:pPr>
        <w:autoSpaceDE w:val="0"/>
        <w:autoSpaceDN w:val="0"/>
        <w:adjustRightInd w:val="0"/>
        <w:spacing w:after="0"/>
        <w:rPr>
          <w:rFonts w:ascii="Times New Roman" w:hAnsi="Times New Roman" w:eastAsia="Calibri" w:cs="Times New Roman"/>
          <w:color w:val="000000"/>
          <w:sz w:val="24"/>
          <w:szCs w:val="24"/>
        </w:rPr>
      </w:pPr>
    </w:p>
    <w:p w:rsidRPr="00FC3977" w:rsidR="008A595A" w:rsidP="008A595A" w:rsidRDefault="008A595A" w14:paraId="0ACA7601" w14:textId="77777777">
      <w:pPr>
        <w:autoSpaceDE w:val="0"/>
        <w:autoSpaceDN w:val="0"/>
        <w:adjustRightInd w:val="0"/>
        <w:spacing w:after="0"/>
        <w:rPr>
          <w:rFonts w:ascii="Times New Roman" w:hAnsi="Times New Roman" w:eastAsia="Calibri" w:cs="Times New Roman"/>
          <w:color w:val="000000"/>
          <w:sz w:val="24"/>
          <w:szCs w:val="24"/>
        </w:rPr>
      </w:pPr>
      <w:r w:rsidRPr="00FC3977">
        <w:rPr>
          <w:rFonts w:ascii="Times New Roman" w:hAnsi="Times New Roman" w:eastAsia="Calibri" w:cs="Times New Roman"/>
          <w:color w:val="000000"/>
          <w:sz w:val="24"/>
          <w:szCs w:val="24"/>
        </w:rPr>
        <w:t>Adjunct-griffier van de commissie,</w:t>
      </w:r>
    </w:p>
    <w:p w:rsidRPr="00FC3977" w:rsidR="008A595A" w:rsidP="008A595A" w:rsidRDefault="008A595A" w14:paraId="141DCA63" w14:textId="77777777">
      <w:pPr>
        <w:autoSpaceDE w:val="0"/>
        <w:autoSpaceDN w:val="0"/>
        <w:adjustRightInd w:val="0"/>
        <w:spacing w:after="0"/>
        <w:rPr>
          <w:rFonts w:ascii="Times New Roman" w:hAnsi="Times New Roman" w:eastAsia="Calibri" w:cs="Times New Roman"/>
          <w:color w:val="000000"/>
          <w:sz w:val="24"/>
          <w:szCs w:val="24"/>
        </w:rPr>
      </w:pPr>
      <w:r w:rsidRPr="00FC3977">
        <w:rPr>
          <w:rFonts w:ascii="Times New Roman" w:hAnsi="Times New Roman" w:cs="Times New Roman"/>
          <w:sz w:val="24"/>
          <w:szCs w:val="24"/>
        </w:rPr>
        <w:t>Muller</w:t>
      </w:r>
    </w:p>
    <w:p w:rsidRPr="00FC3977" w:rsidR="008A595A" w:rsidP="008A595A" w:rsidRDefault="008A595A" w14:paraId="55E9F4C5" w14:textId="77777777">
      <w:pPr>
        <w:rPr>
          <w:rFonts w:ascii="Times New Roman" w:hAnsi="Times New Roman" w:eastAsia="Calibri" w:cs="Times New Roman"/>
          <w:sz w:val="24"/>
          <w:szCs w:val="24"/>
        </w:rPr>
      </w:pPr>
    </w:p>
    <w:p w:rsidR="008A595A" w:rsidP="008A595A" w:rsidRDefault="008A595A" w14:paraId="0B5FFFA0" w14:textId="77777777">
      <w:pPr>
        <w:rPr>
          <w:rFonts w:ascii="Times New Roman" w:hAnsi="Times New Roman" w:cs="Times New Roman"/>
          <w:sz w:val="24"/>
          <w:szCs w:val="24"/>
        </w:rPr>
      </w:pPr>
    </w:p>
    <w:p w:rsidR="008A595A" w:rsidP="008A595A" w:rsidRDefault="008A595A" w14:paraId="3437C7CE" w14:textId="77777777">
      <w:pPr>
        <w:rPr>
          <w:rFonts w:ascii="Times New Roman" w:hAnsi="Times New Roman" w:cs="Times New Roman"/>
          <w:sz w:val="24"/>
          <w:szCs w:val="24"/>
        </w:rPr>
      </w:pPr>
    </w:p>
    <w:p w:rsidR="008A595A" w:rsidP="008A595A" w:rsidRDefault="008A595A" w14:paraId="1C0F2C8B" w14:textId="77777777">
      <w:pPr>
        <w:rPr>
          <w:rFonts w:ascii="Times New Roman" w:hAnsi="Times New Roman" w:cs="Times New Roman"/>
          <w:sz w:val="24"/>
          <w:szCs w:val="24"/>
        </w:rPr>
      </w:pPr>
    </w:p>
    <w:p w:rsidR="008A595A" w:rsidP="008A595A" w:rsidRDefault="008A595A" w14:paraId="0070B1E4" w14:textId="77777777">
      <w:pPr>
        <w:rPr>
          <w:rFonts w:ascii="Times New Roman" w:hAnsi="Times New Roman" w:cs="Times New Roman"/>
          <w:sz w:val="24"/>
          <w:szCs w:val="24"/>
        </w:rPr>
      </w:pPr>
    </w:p>
    <w:p w:rsidR="008A595A" w:rsidP="008A595A" w:rsidRDefault="008A595A" w14:paraId="0A12E2D3" w14:textId="77777777">
      <w:pPr>
        <w:rPr>
          <w:rFonts w:ascii="Times New Roman" w:hAnsi="Times New Roman" w:cs="Times New Roman"/>
          <w:sz w:val="24"/>
          <w:szCs w:val="24"/>
        </w:rPr>
      </w:pPr>
    </w:p>
    <w:p w:rsidR="008A595A" w:rsidP="008A595A" w:rsidRDefault="008A595A" w14:paraId="04D44D5F" w14:textId="77777777">
      <w:pPr>
        <w:rPr>
          <w:rFonts w:ascii="Times New Roman" w:hAnsi="Times New Roman" w:cs="Times New Roman"/>
          <w:sz w:val="24"/>
          <w:szCs w:val="24"/>
        </w:rPr>
      </w:pPr>
    </w:p>
    <w:p w:rsidR="008A595A" w:rsidP="008A595A" w:rsidRDefault="008A595A" w14:paraId="7026EAC0" w14:textId="77777777">
      <w:pPr>
        <w:rPr>
          <w:rFonts w:ascii="Times New Roman" w:hAnsi="Times New Roman" w:cs="Times New Roman"/>
          <w:sz w:val="24"/>
          <w:szCs w:val="24"/>
        </w:rPr>
      </w:pPr>
    </w:p>
    <w:p w:rsidR="008A595A" w:rsidP="008A595A" w:rsidRDefault="008A595A" w14:paraId="0842978D" w14:textId="77777777">
      <w:pPr>
        <w:rPr>
          <w:rFonts w:ascii="Times New Roman" w:hAnsi="Times New Roman" w:cs="Times New Roman"/>
          <w:sz w:val="24"/>
          <w:szCs w:val="24"/>
        </w:rPr>
      </w:pPr>
    </w:p>
    <w:p w:rsidR="008A595A" w:rsidP="008A595A" w:rsidRDefault="008A595A" w14:paraId="4BC40B27" w14:textId="77777777">
      <w:pPr>
        <w:rPr>
          <w:rFonts w:ascii="Times New Roman" w:hAnsi="Times New Roman" w:cs="Times New Roman"/>
          <w:sz w:val="24"/>
          <w:szCs w:val="24"/>
        </w:rPr>
      </w:pPr>
    </w:p>
    <w:p w:rsidR="008A595A" w:rsidP="008A595A" w:rsidRDefault="008A595A" w14:paraId="2896C5A3" w14:textId="77777777">
      <w:pPr>
        <w:rPr>
          <w:rFonts w:ascii="Times New Roman" w:hAnsi="Times New Roman" w:cs="Times New Roman"/>
          <w:sz w:val="24"/>
          <w:szCs w:val="24"/>
        </w:rPr>
      </w:pPr>
    </w:p>
    <w:p w:rsidRPr="00FC3977" w:rsidR="008A595A" w:rsidP="008A595A" w:rsidRDefault="008A595A" w14:paraId="26C7BBD9" w14:textId="77777777">
      <w:pPr>
        <w:rPr>
          <w:rFonts w:ascii="Times New Roman" w:hAnsi="Times New Roman" w:cs="Times New Roman"/>
          <w:sz w:val="24"/>
          <w:szCs w:val="24"/>
        </w:rPr>
      </w:pPr>
    </w:p>
    <w:p w:rsidR="008A595A" w:rsidP="008A595A" w:rsidRDefault="008A595A" w14:paraId="08B1F69A" w14:textId="77777777">
      <w:pPr>
        <w:spacing w:after="0" w:line="240" w:lineRule="atLeast"/>
        <w:rPr>
          <w:rFonts w:ascii="Times New Roman" w:hAnsi="Times New Roman" w:eastAsia="Times New Roman" w:cs="Times New Roman"/>
          <w:b/>
          <w:bCs/>
          <w:kern w:val="0"/>
          <w:sz w:val="24"/>
          <w:szCs w:val="24"/>
          <w:lang w:eastAsia="nl-NL"/>
          <w14:ligatures w14:val="none"/>
        </w:rPr>
      </w:pPr>
    </w:p>
    <w:p w:rsidR="008A595A" w:rsidP="008A595A" w:rsidRDefault="008A595A" w14:paraId="06E49313" w14:textId="77777777">
      <w:pPr>
        <w:spacing w:after="0" w:line="240" w:lineRule="atLeast"/>
        <w:rPr>
          <w:rFonts w:ascii="Times New Roman" w:hAnsi="Times New Roman" w:eastAsia="Times New Roman" w:cs="Times New Roman"/>
          <w:b/>
          <w:bCs/>
          <w:kern w:val="0"/>
          <w:sz w:val="24"/>
          <w:szCs w:val="24"/>
          <w:lang w:eastAsia="nl-NL"/>
          <w14:ligatures w14:val="none"/>
        </w:rPr>
      </w:pPr>
    </w:p>
    <w:p w:rsidRPr="008A595A" w:rsidR="008A595A" w:rsidP="008A595A" w:rsidRDefault="008A595A" w14:paraId="14471AEE" w14:textId="61BC1D03">
      <w:pPr>
        <w:spacing w:after="0" w:line="240" w:lineRule="atLeast"/>
        <w:rPr>
          <w:rFonts w:ascii="Times New Roman" w:hAnsi="Times New Roman" w:eastAsia="Times New Roman" w:cs="Times New Roman"/>
          <w:b/>
          <w:bCs/>
          <w:kern w:val="0"/>
          <w:sz w:val="24"/>
          <w:szCs w:val="24"/>
          <w:lang w:eastAsia="nl-NL"/>
          <w14:ligatures w14:val="none"/>
        </w:rPr>
      </w:pPr>
      <w:r w:rsidRPr="008A595A">
        <w:rPr>
          <w:rFonts w:ascii="Times New Roman" w:hAnsi="Times New Roman" w:eastAsia="Times New Roman" w:cs="Times New Roman"/>
          <w:b/>
          <w:bCs/>
          <w:kern w:val="0"/>
          <w:sz w:val="24"/>
          <w:szCs w:val="24"/>
          <w:lang w:eastAsia="nl-NL"/>
          <w14:ligatures w14:val="none"/>
        </w:rPr>
        <w:t>14</w:t>
      </w:r>
    </w:p>
    <w:p w:rsidRPr="008A595A" w:rsidR="008A595A" w:rsidP="008A595A" w:rsidRDefault="008A595A" w14:paraId="06E0CB5F" w14:textId="77777777">
      <w:pPr>
        <w:spacing w:after="0" w:line="240" w:lineRule="atLeast"/>
        <w:rPr>
          <w:rFonts w:ascii="Times New Roman" w:hAnsi="Times New Roman" w:eastAsia="Times New Roman" w:cs="Times New Roman"/>
          <w:bCs/>
          <w:kern w:val="0"/>
          <w:sz w:val="24"/>
          <w:szCs w:val="24"/>
          <w:lang w:eastAsia="nl-NL"/>
          <w14:ligatures w14:val="none"/>
        </w:rPr>
      </w:pPr>
      <w:r w:rsidRPr="008A595A">
        <w:rPr>
          <w:rFonts w:ascii="Times New Roman" w:hAnsi="Times New Roman" w:eastAsia="Times New Roman" w:cs="Times New Roman"/>
          <w:bCs/>
          <w:kern w:val="0"/>
          <w:sz w:val="24"/>
          <w:szCs w:val="24"/>
          <w:lang w:eastAsia="nl-NL"/>
          <w14:ligatures w14:val="none"/>
        </w:rPr>
        <w:t>Voor de voorbereiding van de AI-fabriek wordt €5,1 miljoen naar voren gehaald, terwijl het budget voor het Digital Trust Centre (DTC) met €3,375 miljoen wordt verlaagd. Waarom wordt de voortgang van de AI-fabriek versneld terwijl het budget voor digitale veiligheid voor bedrijven wordt verlaagd? Kunt u toelichten hoe deze balans tussen innovatie en digitale veiligheid wordt verantwoord?</w:t>
      </w:r>
    </w:p>
    <w:p w:rsidRPr="008A595A" w:rsidR="008A595A" w:rsidP="008A595A" w:rsidRDefault="008A595A" w14:paraId="78E6A3BF" w14:textId="77777777">
      <w:pPr>
        <w:spacing w:after="0" w:line="240" w:lineRule="atLeast"/>
        <w:rPr>
          <w:rFonts w:ascii="Times New Roman" w:hAnsi="Times New Roman" w:eastAsia="Times New Roman" w:cs="Times New Roman"/>
          <w:kern w:val="0"/>
          <w:sz w:val="24"/>
          <w:szCs w:val="24"/>
          <w:lang w:eastAsia="nl-NL"/>
          <w14:ligatures w14:val="none"/>
        </w:rPr>
      </w:pPr>
    </w:p>
    <w:p w:rsidRPr="008A595A" w:rsidR="008A595A" w:rsidP="008A595A" w:rsidRDefault="008A595A" w14:paraId="4324C4FB" w14:textId="77777777">
      <w:pPr>
        <w:spacing w:after="0" w:line="240" w:lineRule="atLeast"/>
        <w:rPr>
          <w:rFonts w:ascii="Times New Roman" w:hAnsi="Times New Roman" w:eastAsia="Times New Roman" w:cs="Times New Roman"/>
          <w:b/>
          <w:bCs/>
          <w:kern w:val="0"/>
          <w:sz w:val="24"/>
          <w:szCs w:val="24"/>
          <w:lang w:eastAsia="nl-NL"/>
          <w14:ligatures w14:val="none"/>
        </w:rPr>
      </w:pPr>
      <w:r w:rsidRPr="008A595A">
        <w:rPr>
          <w:rFonts w:ascii="Times New Roman" w:hAnsi="Times New Roman" w:eastAsia="Times New Roman" w:cs="Times New Roman"/>
          <w:b/>
          <w:bCs/>
          <w:kern w:val="0"/>
          <w:sz w:val="24"/>
          <w:szCs w:val="24"/>
          <w:lang w:eastAsia="nl-NL"/>
          <w14:ligatures w14:val="none"/>
        </w:rPr>
        <w:t>Antwoord</w:t>
      </w:r>
    </w:p>
    <w:p w:rsidRPr="008A595A" w:rsidR="008A595A" w:rsidP="008A595A" w:rsidRDefault="008A595A" w14:paraId="74A5AEEA" w14:textId="77777777">
      <w:pPr>
        <w:spacing w:after="0" w:line="240" w:lineRule="atLeast"/>
        <w:rPr>
          <w:rFonts w:ascii="Times New Roman" w:hAnsi="Times New Roman" w:eastAsia="Times New Roman" w:cs="Times New Roman"/>
          <w:kern w:val="0"/>
          <w:sz w:val="24"/>
          <w:szCs w:val="24"/>
          <w:lang w:eastAsia="nl-NL"/>
          <w14:ligatures w14:val="none"/>
        </w:rPr>
      </w:pPr>
      <w:r w:rsidRPr="008A595A">
        <w:rPr>
          <w:rFonts w:ascii="Times New Roman" w:hAnsi="Times New Roman" w:eastAsia="Times New Roman" w:cs="Times New Roman"/>
          <w:kern w:val="0"/>
          <w:sz w:val="24"/>
          <w:szCs w:val="24"/>
          <w:lang w:eastAsia="nl-NL"/>
          <w14:ligatures w14:val="none"/>
        </w:rPr>
        <w:t>Het budget voor het Digital Trust Center (DTC) is niet verlaagd. Het bedrag van € 3,375 miljoen betreft een overheveling van middelen naar verschillende organisatieonderdelen. Onder andere naar RVO ten behoeve van de financiering van de subsidie Mijn Cyberweerbare Zaak, naar DICTU ten behoeve van de doorontwikkeling van de DTC-website en kosten voor het DTC-personeel. Voor de AI-fabriek is € 5,1 miljoen eind 2025 beschikbaar gesteld. Daarmee kunnen gemaakte kosten in 2025 worden gedekt en is startbudget beschikbaar voor activiteiten begin 2026.</w:t>
      </w:r>
    </w:p>
    <w:p w:rsidRPr="008A595A" w:rsidR="008A595A" w:rsidP="008A595A" w:rsidRDefault="008A595A" w14:paraId="13345021" w14:textId="77777777">
      <w:pPr>
        <w:spacing w:after="0" w:line="240" w:lineRule="atLeast"/>
        <w:rPr>
          <w:rFonts w:ascii="Times New Roman" w:hAnsi="Times New Roman" w:eastAsia="Times New Roman" w:cs="Times New Roman"/>
          <w:kern w:val="0"/>
          <w:sz w:val="24"/>
          <w:szCs w:val="24"/>
          <w:lang w:eastAsia="nl-NL"/>
          <w14:ligatures w14:val="none"/>
        </w:rPr>
      </w:pPr>
    </w:p>
    <w:p w:rsidRPr="008A595A" w:rsidR="008A595A" w:rsidP="008A595A" w:rsidRDefault="008A595A" w14:paraId="58F2C50C" w14:textId="77777777">
      <w:pPr>
        <w:spacing w:after="0" w:line="240" w:lineRule="atLeast"/>
        <w:rPr>
          <w:rFonts w:ascii="Times New Roman" w:hAnsi="Times New Roman" w:eastAsia="Times New Roman" w:cs="Times New Roman"/>
          <w:b/>
          <w:bCs/>
          <w:kern w:val="0"/>
          <w:sz w:val="24"/>
          <w:szCs w:val="24"/>
          <w:lang w:eastAsia="nl-NL"/>
          <w14:ligatures w14:val="none"/>
        </w:rPr>
      </w:pPr>
      <w:r w:rsidRPr="008A595A">
        <w:rPr>
          <w:rFonts w:ascii="Times New Roman" w:hAnsi="Times New Roman" w:eastAsia="Times New Roman" w:cs="Times New Roman"/>
          <w:b/>
          <w:bCs/>
          <w:kern w:val="0"/>
          <w:sz w:val="24"/>
          <w:szCs w:val="24"/>
          <w:lang w:eastAsia="nl-NL"/>
          <w14:ligatures w14:val="none"/>
        </w:rPr>
        <w:t>15</w:t>
      </w:r>
    </w:p>
    <w:p w:rsidRPr="008A595A" w:rsidR="008A595A" w:rsidP="008A595A" w:rsidRDefault="008A595A" w14:paraId="747E4D00" w14:textId="77777777">
      <w:pPr>
        <w:spacing w:after="0" w:line="240" w:lineRule="atLeast"/>
        <w:rPr>
          <w:rFonts w:ascii="Times New Roman" w:hAnsi="Times New Roman" w:eastAsia="Times New Roman" w:cs="Times New Roman"/>
          <w:bCs/>
          <w:kern w:val="0"/>
          <w:sz w:val="24"/>
          <w:szCs w:val="24"/>
          <w:lang w:eastAsia="nl-NL"/>
          <w14:ligatures w14:val="none"/>
        </w:rPr>
      </w:pPr>
      <w:r w:rsidRPr="008A595A">
        <w:rPr>
          <w:rFonts w:ascii="Times New Roman" w:hAnsi="Times New Roman" w:eastAsia="Times New Roman" w:cs="Times New Roman"/>
          <w:bCs/>
          <w:kern w:val="0"/>
          <w:sz w:val="24"/>
          <w:szCs w:val="24"/>
          <w:lang w:eastAsia="nl-NL"/>
          <w14:ligatures w14:val="none"/>
        </w:rPr>
        <w:t xml:space="preserve">Grote NGF-projecten zoals NXTGEN High Tech (€ 25 miljoen) en </w:t>
      </w:r>
      <w:proofErr w:type="spellStart"/>
      <w:r w:rsidRPr="008A595A">
        <w:rPr>
          <w:rFonts w:ascii="Times New Roman" w:hAnsi="Times New Roman" w:eastAsia="Times New Roman" w:cs="Times New Roman"/>
          <w:bCs/>
          <w:kern w:val="0"/>
          <w:sz w:val="24"/>
          <w:szCs w:val="24"/>
          <w:lang w:eastAsia="nl-NL"/>
          <w14:ligatures w14:val="none"/>
        </w:rPr>
        <w:t>PhotonDelta</w:t>
      </w:r>
      <w:proofErr w:type="spellEnd"/>
      <w:r w:rsidRPr="008A595A">
        <w:rPr>
          <w:rFonts w:ascii="Times New Roman" w:hAnsi="Times New Roman" w:eastAsia="Times New Roman" w:cs="Times New Roman"/>
          <w:bCs/>
          <w:kern w:val="0"/>
          <w:sz w:val="24"/>
          <w:szCs w:val="24"/>
          <w:lang w:eastAsia="nl-NL"/>
          <w14:ligatures w14:val="none"/>
        </w:rPr>
        <w:t xml:space="preserve"> (€ 21 miljoen) krijgen in 2025 hogere kasuitgaven dan eerder gepland. Hoe wordt gegarandeerd dat deze versnelde uitgaven niet leiden tot overhaaste of inefficiënte besteding van middelen? Op welke manier wordt gevolgd dat deze projecten ook daadwerkelijk een brede economische impuls geven aan het mkb in heel Nederland?</w:t>
      </w:r>
    </w:p>
    <w:p w:rsidRPr="008A595A" w:rsidR="008A595A" w:rsidP="008A595A" w:rsidRDefault="008A595A" w14:paraId="2C5CEB91" w14:textId="77777777">
      <w:pPr>
        <w:spacing w:after="0" w:line="240" w:lineRule="atLeast"/>
        <w:rPr>
          <w:rFonts w:ascii="Times New Roman" w:hAnsi="Times New Roman" w:eastAsia="Times New Roman" w:cs="Times New Roman"/>
          <w:kern w:val="0"/>
          <w:sz w:val="24"/>
          <w:szCs w:val="24"/>
          <w:lang w:eastAsia="nl-NL"/>
          <w14:ligatures w14:val="none"/>
        </w:rPr>
      </w:pPr>
    </w:p>
    <w:p w:rsidRPr="008A595A" w:rsidR="008A595A" w:rsidP="008A595A" w:rsidRDefault="008A595A" w14:paraId="03C5E92E" w14:textId="77777777">
      <w:pPr>
        <w:spacing w:after="0" w:line="240" w:lineRule="atLeast"/>
        <w:rPr>
          <w:rFonts w:ascii="Times New Roman" w:hAnsi="Times New Roman" w:eastAsia="Times New Roman" w:cs="Times New Roman"/>
          <w:b/>
          <w:bCs/>
          <w:kern w:val="0"/>
          <w:sz w:val="24"/>
          <w:szCs w:val="24"/>
          <w:lang w:eastAsia="nl-NL"/>
          <w14:ligatures w14:val="none"/>
        </w:rPr>
      </w:pPr>
      <w:r w:rsidRPr="008A595A">
        <w:rPr>
          <w:rFonts w:ascii="Times New Roman" w:hAnsi="Times New Roman" w:eastAsia="Times New Roman" w:cs="Times New Roman"/>
          <w:b/>
          <w:bCs/>
          <w:kern w:val="0"/>
          <w:sz w:val="24"/>
          <w:szCs w:val="24"/>
          <w:lang w:eastAsia="nl-NL"/>
          <w14:ligatures w14:val="none"/>
        </w:rPr>
        <w:t>Antwoord</w:t>
      </w:r>
    </w:p>
    <w:p w:rsidRPr="008A595A" w:rsidR="008A595A" w:rsidP="008A595A" w:rsidRDefault="008A595A" w14:paraId="5A8F3278" w14:textId="77777777">
      <w:pPr>
        <w:spacing w:after="0" w:line="240" w:lineRule="atLeast"/>
        <w:rPr>
          <w:rFonts w:ascii="Times New Roman" w:hAnsi="Times New Roman" w:eastAsia="Times New Roman" w:cs="Times New Roman"/>
          <w:bCs/>
          <w:kern w:val="0"/>
          <w:sz w:val="24"/>
          <w:szCs w:val="24"/>
          <w:lang w:eastAsia="nl-NL"/>
          <w14:ligatures w14:val="none"/>
        </w:rPr>
      </w:pPr>
      <w:r w:rsidRPr="008A595A">
        <w:rPr>
          <w:rFonts w:ascii="Times New Roman" w:hAnsi="Times New Roman" w:eastAsia="Times New Roman" w:cs="Times New Roman"/>
          <w:bCs/>
          <w:kern w:val="0"/>
          <w:sz w:val="24"/>
          <w:szCs w:val="24"/>
          <w:lang w:eastAsia="nl-NL"/>
          <w14:ligatures w14:val="none"/>
        </w:rPr>
        <w:t xml:space="preserve">Voor de NGF-projecten NXTGEN en </w:t>
      </w:r>
      <w:proofErr w:type="spellStart"/>
      <w:r w:rsidRPr="008A595A">
        <w:rPr>
          <w:rFonts w:ascii="Times New Roman" w:hAnsi="Times New Roman" w:eastAsia="Times New Roman" w:cs="Times New Roman"/>
          <w:bCs/>
          <w:kern w:val="0"/>
          <w:sz w:val="24"/>
          <w:szCs w:val="24"/>
          <w:lang w:eastAsia="nl-NL"/>
          <w14:ligatures w14:val="none"/>
        </w:rPr>
        <w:t>PhontonDelta</w:t>
      </w:r>
      <w:proofErr w:type="spellEnd"/>
      <w:r w:rsidRPr="008A595A">
        <w:rPr>
          <w:rFonts w:ascii="Times New Roman" w:hAnsi="Times New Roman" w:eastAsia="Times New Roman" w:cs="Times New Roman"/>
          <w:bCs/>
          <w:kern w:val="0"/>
          <w:sz w:val="24"/>
          <w:szCs w:val="24"/>
          <w:lang w:eastAsia="nl-NL"/>
          <w14:ligatures w14:val="none"/>
        </w:rPr>
        <w:t xml:space="preserve"> is eerder in 2025 kasbudget doorgeschoven ten behoeve van een realistische raming (scherper aan de wind varen) om zo </w:t>
      </w:r>
      <w:proofErr w:type="spellStart"/>
      <w:r w:rsidRPr="008A595A">
        <w:rPr>
          <w:rFonts w:ascii="Times New Roman" w:hAnsi="Times New Roman" w:eastAsia="Times New Roman" w:cs="Times New Roman"/>
          <w:bCs/>
          <w:kern w:val="0"/>
          <w:sz w:val="24"/>
          <w:szCs w:val="24"/>
          <w:lang w:eastAsia="nl-NL"/>
          <w14:ligatures w14:val="none"/>
        </w:rPr>
        <w:t>onderuitputting</w:t>
      </w:r>
      <w:proofErr w:type="spellEnd"/>
      <w:r w:rsidRPr="008A595A">
        <w:rPr>
          <w:rFonts w:ascii="Times New Roman" w:hAnsi="Times New Roman" w:eastAsia="Times New Roman" w:cs="Times New Roman"/>
          <w:bCs/>
          <w:kern w:val="0"/>
          <w:sz w:val="24"/>
          <w:szCs w:val="24"/>
          <w:lang w:eastAsia="nl-NL"/>
          <w14:ligatures w14:val="none"/>
        </w:rPr>
        <w:t>, zoals in eerdere jaren voorkwam, te minimaliseren. Hierbij is de afspraak gemaakt dat wanneer de uitvoeringsinformatie hiertoe reden geeft deze budgetten teruggeschoven konden worden om te voorkomen dat de uitvoering vertraagd. Dat is in dit geval gebeurd waarbij de uitvoeringsinformatie aanleiding gaf om voor beide projecten kasbudget naar 2025 terug te schuiven.</w:t>
      </w:r>
    </w:p>
    <w:p w:rsidRPr="008A595A" w:rsidR="008A595A" w:rsidP="008A595A" w:rsidRDefault="008A595A" w14:paraId="42901E9A" w14:textId="77777777">
      <w:pPr>
        <w:spacing w:after="0" w:line="240" w:lineRule="atLeast"/>
        <w:rPr>
          <w:rFonts w:ascii="Times New Roman" w:hAnsi="Times New Roman" w:eastAsia="Times New Roman" w:cs="Times New Roman"/>
          <w:bCs/>
          <w:kern w:val="0"/>
          <w:sz w:val="24"/>
          <w:szCs w:val="24"/>
          <w:lang w:eastAsia="nl-NL"/>
          <w14:ligatures w14:val="none"/>
        </w:rPr>
      </w:pPr>
      <w:r w:rsidRPr="008A595A">
        <w:rPr>
          <w:rFonts w:ascii="Times New Roman" w:hAnsi="Times New Roman" w:eastAsia="Times New Roman" w:cs="Times New Roman"/>
          <w:bCs/>
          <w:kern w:val="0"/>
          <w:sz w:val="24"/>
          <w:szCs w:val="24"/>
          <w:lang w:eastAsia="nl-NL"/>
          <w14:ligatures w14:val="none"/>
        </w:rPr>
        <w:t xml:space="preserve"> </w:t>
      </w:r>
    </w:p>
    <w:p w:rsidRPr="008A595A" w:rsidR="008A595A" w:rsidP="008A595A" w:rsidRDefault="008A595A" w14:paraId="2DF2E133" w14:textId="77777777">
      <w:pPr>
        <w:spacing w:after="0" w:line="240" w:lineRule="atLeast"/>
        <w:rPr>
          <w:rFonts w:ascii="Times New Roman" w:hAnsi="Times New Roman" w:eastAsia="Times New Roman" w:cs="Times New Roman"/>
          <w:bCs/>
          <w:kern w:val="0"/>
          <w:sz w:val="24"/>
          <w:szCs w:val="24"/>
          <w:lang w:eastAsia="nl-NL"/>
          <w14:ligatures w14:val="none"/>
        </w:rPr>
      </w:pPr>
      <w:r w:rsidRPr="008A595A">
        <w:rPr>
          <w:rFonts w:ascii="Times New Roman" w:hAnsi="Times New Roman" w:eastAsia="Times New Roman" w:cs="Times New Roman"/>
          <w:bCs/>
          <w:kern w:val="0"/>
          <w:sz w:val="24"/>
          <w:szCs w:val="24"/>
          <w:lang w:eastAsia="nl-NL"/>
          <w14:ligatures w14:val="none"/>
        </w:rPr>
        <w:t xml:space="preserve">Voor alle NGF-projecten, inclusief </w:t>
      </w:r>
      <w:proofErr w:type="spellStart"/>
      <w:r w:rsidRPr="008A595A">
        <w:rPr>
          <w:rFonts w:ascii="Times New Roman" w:hAnsi="Times New Roman" w:eastAsia="Times New Roman" w:cs="Times New Roman"/>
          <w:bCs/>
          <w:kern w:val="0"/>
          <w:sz w:val="24"/>
          <w:szCs w:val="24"/>
          <w:lang w:eastAsia="nl-NL"/>
          <w14:ligatures w14:val="none"/>
        </w:rPr>
        <w:t>PhotonDelta</w:t>
      </w:r>
      <w:proofErr w:type="spellEnd"/>
      <w:r w:rsidRPr="008A595A">
        <w:rPr>
          <w:rFonts w:ascii="Times New Roman" w:hAnsi="Times New Roman" w:eastAsia="Times New Roman" w:cs="Times New Roman"/>
          <w:bCs/>
          <w:kern w:val="0"/>
          <w:sz w:val="24"/>
          <w:szCs w:val="24"/>
          <w:lang w:eastAsia="nl-NL"/>
          <w14:ligatures w14:val="none"/>
        </w:rPr>
        <w:t xml:space="preserve"> en NXTGEN Hightech, worden gegevens over de eindbegunstigden jaarlijks uitgevraagd. Op basis daarvan is zichtbaar dat de betrokkenheid van het mkb in beide projecten substantieel is. Op 31 december 2024 was binnen </w:t>
      </w:r>
      <w:proofErr w:type="spellStart"/>
      <w:r w:rsidRPr="008A595A">
        <w:rPr>
          <w:rFonts w:ascii="Times New Roman" w:hAnsi="Times New Roman" w:eastAsia="Times New Roman" w:cs="Times New Roman"/>
          <w:bCs/>
          <w:kern w:val="0"/>
          <w:sz w:val="24"/>
          <w:szCs w:val="24"/>
          <w:lang w:eastAsia="nl-NL"/>
          <w14:ligatures w14:val="none"/>
        </w:rPr>
        <w:t>PhotonDelta</w:t>
      </w:r>
      <w:proofErr w:type="spellEnd"/>
      <w:r w:rsidRPr="008A595A">
        <w:rPr>
          <w:rFonts w:ascii="Times New Roman" w:hAnsi="Times New Roman" w:eastAsia="Times New Roman" w:cs="Times New Roman"/>
          <w:bCs/>
          <w:kern w:val="0"/>
          <w:sz w:val="24"/>
          <w:szCs w:val="24"/>
          <w:lang w:eastAsia="nl-NL"/>
          <w14:ligatures w14:val="none"/>
        </w:rPr>
        <w:t xml:space="preserve"> circa € 83,5 miljoen aan mkb-bedrijven toegekend, waarvoor deze bedrijven gezamenlijk bijna € 62 miljoen aan eigen bijdrage hebben toegezegd. Bij NXTGEN Hightech is circa € 173,4 miljoen aan mkb-bedrijven toegekend, met een toegezegde eigen bijdrage van € 166,5 miljoen. Deze cijfers laten zien dat mkb-bedrijven intensief deelnemen en zelf fors co-investeren.</w:t>
      </w:r>
    </w:p>
    <w:p w:rsidRPr="008A595A" w:rsidR="008A595A" w:rsidP="008A595A" w:rsidRDefault="008A595A" w14:paraId="59B6208A" w14:textId="77777777">
      <w:pPr>
        <w:spacing w:after="0" w:line="240" w:lineRule="atLeast"/>
        <w:rPr>
          <w:rFonts w:ascii="Times New Roman" w:hAnsi="Times New Roman" w:eastAsia="Times New Roman" w:cs="Times New Roman"/>
          <w:bCs/>
          <w:kern w:val="0"/>
          <w:sz w:val="24"/>
          <w:szCs w:val="24"/>
          <w:lang w:eastAsia="nl-NL"/>
          <w14:ligatures w14:val="none"/>
        </w:rPr>
      </w:pPr>
      <w:r w:rsidRPr="008A595A">
        <w:rPr>
          <w:rFonts w:ascii="Times New Roman" w:hAnsi="Times New Roman" w:eastAsia="Times New Roman" w:cs="Times New Roman"/>
          <w:bCs/>
          <w:kern w:val="0"/>
          <w:sz w:val="24"/>
          <w:szCs w:val="24"/>
          <w:lang w:eastAsia="nl-NL"/>
          <w14:ligatures w14:val="none"/>
        </w:rPr>
        <w:t xml:space="preserve"> </w:t>
      </w:r>
    </w:p>
    <w:p w:rsidRPr="008A595A" w:rsidR="008A595A" w:rsidP="008A595A" w:rsidRDefault="008A595A" w14:paraId="3B0B451F" w14:textId="77777777">
      <w:pPr>
        <w:spacing w:after="0" w:line="240" w:lineRule="atLeast"/>
        <w:rPr>
          <w:rFonts w:ascii="Times New Roman" w:hAnsi="Times New Roman" w:eastAsia="Times New Roman" w:cs="Times New Roman"/>
          <w:bCs/>
          <w:kern w:val="0"/>
          <w:sz w:val="24"/>
          <w:szCs w:val="24"/>
          <w:lang w:eastAsia="nl-NL"/>
          <w14:ligatures w14:val="none"/>
        </w:rPr>
      </w:pPr>
      <w:r w:rsidRPr="008A595A">
        <w:rPr>
          <w:rFonts w:ascii="Times New Roman" w:hAnsi="Times New Roman" w:eastAsia="Times New Roman" w:cs="Times New Roman"/>
          <w:bCs/>
          <w:kern w:val="0"/>
          <w:sz w:val="24"/>
          <w:szCs w:val="24"/>
          <w:lang w:eastAsia="nl-NL"/>
          <w14:ligatures w14:val="none"/>
        </w:rPr>
        <w:lastRenderedPageBreak/>
        <w:t xml:space="preserve">De voortgang en impact van NGF-projecten worden per project gemonitord aan de hand van de vooraf vastgestelde </w:t>
      </w:r>
      <w:proofErr w:type="spellStart"/>
      <w:r w:rsidRPr="008A595A">
        <w:rPr>
          <w:rFonts w:ascii="Times New Roman" w:hAnsi="Times New Roman" w:eastAsia="Times New Roman" w:cs="Times New Roman"/>
          <w:bCs/>
          <w:kern w:val="0"/>
          <w:sz w:val="24"/>
          <w:szCs w:val="24"/>
          <w:lang w:eastAsia="nl-NL"/>
          <w14:ligatures w14:val="none"/>
        </w:rPr>
        <w:t>KPI’s</w:t>
      </w:r>
      <w:proofErr w:type="spellEnd"/>
      <w:r w:rsidRPr="008A595A">
        <w:rPr>
          <w:rFonts w:ascii="Times New Roman" w:hAnsi="Times New Roman" w:eastAsia="Times New Roman" w:cs="Times New Roman"/>
          <w:bCs/>
          <w:kern w:val="0"/>
          <w:sz w:val="24"/>
          <w:szCs w:val="24"/>
          <w:lang w:eastAsia="nl-NL"/>
          <w14:ligatures w14:val="none"/>
        </w:rPr>
        <w:t xml:space="preserve"> en mijlpalen. </w:t>
      </w:r>
      <w:proofErr w:type="spellStart"/>
      <w:r w:rsidRPr="008A595A">
        <w:rPr>
          <w:rFonts w:ascii="Times New Roman" w:hAnsi="Times New Roman" w:eastAsia="Times New Roman" w:cs="Times New Roman"/>
          <w:bCs/>
          <w:kern w:val="0"/>
          <w:sz w:val="24"/>
          <w:szCs w:val="24"/>
          <w:lang w:eastAsia="nl-NL"/>
          <w14:ligatures w14:val="none"/>
        </w:rPr>
        <w:t>PhotonDelta</w:t>
      </w:r>
      <w:proofErr w:type="spellEnd"/>
      <w:r w:rsidRPr="008A595A">
        <w:rPr>
          <w:rFonts w:ascii="Times New Roman" w:hAnsi="Times New Roman" w:eastAsia="Times New Roman" w:cs="Times New Roman"/>
          <w:bCs/>
          <w:kern w:val="0"/>
          <w:sz w:val="24"/>
          <w:szCs w:val="24"/>
          <w:lang w:eastAsia="nl-NL"/>
          <w14:ligatures w14:val="none"/>
        </w:rPr>
        <w:t xml:space="preserve"> stuurt op een KPI die expliciet gericht is op het financieren van nieuwe mkb’ers en </w:t>
      </w:r>
      <w:proofErr w:type="spellStart"/>
      <w:r w:rsidRPr="008A595A">
        <w:rPr>
          <w:rFonts w:ascii="Times New Roman" w:hAnsi="Times New Roman" w:eastAsia="Times New Roman" w:cs="Times New Roman"/>
          <w:bCs/>
          <w:kern w:val="0"/>
          <w:sz w:val="24"/>
          <w:szCs w:val="24"/>
          <w:lang w:eastAsia="nl-NL"/>
          <w14:ligatures w14:val="none"/>
        </w:rPr>
        <w:t>start-ups</w:t>
      </w:r>
      <w:proofErr w:type="spellEnd"/>
      <w:r w:rsidRPr="008A595A">
        <w:rPr>
          <w:rFonts w:ascii="Times New Roman" w:hAnsi="Times New Roman" w:eastAsia="Times New Roman" w:cs="Times New Roman"/>
          <w:bCs/>
          <w:kern w:val="0"/>
          <w:sz w:val="24"/>
          <w:szCs w:val="24"/>
          <w:lang w:eastAsia="nl-NL"/>
          <w14:ligatures w14:val="none"/>
        </w:rPr>
        <w:t xml:space="preserve">. </w:t>
      </w:r>
      <w:proofErr w:type="spellStart"/>
      <w:r w:rsidRPr="008A595A">
        <w:rPr>
          <w:rFonts w:ascii="Times New Roman" w:hAnsi="Times New Roman" w:eastAsia="Times New Roman" w:cs="Times New Roman"/>
          <w:bCs/>
          <w:kern w:val="0"/>
          <w:sz w:val="24"/>
          <w:szCs w:val="24"/>
          <w:lang w:eastAsia="nl-NL"/>
          <w14:ligatures w14:val="none"/>
        </w:rPr>
        <w:t>PhotonDelta</w:t>
      </w:r>
      <w:proofErr w:type="spellEnd"/>
      <w:r w:rsidRPr="008A595A">
        <w:rPr>
          <w:rFonts w:ascii="Times New Roman" w:hAnsi="Times New Roman" w:eastAsia="Times New Roman" w:cs="Times New Roman"/>
          <w:bCs/>
          <w:kern w:val="0"/>
          <w:sz w:val="24"/>
          <w:szCs w:val="24"/>
          <w:lang w:eastAsia="nl-NL"/>
          <w14:ligatures w14:val="none"/>
        </w:rPr>
        <w:t xml:space="preserve"> rapporteert dat tot en met eind 2024 tien </w:t>
      </w:r>
      <w:proofErr w:type="spellStart"/>
      <w:r w:rsidRPr="008A595A">
        <w:rPr>
          <w:rFonts w:ascii="Times New Roman" w:hAnsi="Times New Roman" w:eastAsia="Times New Roman" w:cs="Times New Roman"/>
          <w:bCs/>
          <w:kern w:val="0"/>
          <w:sz w:val="24"/>
          <w:szCs w:val="24"/>
          <w:lang w:eastAsia="nl-NL"/>
          <w14:ligatures w14:val="none"/>
        </w:rPr>
        <w:t>start-ups</w:t>
      </w:r>
      <w:proofErr w:type="spellEnd"/>
      <w:r w:rsidRPr="008A595A">
        <w:rPr>
          <w:rFonts w:ascii="Times New Roman" w:hAnsi="Times New Roman" w:eastAsia="Times New Roman" w:cs="Times New Roman"/>
          <w:bCs/>
          <w:kern w:val="0"/>
          <w:sz w:val="24"/>
          <w:szCs w:val="24"/>
          <w:lang w:eastAsia="nl-NL"/>
          <w14:ligatures w14:val="none"/>
        </w:rPr>
        <w:t xml:space="preserve"> zijn gefinancierd via het start-</w:t>
      </w:r>
      <w:proofErr w:type="spellStart"/>
      <w:r w:rsidRPr="008A595A">
        <w:rPr>
          <w:rFonts w:ascii="Times New Roman" w:hAnsi="Times New Roman" w:eastAsia="Times New Roman" w:cs="Times New Roman"/>
          <w:bCs/>
          <w:kern w:val="0"/>
          <w:sz w:val="24"/>
          <w:szCs w:val="24"/>
          <w:lang w:eastAsia="nl-NL"/>
          <w14:ligatures w14:val="none"/>
        </w:rPr>
        <w:t>upfonds</w:t>
      </w:r>
      <w:proofErr w:type="spellEnd"/>
      <w:r w:rsidRPr="008A595A">
        <w:rPr>
          <w:rFonts w:ascii="Times New Roman" w:hAnsi="Times New Roman" w:eastAsia="Times New Roman" w:cs="Times New Roman"/>
          <w:bCs/>
          <w:kern w:val="0"/>
          <w:sz w:val="24"/>
          <w:szCs w:val="24"/>
          <w:lang w:eastAsia="nl-NL"/>
          <w14:ligatures w14:val="none"/>
        </w:rPr>
        <w:t xml:space="preserve">, met een streefwaarde van zestig voor de gehele looptijd. Zij geven aan dat deze </w:t>
      </w:r>
      <w:proofErr w:type="spellStart"/>
      <w:r w:rsidRPr="008A595A">
        <w:rPr>
          <w:rFonts w:ascii="Times New Roman" w:hAnsi="Times New Roman" w:eastAsia="Times New Roman" w:cs="Times New Roman"/>
          <w:bCs/>
          <w:kern w:val="0"/>
          <w:sz w:val="24"/>
          <w:szCs w:val="24"/>
          <w:lang w:eastAsia="nl-NL"/>
          <w14:ligatures w14:val="none"/>
        </w:rPr>
        <w:t>start-ups</w:t>
      </w:r>
      <w:proofErr w:type="spellEnd"/>
      <w:r w:rsidRPr="008A595A">
        <w:rPr>
          <w:rFonts w:ascii="Times New Roman" w:hAnsi="Times New Roman" w:eastAsia="Times New Roman" w:cs="Times New Roman"/>
          <w:bCs/>
          <w:kern w:val="0"/>
          <w:sz w:val="24"/>
          <w:szCs w:val="24"/>
          <w:lang w:eastAsia="nl-NL"/>
          <w14:ligatures w14:val="none"/>
        </w:rPr>
        <w:t xml:space="preserve"> een belangrijke versterking vormen voor het ecosysteem en zonder NGF-middelen niet tot stand zouden zijn gekomen.</w:t>
      </w:r>
    </w:p>
    <w:p w:rsidRPr="008A595A" w:rsidR="008A595A" w:rsidP="008A595A" w:rsidRDefault="008A595A" w14:paraId="3A677AD2" w14:textId="77777777">
      <w:pPr>
        <w:spacing w:after="0" w:line="240" w:lineRule="atLeast"/>
        <w:rPr>
          <w:rFonts w:ascii="Times New Roman" w:hAnsi="Times New Roman" w:eastAsia="Times New Roman" w:cs="Times New Roman"/>
          <w:bCs/>
          <w:kern w:val="0"/>
          <w:sz w:val="24"/>
          <w:szCs w:val="24"/>
          <w:lang w:eastAsia="nl-NL"/>
          <w14:ligatures w14:val="none"/>
        </w:rPr>
      </w:pPr>
      <w:r w:rsidRPr="008A595A">
        <w:rPr>
          <w:rFonts w:ascii="Times New Roman" w:hAnsi="Times New Roman" w:eastAsia="Times New Roman" w:cs="Times New Roman"/>
          <w:bCs/>
          <w:kern w:val="0"/>
          <w:sz w:val="24"/>
          <w:szCs w:val="24"/>
          <w:lang w:eastAsia="nl-NL"/>
          <w14:ligatures w14:val="none"/>
        </w:rPr>
        <w:t xml:space="preserve"> </w:t>
      </w:r>
    </w:p>
    <w:p w:rsidRPr="008A595A" w:rsidR="008A595A" w:rsidP="008A595A" w:rsidRDefault="008A595A" w14:paraId="2EDFABD9" w14:textId="77777777">
      <w:pPr>
        <w:spacing w:after="0" w:line="240" w:lineRule="atLeast"/>
        <w:rPr>
          <w:rFonts w:ascii="Times New Roman" w:hAnsi="Times New Roman" w:eastAsia="Times New Roman" w:cs="Times New Roman"/>
          <w:bCs/>
          <w:kern w:val="0"/>
          <w:sz w:val="24"/>
          <w:szCs w:val="24"/>
          <w:lang w:eastAsia="nl-NL"/>
          <w14:ligatures w14:val="none"/>
        </w:rPr>
      </w:pPr>
      <w:r w:rsidRPr="008A595A">
        <w:rPr>
          <w:rFonts w:ascii="Times New Roman" w:hAnsi="Times New Roman" w:eastAsia="Times New Roman" w:cs="Times New Roman"/>
          <w:bCs/>
          <w:kern w:val="0"/>
          <w:sz w:val="24"/>
          <w:szCs w:val="24"/>
          <w:lang w:eastAsia="nl-NL"/>
          <w14:ligatures w14:val="none"/>
        </w:rPr>
        <w:t xml:space="preserve">Hoewel niet ieder project beschikt over een afzonderlijke mkb-KPI, wordt via de jaarlijkse rapportages wél inzichtelijk gemaakt in welke mate mkb-bedrijven deelnemen en profiteren. De combinatie van informatie over eindbegunstigden, de financiële betrokkenheid (zoals cofinanciering), en de </w:t>
      </w:r>
      <w:proofErr w:type="spellStart"/>
      <w:r w:rsidRPr="008A595A">
        <w:rPr>
          <w:rFonts w:ascii="Times New Roman" w:hAnsi="Times New Roman" w:eastAsia="Times New Roman" w:cs="Times New Roman"/>
          <w:bCs/>
          <w:kern w:val="0"/>
          <w:sz w:val="24"/>
          <w:szCs w:val="24"/>
          <w:lang w:eastAsia="nl-NL"/>
          <w14:ligatures w14:val="none"/>
        </w:rPr>
        <w:t>projectspecifieke</w:t>
      </w:r>
      <w:proofErr w:type="spellEnd"/>
      <w:r w:rsidRPr="008A595A">
        <w:rPr>
          <w:rFonts w:ascii="Times New Roman" w:hAnsi="Times New Roman" w:eastAsia="Times New Roman" w:cs="Times New Roman"/>
          <w:bCs/>
          <w:kern w:val="0"/>
          <w:sz w:val="24"/>
          <w:szCs w:val="24"/>
          <w:lang w:eastAsia="nl-NL"/>
          <w14:ligatures w14:val="none"/>
        </w:rPr>
        <w:t xml:space="preserve"> </w:t>
      </w:r>
      <w:proofErr w:type="spellStart"/>
      <w:r w:rsidRPr="008A595A">
        <w:rPr>
          <w:rFonts w:ascii="Times New Roman" w:hAnsi="Times New Roman" w:eastAsia="Times New Roman" w:cs="Times New Roman"/>
          <w:bCs/>
          <w:kern w:val="0"/>
          <w:sz w:val="24"/>
          <w:szCs w:val="24"/>
          <w:lang w:eastAsia="nl-NL"/>
          <w14:ligatures w14:val="none"/>
        </w:rPr>
        <w:t>KPI’s</w:t>
      </w:r>
      <w:proofErr w:type="spellEnd"/>
      <w:r w:rsidRPr="008A595A">
        <w:rPr>
          <w:rFonts w:ascii="Times New Roman" w:hAnsi="Times New Roman" w:eastAsia="Times New Roman" w:cs="Times New Roman"/>
          <w:bCs/>
          <w:kern w:val="0"/>
          <w:sz w:val="24"/>
          <w:szCs w:val="24"/>
          <w:lang w:eastAsia="nl-NL"/>
          <w14:ligatures w14:val="none"/>
        </w:rPr>
        <w:t xml:space="preserve"> en mijlpalen op het gebied van innovatie, ketenversterking en kennisdiffusie geeft een breed beeld van de economische effecten en de bijdrage van de projecten aan het mkb.</w:t>
      </w:r>
    </w:p>
    <w:p w:rsidRPr="008A595A" w:rsidR="008A595A" w:rsidP="008A595A" w:rsidRDefault="008A595A" w14:paraId="55D06A57" w14:textId="77777777">
      <w:pPr>
        <w:spacing w:after="0" w:line="240" w:lineRule="atLeast"/>
        <w:rPr>
          <w:rFonts w:ascii="Times New Roman" w:hAnsi="Times New Roman" w:eastAsia="Times New Roman" w:cs="Times New Roman"/>
          <w:kern w:val="0"/>
          <w:sz w:val="24"/>
          <w:szCs w:val="24"/>
          <w:lang w:eastAsia="nl-NL"/>
          <w14:ligatures w14:val="none"/>
        </w:rPr>
      </w:pPr>
    </w:p>
    <w:p w:rsidRPr="00EB32FC" w:rsidR="008A595A" w:rsidP="008A595A" w:rsidRDefault="008A595A" w14:paraId="378C6286" w14:textId="77777777">
      <w:pPr>
        <w:spacing w:after="0" w:line="240" w:lineRule="atLeast"/>
        <w:rPr>
          <w:rFonts w:ascii="Times New Roman" w:hAnsi="Times New Roman" w:eastAsia="Times New Roman" w:cs="Times New Roman"/>
          <w:b/>
          <w:bCs/>
          <w:kern w:val="0"/>
          <w:sz w:val="24"/>
          <w:szCs w:val="24"/>
          <w:lang w:eastAsia="nl-NL"/>
          <w14:ligatures w14:val="none"/>
        </w:rPr>
      </w:pPr>
      <w:r w:rsidRPr="00EB32FC">
        <w:rPr>
          <w:rFonts w:ascii="Times New Roman" w:hAnsi="Times New Roman" w:eastAsia="Times New Roman" w:cs="Times New Roman"/>
          <w:b/>
          <w:bCs/>
          <w:kern w:val="0"/>
          <w:sz w:val="24"/>
          <w:szCs w:val="24"/>
          <w:lang w:eastAsia="nl-NL"/>
          <w14:ligatures w14:val="none"/>
        </w:rPr>
        <w:t>18</w:t>
      </w:r>
    </w:p>
    <w:p w:rsidRPr="00EB32FC" w:rsidR="008A595A" w:rsidP="008A595A" w:rsidRDefault="008A595A" w14:paraId="1FAC7D22" w14:textId="77777777">
      <w:pPr>
        <w:spacing w:after="0" w:line="240" w:lineRule="atLeast"/>
        <w:rPr>
          <w:rFonts w:ascii="Times New Roman" w:hAnsi="Times New Roman" w:eastAsia="Times New Roman" w:cs="Times New Roman"/>
          <w:kern w:val="0"/>
          <w:sz w:val="24"/>
          <w:szCs w:val="24"/>
          <w:lang w:eastAsia="nl-NL"/>
          <w14:ligatures w14:val="none"/>
        </w:rPr>
      </w:pPr>
      <w:r w:rsidRPr="00EB32FC">
        <w:rPr>
          <w:rFonts w:ascii="Times New Roman" w:hAnsi="Times New Roman" w:eastAsia="Times New Roman" w:cs="Times New Roman"/>
          <w:kern w:val="0"/>
          <w:sz w:val="24"/>
          <w:szCs w:val="24"/>
          <w:lang w:eastAsia="nl-NL"/>
          <w14:ligatures w14:val="none"/>
        </w:rPr>
        <w:t>Kunt u toelichten hoe de motie-Kathmann [Kamerstuk 36270-9] wordt uitgevoerd? Welke middelen zijn hier voor uitgetrokken?</w:t>
      </w:r>
    </w:p>
    <w:p w:rsidRPr="00EB32FC" w:rsidR="008A595A" w:rsidP="008A595A" w:rsidRDefault="008A595A" w14:paraId="37493BA6" w14:textId="77777777">
      <w:pPr>
        <w:spacing w:after="0" w:line="240" w:lineRule="atLeast"/>
        <w:rPr>
          <w:rFonts w:ascii="Times New Roman" w:hAnsi="Times New Roman" w:eastAsia="Times New Roman" w:cs="Times New Roman"/>
          <w:kern w:val="0"/>
          <w:sz w:val="24"/>
          <w:szCs w:val="24"/>
          <w:lang w:eastAsia="nl-NL"/>
          <w14:ligatures w14:val="none"/>
        </w:rPr>
      </w:pPr>
    </w:p>
    <w:p w:rsidRPr="00EB32FC" w:rsidR="008A595A" w:rsidP="008A595A" w:rsidRDefault="008A595A" w14:paraId="0F820EEC" w14:textId="77777777">
      <w:pPr>
        <w:spacing w:after="0" w:line="240" w:lineRule="atLeast"/>
        <w:rPr>
          <w:rFonts w:ascii="Times New Roman" w:hAnsi="Times New Roman" w:eastAsia="Times New Roman" w:cs="Times New Roman"/>
          <w:b/>
          <w:bCs/>
          <w:kern w:val="0"/>
          <w:sz w:val="24"/>
          <w:szCs w:val="24"/>
          <w:lang w:eastAsia="nl-NL"/>
          <w14:ligatures w14:val="none"/>
        </w:rPr>
      </w:pPr>
      <w:r w:rsidRPr="00EB32FC">
        <w:rPr>
          <w:rFonts w:ascii="Times New Roman" w:hAnsi="Times New Roman" w:eastAsia="Times New Roman" w:cs="Times New Roman"/>
          <w:b/>
          <w:bCs/>
          <w:kern w:val="0"/>
          <w:sz w:val="24"/>
          <w:szCs w:val="24"/>
          <w:lang w:eastAsia="nl-NL"/>
          <w14:ligatures w14:val="none"/>
        </w:rPr>
        <w:t>Antwoord</w:t>
      </w:r>
    </w:p>
    <w:p w:rsidRPr="00EB32FC" w:rsidR="008A595A" w:rsidP="008A595A" w:rsidRDefault="008A595A" w14:paraId="0B832F61" w14:textId="77777777">
      <w:pPr>
        <w:spacing w:after="0" w:line="240" w:lineRule="atLeast"/>
        <w:rPr>
          <w:rFonts w:ascii="Times New Roman" w:hAnsi="Times New Roman" w:eastAsia="Times New Roman" w:cs="Times New Roman"/>
          <w:kern w:val="0"/>
          <w:sz w:val="24"/>
          <w:szCs w:val="24"/>
          <w:lang w:eastAsia="nl-NL"/>
          <w14:ligatures w14:val="none"/>
        </w:rPr>
      </w:pPr>
      <w:r w:rsidRPr="00EB32FC">
        <w:rPr>
          <w:rFonts w:ascii="Times New Roman" w:hAnsi="Times New Roman" w:eastAsia="Times New Roman" w:cs="Times New Roman"/>
          <w:kern w:val="0"/>
          <w:sz w:val="24"/>
          <w:szCs w:val="24"/>
          <w:lang w:eastAsia="nl-NL"/>
          <w14:ligatures w14:val="none"/>
        </w:rPr>
        <w:t>Het Centraal Bureau voor de Statistiek (CBS) zal voor de uitvoering van deze motie in de jaarlijkse Cybersecuritymonitor onderzoeken hoeveel bedrijven hun digitale hulpverlening hebben ingericht en op welke manier. In verband met de doorlooptijd van de metingen van het CBS zal dit vraagstuk terugkomen in de Cybersecuritymonitor van 2025. Deze komt naar verwachting medio 2026 uit. Daarnaast heeft het Digital Trust Center (DTC) op haar website informatie opgenomen over de manieren waarop bedrijven digitale hulpverlening in hun organisatie kunnen vormgeven. Het DTC brengt deze informatie actief onder de aandacht bij ondernemers. Hiermee is de motie opgenomen in de staande werkprocessen van het CBS en het DTC.</w:t>
      </w:r>
    </w:p>
    <w:p w:rsidRPr="00EB32FC" w:rsidR="008A595A" w:rsidP="008A595A" w:rsidRDefault="008A595A" w14:paraId="42BD6631" w14:textId="77777777">
      <w:pPr>
        <w:spacing w:after="0" w:line="240" w:lineRule="atLeast"/>
        <w:rPr>
          <w:rFonts w:ascii="Times New Roman" w:hAnsi="Times New Roman" w:eastAsia="Times New Roman" w:cs="Times New Roman"/>
          <w:kern w:val="0"/>
          <w:sz w:val="24"/>
          <w:szCs w:val="24"/>
          <w:lang w:eastAsia="nl-NL"/>
          <w14:ligatures w14:val="none"/>
        </w:rPr>
      </w:pPr>
    </w:p>
    <w:p w:rsidRPr="00EB32FC" w:rsidR="008A595A" w:rsidP="008A595A" w:rsidRDefault="008A595A" w14:paraId="77064A5A" w14:textId="77777777">
      <w:pPr>
        <w:spacing w:after="0" w:line="240" w:lineRule="atLeast"/>
        <w:rPr>
          <w:rFonts w:ascii="Times New Roman" w:hAnsi="Times New Roman" w:eastAsia="Times New Roman" w:cs="Times New Roman"/>
          <w:b/>
          <w:bCs/>
          <w:kern w:val="0"/>
          <w:sz w:val="24"/>
          <w:szCs w:val="24"/>
          <w:lang w:eastAsia="nl-NL"/>
          <w14:ligatures w14:val="none"/>
        </w:rPr>
      </w:pPr>
      <w:r w:rsidRPr="00EB32FC">
        <w:rPr>
          <w:rFonts w:ascii="Times New Roman" w:hAnsi="Times New Roman" w:eastAsia="Times New Roman" w:cs="Times New Roman"/>
          <w:b/>
          <w:bCs/>
          <w:kern w:val="0"/>
          <w:sz w:val="24"/>
          <w:szCs w:val="24"/>
          <w:lang w:eastAsia="nl-NL"/>
          <w14:ligatures w14:val="none"/>
        </w:rPr>
        <w:t>19</w:t>
      </w:r>
    </w:p>
    <w:p w:rsidRPr="00EB32FC" w:rsidR="008A595A" w:rsidP="008A595A" w:rsidRDefault="008A595A" w14:paraId="475F55C2" w14:textId="77777777">
      <w:pPr>
        <w:spacing w:after="0" w:line="240" w:lineRule="atLeast"/>
        <w:rPr>
          <w:rFonts w:ascii="Times New Roman" w:hAnsi="Times New Roman" w:eastAsia="Times New Roman" w:cs="Times New Roman"/>
          <w:kern w:val="0"/>
          <w:sz w:val="24"/>
          <w:szCs w:val="24"/>
          <w:lang w:eastAsia="nl-NL"/>
          <w14:ligatures w14:val="none"/>
        </w:rPr>
      </w:pPr>
      <w:r w:rsidRPr="00EB32FC">
        <w:rPr>
          <w:rFonts w:ascii="Times New Roman" w:hAnsi="Times New Roman" w:eastAsia="Times New Roman" w:cs="Times New Roman"/>
          <w:kern w:val="0"/>
          <w:sz w:val="24"/>
          <w:szCs w:val="24"/>
          <w:lang w:eastAsia="nl-NL"/>
          <w14:ligatures w14:val="none"/>
        </w:rPr>
        <w:t>Kunt u toelichten hoe de motie-Kathmann [Kamerstuk 26643-1187] wordt uitgevoerd? Welke middelen zijn hier voor uitgetrokken?</w:t>
      </w:r>
    </w:p>
    <w:p w:rsidRPr="00EB32FC" w:rsidR="008A595A" w:rsidP="008A595A" w:rsidRDefault="008A595A" w14:paraId="2F69BF15" w14:textId="77777777">
      <w:pPr>
        <w:spacing w:after="0" w:line="240" w:lineRule="atLeast"/>
        <w:rPr>
          <w:rFonts w:ascii="Times New Roman" w:hAnsi="Times New Roman" w:eastAsia="Times New Roman" w:cs="Times New Roman"/>
          <w:kern w:val="0"/>
          <w:sz w:val="24"/>
          <w:szCs w:val="24"/>
          <w:lang w:eastAsia="nl-NL"/>
          <w14:ligatures w14:val="none"/>
        </w:rPr>
      </w:pPr>
    </w:p>
    <w:p w:rsidRPr="00EB32FC" w:rsidR="008A595A" w:rsidP="008A595A" w:rsidRDefault="008A595A" w14:paraId="06D446AC" w14:textId="77777777">
      <w:pPr>
        <w:spacing w:after="0" w:line="240" w:lineRule="atLeast"/>
        <w:rPr>
          <w:rFonts w:ascii="Times New Roman" w:hAnsi="Times New Roman" w:eastAsia="Times New Roman" w:cs="Times New Roman"/>
          <w:b/>
          <w:bCs/>
          <w:kern w:val="0"/>
          <w:sz w:val="24"/>
          <w:szCs w:val="24"/>
          <w:lang w:eastAsia="nl-NL"/>
          <w14:ligatures w14:val="none"/>
        </w:rPr>
      </w:pPr>
      <w:r w:rsidRPr="00EB32FC">
        <w:rPr>
          <w:rFonts w:ascii="Times New Roman" w:hAnsi="Times New Roman" w:eastAsia="Times New Roman" w:cs="Times New Roman"/>
          <w:b/>
          <w:bCs/>
          <w:kern w:val="0"/>
          <w:sz w:val="24"/>
          <w:szCs w:val="24"/>
          <w:lang w:eastAsia="nl-NL"/>
          <w14:ligatures w14:val="none"/>
        </w:rPr>
        <w:t>Antwoord</w:t>
      </w:r>
    </w:p>
    <w:p w:rsidRPr="008A595A" w:rsidR="008A595A" w:rsidP="008A595A" w:rsidRDefault="008A595A" w14:paraId="18A7F740" w14:textId="77777777">
      <w:pPr>
        <w:spacing w:after="0" w:line="240" w:lineRule="atLeast"/>
        <w:rPr>
          <w:rFonts w:ascii="Times New Roman" w:hAnsi="Times New Roman" w:eastAsia="Times New Roman" w:cs="Times New Roman"/>
          <w:kern w:val="0"/>
          <w:sz w:val="24"/>
          <w:szCs w:val="24"/>
          <w:lang w:eastAsia="nl-NL"/>
          <w14:ligatures w14:val="none"/>
        </w:rPr>
      </w:pPr>
      <w:r w:rsidRPr="00EB32FC">
        <w:rPr>
          <w:rFonts w:ascii="Times New Roman" w:hAnsi="Times New Roman" w:eastAsia="Times New Roman" w:cs="Times New Roman"/>
          <w:kern w:val="0"/>
          <w:sz w:val="24"/>
          <w:szCs w:val="24"/>
          <w:lang w:eastAsia="nl-NL"/>
          <w14:ligatures w14:val="none"/>
        </w:rPr>
        <w:t xml:space="preserve">De motie is meegenomen in het Actieprogramma Duurzame Digitalisering dat op 19 november </w:t>
      </w:r>
      <w:proofErr w:type="spellStart"/>
      <w:r w:rsidRPr="00EB32FC">
        <w:rPr>
          <w:rFonts w:ascii="Times New Roman" w:hAnsi="Times New Roman" w:eastAsia="Times New Roman" w:cs="Times New Roman"/>
          <w:kern w:val="0"/>
          <w:sz w:val="24"/>
          <w:szCs w:val="24"/>
          <w:lang w:eastAsia="nl-NL"/>
          <w14:ligatures w14:val="none"/>
        </w:rPr>
        <w:t>j.l</w:t>
      </w:r>
      <w:proofErr w:type="spellEnd"/>
      <w:r w:rsidRPr="00EB32FC">
        <w:rPr>
          <w:rFonts w:ascii="Times New Roman" w:hAnsi="Times New Roman" w:eastAsia="Times New Roman" w:cs="Times New Roman"/>
          <w:kern w:val="0"/>
          <w:sz w:val="24"/>
          <w:szCs w:val="24"/>
          <w:lang w:eastAsia="nl-NL"/>
          <w14:ligatures w14:val="none"/>
        </w:rPr>
        <w:t>. naar de Kamer is verzonden. De motie wordt uitgevoerd</w:t>
      </w:r>
      <w:r w:rsidRPr="008A595A">
        <w:rPr>
          <w:rFonts w:ascii="Times New Roman" w:hAnsi="Times New Roman" w:eastAsia="Times New Roman" w:cs="Times New Roman"/>
          <w:kern w:val="0"/>
          <w:sz w:val="24"/>
          <w:szCs w:val="24"/>
          <w:lang w:eastAsia="nl-NL"/>
          <w14:ligatures w14:val="none"/>
        </w:rPr>
        <w:t xml:space="preserve"> door middel van een subsidie van € 175 duizend aan Platform Energie Bewustzijn. Zij werken samen met onder andere TNO, Milieu Centraal en de Nationale Coalitie Duurzame Digitalisering aan interventies gericht op gedragsverandering bij eindgebruikers in de digitale sector. Dit is een gecombineerde subsidie vanuit KGG, EZ en OCW. Eind 2026 zal het kabinet terugkoppelen over de resultaten.</w:t>
      </w:r>
    </w:p>
    <w:p w:rsidRPr="008A595A" w:rsidR="008A595A" w:rsidP="008A595A" w:rsidRDefault="008A595A" w14:paraId="7EC4FFA7" w14:textId="77777777">
      <w:pPr>
        <w:spacing w:after="0" w:line="240" w:lineRule="atLeast"/>
        <w:rPr>
          <w:rFonts w:ascii="Times New Roman" w:hAnsi="Times New Roman" w:eastAsia="Times New Roman" w:cs="Times New Roman"/>
          <w:kern w:val="0"/>
          <w:sz w:val="24"/>
          <w:szCs w:val="24"/>
          <w:lang w:eastAsia="nl-NL"/>
          <w14:ligatures w14:val="none"/>
        </w:rPr>
      </w:pPr>
    </w:p>
    <w:p w:rsidRPr="00EB32FC" w:rsidR="008A595A" w:rsidP="008A595A" w:rsidRDefault="008A595A" w14:paraId="6690ACB7" w14:textId="77777777">
      <w:pPr>
        <w:spacing w:after="0" w:line="240" w:lineRule="atLeast"/>
        <w:rPr>
          <w:rFonts w:ascii="Times New Roman" w:hAnsi="Times New Roman" w:eastAsia="Times New Roman" w:cs="Times New Roman"/>
          <w:b/>
          <w:bCs/>
          <w:kern w:val="0"/>
          <w:sz w:val="24"/>
          <w:szCs w:val="24"/>
          <w:lang w:eastAsia="nl-NL"/>
          <w14:ligatures w14:val="none"/>
        </w:rPr>
      </w:pPr>
      <w:r w:rsidRPr="00EB32FC">
        <w:rPr>
          <w:rFonts w:ascii="Times New Roman" w:hAnsi="Times New Roman" w:eastAsia="Times New Roman" w:cs="Times New Roman"/>
          <w:b/>
          <w:bCs/>
          <w:kern w:val="0"/>
          <w:sz w:val="24"/>
          <w:szCs w:val="24"/>
          <w:lang w:eastAsia="nl-NL"/>
          <w14:ligatures w14:val="none"/>
        </w:rPr>
        <w:lastRenderedPageBreak/>
        <w:t>20</w:t>
      </w:r>
    </w:p>
    <w:p w:rsidRPr="00EB32FC" w:rsidR="008A595A" w:rsidP="008A595A" w:rsidRDefault="008A595A" w14:paraId="573EDCD8" w14:textId="77777777">
      <w:pPr>
        <w:spacing w:after="0" w:line="240" w:lineRule="atLeast"/>
        <w:rPr>
          <w:rFonts w:ascii="Times New Roman" w:hAnsi="Times New Roman" w:eastAsia="Times New Roman" w:cs="Times New Roman"/>
          <w:kern w:val="0"/>
          <w:sz w:val="24"/>
          <w:szCs w:val="24"/>
          <w:lang w:eastAsia="nl-NL"/>
          <w14:ligatures w14:val="none"/>
        </w:rPr>
      </w:pPr>
      <w:r w:rsidRPr="00EB32FC">
        <w:rPr>
          <w:rFonts w:ascii="Times New Roman" w:hAnsi="Times New Roman" w:eastAsia="Times New Roman" w:cs="Times New Roman"/>
          <w:kern w:val="0"/>
          <w:sz w:val="24"/>
          <w:szCs w:val="24"/>
          <w:lang w:eastAsia="nl-NL"/>
          <w14:ligatures w14:val="none"/>
        </w:rPr>
        <w:t>Kunt u toelichten hoe de motie-Kathmann [Kamerstuk 26643-1188] wordt uitgevoerd? Welke middelen zijn hier voor uitgetrokken? </w:t>
      </w:r>
    </w:p>
    <w:p w:rsidRPr="00EB32FC" w:rsidR="008A595A" w:rsidP="008A595A" w:rsidRDefault="008A595A" w14:paraId="21AB27AF" w14:textId="77777777">
      <w:pPr>
        <w:spacing w:after="0" w:line="240" w:lineRule="atLeast"/>
        <w:rPr>
          <w:rFonts w:ascii="Times New Roman" w:hAnsi="Times New Roman" w:eastAsia="Times New Roman" w:cs="Times New Roman"/>
          <w:kern w:val="0"/>
          <w:sz w:val="24"/>
          <w:szCs w:val="24"/>
          <w:lang w:eastAsia="nl-NL"/>
          <w14:ligatures w14:val="none"/>
        </w:rPr>
      </w:pPr>
    </w:p>
    <w:p w:rsidRPr="00EB32FC" w:rsidR="008A595A" w:rsidP="008A595A" w:rsidRDefault="008A595A" w14:paraId="3E1E168D" w14:textId="77777777">
      <w:pPr>
        <w:spacing w:after="0" w:line="240" w:lineRule="atLeast"/>
        <w:rPr>
          <w:rFonts w:ascii="Times New Roman" w:hAnsi="Times New Roman" w:eastAsia="Times New Roman" w:cs="Times New Roman"/>
          <w:b/>
          <w:bCs/>
          <w:kern w:val="0"/>
          <w:sz w:val="24"/>
          <w:szCs w:val="24"/>
          <w:lang w:eastAsia="nl-NL"/>
          <w14:ligatures w14:val="none"/>
        </w:rPr>
      </w:pPr>
      <w:r w:rsidRPr="00EB32FC">
        <w:rPr>
          <w:rFonts w:ascii="Times New Roman" w:hAnsi="Times New Roman" w:eastAsia="Times New Roman" w:cs="Times New Roman"/>
          <w:b/>
          <w:bCs/>
          <w:kern w:val="0"/>
          <w:sz w:val="24"/>
          <w:szCs w:val="24"/>
          <w:lang w:eastAsia="nl-NL"/>
          <w14:ligatures w14:val="none"/>
        </w:rPr>
        <w:t>Antwoord</w:t>
      </w:r>
    </w:p>
    <w:p w:rsidRPr="00EB32FC" w:rsidR="008A595A" w:rsidP="008A595A" w:rsidRDefault="008A595A" w14:paraId="2353FEFC" w14:textId="77777777">
      <w:pPr>
        <w:spacing w:after="0" w:line="240" w:lineRule="atLeast"/>
        <w:rPr>
          <w:rFonts w:ascii="Times New Roman" w:hAnsi="Times New Roman" w:eastAsia="Times New Roman" w:cs="Times New Roman"/>
          <w:kern w:val="0"/>
          <w:sz w:val="24"/>
          <w:szCs w:val="24"/>
          <w:lang w:eastAsia="nl-NL"/>
          <w14:ligatures w14:val="none"/>
        </w:rPr>
      </w:pPr>
      <w:r w:rsidRPr="00EB32FC">
        <w:rPr>
          <w:rFonts w:ascii="Times New Roman" w:hAnsi="Times New Roman" w:eastAsia="Times New Roman" w:cs="Times New Roman"/>
          <w:kern w:val="0"/>
          <w:sz w:val="24"/>
          <w:szCs w:val="24"/>
          <w:lang w:eastAsia="nl-NL"/>
          <w14:ligatures w14:val="none"/>
        </w:rPr>
        <w:t xml:space="preserve">De motie is meegenomen in het Actieprogramma Duurzame Digitalisering dat op 19 november naar de Kamer is verzonden. In het Actieprogramma staat dat de inzet op dit onderwerp succesvol is als er bijgedragen kan worden aan relevante Europese en internationale initiatieven ter bevordering van standaardmethodiek voor het meten van de CO2-uitstoot van ICT-systemen, waar mogelijk in samenwerking met het wetenschappelijk veld. Tot eind 2025 zijn voor het </w:t>
      </w:r>
      <w:r w:rsidRPr="00EB32FC">
        <w:rPr>
          <w:rFonts w:ascii="Times New Roman" w:hAnsi="Times New Roman" w:eastAsia="Arial" w:cs="Times New Roman"/>
          <w:kern w:val="0"/>
          <w:sz w:val="24"/>
          <w:szCs w:val="24"/>
          <w:lang w:eastAsia="nl-NL"/>
          <w14:ligatures w14:val="none"/>
        </w:rPr>
        <w:t>Nederlands Normalisatie-Instituut</w:t>
      </w:r>
      <w:r w:rsidRPr="00EB32FC">
        <w:rPr>
          <w:rFonts w:ascii="Times New Roman" w:hAnsi="Times New Roman" w:eastAsia="Times New Roman" w:cs="Times New Roman"/>
          <w:kern w:val="0"/>
          <w:sz w:val="24"/>
          <w:szCs w:val="24"/>
          <w:lang w:eastAsia="nl-NL"/>
          <w14:ligatures w14:val="none"/>
        </w:rPr>
        <w:t xml:space="preserve"> (NEN) middelen vrijgemaakt zodat zij het voorzitterschap kan dragen van de ISO-normwerkgroep die zich richt op het standaardiseren van meetmethoden en ontwerpprincipes voor duurzame datacenters (ISO/IEC JTC1 SC39 WG1). Daarnaast participeert Nederland in de European Green Digital </w:t>
      </w:r>
      <w:proofErr w:type="spellStart"/>
      <w:r w:rsidRPr="00EB32FC">
        <w:rPr>
          <w:rFonts w:ascii="Times New Roman" w:hAnsi="Times New Roman" w:eastAsia="Times New Roman" w:cs="Times New Roman"/>
          <w:kern w:val="0"/>
          <w:sz w:val="24"/>
          <w:szCs w:val="24"/>
          <w:lang w:eastAsia="nl-NL"/>
          <w14:ligatures w14:val="none"/>
        </w:rPr>
        <w:t>Coalition</w:t>
      </w:r>
      <w:proofErr w:type="spellEnd"/>
      <w:r w:rsidRPr="00EB32FC">
        <w:rPr>
          <w:rFonts w:ascii="Times New Roman" w:hAnsi="Times New Roman" w:eastAsia="Times New Roman" w:cs="Times New Roman"/>
          <w:kern w:val="0"/>
          <w:sz w:val="24"/>
          <w:szCs w:val="24"/>
          <w:lang w:eastAsia="nl-NL"/>
          <w14:ligatures w14:val="none"/>
        </w:rPr>
        <w:t>, gezien zij standaardmethoden ontwikkelen.</w:t>
      </w:r>
    </w:p>
    <w:p w:rsidRPr="00EB32FC" w:rsidR="008A595A" w:rsidP="008A595A" w:rsidRDefault="008A595A" w14:paraId="6869C244" w14:textId="77777777">
      <w:pPr>
        <w:spacing w:after="0" w:line="240" w:lineRule="atLeast"/>
        <w:rPr>
          <w:rFonts w:ascii="Times New Roman" w:hAnsi="Times New Roman" w:eastAsia="Times New Roman" w:cs="Times New Roman"/>
          <w:kern w:val="0"/>
          <w:sz w:val="24"/>
          <w:szCs w:val="24"/>
          <w:lang w:eastAsia="nl-NL"/>
          <w14:ligatures w14:val="none"/>
        </w:rPr>
      </w:pPr>
    </w:p>
    <w:p w:rsidRPr="00EB32FC" w:rsidR="008A595A" w:rsidP="008A595A" w:rsidRDefault="008A595A" w14:paraId="3C4E97CD" w14:textId="77777777">
      <w:pPr>
        <w:spacing w:after="0" w:line="240" w:lineRule="atLeast"/>
        <w:rPr>
          <w:rFonts w:ascii="Times New Roman" w:hAnsi="Times New Roman" w:eastAsia="Times New Roman" w:cs="Times New Roman"/>
          <w:b/>
          <w:bCs/>
          <w:kern w:val="0"/>
          <w:sz w:val="24"/>
          <w:szCs w:val="24"/>
          <w:lang w:eastAsia="nl-NL"/>
          <w14:ligatures w14:val="none"/>
        </w:rPr>
      </w:pPr>
      <w:r w:rsidRPr="00EB32FC">
        <w:rPr>
          <w:rFonts w:ascii="Times New Roman" w:hAnsi="Times New Roman" w:eastAsia="Times New Roman" w:cs="Times New Roman"/>
          <w:b/>
          <w:bCs/>
          <w:kern w:val="0"/>
          <w:sz w:val="24"/>
          <w:szCs w:val="24"/>
          <w:lang w:eastAsia="nl-NL"/>
          <w14:ligatures w14:val="none"/>
        </w:rPr>
        <w:t>21</w:t>
      </w:r>
    </w:p>
    <w:p w:rsidRPr="00EB32FC" w:rsidR="008A595A" w:rsidP="008A595A" w:rsidRDefault="008A595A" w14:paraId="2E2258EF" w14:textId="77777777">
      <w:pPr>
        <w:spacing w:after="0" w:line="240" w:lineRule="atLeast"/>
        <w:rPr>
          <w:rFonts w:ascii="Times New Roman" w:hAnsi="Times New Roman" w:eastAsia="Times New Roman" w:cs="Times New Roman"/>
          <w:kern w:val="0"/>
          <w:sz w:val="24"/>
          <w:szCs w:val="24"/>
          <w:lang w:eastAsia="nl-NL"/>
          <w14:ligatures w14:val="none"/>
        </w:rPr>
      </w:pPr>
      <w:r w:rsidRPr="00EB32FC">
        <w:rPr>
          <w:rFonts w:ascii="Times New Roman" w:hAnsi="Times New Roman" w:eastAsia="Times New Roman" w:cs="Times New Roman"/>
          <w:kern w:val="0"/>
          <w:sz w:val="24"/>
          <w:szCs w:val="24"/>
          <w:lang w:eastAsia="nl-NL"/>
          <w14:ligatures w14:val="none"/>
        </w:rPr>
        <w:t>Kunt u toelichten hoe de motie-Kathmann [Kamerstuk 36495-8] wordt uitgevoerd? Welke middelen zijn hier voor uitgetrokken?</w:t>
      </w:r>
    </w:p>
    <w:p w:rsidRPr="00EB32FC" w:rsidR="008A595A" w:rsidP="008A595A" w:rsidRDefault="008A595A" w14:paraId="76BA8AE8" w14:textId="77777777">
      <w:pPr>
        <w:spacing w:after="0" w:line="240" w:lineRule="atLeast"/>
        <w:rPr>
          <w:rFonts w:ascii="Times New Roman" w:hAnsi="Times New Roman" w:eastAsia="Times New Roman" w:cs="Times New Roman"/>
          <w:kern w:val="0"/>
          <w:sz w:val="24"/>
          <w:szCs w:val="24"/>
          <w:lang w:eastAsia="nl-NL"/>
          <w14:ligatures w14:val="none"/>
        </w:rPr>
      </w:pPr>
    </w:p>
    <w:p w:rsidRPr="00EB32FC" w:rsidR="008A595A" w:rsidP="008A595A" w:rsidRDefault="008A595A" w14:paraId="6D6FEE6C" w14:textId="77777777">
      <w:pPr>
        <w:spacing w:after="0" w:line="240" w:lineRule="atLeast"/>
        <w:rPr>
          <w:rFonts w:ascii="Times New Roman" w:hAnsi="Times New Roman" w:eastAsia="Times New Roman" w:cs="Times New Roman"/>
          <w:b/>
          <w:bCs/>
          <w:kern w:val="0"/>
          <w:sz w:val="24"/>
          <w:szCs w:val="24"/>
          <w:lang w:eastAsia="nl-NL"/>
          <w14:ligatures w14:val="none"/>
        </w:rPr>
      </w:pPr>
      <w:r w:rsidRPr="00EB32FC">
        <w:rPr>
          <w:rFonts w:ascii="Times New Roman" w:hAnsi="Times New Roman" w:eastAsia="Times New Roman" w:cs="Times New Roman"/>
          <w:b/>
          <w:bCs/>
          <w:kern w:val="0"/>
          <w:sz w:val="24"/>
          <w:szCs w:val="24"/>
          <w:lang w:eastAsia="nl-NL"/>
          <w14:ligatures w14:val="none"/>
        </w:rPr>
        <w:t>Antwoord</w:t>
      </w:r>
    </w:p>
    <w:p w:rsidRPr="00EB32FC" w:rsidR="008A595A" w:rsidP="008A595A" w:rsidRDefault="008A595A" w14:paraId="7A1AA715" w14:textId="77777777">
      <w:pPr>
        <w:spacing w:after="0" w:line="240" w:lineRule="atLeast"/>
        <w:rPr>
          <w:rFonts w:ascii="Times New Roman" w:hAnsi="Times New Roman" w:eastAsia="Times New Roman" w:cs="Times New Roman"/>
          <w:kern w:val="0"/>
          <w:sz w:val="24"/>
          <w:szCs w:val="24"/>
          <w:lang w:eastAsia="nl-NL"/>
          <w14:ligatures w14:val="none"/>
        </w:rPr>
      </w:pPr>
      <w:r w:rsidRPr="00EB32FC">
        <w:rPr>
          <w:rFonts w:ascii="Times New Roman" w:hAnsi="Times New Roman" w:eastAsia="Times New Roman" w:cs="Times New Roman"/>
          <w:kern w:val="0"/>
          <w:sz w:val="24"/>
          <w:szCs w:val="24"/>
          <w:lang w:eastAsia="nl-NL"/>
          <w14:ligatures w14:val="none"/>
        </w:rPr>
        <w:t xml:space="preserve">In een eerdere Kamerbrief is aangegeven dat algemene gebruiksvoorwaarden, conform de motie van Kamerlid Kathmann, onder de aandacht wordt gebracht bij de Europese Commissie in aanloop naar de aangekondigde Digital </w:t>
      </w:r>
      <w:proofErr w:type="spellStart"/>
      <w:r w:rsidRPr="00EB32FC">
        <w:rPr>
          <w:rFonts w:ascii="Times New Roman" w:hAnsi="Times New Roman" w:eastAsia="Times New Roman" w:cs="Times New Roman"/>
          <w:kern w:val="0"/>
          <w:sz w:val="24"/>
          <w:szCs w:val="24"/>
          <w:lang w:eastAsia="nl-NL"/>
          <w14:ligatures w14:val="none"/>
        </w:rPr>
        <w:t>Fairness</w:t>
      </w:r>
      <w:proofErr w:type="spellEnd"/>
      <w:r w:rsidRPr="00EB32FC">
        <w:rPr>
          <w:rFonts w:ascii="Times New Roman" w:hAnsi="Times New Roman" w:eastAsia="Times New Roman" w:cs="Times New Roman"/>
          <w:kern w:val="0"/>
          <w:sz w:val="24"/>
          <w:szCs w:val="24"/>
          <w:lang w:eastAsia="nl-NL"/>
          <w14:ligatures w14:val="none"/>
        </w:rPr>
        <w:t xml:space="preserve"> Act (Kamerstukken II 2024/2025, 27 879, nr. 109). Het kabinet heeft dit inmiddels via een non-paper gedaan en dit wordt in gesprekken met de Europese Commissie aan de orde gebracht (Bijlage bij Kamerstukken II 2025/2026, 21501 33, nr. 1164). Algemene gebruiksvoorwaarden van digitale diensten worden vaak niet goed gelezen, omdat deze doorgaans te lang en/of ingewikkeld zijn. Het is van belang dat gebruiksvoorwaarden van onlinediensten toegankelijk zijn, al dan niet via een uniforme lijst van gebruiksvoorwaarden die generiek gelden. Dit kan consumenten helpen bij het maken van een goed geïnformeerde keuze voordat zij zich aanmelden voor een digitale dienst. Er hoeven geen specifieke aanvullende middelen vrijgemaakt te worden voor de uitvoering van deze motie.</w:t>
      </w:r>
    </w:p>
    <w:p w:rsidRPr="00EB32FC" w:rsidR="008A595A" w:rsidP="008A595A" w:rsidRDefault="008A595A" w14:paraId="6B88C896" w14:textId="77777777">
      <w:pPr>
        <w:spacing w:after="0" w:line="240" w:lineRule="atLeast"/>
        <w:rPr>
          <w:rFonts w:ascii="Times New Roman" w:hAnsi="Times New Roman" w:eastAsia="Times New Roman" w:cs="Times New Roman"/>
          <w:kern w:val="0"/>
          <w:sz w:val="24"/>
          <w:szCs w:val="24"/>
          <w:lang w:eastAsia="nl-NL"/>
          <w14:ligatures w14:val="none"/>
        </w:rPr>
      </w:pPr>
    </w:p>
    <w:p w:rsidRPr="00EB32FC" w:rsidR="008A595A" w:rsidP="008A595A" w:rsidRDefault="008A595A" w14:paraId="79841B59" w14:textId="77777777">
      <w:pPr>
        <w:spacing w:after="0" w:line="240" w:lineRule="atLeast"/>
        <w:rPr>
          <w:rFonts w:ascii="Times New Roman" w:hAnsi="Times New Roman" w:eastAsia="Times New Roman" w:cs="Times New Roman"/>
          <w:b/>
          <w:bCs/>
          <w:kern w:val="0"/>
          <w:sz w:val="24"/>
          <w:szCs w:val="24"/>
          <w:lang w:eastAsia="nl-NL"/>
          <w14:ligatures w14:val="none"/>
        </w:rPr>
      </w:pPr>
      <w:r w:rsidRPr="00EB32FC">
        <w:rPr>
          <w:rFonts w:ascii="Times New Roman" w:hAnsi="Times New Roman" w:eastAsia="Times New Roman" w:cs="Times New Roman"/>
          <w:b/>
          <w:bCs/>
          <w:kern w:val="0"/>
          <w:sz w:val="24"/>
          <w:szCs w:val="24"/>
          <w:lang w:eastAsia="nl-NL"/>
          <w14:ligatures w14:val="none"/>
        </w:rPr>
        <w:t>23</w:t>
      </w:r>
    </w:p>
    <w:p w:rsidRPr="008A595A" w:rsidR="008A595A" w:rsidP="008A595A" w:rsidRDefault="008A595A" w14:paraId="5C1A2515" w14:textId="3BA4D1FE">
      <w:pPr>
        <w:spacing w:after="0" w:line="240" w:lineRule="atLeast"/>
        <w:rPr>
          <w:rFonts w:ascii="Times New Roman" w:hAnsi="Times New Roman" w:eastAsia="Times New Roman" w:cs="Times New Roman"/>
          <w:kern w:val="0"/>
          <w:sz w:val="24"/>
          <w:szCs w:val="24"/>
          <w:lang w:eastAsia="nl-NL"/>
          <w14:ligatures w14:val="none"/>
        </w:rPr>
      </w:pPr>
      <w:r w:rsidRPr="00EB32FC">
        <w:rPr>
          <w:rFonts w:ascii="Times New Roman" w:hAnsi="Times New Roman" w:eastAsia="Times New Roman" w:cs="Times New Roman"/>
          <w:kern w:val="0"/>
          <w:sz w:val="24"/>
          <w:szCs w:val="24"/>
          <w:lang w:eastAsia="nl-NL"/>
          <w14:ligatures w14:val="none"/>
        </w:rPr>
        <w:t>Kunt u toelichten hoe de motie-Kathmann [Kamerstuk 26643-1290] wordt uitgevoerd? Welke middelen zijn hier voor uitgetrokken?</w:t>
      </w:r>
    </w:p>
    <w:p w:rsidRPr="008A595A" w:rsidR="008A595A" w:rsidP="008A595A" w:rsidRDefault="008A595A" w14:paraId="720D8B4A" w14:textId="77777777">
      <w:pPr>
        <w:spacing w:after="0" w:line="240" w:lineRule="atLeast"/>
        <w:rPr>
          <w:rFonts w:ascii="Times New Roman" w:hAnsi="Times New Roman" w:eastAsia="Times New Roman" w:cs="Times New Roman"/>
          <w:kern w:val="0"/>
          <w:sz w:val="24"/>
          <w:szCs w:val="24"/>
          <w:lang w:eastAsia="nl-NL"/>
          <w14:ligatures w14:val="none"/>
        </w:rPr>
      </w:pPr>
    </w:p>
    <w:p w:rsidRPr="008A595A" w:rsidR="008A595A" w:rsidP="008A595A" w:rsidRDefault="008A595A" w14:paraId="0CA58EF8" w14:textId="77777777">
      <w:pPr>
        <w:spacing w:after="0" w:line="240" w:lineRule="atLeast"/>
        <w:rPr>
          <w:rFonts w:ascii="Times New Roman" w:hAnsi="Times New Roman" w:eastAsia="Times New Roman" w:cs="Times New Roman"/>
          <w:b/>
          <w:bCs/>
          <w:kern w:val="0"/>
          <w:sz w:val="24"/>
          <w:szCs w:val="24"/>
          <w:lang w:eastAsia="nl-NL"/>
          <w14:ligatures w14:val="none"/>
        </w:rPr>
      </w:pPr>
      <w:r w:rsidRPr="008A595A">
        <w:rPr>
          <w:rFonts w:ascii="Times New Roman" w:hAnsi="Times New Roman" w:eastAsia="Times New Roman" w:cs="Times New Roman"/>
          <w:b/>
          <w:bCs/>
          <w:kern w:val="0"/>
          <w:sz w:val="24"/>
          <w:szCs w:val="24"/>
          <w:lang w:eastAsia="nl-NL"/>
          <w14:ligatures w14:val="none"/>
        </w:rPr>
        <w:t>Antwoord</w:t>
      </w:r>
    </w:p>
    <w:p w:rsidRPr="008A595A" w:rsidR="008A595A" w:rsidP="008A595A" w:rsidRDefault="008A595A" w14:paraId="466A87F3" w14:textId="77777777">
      <w:pPr>
        <w:spacing w:after="0" w:line="240" w:lineRule="atLeast"/>
        <w:rPr>
          <w:rFonts w:ascii="Times New Roman" w:hAnsi="Times New Roman" w:eastAsia="Times New Roman" w:cs="Times New Roman"/>
          <w:kern w:val="0"/>
          <w:sz w:val="24"/>
          <w:szCs w:val="24"/>
          <w:lang w:eastAsia="nl-NL"/>
          <w14:ligatures w14:val="none"/>
        </w:rPr>
      </w:pPr>
      <w:r w:rsidRPr="008A595A">
        <w:rPr>
          <w:rFonts w:ascii="Times New Roman" w:hAnsi="Times New Roman" w:eastAsia="Times New Roman" w:cs="Times New Roman"/>
          <w:kern w:val="0"/>
          <w:sz w:val="24"/>
          <w:szCs w:val="24"/>
          <w:lang w:eastAsia="nl-NL"/>
          <w14:ligatures w14:val="none"/>
        </w:rPr>
        <w:t>Over de uitvoering van de motie Kathmann over in overleg gaan over het aanbieden van betaalbaar internet aan de armste huishoudens (Kamerstuk 26 643, nr. 1290) wordt de Kamer op korte termijn geïnformeerd. Hiervoor hoeven geen middelen vrijgemaakt te worden.</w:t>
      </w:r>
    </w:p>
    <w:p w:rsidRPr="008A595A" w:rsidR="008A595A" w:rsidP="008A595A" w:rsidRDefault="008A595A" w14:paraId="7FEE5688" w14:textId="77777777">
      <w:pPr>
        <w:spacing w:after="0" w:line="240" w:lineRule="atLeast"/>
        <w:rPr>
          <w:rFonts w:ascii="Times New Roman" w:hAnsi="Times New Roman" w:eastAsia="Times New Roman" w:cs="Times New Roman"/>
          <w:kern w:val="0"/>
          <w:sz w:val="24"/>
          <w:szCs w:val="24"/>
          <w:lang w:eastAsia="nl-NL"/>
          <w14:ligatures w14:val="none"/>
        </w:rPr>
      </w:pPr>
    </w:p>
    <w:p w:rsidRPr="00EB32FC" w:rsidR="008A595A" w:rsidP="008A595A" w:rsidRDefault="008A595A" w14:paraId="757A96C4" w14:textId="77777777">
      <w:pPr>
        <w:spacing w:after="0" w:line="240" w:lineRule="atLeast"/>
        <w:rPr>
          <w:rFonts w:ascii="Times New Roman" w:hAnsi="Times New Roman" w:eastAsia="Times New Roman" w:cs="Times New Roman"/>
          <w:b/>
          <w:bCs/>
          <w:kern w:val="0"/>
          <w:sz w:val="24"/>
          <w:szCs w:val="24"/>
          <w:lang w:eastAsia="nl-NL"/>
          <w14:ligatures w14:val="none"/>
        </w:rPr>
      </w:pPr>
      <w:r w:rsidRPr="00EB32FC">
        <w:rPr>
          <w:rFonts w:ascii="Times New Roman" w:hAnsi="Times New Roman" w:eastAsia="Times New Roman" w:cs="Times New Roman"/>
          <w:b/>
          <w:bCs/>
          <w:kern w:val="0"/>
          <w:sz w:val="24"/>
          <w:szCs w:val="24"/>
          <w:lang w:eastAsia="nl-NL"/>
          <w14:ligatures w14:val="none"/>
        </w:rPr>
        <w:t>25</w:t>
      </w:r>
    </w:p>
    <w:p w:rsidRPr="008A595A" w:rsidR="008A595A" w:rsidP="008A595A" w:rsidRDefault="008A595A" w14:paraId="7AF6C4AD" w14:textId="77777777">
      <w:pPr>
        <w:spacing w:after="0" w:line="240" w:lineRule="atLeast"/>
        <w:rPr>
          <w:rFonts w:ascii="Times New Roman" w:hAnsi="Times New Roman" w:eastAsia="Times New Roman" w:cs="Times New Roman"/>
          <w:kern w:val="0"/>
          <w:sz w:val="24"/>
          <w:szCs w:val="24"/>
          <w:lang w:eastAsia="nl-NL"/>
          <w14:ligatures w14:val="none"/>
        </w:rPr>
      </w:pPr>
      <w:r w:rsidRPr="00EB32FC">
        <w:rPr>
          <w:rFonts w:ascii="Times New Roman" w:hAnsi="Times New Roman" w:eastAsia="Times New Roman" w:cs="Times New Roman"/>
          <w:kern w:val="0"/>
          <w:sz w:val="24"/>
          <w:szCs w:val="24"/>
          <w:lang w:eastAsia="nl-NL"/>
          <w14:ligatures w14:val="none"/>
        </w:rPr>
        <w:t xml:space="preserve">Hoe geeft u uitvoering aan de aangenomen moties die zien op het </w:t>
      </w:r>
      <w:proofErr w:type="spellStart"/>
      <w:r w:rsidRPr="00EB32FC">
        <w:rPr>
          <w:rFonts w:ascii="Times New Roman" w:hAnsi="Times New Roman" w:eastAsia="Times New Roman" w:cs="Times New Roman"/>
          <w:kern w:val="0"/>
          <w:sz w:val="24"/>
          <w:szCs w:val="24"/>
          <w:lang w:eastAsia="nl-NL"/>
          <w14:ligatures w14:val="none"/>
        </w:rPr>
        <w:t>Rijkscloudbeleid</w:t>
      </w:r>
      <w:proofErr w:type="spellEnd"/>
      <w:r w:rsidRPr="00EB32FC">
        <w:rPr>
          <w:rFonts w:ascii="Times New Roman" w:hAnsi="Times New Roman" w:eastAsia="Times New Roman" w:cs="Times New Roman"/>
          <w:kern w:val="0"/>
          <w:sz w:val="24"/>
          <w:szCs w:val="24"/>
          <w:lang w:eastAsia="nl-NL"/>
          <w14:ligatures w14:val="none"/>
        </w:rPr>
        <w:t xml:space="preserve"> [Kamerstukken 26643-1315, 26643-1316, 26643-1317, 26643-1318, 36574-5, 36574-7, 36574-11 en 36574-13]? Wanneer verwacht u uitvoering te geven aan deze moties en welke middelen zijn hierbij</w:t>
      </w:r>
      <w:r w:rsidRPr="008A595A">
        <w:rPr>
          <w:rFonts w:ascii="Times New Roman" w:hAnsi="Times New Roman" w:eastAsia="Times New Roman" w:cs="Times New Roman"/>
          <w:kern w:val="0"/>
          <w:sz w:val="24"/>
          <w:szCs w:val="24"/>
          <w:lang w:eastAsia="nl-NL"/>
          <w14:ligatures w14:val="none"/>
        </w:rPr>
        <w:t xml:space="preserve"> gemoeid?</w:t>
      </w:r>
    </w:p>
    <w:p w:rsidRPr="008A595A" w:rsidR="008A595A" w:rsidP="008A595A" w:rsidRDefault="008A595A" w14:paraId="67E41B34" w14:textId="77777777">
      <w:pPr>
        <w:spacing w:after="0" w:line="240" w:lineRule="atLeast"/>
        <w:rPr>
          <w:rFonts w:ascii="Times New Roman" w:hAnsi="Times New Roman" w:eastAsia="Times New Roman" w:cs="Times New Roman"/>
          <w:kern w:val="0"/>
          <w:sz w:val="24"/>
          <w:szCs w:val="24"/>
          <w:lang w:eastAsia="nl-NL"/>
          <w14:ligatures w14:val="none"/>
        </w:rPr>
      </w:pPr>
    </w:p>
    <w:p w:rsidRPr="008A595A" w:rsidR="008A595A" w:rsidP="008A595A" w:rsidRDefault="008A595A" w14:paraId="34F48B8F" w14:textId="77777777">
      <w:pPr>
        <w:spacing w:after="0" w:line="240" w:lineRule="atLeast"/>
        <w:rPr>
          <w:rFonts w:ascii="Times New Roman" w:hAnsi="Times New Roman" w:eastAsia="Times New Roman" w:cs="Times New Roman"/>
          <w:kern w:val="0"/>
          <w:sz w:val="24"/>
          <w:szCs w:val="24"/>
          <w:lang w:eastAsia="nl-NL"/>
          <w14:ligatures w14:val="none"/>
        </w:rPr>
      </w:pPr>
      <w:r w:rsidRPr="008A595A">
        <w:rPr>
          <w:rFonts w:ascii="Times New Roman" w:hAnsi="Times New Roman" w:eastAsia="Times New Roman" w:cs="Times New Roman"/>
          <w:b/>
          <w:bCs/>
          <w:kern w:val="0"/>
          <w:sz w:val="24"/>
          <w:szCs w:val="24"/>
          <w:lang w:eastAsia="nl-NL"/>
          <w14:ligatures w14:val="none"/>
        </w:rPr>
        <w:t>Antwoord</w:t>
      </w:r>
      <w:r w:rsidRPr="008A595A">
        <w:rPr>
          <w:rFonts w:ascii="Times New Roman" w:hAnsi="Times New Roman" w:eastAsia="Times New Roman" w:cs="Times New Roman"/>
          <w:kern w:val="0"/>
          <w:sz w:val="24"/>
          <w:szCs w:val="24"/>
          <w:lang w:eastAsia="nl-NL"/>
          <w14:ligatures w14:val="none"/>
        </w:rPr>
        <w:t xml:space="preserve"> [deel EZ]</w:t>
      </w:r>
    </w:p>
    <w:p w:rsidRPr="008A595A" w:rsidR="008A595A" w:rsidP="008A595A" w:rsidRDefault="008A595A" w14:paraId="249AB57B" w14:textId="77777777">
      <w:pPr>
        <w:spacing w:after="0" w:line="240" w:lineRule="atLeast"/>
        <w:rPr>
          <w:rFonts w:ascii="Times New Roman" w:hAnsi="Times New Roman" w:eastAsia="Times New Roman" w:cs="Times New Roman"/>
          <w:kern w:val="0"/>
          <w:sz w:val="24"/>
          <w:szCs w:val="24"/>
          <w:lang w:eastAsia="nl-NL"/>
          <w14:ligatures w14:val="none"/>
        </w:rPr>
      </w:pPr>
      <w:r w:rsidRPr="008A595A">
        <w:rPr>
          <w:rFonts w:ascii="Times New Roman" w:hAnsi="Times New Roman" w:eastAsia="Times New Roman" w:cs="Times New Roman"/>
          <w:kern w:val="0"/>
          <w:sz w:val="24"/>
          <w:szCs w:val="24"/>
          <w:lang w:eastAsia="nl-NL"/>
          <w14:ligatures w14:val="none"/>
        </w:rPr>
        <w:t xml:space="preserve">Met betrekking tot motie-Kathmann (Kamerstuk nr. 26643-1317) inzake de SIDN-casus is hierop uitgebreid ingegaan in de Kamerbrief stand van zaken motie .nl-domein van 12 augustus </w:t>
      </w:r>
      <w:proofErr w:type="spellStart"/>
      <w:r w:rsidRPr="008A595A">
        <w:rPr>
          <w:rFonts w:ascii="Times New Roman" w:hAnsi="Times New Roman" w:eastAsia="Times New Roman" w:cs="Times New Roman"/>
          <w:kern w:val="0"/>
          <w:sz w:val="24"/>
          <w:szCs w:val="24"/>
          <w:lang w:eastAsia="nl-NL"/>
          <w14:ligatures w14:val="none"/>
        </w:rPr>
        <w:t>j.l</w:t>
      </w:r>
      <w:proofErr w:type="spellEnd"/>
      <w:r w:rsidRPr="008A595A">
        <w:rPr>
          <w:rFonts w:ascii="Times New Roman" w:hAnsi="Times New Roman" w:eastAsia="Times New Roman" w:cs="Times New Roman"/>
          <w:kern w:val="0"/>
          <w:sz w:val="24"/>
          <w:szCs w:val="24"/>
          <w:lang w:eastAsia="nl-NL"/>
          <w14:ligatures w14:val="none"/>
        </w:rPr>
        <w:t>.</w:t>
      </w:r>
      <w:r w:rsidRPr="008A595A">
        <w:rPr>
          <w:rFonts w:ascii="Times New Roman" w:hAnsi="Times New Roman" w:eastAsia="Times New Roman" w:cs="Times New Roman"/>
          <w:kern w:val="0"/>
          <w:sz w:val="24"/>
          <w:szCs w:val="24"/>
          <w:vertAlign w:val="superscript"/>
          <w:lang w:eastAsia="nl-NL"/>
          <w14:ligatures w14:val="none"/>
        </w:rPr>
        <w:footnoteReference w:id="1"/>
      </w:r>
      <w:r w:rsidRPr="008A595A">
        <w:rPr>
          <w:rFonts w:ascii="Times New Roman" w:hAnsi="Times New Roman" w:eastAsia="Times New Roman" w:cs="Times New Roman"/>
          <w:kern w:val="0"/>
          <w:sz w:val="24"/>
          <w:szCs w:val="24"/>
          <w:lang w:eastAsia="nl-NL"/>
          <w14:ligatures w14:val="none"/>
        </w:rPr>
        <w:t xml:space="preserve"> Over de uitvoering van de motie van </w:t>
      </w:r>
      <w:proofErr w:type="spellStart"/>
      <w:r w:rsidRPr="008A595A">
        <w:rPr>
          <w:rFonts w:ascii="Times New Roman" w:hAnsi="Times New Roman" w:eastAsia="Times New Roman" w:cs="Times New Roman"/>
          <w:kern w:val="0"/>
          <w:sz w:val="24"/>
          <w:szCs w:val="24"/>
          <w:lang w:eastAsia="nl-NL"/>
          <w14:ligatures w14:val="none"/>
        </w:rPr>
        <w:t>Bruyning</w:t>
      </w:r>
      <w:proofErr w:type="spellEnd"/>
      <w:r w:rsidRPr="008A595A">
        <w:rPr>
          <w:rFonts w:ascii="Times New Roman" w:hAnsi="Times New Roman" w:eastAsia="Times New Roman" w:cs="Times New Roman"/>
          <w:kern w:val="0"/>
          <w:sz w:val="24"/>
          <w:szCs w:val="24"/>
          <w:lang w:eastAsia="nl-NL"/>
          <w14:ligatures w14:val="none"/>
        </w:rPr>
        <w:t xml:space="preserve"> en Thijssen (Kamerstuk nr. 36574-11), alsmede de andere moties en toezegging die zijn voortgekomen uit het notaoverleg Initiatiefnota Wolken aan de Horizon op 2 juni 2025, is de Kamer deze week op 9 december geïnformeerd middels de Kamerbrief Moties en toezegging notaoverleg Wolken aan de Horizon</w:t>
      </w:r>
      <w:r w:rsidRPr="008A595A">
        <w:rPr>
          <w:rFonts w:ascii="Times New Roman" w:hAnsi="Times New Roman" w:eastAsia="Times New Roman" w:cs="Times New Roman"/>
          <w:kern w:val="0"/>
          <w:sz w:val="24"/>
          <w:szCs w:val="24"/>
          <w:vertAlign w:val="superscript"/>
          <w:lang w:eastAsia="nl-NL"/>
          <w14:ligatures w14:val="none"/>
        </w:rPr>
        <w:footnoteReference w:id="2"/>
      </w:r>
      <w:r w:rsidRPr="008A595A">
        <w:rPr>
          <w:rFonts w:ascii="Times New Roman" w:hAnsi="Times New Roman" w:eastAsia="Times New Roman" w:cs="Times New Roman"/>
          <w:kern w:val="0"/>
          <w:sz w:val="24"/>
          <w:szCs w:val="24"/>
          <w:lang w:eastAsia="nl-NL"/>
          <w14:ligatures w14:val="none"/>
        </w:rPr>
        <w:t>.</w:t>
      </w:r>
    </w:p>
    <w:p w:rsidRPr="008A595A" w:rsidR="008A595A" w:rsidP="008A595A" w:rsidRDefault="008A595A" w14:paraId="5E3102ED" w14:textId="77777777">
      <w:pPr>
        <w:spacing w:after="0" w:line="240" w:lineRule="atLeast"/>
        <w:rPr>
          <w:rFonts w:ascii="Times New Roman" w:hAnsi="Times New Roman" w:eastAsia="Times New Roman" w:cs="Times New Roman"/>
          <w:kern w:val="0"/>
          <w:sz w:val="24"/>
          <w:szCs w:val="24"/>
          <w:lang w:eastAsia="nl-NL"/>
          <w14:ligatures w14:val="none"/>
        </w:rPr>
      </w:pPr>
    </w:p>
    <w:p w:rsidRPr="008A595A" w:rsidR="008A595A" w:rsidP="008A595A" w:rsidRDefault="008A595A" w14:paraId="194A36BC" w14:textId="77777777">
      <w:pPr>
        <w:spacing w:after="0" w:line="240" w:lineRule="atLeast"/>
        <w:rPr>
          <w:rFonts w:ascii="Times New Roman" w:hAnsi="Times New Roman" w:eastAsia="Times New Roman" w:cs="Times New Roman"/>
          <w:kern w:val="0"/>
          <w:sz w:val="24"/>
          <w:szCs w:val="24"/>
          <w:lang w:eastAsia="nl-NL"/>
          <w14:ligatures w14:val="none"/>
        </w:rPr>
      </w:pPr>
      <w:r w:rsidRPr="008A595A">
        <w:rPr>
          <w:rFonts w:ascii="Times New Roman" w:hAnsi="Times New Roman" w:eastAsia="Times New Roman" w:cs="Times New Roman"/>
          <w:kern w:val="0"/>
          <w:sz w:val="24"/>
          <w:szCs w:val="24"/>
          <w:lang w:eastAsia="nl-NL"/>
          <w14:ligatures w14:val="none"/>
        </w:rPr>
        <w:t>Met betrekking tot de overig benoemde kamerstukken (Kamerstukken 26643-1315, 26643-1316, 26643-1318, 36574-5, 36574-7 en 36574-13) is de beantwoording opgenomen in de antwoorden van BZK.</w:t>
      </w:r>
    </w:p>
    <w:p w:rsidRPr="008A595A" w:rsidR="008A595A" w:rsidP="008A595A" w:rsidRDefault="008A595A" w14:paraId="4F228EB5" w14:textId="77777777">
      <w:pPr>
        <w:spacing w:after="0" w:line="240" w:lineRule="atLeast"/>
        <w:rPr>
          <w:rFonts w:ascii="Times New Roman" w:hAnsi="Times New Roman" w:eastAsia="Times New Roman" w:cs="Times New Roman"/>
          <w:kern w:val="0"/>
          <w:sz w:val="24"/>
          <w:szCs w:val="24"/>
          <w:lang w:eastAsia="nl-NL"/>
          <w14:ligatures w14:val="none"/>
        </w:rPr>
      </w:pPr>
    </w:p>
    <w:p w:rsidRPr="008A595A" w:rsidR="008A595A" w:rsidP="008A595A" w:rsidRDefault="008A595A" w14:paraId="7BC9895F" w14:textId="77777777">
      <w:pPr>
        <w:spacing w:after="0" w:line="240" w:lineRule="atLeast"/>
        <w:rPr>
          <w:rFonts w:ascii="Times New Roman" w:hAnsi="Times New Roman" w:eastAsia="Times New Roman" w:cs="Times New Roman"/>
          <w:b/>
          <w:bCs/>
          <w:kern w:val="0"/>
          <w:sz w:val="24"/>
          <w:szCs w:val="24"/>
          <w:lang w:eastAsia="nl-NL"/>
          <w14:ligatures w14:val="none"/>
        </w:rPr>
      </w:pPr>
      <w:r w:rsidRPr="008A595A">
        <w:rPr>
          <w:rFonts w:ascii="Times New Roman" w:hAnsi="Times New Roman" w:eastAsia="Times New Roman" w:cs="Times New Roman"/>
          <w:b/>
          <w:bCs/>
          <w:kern w:val="0"/>
          <w:sz w:val="24"/>
          <w:szCs w:val="24"/>
          <w:lang w:eastAsia="nl-NL"/>
          <w14:ligatures w14:val="none"/>
        </w:rPr>
        <w:t>27</w:t>
      </w:r>
    </w:p>
    <w:p w:rsidRPr="008A595A" w:rsidR="008A595A" w:rsidP="008A595A" w:rsidRDefault="008A595A" w14:paraId="7DA7F69F" w14:textId="77777777">
      <w:pPr>
        <w:spacing w:after="0" w:line="240" w:lineRule="atLeast"/>
        <w:rPr>
          <w:rFonts w:ascii="Times New Roman" w:hAnsi="Times New Roman" w:eastAsia="Times New Roman" w:cs="Times New Roman"/>
          <w:kern w:val="0"/>
          <w:sz w:val="24"/>
          <w:szCs w:val="24"/>
          <w:lang w:eastAsia="nl-NL"/>
          <w14:ligatures w14:val="none"/>
        </w:rPr>
      </w:pPr>
      <w:r w:rsidRPr="008A595A">
        <w:rPr>
          <w:rFonts w:ascii="Times New Roman" w:hAnsi="Times New Roman" w:eastAsia="Times New Roman" w:cs="Times New Roman"/>
          <w:kern w:val="0"/>
          <w:sz w:val="24"/>
          <w:szCs w:val="24"/>
          <w:lang w:eastAsia="nl-NL"/>
          <w14:ligatures w14:val="none"/>
        </w:rPr>
        <w:t xml:space="preserve">Kunt u </w:t>
      </w:r>
      <w:r w:rsidRPr="00EB32FC">
        <w:rPr>
          <w:rFonts w:ascii="Times New Roman" w:hAnsi="Times New Roman" w:eastAsia="Times New Roman" w:cs="Times New Roman"/>
          <w:kern w:val="0"/>
          <w:sz w:val="24"/>
          <w:szCs w:val="24"/>
          <w:lang w:eastAsia="nl-NL"/>
          <w14:ligatures w14:val="none"/>
        </w:rPr>
        <w:t>toelichten hoe de motie-Kathmann-Koekkoek [Kamerstuk 32761-325]</w:t>
      </w:r>
      <w:r w:rsidRPr="008A595A">
        <w:rPr>
          <w:rFonts w:ascii="Times New Roman" w:hAnsi="Times New Roman" w:eastAsia="Times New Roman" w:cs="Times New Roman"/>
          <w:kern w:val="0"/>
          <w:sz w:val="24"/>
          <w:szCs w:val="24"/>
          <w:lang w:eastAsia="nl-NL"/>
          <w14:ligatures w14:val="none"/>
        </w:rPr>
        <w:t xml:space="preserve"> wordt uitgevoerd? Welke middelen zijn hier voor uitgetrokken?</w:t>
      </w:r>
    </w:p>
    <w:p w:rsidRPr="008A595A" w:rsidR="008A595A" w:rsidP="008A595A" w:rsidRDefault="008A595A" w14:paraId="2FAD2E5E" w14:textId="77777777">
      <w:pPr>
        <w:spacing w:after="0" w:line="240" w:lineRule="atLeast"/>
        <w:rPr>
          <w:rFonts w:ascii="Times New Roman" w:hAnsi="Times New Roman" w:eastAsia="Times New Roman" w:cs="Times New Roman"/>
          <w:kern w:val="0"/>
          <w:sz w:val="24"/>
          <w:szCs w:val="24"/>
          <w:lang w:eastAsia="nl-NL"/>
          <w14:ligatures w14:val="none"/>
        </w:rPr>
      </w:pPr>
    </w:p>
    <w:p w:rsidRPr="008A595A" w:rsidR="008A595A" w:rsidP="008A595A" w:rsidRDefault="008A595A" w14:paraId="21D8A8B0" w14:textId="77777777">
      <w:pPr>
        <w:spacing w:after="0" w:line="240" w:lineRule="atLeast"/>
        <w:rPr>
          <w:rFonts w:ascii="Times New Roman" w:hAnsi="Times New Roman" w:eastAsia="Times New Roman" w:cs="Times New Roman"/>
          <w:b/>
          <w:bCs/>
          <w:kern w:val="0"/>
          <w:sz w:val="24"/>
          <w:szCs w:val="24"/>
          <w:lang w:eastAsia="nl-NL"/>
          <w14:ligatures w14:val="none"/>
        </w:rPr>
      </w:pPr>
      <w:r w:rsidRPr="008A595A">
        <w:rPr>
          <w:rFonts w:ascii="Times New Roman" w:hAnsi="Times New Roman" w:eastAsia="Times New Roman" w:cs="Times New Roman"/>
          <w:b/>
          <w:bCs/>
          <w:kern w:val="0"/>
          <w:sz w:val="24"/>
          <w:szCs w:val="24"/>
          <w:lang w:eastAsia="nl-NL"/>
          <w14:ligatures w14:val="none"/>
        </w:rPr>
        <w:t>Antwoord</w:t>
      </w:r>
    </w:p>
    <w:p w:rsidRPr="008A595A" w:rsidR="008A595A" w:rsidP="008A595A" w:rsidRDefault="008A595A" w14:paraId="0FCC27EE" w14:textId="77777777">
      <w:pPr>
        <w:spacing w:after="0" w:line="240" w:lineRule="atLeast"/>
        <w:rPr>
          <w:rFonts w:ascii="Times New Roman" w:hAnsi="Times New Roman" w:eastAsia="Times New Roman" w:cs="Times New Roman"/>
          <w:kern w:val="0"/>
          <w:sz w:val="24"/>
          <w:szCs w:val="24"/>
          <w:lang w:eastAsia="nl-NL"/>
          <w14:ligatures w14:val="none"/>
        </w:rPr>
      </w:pPr>
      <w:r w:rsidRPr="008A595A">
        <w:rPr>
          <w:rFonts w:ascii="Times New Roman" w:hAnsi="Times New Roman" w:eastAsia="Times New Roman" w:cs="Times New Roman"/>
          <w:kern w:val="0"/>
          <w:sz w:val="24"/>
          <w:szCs w:val="24"/>
          <w:lang w:eastAsia="nl-NL"/>
          <w14:ligatures w14:val="none"/>
        </w:rPr>
        <w:t xml:space="preserve">De start van de </w:t>
      </w:r>
      <w:proofErr w:type="spellStart"/>
      <w:r w:rsidRPr="008A595A">
        <w:rPr>
          <w:rFonts w:ascii="Times New Roman" w:hAnsi="Times New Roman" w:eastAsia="Times New Roman" w:cs="Times New Roman"/>
          <w:kern w:val="0"/>
          <w:sz w:val="24"/>
          <w:szCs w:val="24"/>
          <w:lang w:eastAsia="nl-NL"/>
          <w14:ligatures w14:val="none"/>
        </w:rPr>
        <w:t>regulatory</w:t>
      </w:r>
      <w:proofErr w:type="spellEnd"/>
      <w:r w:rsidRPr="008A595A">
        <w:rPr>
          <w:rFonts w:ascii="Times New Roman" w:hAnsi="Times New Roman" w:eastAsia="Times New Roman" w:cs="Times New Roman"/>
          <w:kern w:val="0"/>
          <w:sz w:val="24"/>
          <w:szCs w:val="24"/>
          <w:lang w:eastAsia="nl-NL"/>
          <w14:ligatures w14:val="none"/>
        </w:rPr>
        <w:t xml:space="preserve"> </w:t>
      </w:r>
      <w:proofErr w:type="spellStart"/>
      <w:r w:rsidRPr="008A595A">
        <w:rPr>
          <w:rFonts w:ascii="Times New Roman" w:hAnsi="Times New Roman" w:eastAsia="Times New Roman" w:cs="Times New Roman"/>
          <w:kern w:val="0"/>
          <w:sz w:val="24"/>
          <w:szCs w:val="24"/>
          <w:lang w:eastAsia="nl-NL"/>
          <w14:ligatures w14:val="none"/>
        </w:rPr>
        <w:t>sandbox</w:t>
      </w:r>
      <w:proofErr w:type="spellEnd"/>
      <w:r w:rsidRPr="008A595A">
        <w:rPr>
          <w:rFonts w:ascii="Times New Roman" w:hAnsi="Times New Roman" w:eastAsia="Times New Roman" w:cs="Times New Roman"/>
          <w:kern w:val="0"/>
          <w:sz w:val="24"/>
          <w:szCs w:val="24"/>
          <w:lang w:eastAsia="nl-NL"/>
          <w14:ligatures w14:val="none"/>
        </w:rPr>
        <w:t xml:space="preserve"> is een prioriteit, maar afhankelijk van financiële middelen, zoals destijds ook aangegeven in de appreciatie op deze motie. Op dit moment is de </w:t>
      </w:r>
      <w:proofErr w:type="spellStart"/>
      <w:r w:rsidRPr="008A595A">
        <w:rPr>
          <w:rFonts w:ascii="Times New Roman" w:hAnsi="Times New Roman" w:eastAsia="Times New Roman" w:cs="Times New Roman"/>
          <w:kern w:val="0"/>
          <w:sz w:val="24"/>
          <w:szCs w:val="24"/>
          <w:lang w:eastAsia="nl-NL"/>
          <w14:ligatures w14:val="none"/>
        </w:rPr>
        <w:t>regulatory</w:t>
      </w:r>
      <w:proofErr w:type="spellEnd"/>
      <w:r w:rsidRPr="008A595A">
        <w:rPr>
          <w:rFonts w:ascii="Times New Roman" w:hAnsi="Times New Roman" w:eastAsia="Times New Roman" w:cs="Times New Roman"/>
          <w:kern w:val="0"/>
          <w:sz w:val="24"/>
          <w:szCs w:val="24"/>
          <w:lang w:eastAsia="nl-NL"/>
          <w14:ligatures w14:val="none"/>
        </w:rPr>
        <w:t xml:space="preserve"> </w:t>
      </w:r>
      <w:proofErr w:type="spellStart"/>
      <w:r w:rsidRPr="008A595A">
        <w:rPr>
          <w:rFonts w:ascii="Times New Roman" w:hAnsi="Times New Roman" w:eastAsia="Times New Roman" w:cs="Times New Roman"/>
          <w:kern w:val="0"/>
          <w:sz w:val="24"/>
          <w:szCs w:val="24"/>
          <w:lang w:eastAsia="nl-NL"/>
          <w14:ligatures w14:val="none"/>
        </w:rPr>
        <w:t>sandbox</w:t>
      </w:r>
      <w:proofErr w:type="spellEnd"/>
      <w:r w:rsidRPr="008A595A">
        <w:rPr>
          <w:rFonts w:ascii="Times New Roman" w:hAnsi="Times New Roman" w:eastAsia="Times New Roman" w:cs="Times New Roman"/>
          <w:kern w:val="0"/>
          <w:sz w:val="24"/>
          <w:szCs w:val="24"/>
          <w:lang w:eastAsia="nl-NL"/>
          <w14:ligatures w14:val="none"/>
        </w:rPr>
        <w:t xml:space="preserve"> in voorbereiding. De Autoriteit Persoonsgegevens (AP) en de Rijksinspectie Digitale Infrastructuur (RDI) hebben daar ook middelen voor gekregen als onderdeel van de voorbereiding van het toezicht op de AI-verordening. De officiële start van de </w:t>
      </w:r>
      <w:proofErr w:type="spellStart"/>
      <w:r w:rsidRPr="008A595A">
        <w:rPr>
          <w:rFonts w:ascii="Times New Roman" w:hAnsi="Times New Roman" w:eastAsia="Times New Roman" w:cs="Times New Roman"/>
          <w:kern w:val="0"/>
          <w:sz w:val="24"/>
          <w:szCs w:val="24"/>
          <w:lang w:eastAsia="nl-NL"/>
          <w14:ligatures w14:val="none"/>
        </w:rPr>
        <w:t>sandbox</w:t>
      </w:r>
      <w:proofErr w:type="spellEnd"/>
      <w:r w:rsidRPr="008A595A">
        <w:rPr>
          <w:rFonts w:ascii="Times New Roman" w:hAnsi="Times New Roman" w:eastAsia="Times New Roman" w:cs="Times New Roman"/>
          <w:kern w:val="0"/>
          <w:sz w:val="24"/>
          <w:szCs w:val="24"/>
          <w:lang w:eastAsia="nl-NL"/>
          <w14:ligatures w14:val="none"/>
        </w:rPr>
        <w:t xml:space="preserve"> wordt verwacht in 2026 maar nog afhankelijk van de beschikbaarheid van structurele middelen. Er zijn met de reeds toegekende middelen voor de voorbereiding wel diverse voorbereidende activiteiten ondernomen in samenspraak tussen o.a. AP, RDI en EZ ter voorbereiding op de </w:t>
      </w:r>
      <w:proofErr w:type="spellStart"/>
      <w:r w:rsidRPr="008A595A">
        <w:rPr>
          <w:rFonts w:ascii="Times New Roman" w:hAnsi="Times New Roman" w:eastAsia="Times New Roman" w:cs="Times New Roman"/>
          <w:kern w:val="0"/>
          <w:sz w:val="24"/>
          <w:szCs w:val="24"/>
          <w:lang w:eastAsia="nl-NL"/>
          <w14:ligatures w14:val="none"/>
        </w:rPr>
        <w:t>sandbox</w:t>
      </w:r>
      <w:proofErr w:type="spellEnd"/>
      <w:r w:rsidRPr="008A595A">
        <w:rPr>
          <w:rFonts w:ascii="Times New Roman" w:hAnsi="Times New Roman" w:eastAsia="Times New Roman" w:cs="Times New Roman"/>
          <w:kern w:val="0"/>
          <w:sz w:val="24"/>
          <w:szCs w:val="24"/>
          <w:lang w:eastAsia="nl-NL"/>
          <w14:ligatures w14:val="none"/>
        </w:rPr>
        <w:t xml:space="preserve">, zoals een uitgevoerde pilot. Recentelijk heeft de Europese Commissie daarnaast de AI Act Service Desk gelanceerd, waar </w:t>
      </w:r>
      <w:proofErr w:type="spellStart"/>
      <w:r w:rsidRPr="008A595A">
        <w:rPr>
          <w:rFonts w:ascii="Times New Roman" w:hAnsi="Times New Roman" w:eastAsia="Times New Roman" w:cs="Times New Roman"/>
          <w:kern w:val="0"/>
          <w:sz w:val="24"/>
          <w:szCs w:val="24"/>
          <w:lang w:eastAsia="nl-NL"/>
          <w14:ligatures w14:val="none"/>
        </w:rPr>
        <w:t>start-ups</w:t>
      </w:r>
      <w:proofErr w:type="spellEnd"/>
      <w:r w:rsidRPr="008A595A">
        <w:rPr>
          <w:rFonts w:ascii="Times New Roman" w:hAnsi="Times New Roman" w:eastAsia="Times New Roman" w:cs="Times New Roman"/>
          <w:kern w:val="0"/>
          <w:sz w:val="24"/>
          <w:szCs w:val="24"/>
          <w:lang w:eastAsia="nl-NL"/>
          <w14:ligatures w14:val="none"/>
        </w:rPr>
        <w:t>, het mkb en overheden al terecht kunnen met vragen over de AI-verordening. Voor een groot deel van de vragen in deze voorbereidende fase van de verordening kunnen organisaties daar al terecht.</w:t>
      </w:r>
    </w:p>
    <w:p w:rsidRPr="008A595A" w:rsidR="008A595A" w:rsidP="008A595A" w:rsidRDefault="008A595A" w14:paraId="26248D96" w14:textId="77777777">
      <w:pPr>
        <w:spacing w:after="0" w:line="240" w:lineRule="atLeast"/>
        <w:rPr>
          <w:rFonts w:ascii="Times New Roman" w:hAnsi="Times New Roman" w:eastAsia="Times New Roman" w:cs="Times New Roman"/>
          <w:kern w:val="0"/>
          <w:sz w:val="24"/>
          <w:szCs w:val="24"/>
          <w:lang w:eastAsia="nl-NL"/>
          <w14:ligatures w14:val="none"/>
        </w:rPr>
      </w:pPr>
    </w:p>
    <w:p w:rsidRPr="008A595A" w:rsidR="008A595A" w:rsidP="008A595A" w:rsidRDefault="008A595A" w14:paraId="635868D7" w14:textId="77777777">
      <w:pPr>
        <w:spacing w:after="0" w:line="240" w:lineRule="atLeast"/>
        <w:rPr>
          <w:rFonts w:ascii="Times New Roman" w:hAnsi="Times New Roman" w:eastAsia="Times New Roman" w:cs="Times New Roman"/>
          <w:b/>
          <w:bCs/>
          <w:kern w:val="0"/>
          <w:sz w:val="24"/>
          <w:szCs w:val="24"/>
          <w:lang w:eastAsia="nl-NL"/>
          <w14:ligatures w14:val="none"/>
        </w:rPr>
      </w:pPr>
      <w:r w:rsidRPr="008A595A">
        <w:rPr>
          <w:rFonts w:ascii="Times New Roman" w:hAnsi="Times New Roman" w:eastAsia="Times New Roman" w:cs="Times New Roman"/>
          <w:b/>
          <w:bCs/>
          <w:kern w:val="0"/>
          <w:sz w:val="24"/>
          <w:szCs w:val="24"/>
          <w:lang w:eastAsia="nl-NL"/>
          <w14:ligatures w14:val="none"/>
        </w:rPr>
        <w:lastRenderedPageBreak/>
        <w:t>50</w:t>
      </w:r>
    </w:p>
    <w:p w:rsidRPr="00EB32FC" w:rsidR="008A595A" w:rsidP="008A595A" w:rsidRDefault="008A595A" w14:paraId="51BAE688" w14:textId="77777777">
      <w:pPr>
        <w:spacing w:after="0" w:line="240" w:lineRule="atLeast"/>
        <w:rPr>
          <w:rFonts w:ascii="Times New Roman" w:hAnsi="Times New Roman" w:eastAsia="Times New Roman" w:cs="Times New Roman"/>
          <w:kern w:val="0"/>
          <w:sz w:val="24"/>
          <w:szCs w:val="24"/>
          <w:lang w:eastAsia="nl-NL"/>
          <w14:ligatures w14:val="none"/>
        </w:rPr>
      </w:pPr>
      <w:r w:rsidRPr="00EB32FC">
        <w:rPr>
          <w:rFonts w:ascii="Times New Roman" w:hAnsi="Times New Roman" w:eastAsia="Times New Roman" w:cs="Times New Roman"/>
          <w:kern w:val="0"/>
          <w:sz w:val="24"/>
          <w:szCs w:val="24"/>
          <w:lang w:eastAsia="nl-NL"/>
          <w14:ligatures w14:val="none"/>
        </w:rPr>
        <w:t>Kunt u toelichten hoe de motie-Six Dijkstra c.s. [Kamerstuk 26643-1421] wordt uitgevoerd? Welke middelen zijn hier voor uitgetrokken?</w:t>
      </w:r>
    </w:p>
    <w:p w:rsidRPr="00EB32FC" w:rsidR="008A595A" w:rsidP="008A595A" w:rsidRDefault="008A595A" w14:paraId="0A2AD4DD" w14:textId="77777777">
      <w:pPr>
        <w:spacing w:after="0" w:line="240" w:lineRule="atLeast"/>
        <w:rPr>
          <w:rFonts w:ascii="Times New Roman" w:hAnsi="Times New Roman" w:eastAsia="Times New Roman" w:cs="Times New Roman"/>
          <w:kern w:val="0"/>
          <w:sz w:val="24"/>
          <w:szCs w:val="24"/>
          <w:lang w:eastAsia="nl-NL"/>
          <w14:ligatures w14:val="none"/>
        </w:rPr>
      </w:pPr>
    </w:p>
    <w:p w:rsidRPr="008A595A" w:rsidR="008A595A" w:rsidP="008A595A" w:rsidRDefault="008A595A" w14:paraId="2834D384" w14:textId="77777777">
      <w:pPr>
        <w:spacing w:after="0" w:line="240" w:lineRule="atLeast"/>
        <w:rPr>
          <w:rFonts w:ascii="Times New Roman" w:hAnsi="Times New Roman" w:eastAsia="Times New Roman" w:cs="Times New Roman"/>
          <w:b/>
          <w:bCs/>
          <w:kern w:val="0"/>
          <w:sz w:val="24"/>
          <w:szCs w:val="24"/>
          <w:lang w:eastAsia="nl-NL"/>
          <w14:ligatures w14:val="none"/>
        </w:rPr>
      </w:pPr>
      <w:r w:rsidRPr="00EB32FC">
        <w:rPr>
          <w:rFonts w:ascii="Times New Roman" w:hAnsi="Times New Roman" w:eastAsia="Times New Roman" w:cs="Times New Roman"/>
          <w:b/>
          <w:bCs/>
          <w:kern w:val="0"/>
          <w:sz w:val="24"/>
          <w:szCs w:val="24"/>
          <w:lang w:eastAsia="nl-NL"/>
          <w14:ligatures w14:val="none"/>
        </w:rPr>
        <w:t>Antwoord</w:t>
      </w:r>
    </w:p>
    <w:p w:rsidRPr="008A595A" w:rsidR="008A595A" w:rsidP="008A595A" w:rsidRDefault="008A595A" w14:paraId="0DA32F65" w14:textId="77777777">
      <w:pPr>
        <w:spacing w:after="0" w:line="240" w:lineRule="atLeast"/>
        <w:rPr>
          <w:rFonts w:ascii="Times New Roman" w:hAnsi="Times New Roman" w:eastAsia="Times New Roman" w:cs="Times New Roman"/>
          <w:kern w:val="0"/>
          <w:sz w:val="24"/>
          <w:szCs w:val="24"/>
          <w:lang w:eastAsia="nl-NL"/>
          <w14:ligatures w14:val="none"/>
        </w:rPr>
      </w:pPr>
      <w:r w:rsidRPr="008A595A">
        <w:rPr>
          <w:rFonts w:ascii="Times New Roman" w:hAnsi="Times New Roman" w:eastAsia="Times New Roman" w:cs="Times New Roman"/>
          <w:kern w:val="0"/>
          <w:sz w:val="24"/>
          <w:szCs w:val="24"/>
          <w:lang w:eastAsia="nl-NL"/>
          <w14:ligatures w14:val="none"/>
        </w:rPr>
        <w:t>Het kabinet onderneemt de nodige acties om tot een versterkte cybersecuritysector te komen. Zo zijn in de Nationale Technologiestrategie (NTS) verschillende ambities geformuleerd die bijvoorbeeld bijdragen aan het versterken van de absorptiecapaciteit van het MKB, aan beschikbaarheid van voldoende talent en aan het versterken van kennisvalorisatie. Momenteel wordt door Digital Holland (voorheen Topsector ICT) gewerkt aan een actie-agenda die naar verwachting in het eerste kwartaal van 2026 gereed is. Ook worden waar nodig beschermende maatregelen genomen in relatie tot de Nederlandse cybersecuritysector met het oog op de economische veiligheid.</w:t>
      </w:r>
    </w:p>
    <w:p w:rsidRPr="008A595A" w:rsidR="008A595A" w:rsidP="008A595A" w:rsidRDefault="008A595A" w14:paraId="485DF142" w14:textId="77777777">
      <w:pPr>
        <w:spacing w:after="0" w:line="240" w:lineRule="atLeast"/>
        <w:rPr>
          <w:rFonts w:ascii="Times New Roman" w:hAnsi="Times New Roman" w:eastAsia="Times New Roman" w:cs="Times New Roman"/>
          <w:kern w:val="0"/>
          <w:sz w:val="24"/>
          <w:szCs w:val="24"/>
          <w:lang w:eastAsia="nl-NL"/>
          <w14:ligatures w14:val="none"/>
        </w:rPr>
      </w:pPr>
    </w:p>
    <w:p w:rsidRPr="008A595A" w:rsidR="008A595A" w:rsidP="008A595A" w:rsidRDefault="008A595A" w14:paraId="56FD5A53" w14:textId="77777777">
      <w:pPr>
        <w:spacing w:after="0" w:line="240" w:lineRule="atLeast"/>
        <w:rPr>
          <w:rFonts w:ascii="Times New Roman" w:hAnsi="Times New Roman" w:eastAsia="Times New Roman" w:cs="Times New Roman"/>
          <w:kern w:val="0"/>
          <w:sz w:val="24"/>
          <w:szCs w:val="24"/>
          <w:lang w:eastAsia="nl-NL"/>
          <w14:ligatures w14:val="none"/>
        </w:rPr>
      </w:pPr>
      <w:r w:rsidRPr="008A595A">
        <w:rPr>
          <w:rFonts w:ascii="Times New Roman" w:hAnsi="Times New Roman" w:eastAsia="Times New Roman" w:cs="Times New Roman"/>
          <w:kern w:val="0"/>
          <w:sz w:val="24"/>
          <w:szCs w:val="24"/>
          <w:lang w:eastAsia="nl-NL"/>
          <w14:ligatures w14:val="none"/>
        </w:rPr>
        <w:t>Het kabinet zal op korte termijn een brief aan Uw Kamer sturen ter beantwoording van de motie. Hierin zal uitgebreider ingegaan worden op de maatregelen die het kabinet neemt.</w:t>
      </w:r>
    </w:p>
    <w:p w:rsidRPr="008A595A" w:rsidR="008A595A" w:rsidP="008A595A" w:rsidRDefault="008A595A" w14:paraId="507F0AD4" w14:textId="77777777">
      <w:pPr>
        <w:spacing w:after="0" w:line="240" w:lineRule="atLeast"/>
        <w:rPr>
          <w:rFonts w:ascii="Times New Roman" w:hAnsi="Times New Roman" w:eastAsia="Times New Roman" w:cs="Times New Roman"/>
          <w:kern w:val="0"/>
          <w:sz w:val="24"/>
          <w:szCs w:val="24"/>
          <w:lang w:eastAsia="nl-NL"/>
          <w14:ligatures w14:val="none"/>
        </w:rPr>
      </w:pPr>
    </w:p>
    <w:p w:rsidRPr="008A595A" w:rsidR="008A595A" w:rsidP="008A595A" w:rsidRDefault="008A595A" w14:paraId="34CF3757" w14:textId="77777777">
      <w:pPr>
        <w:rPr>
          <w:rFonts w:ascii="Times New Roman" w:hAnsi="Times New Roman" w:cs="Times New Roman"/>
          <w:sz w:val="24"/>
          <w:szCs w:val="24"/>
        </w:rPr>
      </w:pPr>
    </w:p>
    <w:p w:rsidRPr="008A595A" w:rsidR="00F80165" w:rsidRDefault="00F80165" w14:paraId="0C8AD3A9" w14:textId="77777777">
      <w:pPr>
        <w:rPr>
          <w:rFonts w:ascii="Times New Roman" w:hAnsi="Times New Roman" w:cs="Times New Roman"/>
          <w:sz w:val="24"/>
          <w:szCs w:val="24"/>
        </w:rPr>
      </w:pPr>
    </w:p>
    <w:sectPr w:rsidRPr="008A595A" w:rsidR="00F80165" w:rsidSect="008A595A">
      <w:headerReference w:type="even" r:id="rId9"/>
      <w:headerReference w:type="default" r:id="rId10"/>
      <w:footerReference w:type="even" r:id="rId11"/>
      <w:footerReference w:type="default" r:id="rId12"/>
      <w:headerReference w:type="first" r:id="rId13"/>
      <w:footerReference w:type="first" r:id="rId14"/>
      <w:pgSz w:w="11906" w:h="16838" w:code="9"/>
      <w:pgMar w:top="2398" w:right="2818" w:bottom="1077" w:left="1559" w:header="2398" w:footer="561" w:gutter="0"/>
      <w:pgNumType w:start="1"/>
      <w:cols w:space="708"/>
      <w:titlePg/>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7225B4" w14:textId="77777777" w:rsidR="008A595A" w:rsidRDefault="008A595A" w:rsidP="008A595A">
      <w:pPr>
        <w:spacing w:after="0" w:line="240" w:lineRule="auto"/>
      </w:pPr>
      <w:r>
        <w:separator/>
      </w:r>
    </w:p>
  </w:endnote>
  <w:endnote w:type="continuationSeparator" w:id="0">
    <w:p w14:paraId="44A0B136" w14:textId="77777777" w:rsidR="008A595A" w:rsidRDefault="008A595A" w:rsidP="008A59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Verdana-Bold">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CB6542" w14:textId="77777777" w:rsidR="008A595A" w:rsidRPr="008A595A" w:rsidRDefault="008A595A" w:rsidP="008A595A">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FD24EC" w14:textId="77777777" w:rsidR="008A595A" w:rsidRPr="008A595A" w:rsidRDefault="008A595A" w:rsidP="008A595A">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F87AD5" w14:textId="77777777" w:rsidR="008A595A" w:rsidRPr="008A595A" w:rsidRDefault="008A595A" w:rsidP="008A595A">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C9DD49" w14:textId="77777777" w:rsidR="008A595A" w:rsidRDefault="008A595A" w:rsidP="008A595A">
      <w:pPr>
        <w:spacing w:after="0" w:line="240" w:lineRule="auto"/>
      </w:pPr>
      <w:r>
        <w:separator/>
      </w:r>
    </w:p>
  </w:footnote>
  <w:footnote w:type="continuationSeparator" w:id="0">
    <w:p w14:paraId="6403A65C" w14:textId="77777777" w:rsidR="008A595A" w:rsidRDefault="008A595A" w:rsidP="008A595A">
      <w:pPr>
        <w:spacing w:after="0" w:line="240" w:lineRule="auto"/>
      </w:pPr>
      <w:r>
        <w:continuationSeparator/>
      </w:r>
    </w:p>
  </w:footnote>
  <w:footnote w:id="1">
    <w:p w14:paraId="53566FC3" w14:textId="77777777" w:rsidR="008A595A" w:rsidRPr="00EB32FC" w:rsidRDefault="008A595A" w:rsidP="008A595A">
      <w:pPr>
        <w:pStyle w:val="Voetnoottekst"/>
        <w:rPr>
          <w:rFonts w:ascii="Times New Roman" w:hAnsi="Times New Roman" w:cs="Times New Roman"/>
          <w:szCs w:val="13"/>
        </w:rPr>
      </w:pPr>
      <w:r w:rsidRPr="00EB32FC">
        <w:rPr>
          <w:rStyle w:val="Voetnootmarkering"/>
          <w:rFonts w:ascii="Times New Roman" w:hAnsi="Times New Roman" w:cs="Times New Roman"/>
          <w:szCs w:val="13"/>
        </w:rPr>
        <w:footnoteRef/>
      </w:r>
      <w:r w:rsidRPr="00EB32FC">
        <w:rPr>
          <w:rFonts w:ascii="Times New Roman" w:hAnsi="Times New Roman" w:cs="Times New Roman"/>
          <w:szCs w:val="13"/>
        </w:rPr>
        <w:t xml:space="preserve"> </w:t>
      </w:r>
      <w:hyperlink r:id="rId1" w:history="1">
        <w:r w:rsidRPr="00EB32FC">
          <w:rPr>
            <w:rStyle w:val="Hyperlink"/>
            <w:rFonts w:ascii="Times New Roman" w:hAnsi="Times New Roman" w:cs="Times New Roman"/>
            <w:szCs w:val="13"/>
          </w:rPr>
          <w:t>https://www.rijksoverheid.nl/documenten/kamerstukken/2025/08/12/opvolging-motie-over-nl-domein-weer-volledig-in-nederland-krijgen</w:t>
        </w:r>
      </w:hyperlink>
      <w:r w:rsidRPr="00EB32FC">
        <w:rPr>
          <w:rFonts w:ascii="Times New Roman" w:hAnsi="Times New Roman" w:cs="Times New Roman"/>
          <w:szCs w:val="13"/>
        </w:rPr>
        <w:t xml:space="preserve"> </w:t>
      </w:r>
    </w:p>
  </w:footnote>
  <w:footnote w:id="2">
    <w:p w14:paraId="360A5BCA" w14:textId="77777777" w:rsidR="008A595A" w:rsidRPr="00EB32FC" w:rsidRDefault="008A595A" w:rsidP="008A595A">
      <w:pPr>
        <w:pStyle w:val="Voetnoottekst"/>
        <w:rPr>
          <w:rFonts w:ascii="Times New Roman" w:hAnsi="Times New Roman" w:cs="Times New Roman"/>
          <w:szCs w:val="13"/>
        </w:rPr>
      </w:pPr>
      <w:r w:rsidRPr="00EB32FC">
        <w:rPr>
          <w:rStyle w:val="Voetnootmarkering"/>
          <w:rFonts w:ascii="Times New Roman" w:hAnsi="Times New Roman" w:cs="Times New Roman"/>
          <w:szCs w:val="13"/>
        </w:rPr>
        <w:footnoteRef/>
      </w:r>
      <w:r w:rsidRPr="00EB32FC">
        <w:rPr>
          <w:rFonts w:ascii="Times New Roman" w:hAnsi="Times New Roman" w:cs="Times New Roman"/>
          <w:szCs w:val="13"/>
        </w:rPr>
        <w:t xml:space="preserve"> </w:t>
      </w:r>
      <w:hyperlink r:id="rId2" w:history="1">
        <w:r w:rsidRPr="00EB32FC">
          <w:rPr>
            <w:rStyle w:val="Hyperlink"/>
            <w:rFonts w:ascii="Times New Roman" w:hAnsi="Times New Roman" w:cs="Times New Roman"/>
            <w:szCs w:val="13"/>
          </w:rPr>
          <w:t>https://www.rijksoverheid.nl/documenten/beleidsnotas/2025/12/09/kamerbrief-moties-en-toezegging-notaoverleg-wolken-aan-de-horizon</w:t>
        </w:r>
      </w:hyperlink>
      <w:r w:rsidRPr="00EB32FC">
        <w:rPr>
          <w:rFonts w:ascii="Times New Roman" w:hAnsi="Times New Roman" w:cs="Times New Roman"/>
          <w:szCs w:val="13"/>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4F9796" w14:textId="77777777" w:rsidR="008A595A" w:rsidRPr="008A595A" w:rsidRDefault="008A595A" w:rsidP="008A595A">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1B2730" w14:textId="77777777" w:rsidR="008A595A" w:rsidRPr="008A595A" w:rsidRDefault="008A595A" w:rsidP="008A595A">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00B9C1" w14:textId="77777777" w:rsidR="008A595A" w:rsidRPr="008A595A" w:rsidRDefault="008A595A" w:rsidP="008A595A">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595A"/>
    <w:rsid w:val="004613D8"/>
    <w:rsid w:val="008A595A"/>
    <w:rsid w:val="00E12B3C"/>
    <w:rsid w:val="00EA20A8"/>
    <w:rsid w:val="00EB32FC"/>
    <w:rsid w:val="00F80165"/>
    <w:rsid w:val="00FC3DE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C6E45F"/>
  <w15:chartTrackingRefBased/>
  <w15:docId w15:val="{19F3B530-2A03-4234-BB01-0DA03E2D09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8A595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8A595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8A595A"/>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8A595A"/>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8A595A"/>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8A595A"/>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8A595A"/>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8A595A"/>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8A595A"/>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8A595A"/>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8A595A"/>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8A595A"/>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8A595A"/>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8A595A"/>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8A595A"/>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8A595A"/>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8A595A"/>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8A595A"/>
    <w:rPr>
      <w:rFonts w:eastAsiaTheme="majorEastAsia" w:cstheme="majorBidi"/>
      <w:color w:val="272727" w:themeColor="text1" w:themeTint="D8"/>
    </w:rPr>
  </w:style>
  <w:style w:type="paragraph" w:styleId="Titel">
    <w:name w:val="Title"/>
    <w:basedOn w:val="Standaard"/>
    <w:next w:val="Standaard"/>
    <w:link w:val="TitelChar"/>
    <w:uiPriority w:val="10"/>
    <w:qFormat/>
    <w:rsid w:val="008A595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8A595A"/>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8A595A"/>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8A595A"/>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8A595A"/>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8A595A"/>
    <w:rPr>
      <w:i/>
      <w:iCs/>
      <w:color w:val="404040" w:themeColor="text1" w:themeTint="BF"/>
    </w:rPr>
  </w:style>
  <w:style w:type="paragraph" w:styleId="Lijstalinea">
    <w:name w:val="List Paragraph"/>
    <w:basedOn w:val="Standaard"/>
    <w:uiPriority w:val="34"/>
    <w:qFormat/>
    <w:rsid w:val="008A595A"/>
    <w:pPr>
      <w:ind w:left="720"/>
      <w:contextualSpacing/>
    </w:pPr>
  </w:style>
  <w:style w:type="character" w:styleId="Intensievebenadrukking">
    <w:name w:val="Intense Emphasis"/>
    <w:basedOn w:val="Standaardalinea-lettertype"/>
    <w:uiPriority w:val="21"/>
    <w:qFormat/>
    <w:rsid w:val="008A595A"/>
    <w:rPr>
      <w:i/>
      <w:iCs/>
      <w:color w:val="0F4761" w:themeColor="accent1" w:themeShade="BF"/>
    </w:rPr>
  </w:style>
  <w:style w:type="paragraph" w:styleId="Duidelijkcitaat">
    <w:name w:val="Intense Quote"/>
    <w:basedOn w:val="Standaard"/>
    <w:next w:val="Standaard"/>
    <w:link w:val="DuidelijkcitaatChar"/>
    <w:uiPriority w:val="30"/>
    <w:qFormat/>
    <w:rsid w:val="008A595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8A595A"/>
    <w:rPr>
      <w:i/>
      <w:iCs/>
      <w:color w:val="0F4761" w:themeColor="accent1" w:themeShade="BF"/>
    </w:rPr>
  </w:style>
  <w:style w:type="character" w:styleId="Intensieveverwijzing">
    <w:name w:val="Intense Reference"/>
    <w:basedOn w:val="Standaardalinea-lettertype"/>
    <w:uiPriority w:val="32"/>
    <w:qFormat/>
    <w:rsid w:val="008A595A"/>
    <w:rPr>
      <w:b/>
      <w:bCs/>
      <w:smallCaps/>
      <w:color w:val="0F4761" w:themeColor="accent1" w:themeShade="BF"/>
      <w:spacing w:val="5"/>
    </w:rPr>
  </w:style>
  <w:style w:type="paragraph" w:styleId="Koptekst">
    <w:name w:val="header"/>
    <w:basedOn w:val="Standaard"/>
    <w:link w:val="KoptekstChar"/>
    <w:uiPriority w:val="99"/>
    <w:unhideWhenUsed/>
    <w:rsid w:val="008A595A"/>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8A595A"/>
  </w:style>
  <w:style w:type="paragraph" w:styleId="Voettekst">
    <w:name w:val="footer"/>
    <w:basedOn w:val="Standaard"/>
    <w:link w:val="VoettekstChar"/>
    <w:uiPriority w:val="99"/>
    <w:unhideWhenUsed/>
    <w:rsid w:val="008A595A"/>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8A595A"/>
  </w:style>
  <w:style w:type="paragraph" w:styleId="Voetnoottekst">
    <w:name w:val="footnote text"/>
    <w:basedOn w:val="Standaard"/>
    <w:link w:val="VoetnoottekstChar"/>
    <w:uiPriority w:val="99"/>
    <w:semiHidden/>
    <w:unhideWhenUsed/>
    <w:rsid w:val="008A595A"/>
    <w:pPr>
      <w:spacing w:after="0" w:line="240" w:lineRule="auto"/>
    </w:pPr>
    <w:rPr>
      <w:sz w:val="20"/>
      <w:szCs w:val="20"/>
    </w:rPr>
  </w:style>
  <w:style w:type="character" w:customStyle="1" w:styleId="VoetnoottekstChar">
    <w:name w:val="Voetnoottekst Char"/>
    <w:basedOn w:val="Standaardalinea-lettertype"/>
    <w:link w:val="Voetnoottekst"/>
    <w:uiPriority w:val="99"/>
    <w:semiHidden/>
    <w:rsid w:val="008A595A"/>
    <w:rPr>
      <w:sz w:val="20"/>
      <w:szCs w:val="20"/>
    </w:rPr>
  </w:style>
  <w:style w:type="paragraph" w:customStyle="1" w:styleId="Huisstijl-Adres">
    <w:name w:val="Huisstijl-Adres"/>
    <w:basedOn w:val="Standaard"/>
    <w:link w:val="Huisstijl-AdresChar"/>
    <w:rsid w:val="008A595A"/>
    <w:pPr>
      <w:tabs>
        <w:tab w:val="left" w:pos="192"/>
      </w:tabs>
      <w:adjustRightInd w:val="0"/>
      <w:spacing w:after="90" w:line="180" w:lineRule="exact"/>
    </w:pPr>
    <w:rPr>
      <w:rFonts w:ascii="Verdana" w:eastAsia="Times New Roman" w:hAnsi="Verdana" w:cs="Verdana"/>
      <w:noProof/>
      <w:kern w:val="0"/>
      <w:sz w:val="13"/>
      <w:szCs w:val="13"/>
      <w:lang w:eastAsia="nl-NL"/>
      <w14:ligatures w14:val="none"/>
    </w:rPr>
  </w:style>
  <w:style w:type="character" w:customStyle="1" w:styleId="Huisstijl-GegevenCharChar">
    <w:name w:val="Huisstijl-Gegeven Char Char"/>
    <w:link w:val="Huisstijl-Gegeven"/>
    <w:rsid w:val="008A595A"/>
    <w:rPr>
      <w:rFonts w:ascii="Verdana" w:hAnsi="Verdana"/>
      <w:noProof/>
      <w:sz w:val="13"/>
      <w:szCs w:val="24"/>
      <w:lang w:eastAsia="nl-NL"/>
    </w:rPr>
  </w:style>
  <w:style w:type="paragraph" w:customStyle="1" w:styleId="Huisstijl-Gegeven">
    <w:name w:val="Huisstijl-Gegeven"/>
    <w:basedOn w:val="Standaard"/>
    <w:link w:val="Huisstijl-GegevenCharChar"/>
    <w:rsid w:val="008A595A"/>
    <w:pPr>
      <w:spacing w:after="92" w:line="180" w:lineRule="exact"/>
    </w:pPr>
    <w:rPr>
      <w:rFonts w:ascii="Verdana" w:hAnsi="Verdana"/>
      <w:noProof/>
      <w:sz w:val="13"/>
      <w:szCs w:val="24"/>
      <w:lang w:eastAsia="nl-NL"/>
    </w:rPr>
  </w:style>
  <w:style w:type="paragraph" w:customStyle="1" w:styleId="Huisstijl-Rubricering">
    <w:name w:val="Huisstijl-Rubricering"/>
    <w:basedOn w:val="Standaard"/>
    <w:rsid w:val="008A595A"/>
    <w:pPr>
      <w:adjustRightInd w:val="0"/>
      <w:spacing w:after="0" w:line="180" w:lineRule="exact"/>
    </w:pPr>
    <w:rPr>
      <w:rFonts w:ascii="Verdana" w:eastAsia="Times New Roman" w:hAnsi="Verdana" w:cs="Verdana-Bold"/>
      <w:b/>
      <w:bCs/>
      <w:smallCaps/>
      <w:noProof/>
      <w:kern w:val="0"/>
      <w:sz w:val="13"/>
      <w:szCs w:val="13"/>
      <w:lang w:eastAsia="nl-NL"/>
      <w14:ligatures w14:val="none"/>
    </w:rPr>
  </w:style>
  <w:style w:type="paragraph" w:customStyle="1" w:styleId="Huisstijl-NAW">
    <w:name w:val="Huisstijl-NAW"/>
    <w:basedOn w:val="Standaard"/>
    <w:rsid w:val="008A595A"/>
    <w:pPr>
      <w:adjustRightInd w:val="0"/>
      <w:spacing w:after="0" w:line="240" w:lineRule="atLeast"/>
    </w:pPr>
    <w:rPr>
      <w:rFonts w:ascii="Verdana" w:eastAsia="Times New Roman" w:hAnsi="Verdana" w:cs="Verdana"/>
      <w:noProof/>
      <w:kern w:val="0"/>
      <w:sz w:val="18"/>
      <w:szCs w:val="18"/>
      <w:lang w:eastAsia="nl-NL"/>
      <w14:ligatures w14:val="none"/>
    </w:rPr>
  </w:style>
  <w:style w:type="character" w:styleId="Hyperlink">
    <w:name w:val="Hyperlink"/>
    <w:rsid w:val="008A595A"/>
    <w:rPr>
      <w:color w:val="0000FF"/>
      <w:u w:val="single"/>
    </w:rPr>
  </w:style>
  <w:style w:type="paragraph" w:customStyle="1" w:styleId="Huisstijl-Retouradres">
    <w:name w:val="Huisstijl-Retouradres"/>
    <w:basedOn w:val="Standaard"/>
    <w:rsid w:val="008A595A"/>
    <w:pPr>
      <w:spacing w:after="0" w:line="180" w:lineRule="exact"/>
    </w:pPr>
    <w:rPr>
      <w:rFonts w:ascii="Verdana" w:eastAsia="Times New Roman" w:hAnsi="Verdana" w:cs="Times New Roman"/>
      <w:noProof/>
      <w:kern w:val="0"/>
      <w:sz w:val="13"/>
      <w:szCs w:val="24"/>
      <w:lang w:eastAsia="nl-NL"/>
      <w14:ligatures w14:val="none"/>
    </w:rPr>
  </w:style>
  <w:style w:type="paragraph" w:customStyle="1" w:styleId="Huisstijl-Kopje">
    <w:name w:val="Huisstijl-Kopje"/>
    <w:basedOn w:val="Huisstijl-Gegeven"/>
    <w:rsid w:val="008A595A"/>
    <w:pPr>
      <w:spacing w:after="0"/>
    </w:pPr>
    <w:rPr>
      <w:b/>
    </w:rPr>
  </w:style>
  <w:style w:type="paragraph" w:customStyle="1" w:styleId="Huisstijl-Paginanummering">
    <w:name w:val="Huisstijl-Paginanummering"/>
    <w:basedOn w:val="Standaard"/>
    <w:rsid w:val="008A595A"/>
    <w:pPr>
      <w:spacing w:after="0" w:line="180" w:lineRule="exact"/>
    </w:pPr>
    <w:rPr>
      <w:rFonts w:ascii="Verdana" w:eastAsia="Times New Roman" w:hAnsi="Verdana" w:cs="Times New Roman"/>
      <w:noProof/>
      <w:kern w:val="0"/>
      <w:sz w:val="13"/>
      <w:szCs w:val="24"/>
      <w:lang w:eastAsia="nl-NL"/>
      <w14:ligatures w14:val="none"/>
    </w:rPr>
  </w:style>
  <w:style w:type="character" w:customStyle="1" w:styleId="Huisstijl-AdresChar">
    <w:name w:val="Huisstijl-Adres Char"/>
    <w:link w:val="Huisstijl-Adres"/>
    <w:locked/>
    <w:rsid w:val="008A595A"/>
    <w:rPr>
      <w:rFonts w:ascii="Verdana" w:eastAsia="Times New Roman" w:hAnsi="Verdana" w:cs="Verdana"/>
      <w:noProof/>
      <w:kern w:val="0"/>
      <w:sz w:val="13"/>
      <w:szCs w:val="13"/>
      <w:lang w:eastAsia="nl-NL"/>
      <w14:ligatures w14:val="none"/>
    </w:rPr>
  </w:style>
  <w:style w:type="character" w:styleId="Voetnootmarkering">
    <w:name w:val="footnote reference"/>
    <w:basedOn w:val="Standaardalinea-lettertype"/>
    <w:uiPriority w:val="99"/>
    <w:semiHidden/>
    <w:unhideWhenUsed/>
    <w:rsid w:val="008A595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s>
</file>

<file path=word/_rels/footnotes.xml.rels><?xml version="1.0" encoding="UTF-8" standalone="yes"?>
<Relationships xmlns="http://schemas.openxmlformats.org/package/2006/relationships"><Relationship Id="rId2" Type="http://schemas.openxmlformats.org/officeDocument/2006/relationships/hyperlink" Target="https://www.rijksoverheid.nl/documenten/beleidsnotas/2025/12/09/kamerbrief-moties-en-toezegging-notaoverleg-wolken-aan-de-horizon" TargetMode="External"/><Relationship Id="rId1" Type="http://schemas.openxmlformats.org/officeDocument/2006/relationships/hyperlink" Target="https://www.rijksoverheid.nl/documenten/kamerstukken/2025/08/12/opvolging-motie-over-nl-domein-weer-volledig-in-nederland-krijgen"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6</ap:Pages>
  <ap:Words>1794</ap:Words>
  <ap:Characters>9869</ap:Characters>
  <ap:DocSecurity>0</ap:DocSecurity>
  <ap:Lines>82</ap:Lines>
  <ap:Paragraphs>23</ap:Paragraphs>
  <ap:ScaleCrop>false</ap:ScaleCrop>
  <ap:LinksUpToDate>false</ap:LinksUpToDate>
  <ap:CharactersWithSpaces>11640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2026-01-14T15:57:00.0000000Z</dcterms:created>
  <dcterms:modified xsi:type="dcterms:W3CDTF">2026-01-14T15:57:00.0000000Z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