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5AA" w:rsidR="001835AA" w:rsidP="001835AA" w:rsidRDefault="00BA5119" w14:paraId="22AFD99C" w14:textId="3CE15C47">
      <w:pPr>
        <w:ind w:left="1410" w:hanging="1410"/>
        <w:rPr>
          <w:rFonts w:ascii="Times New Roman" w:hAnsi="Times New Roman" w:cs="Times New Roman"/>
          <w:b/>
          <w:bCs/>
        </w:rPr>
      </w:pPr>
      <w:r w:rsidRPr="00BA5119">
        <w:rPr>
          <w:rFonts w:ascii="Times New Roman" w:hAnsi="Times New Roman" w:cs="Times New Roman"/>
          <w:b/>
        </w:rPr>
        <w:t>3</w:t>
      </w:r>
      <w:r w:rsidRPr="00CE157F" w:rsidR="00CE157F">
        <w:rPr>
          <w:rFonts w:ascii="Times New Roman" w:hAnsi="Times New Roman" w:cs="Times New Roman"/>
          <w:b/>
        </w:rPr>
        <w:t>6</w:t>
      </w:r>
      <w:r w:rsidRPr="00CE157F">
        <w:rPr>
          <w:rFonts w:ascii="Times New Roman" w:hAnsi="Times New Roman" w:cs="Times New Roman"/>
          <w:b/>
        </w:rPr>
        <w:t xml:space="preserve"> </w:t>
      </w:r>
      <w:r w:rsidR="006A42D8">
        <w:rPr>
          <w:rFonts w:ascii="Times New Roman" w:hAnsi="Times New Roman" w:cs="Times New Roman"/>
          <w:b/>
        </w:rPr>
        <w:t>742</w:t>
      </w:r>
      <w:r w:rsidRPr="00CE157F">
        <w:rPr>
          <w:rFonts w:ascii="Times New Roman" w:hAnsi="Times New Roman" w:cs="Times New Roman"/>
          <w:b/>
        </w:rPr>
        <w:tab/>
      </w:r>
      <w:r w:rsidRPr="001835AA" w:rsidR="001835AA">
        <w:rPr>
          <w:rFonts w:ascii="Times New Roman" w:hAnsi="Times New Roman" w:cs="Times New Roman"/>
          <w:b/>
        </w:rPr>
        <w:tab/>
      </w:r>
      <w:r w:rsidRPr="001835AA" w:rsidR="001835AA">
        <w:rPr>
          <w:rFonts w:ascii="Times New Roman" w:hAnsi="Times New Roman" w:cs="Times New Roman"/>
          <w:b/>
          <w:bCs/>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CE157F" w:rsidR="00BA5119" w:rsidP="00BA5119" w:rsidRDefault="00BA5119" w14:paraId="0B432504" w14:textId="7C37D95F">
      <w:pPr>
        <w:ind w:left="1410" w:hanging="1410"/>
        <w:rPr>
          <w:rFonts w:ascii="Times New Roman" w:hAnsi="Times New Roman" w:cs="Times New Roman"/>
          <w:b/>
          <w:bCs/>
        </w:rPr>
      </w:pPr>
    </w:p>
    <w:p w:rsidRPr="00CE157F" w:rsidR="00321766" w:rsidP="001835AA" w:rsidRDefault="00BA5119" w14:paraId="174F95FD" w14:textId="059B1B02">
      <w:pPr>
        <w:rPr>
          <w:rFonts w:ascii="Times New Roman" w:hAnsi="Times New Roman" w:cs="Times New Roman"/>
        </w:rPr>
      </w:pPr>
      <w:r w:rsidRPr="00CE157F">
        <w:rPr>
          <w:rFonts w:ascii="Times New Roman" w:hAnsi="Times New Roman" w:cs="Times New Roman"/>
          <w:b/>
        </w:rPr>
        <w:t xml:space="preserve">Nr. </w:t>
      </w:r>
      <w:r w:rsidR="001835AA">
        <w:rPr>
          <w:rFonts w:ascii="Times New Roman" w:hAnsi="Times New Roman" w:cs="Times New Roman"/>
          <w:b/>
        </w:rPr>
        <w:t>13</w:t>
      </w:r>
      <w:r w:rsidRPr="00CE157F">
        <w:rPr>
          <w:rFonts w:ascii="Times New Roman" w:hAnsi="Times New Roman" w:cs="Times New Roman"/>
          <w:b/>
        </w:rPr>
        <w:tab/>
      </w:r>
      <w:r w:rsidR="001835AA">
        <w:rPr>
          <w:rFonts w:ascii="Times New Roman" w:hAnsi="Times New Roman" w:cs="Times New Roman"/>
          <w:b/>
        </w:rPr>
        <w:tab/>
      </w:r>
      <w:r w:rsidRPr="001835AA" w:rsidR="001835AA">
        <w:rPr>
          <w:rFonts w:ascii="Times New Roman" w:hAnsi="Times New Roman" w:cs="Times New Roman"/>
          <w:b/>
        </w:rPr>
        <w:t>BRIEF VAN HET PRESIDIUM</w:t>
      </w:r>
    </w:p>
    <w:p w:rsidRPr="00CE157F" w:rsidR="00BA5119" w:rsidP="00321766" w:rsidRDefault="00BA5119" w14:paraId="3BABE34C" w14:textId="77777777">
      <w:pPr>
        <w:pStyle w:val="Basis"/>
        <w:spacing w:before="213"/>
        <w:rPr>
          <w:rFonts w:ascii="Times New Roman" w:hAnsi="Times New Roman" w:cs="Times New Roman"/>
          <w:b/>
          <w:sz w:val="24"/>
          <w:szCs w:val="24"/>
        </w:rPr>
      </w:pPr>
    </w:p>
    <w:p w:rsidRPr="006A42D8" w:rsidR="006A42D8" w:rsidP="006A42D8" w:rsidRDefault="00321766" w14:paraId="6BE5018C" w14:textId="6D50BADE">
      <w:pPr>
        <w:spacing w:line="276" w:lineRule="auto"/>
        <w:rPr>
          <w:rFonts w:ascii="Times New Roman" w:hAnsi="Times New Roman" w:cs="Times New Roman"/>
        </w:rPr>
      </w:pPr>
      <w:r w:rsidRPr="00CE157F">
        <w:rPr>
          <w:rFonts w:ascii="Times New Roman" w:hAnsi="Times New Roman" w:cs="Times New Roman"/>
        </w:rPr>
        <w:t>Aan de Leden</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Den Haag, </w:t>
      </w:r>
      <w:r w:rsidR="006A42D8">
        <w:rPr>
          <w:rFonts w:ascii="Times New Roman" w:hAnsi="Times New Roman" w:cs="Times New Roman"/>
        </w:rPr>
        <w:t>11 december</w:t>
      </w:r>
      <w:r w:rsidRPr="00CE157F" w:rsidR="00D370B0">
        <w:rPr>
          <w:rFonts w:ascii="Times New Roman" w:hAnsi="Times New Roman" w:cs="Times New Roman"/>
        </w:rPr>
        <w:t xml:space="preserve"> </w:t>
      </w:r>
      <w:r w:rsidRPr="00CE157F" w:rsidR="00863366">
        <w:rPr>
          <w:rFonts w:ascii="Times New Roman" w:hAnsi="Times New Roman" w:cs="Times New Roman"/>
        </w:rPr>
        <w:t>2025</w:t>
      </w:r>
      <w:r w:rsidR="004E5605">
        <w:rPr>
          <w:rFonts w:ascii="Times New Roman" w:hAnsi="Times New Roman" w:eastAsia="DejaVu Sans" w:cs="Times New Roman"/>
          <w:color w:val="000000"/>
          <w:kern w:val="0"/>
          <w:lang w:eastAsia="nl-NL"/>
          <w14:ligatures w14:val="none"/>
        </w:rPr>
        <w:br/>
      </w:r>
      <w:r w:rsidR="004E5605">
        <w:rPr>
          <w:rFonts w:ascii="Times New Roman" w:hAnsi="Times New Roman" w:eastAsia="DejaVu Sans" w:cs="Times New Roman"/>
          <w:color w:val="000000"/>
          <w:kern w:val="0"/>
          <w:lang w:eastAsia="nl-NL"/>
          <w14:ligatures w14:val="none"/>
        </w:rPr>
        <w:br/>
      </w:r>
      <w:r w:rsidR="006A42D8">
        <w:rPr>
          <w:rFonts w:ascii="Times New Roman" w:hAnsi="Times New Roman" w:cs="Times New Roman"/>
        </w:rPr>
        <w:t xml:space="preserve">Het Presidium legt hierbij, </w:t>
      </w:r>
      <w:r w:rsidRPr="006A42D8" w:rsidR="006A42D8">
        <w:rPr>
          <w:rFonts w:ascii="Times New Roman" w:hAnsi="Times New Roman" w:cs="Times New Roman"/>
        </w:rPr>
        <w:t>conform artikel 7.35 Reglement van Orde en art</w:t>
      </w:r>
      <w:r w:rsidR="006A42D8">
        <w:rPr>
          <w:rFonts w:ascii="Times New Roman" w:hAnsi="Times New Roman" w:cs="Times New Roman"/>
        </w:rPr>
        <w:t>ikel</w:t>
      </w:r>
      <w:r w:rsidRPr="006A42D8" w:rsidR="006A42D8">
        <w:rPr>
          <w:rFonts w:ascii="Times New Roman" w:hAnsi="Times New Roman" w:cs="Times New Roman"/>
        </w:rPr>
        <w:t xml:space="preserve"> 21a Wet op de Raad van State</w:t>
      </w:r>
      <w:r w:rsidR="006A42D8">
        <w:rPr>
          <w:rFonts w:ascii="Times New Roman" w:hAnsi="Times New Roman" w:cs="Times New Roman"/>
        </w:rPr>
        <w:t xml:space="preserve">, aan u voor het verzoek van de vaste commissie voor Binnenlandse Zaken </w:t>
      </w:r>
      <w:r w:rsidRPr="006A42D8" w:rsidR="006A42D8">
        <w:rPr>
          <w:rFonts w:ascii="Times New Roman" w:hAnsi="Times New Roman" w:cs="Times New Roman"/>
        </w:rPr>
        <w:t xml:space="preserve">om de Afdeling advisering van de Raad van State te verzoeken de Kamer voorlichting te geven over het amendement van de leden Sneller en Tseggai bij het wetsvoorstel Wet op de </w:t>
      </w:r>
      <w:r w:rsidR="006A42D8">
        <w:rPr>
          <w:rFonts w:ascii="Times New Roman" w:hAnsi="Times New Roman" w:cs="Times New Roman"/>
        </w:rPr>
        <w:t>p</w:t>
      </w:r>
      <w:r w:rsidRPr="006A42D8" w:rsidR="006A42D8">
        <w:rPr>
          <w:rFonts w:ascii="Times New Roman" w:hAnsi="Times New Roman" w:cs="Times New Roman"/>
        </w:rPr>
        <w:t xml:space="preserve">olitieke </w:t>
      </w:r>
      <w:r w:rsidR="006A42D8">
        <w:rPr>
          <w:rFonts w:ascii="Times New Roman" w:hAnsi="Times New Roman" w:cs="Times New Roman"/>
        </w:rPr>
        <w:t>p</w:t>
      </w:r>
      <w:r w:rsidRPr="006A42D8" w:rsidR="006A42D8">
        <w:rPr>
          <w:rFonts w:ascii="Times New Roman" w:hAnsi="Times New Roman" w:cs="Times New Roman"/>
        </w:rPr>
        <w:t>artijen (Kamerstuk</w:t>
      </w:r>
      <w:r w:rsidR="006A42D8">
        <w:rPr>
          <w:rFonts w:ascii="Times New Roman" w:hAnsi="Times New Roman" w:cs="Times New Roman"/>
        </w:rPr>
        <w:t xml:space="preserve"> 36742</w:t>
      </w:r>
      <w:r w:rsidRPr="006A42D8" w:rsidR="006A42D8">
        <w:rPr>
          <w:rFonts w:ascii="Times New Roman" w:hAnsi="Times New Roman" w:cs="Times New Roman"/>
        </w:rPr>
        <w:t xml:space="preserve">, nr. </w:t>
      </w:r>
      <w:r w:rsidR="00E44338">
        <w:rPr>
          <w:rFonts w:ascii="Times New Roman" w:hAnsi="Times New Roman" w:cs="Times New Roman"/>
        </w:rPr>
        <w:t>12)</w:t>
      </w:r>
      <w:r w:rsidRPr="006A42D8" w:rsidR="006A42D8">
        <w:rPr>
          <w:rFonts w:ascii="Times New Roman" w:hAnsi="Times New Roman" w:cs="Times New Roman"/>
        </w:rPr>
        <w:t xml:space="preserve"> en de Afdeling te verzoeken in ieder geval in te gaan op de volgende aspecten:</w:t>
      </w:r>
    </w:p>
    <w:p w:rsidRPr="00047D54" w:rsidR="00047D54" w:rsidP="00047D54" w:rsidRDefault="00047D54" w14:paraId="045C17A0" w14:textId="77777777">
      <w:pPr>
        <w:numPr>
          <w:ilvl w:val="0"/>
          <w:numId w:val="2"/>
        </w:numPr>
        <w:spacing w:line="276" w:lineRule="auto"/>
        <w:rPr>
          <w:rFonts w:ascii="Times New Roman" w:hAnsi="Times New Roman" w:cs="Times New Roman"/>
        </w:rPr>
      </w:pPr>
      <w:r w:rsidRPr="00047D54">
        <w:rPr>
          <w:rFonts w:ascii="Times New Roman" w:hAnsi="Times New Roman" w:cs="Times New Roman"/>
        </w:rPr>
        <w:t>de verhouding van het amendement tot de grondrechten, in het bijzonder het passieve kiesrecht en de andere grondrechten die in toelichting worden genoemd;</w:t>
      </w:r>
    </w:p>
    <w:p w:rsidRPr="00047D54" w:rsidR="00047D54" w:rsidP="00047D54" w:rsidRDefault="00047D54" w14:paraId="5C0313FB" w14:textId="77777777">
      <w:pPr>
        <w:numPr>
          <w:ilvl w:val="0"/>
          <w:numId w:val="2"/>
        </w:numPr>
        <w:spacing w:line="276" w:lineRule="auto"/>
        <w:rPr>
          <w:rFonts w:ascii="Times New Roman" w:hAnsi="Times New Roman" w:cs="Times New Roman"/>
        </w:rPr>
      </w:pPr>
      <w:r w:rsidRPr="00047D54">
        <w:rPr>
          <w:rFonts w:ascii="Times New Roman" w:hAnsi="Times New Roman" w:cs="Times New Roman"/>
        </w:rPr>
        <w:t xml:space="preserve">de wijze waarop het toezicht is ingericht, waaronder in ieder geval de verdeling daarin tussen de </w:t>
      </w:r>
      <w:proofErr w:type="spellStart"/>
      <w:r w:rsidRPr="00047D54">
        <w:rPr>
          <w:rFonts w:ascii="Times New Roman" w:hAnsi="Times New Roman" w:cs="Times New Roman"/>
        </w:rPr>
        <w:t>Napp</w:t>
      </w:r>
      <w:proofErr w:type="spellEnd"/>
      <w:r w:rsidRPr="00047D54">
        <w:rPr>
          <w:rFonts w:ascii="Times New Roman" w:hAnsi="Times New Roman" w:cs="Times New Roman"/>
        </w:rPr>
        <w:t xml:space="preserve"> en de Kiesraad;</w:t>
      </w:r>
    </w:p>
    <w:p w:rsidR="006A42D8" w:rsidP="00047D54" w:rsidRDefault="00047D54" w14:paraId="0C1BC24C" w14:textId="0F2B7605">
      <w:pPr>
        <w:numPr>
          <w:ilvl w:val="0"/>
          <w:numId w:val="2"/>
        </w:numPr>
        <w:spacing w:line="276" w:lineRule="auto"/>
        <w:rPr>
          <w:rFonts w:ascii="Times New Roman" w:hAnsi="Times New Roman" w:cs="Times New Roman"/>
        </w:rPr>
      </w:pPr>
      <w:r w:rsidRPr="00047D54">
        <w:rPr>
          <w:rFonts w:ascii="Times New Roman" w:hAnsi="Times New Roman" w:cs="Times New Roman"/>
        </w:rPr>
        <w:t>de sanctionering en mogelijke stappen die daaraan voorafgaan.</w:t>
      </w:r>
      <w:r>
        <w:rPr>
          <w:rFonts w:ascii="Times New Roman" w:hAnsi="Times New Roman" w:cs="Times New Roman"/>
        </w:rPr>
        <w:t xml:space="preserve"> </w:t>
      </w:r>
      <w:r w:rsidRPr="006A42D8" w:rsidR="006A42D8">
        <w:rPr>
          <w:rFonts w:ascii="Times New Roman" w:hAnsi="Times New Roman" w:cs="Times New Roman"/>
        </w:rPr>
        <w:br/>
      </w:r>
    </w:p>
    <w:p w:rsidRPr="00CE157F" w:rsidR="006A42D8" w:rsidP="006A42D8" w:rsidRDefault="006A42D8" w14:paraId="794ECC9A" w14:textId="3AD2E8C4">
      <w:pPr>
        <w:spacing w:line="276" w:lineRule="auto"/>
        <w:rPr>
          <w:rFonts w:ascii="Times New Roman" w:hAnsi="Times New Roman" w:cs="Times New Roman"/>
        </w:rPr>
      </w:pPr>
      <w:r w:rsidRPr="006A42D8">
        <w:rPr>
          <w:rFonts w:ascii="Times New Roman" w:hAnsi="Times New Roman" w:cs="Times New Roman"/>
        </w:rPr>
        <w:t xml:space="preserve">Het Presidium stelt u voor in te stemmen het bovenstaande verzoek en dit door te geleiden aan de Raad van State. </w:t>
      </w:r>
      <w:r w:rsidRPr="006A42D8">
        <w:rPr>
          <w:rFonts w:ascii="Times New Roman" w:hAnsi="Times New Roman" w:cs="Times New Roman"/>
        </w:rPr>
        <w:br/>
      </w:r>
      <w:r w:rsidRPr="006A42D8">
        <w:rPr>
          <w:rFonts w:ascii="Times New Roman" w:hAnsi="Times New Roman" w:cs="Times New Roman"/>
        </w:rPr>
        <w:br/>
        <w:t>De Voorzitter van de Tweede Kamer der Staten-Generaal,</w:t>
      </w:r>
      <w:r w:rsidR="001835AA">
        <w:rPr>
          <w:rFonts w:ascii="Times New Roman" w:hAnsi="Times New Roman" w:cs="Times New Roman"/>
        </w:rPr>
        <w:br/>
        <w:t>V</w:t>
      </w:r>
      <w:r>
        <w:rPr>
          <w:rFonts w:ascii="Times New Roman" w:hAnsi="Times New Roman" w:cs="Times New Roman"/>
        </w:rPr>
        <w:t>an Campen</w:t>
      </w:r>
    </w:p>
    <w:p w:rsidRPr="00AB3391" w:rsidR="004527F6" w:rsidP="00CE157F" w:rsidRDefault="004527F6" w14:paraId="2D210876" w14:textId="5FA24C89">
      <w:pPr>
        <w:pStyle w:val="Basis"/>
        <w:spacing w:before="213"/>
        <w:rPr>
          <w:rFonts w:ascii="Times New Roman" w:hAnsi="Times New Roman" w:cs="Times New Roman"/>
          <w:sz w:val="24"/>
          <w:szCs w:val="24"/>
        </w:rPr>
      </w:pPr>
    </w:p>
    <w:sectPr w:rsidRPr="00AB3391"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E046" w14:textId="77777777" w:rsidR="00A644E3" w:rsidRDefault="00A644E3" w:rsidP="004527F6">
      <w:pPr>
        <w:spacing w:after="0" w:line="240" w:lineRule="auto"/>
      </w:pPr>
      <w:r>
        <w:separator/>
      </w:r>
    </w:p>
  </w:endnote>
  <w:endnote w:type="continuationSeparator" w:id="0">
    <w:p w14:paraId="6CC14980" w14:textId="77777777" w:rsidR="00A644E3" w:rsidRDefault="00A644E3"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2EAC" w14:textId="77777777" w:rsidR="00A644E3" w:rsidRDefault="00A644E3" w:rsidP="004527F6">
      <w:pPr>
        <w:spacing w:after="0" w:line="240" w:lineRule="auto"/>
      </w:pPr>
      <w:r>
        <w:separator/>
      </w:r>
    </w:p>
  </w:footnote>
  <w:footnote w:type="continuationSeparator" w:id="0">
    <w:p w14:paraId="65D7BEEF" w14:textId="77777777" w:rsidR="00A644E3" w:rsidRDefault="00A644E3" w:rsidP="00452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8F1"/>
    <w:multiLevelType w:val="hybridMultilevel"/>
    <w:tmpl w:val="C9B602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941D4C"/>
    <w:multiLevelType w:val="hybridMultilevel"/>
    <w:tmpl w:val="66D8F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552145">
    <w:abstractNumId w:val="0"/>
  </w:num>
  <w:num w:numId="2" w16cid:durableId="184623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16912"/>
    <w:rsid w:val="00047D54"/>
    <w:rsid w:val="0009713F"/>
    <w:rsid w:val="000B3D4D"/>
    <w:rsid w:val="000D14D9"/>
    <w:rsid w:val="000F6333"/>
    <w:rsid w:val="001451AB"/>
    <w:rsid w:val="001835AA"/>
    <w:rsid w:val="00287F4A"/>
    <w:rsid w:val="003004CE"/>
    <w:rsid w:val="00321766"/>
    <w:rsid w:val="00397B98"/>
    <w:rsid w:val="003B326E"/>
    <w:rsid w:val="00416823"/>
    <w:rsid w:val="004527F6"/>
    <w:rsid w:val="00463FA8"/>
    <w:rsid w:val="004E5605"/>
    <w:rsid w:val="00540BDE"/>
    <w:rsid w:val="00552EE8"/>
    <w:rsid w:val="005B76B3"/>
    <w:rsid w:val="005E3F57"/>
    <w:rsid w:val="006506AF"/>
    <w:rsid w:val="006A42D8"/>
    <w:rsid w:val="006D71D9"/>
    <w:rsid w:val="006F5890"/>
    <w:rsid w:val="007413C3"/>
    <w:rsid w:val="007B3BED"/>
    <w:rsid w:val="00823144"/>
    <w:rsid w:val="0084053C"/>
    <w:rsid w:val="00851E16"/>
    <w:rsid w:val="0085379D"/>
    <w:rsid w:val="00856C85"/>
    <w:rsid w:val="00863366"/>
    <w:rsid w:val="008B709C"/>
    <w:rsid w:val="0092177C"/>
    <w:rsid w:val="00925F2D"/>
    <w:rsid w:val="009B37AE"/>
    <w:rsid w:val="00A644E3"/>
    <w:rsid w:val="00A651CF"/>
    <w:rsid w:val="00A7609F"/>
    <w:rsid w:val="00A80636"/>
    <w:rsid w:val="00AA4887"/>
    <w:rsid w:val="00AB3391"/>
    <w:rsid w:val="00AB38B8"/>
    <w:rsid w:val="00AB4D10"/>
    <w:rsid w:val="00B57E49"/>
    <w:rsid w:val="00BA5119"/>
    <w:rsid w:val="00BD4559"/>
    <w:rsid w:val="00BF71A9"/>
    <w:rsid w:val="00C01A12"/>
    <w:rsid w:val="00C37458"/>
    <w:rsid w:val="00CB7C0F"/>
    <w:rsid w:val="00CE157F"/>
    <w:rsid w:val="00CF2477"/>
    <w:rsid w:val="00D2718A"/>
    <w:rsid w:val="00D305A6"/>
    <w:rsid w:val="00D370B0"/>
    <w:rsid w:val="00D41655"/>
    <w:rsid w:val="00DC2153"/>
    <w:rsid w:val="00E20618"/>
    <w:rsid w:val="00E26ECA"/>
    <w:rsid w:val="00E42E76"/>
    <w:rsid w:val="00E44338"/>
    <w:rsid w:val="00E65B92"/>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paragraph" w:styleId="Lijstalinea">
    <w:name w:val="List Paragraph"/>
    <w:basedOn w:val="Standaard"/>
    <w:uiPriority w:val="34"/>
    <w:qFormat/>
    <w:rsid w:val="00CE157F"/>
    <w:pPr>
      <w:autoSpaceDN w:val="0"/>
      <w:spacing w:after="0" w:line="283" w:lineRule="exact"/>
      <w:ind w:left="720"/>
      <w:contextualSpacing/>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AB4D10"/>
    <w:pPr>
      <w:spacing w:after="0" w:line="240" w:lineRule="auto"/>
    </w:pPr>
  </w:style>
  <w:style w:type="paragraph" w:styleId="Koptekst">
    <w:name w:val="header"/>
    <w:basedOn w:val="Standaard"/>
    <w:link w:val="KoptekstChar"/>
    <w:uiPriority w:val="99"/>
    <w:semiHidden/>
    <w:unhideWhenUsed/>
    <w:rsid w:val="00AA48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A4887"/>
  </w:style>
  <w:style w:type="paragraph" w:styleId="Voettekst">
    <w:name w:val="footer"/>
    <w:basedOn w:val="Standaard"/>
    <w:link w:val="VoettekstChar"/>
    <w:uiPriority w:val="99"/>
    <w:semiHidden/>
    <w:unhideWhenUsed/>
    <w:rsid w:val="00AA48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A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205</ap:Words>
  <ap:Characters>1133</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2025-12-11T18:06:00.0000000Z</dcterms:created>
  <dcterms:modified xsi:type="dcterms:W3CDTF">2025-12-11T18:06:00.0000000Z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81da3234-ccbb-4594-9833-fc6ffcf34e04</vt:lpwstr>
  </property>
  <property fmtid="{D5CDD505-2E9C-101B-9397-08002B2CF9AE}" pid="4" name="i8059d02f088452aaeb98febffd942f6">
    <vt:lpwstr/>
  </property>
  <property fmtid="{D5CDD505-2E9C-101B-9397-08002B2CF9AE}" pid="5" name="TaxCatchAll">
    <vt:lpwstr>1;#43. Het procedureel, juridisch, organisatorisch en staatsrechtelijk adviseren over het parlementaire proces|04d69585-a166-4015-ab15-9397330d7c4d</vt:lpwstr>
  </property>
  <property fmtid="{D5CDD505-2E9C-101B-9397-08002B2CF9AE}" pid="6" name="k570b61d1c8344118cf7041903a91b3a">
    <vt:lpwstr>43. Het procedureel, juridisch, organisatorisch en staatsrechtelijk adviseren over het parlementaire proces|04d69585-a166-4015-ab15-9397330d7c4d</vt:lpwstr>
  </property>
  <property fmtid="{D5CDD505-2E9C-101B-9397-08002B2CF9AE}" pid="7" name="Dossierstatus">
    <vt:lpwstr>Concept</vt:lpwstr>
  </property>
  <property fmtid="{D5CDD505-2E9C-101B-9397-08002B2CF9AE}" pid="8" name="Process">
    <vt:lpwstr>CIE BiZa strategisch procedure vergadering begeleiden</vt:lpwstr>
  </property>
  <property fmtid="{D5CDD505-2E9C-101B-9397-08002B2CF9AE}" pid="9" name="Selectielijstproces">
    <vt:lpwstr>1;#43. Het procedureel, juridisch, organisatorisch en staatsrechtelijk adviseren over het parlementaire proces|04d69585-a166-4015-ab15-9397330d7c4d</vt:lpwstr>
  </property>
  <property fmtid="{D5CDD505-2E9C-101B-9397-08002B2CF9AE}" pid="10" name="Processnummer">
    <vt:lpwstr>P0207</vt:lpwstr>
  </property>
  <property fmtid="{D5CDD505-2E9C-101B-9397-08002B2CF9AE}" pid="11" name="Beperking">
    <vt:lpwstr/>
  </property>
  <property fmtid="{D5CDD505-2E9C-101B-9397-08002B2CF9AE}" pid="12" name="docLang">
    <vt:lpwstr>nl</vt:lpwstr>
  </property>
  <property fmtid="{D5CDD505-2E9C-101B-9397-08002B2CF9AE}" pid="13" name="MediaServiceImageTags">
    <vt:lpwstr/>
  </property>
</Properties>
</file>