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633" w:rsidR="00003460" w:rsidP="00003460" w:rsidRDefault="00003460" w14:paraId="5612F2F4" w14:textId="77777777">
      <w:pPr>
        <w:ind w:left="1410" w:hanging="1410"/>
        <w:rPr>
          <w:rFonts w:ascii="Times New Roman" w:hAnsi="Times New Roman" w:cs="Times New Roman"/>
          <w:b/>
          <w:bCs/>
          <w:sz w:val="24"/>
          <w:szCs w:val="24"/>
        </w:rPr>
      </w:pPr>
      <w:r w:rsidRPr="00802633">
        <w:rPr>
          <w:rFonts w:ascii="Times New Roman" w:hAnsi="Times New Roman" w:cs="Times New Roman"/>
          <w:b/>
          <w:sz w:val="24"/>
          <w:szCs w:val="24"/>
        </w:rPr>
        <w:t>36 850 V</w:t>
      </w:r>
      <w:r w:rsidRPr="00802633">
        <w:rPr>
          <w:rFonts w:ascii="Times New Roman" w:hAnsi="Times New Roman" w:cs="Times New Roman"/>
          <w:b/>
          <w:sz w:val="24"/>
          <w:szCs w:val="24"/>
        </w:rPr>
        <w:tab/>
      </w:r>
      <w:r w:rsidRPr="00802633">
        <w:rPr>
          <w:rFonts w:ascii="Times New Roman" w:hAnsi="Times New Roman" w:cs="Times New Roman"/>
          <w:b/>
          <w:bCs/>
          <w:sz w:val="24"/>
          <w:szCs w:val="24"/>
        </w:rPr>
        <w:t>Wijziging van de begrotingsstaat van het Ministerie van Buitenlandse Zaken (V) voor het jaar 2025 (wijziging samenhangende met de Najaarsnota)</w:t>
      </w:r>
    </w:p>
    <w:p w:rsidRPr="00802633" w:rsidR="00003460" w:rsidP="00003460" w:rsidRDefault="00003460" w14:paraId="2FFF5EAC" w14:textId="77777777">
      <w:pPr>
        <w:spacing w:after="0"/>
        <w:rPr>
          <w:rFonts w:ascii="Times New Roman" w:hAnsi="Times New Roman" w:cs="Times New Roman"/>
          <w:b/>
          <w:bCs/>
          <w:sz w:val="24"/>
          <w:szCs w:val="24"/>
        </w:rPr>
      </w:pPr>
    </w:p>
    <w:p w:rsidRPr="00802633" w:rsidR="00003460" w:rsidP="00003460" w:rsidRDefault="00003460" w14:paraId="72DFB2C4" w14:textId="77777777">
      <w:pPr>
        <w:spacing w:after="0"/>
        <w:ind w:left="1410" w:hanging="1410"/>
        <w:rPr>
          <w:rFonts w:ascii="Times New Roman" w:hAnsi="Times New Roman" w:cs="Times New Roman"/>
          <w:sz w:val="24"/>
          <w:szCs w:val="24"/>
        </w:rPr>
      </w:pPr>
    </w:p>
    <w:p w:rsidRPr="00802633" w:rsidR="00003460" w:rsidP="00003460" w:rsidRDefault="00003460" w14:paraId="0AD9F195" w14:textId="77777777">
      <w:pPr>
        <w:autoSpaceDE w:val="0"/>
        <w:autoSpaceDN w:val="0"/>
        <w:adjustRightInd w:val="0"/>
        <w:spacing w:after="0"/>
        <w:ind w:left="1410" w:hanging="1410"/>
        <w:rPr>
          <w:rFonts w:ascii="Times New Roman" w:hAnsi="Times New Roman" w:cs="Times New Roman"/>
          <w:color w:val="000000"/>
          <w:sz w:val="24"/>
          <w:szCs w:val="24"/>
        </w:rPr>
      </w:pPr>
      <w:r w:rsidRPr="00802633">
        <w:rPr>
          <w:rFonts w:ascii="Times New Roman" w:hAnsi="Times New Roman" w:cs="Times New Roman"/>
          <w:b/>
          <w:color w:val="000000"/>
          <w:sz w:val="24"/>
          <w:szCs w:val="24"/>
        </w:rPr>
        <w:t xml:space="preserve">Nr. </w:t>
      </w:r>
      <w:r w:rsidRPr="00802633">
        <w:rPr>
          <w:rFonts w:ascii="Times New Roman" w:hAnsi="Times New Roman" w:cs="Times New Roman"/>
          <w:b/>
          <w:sz w:val="24"/>
          <w:szCs w:val="24"/>
        </w:rPr>
        <w:t>3</w:t>
      </w:r>
      <w:r w:rsidRPr="00802633">
        <w:rPr>
          <w:rFonts w:ascii="Times New Roman" w:hAnsi="Times New Roman" w:cs="Times New Roman"/>
          <w:b/>
          <w:color w:val="000000"/>
          <w:sz w:val="24"/>
          <w:szCs w:val="24"/>
        </w:rPr>
        <w:tab/>
        <w:t>VERSLAG HOUDENDE EEN LIJST VAN VRAGEN EN ANTWOORDEN</w:t>
      </w:r>
      <w:r w:rsidRPr="00802633">
        <w:rPr>
          <w:rFonts w:ascii="Times New Roman" w:hAnsi="Times New Roman" w:cs="Times New Roman"/>
          <w:color w:val="000000"/>
          <w:sz w:val="24"/>
          <w:szCs w:val="24"/>
        </w:rPr>
        <w:t xml:space="preserve"> </w:t>
      </w:r>
    </w:p>
    <w:p w:rsidRPr="00802633" w:rsidR="00003460" w:rsidP="00003460" w:rsidRDefault="00003460" w14:paraId="661595A7" w14:textId="7084D94E">
      <w:pPr>
        <w:autoSpaceDE w:val="0"/>
        <w:autoSpaceDN w:val="0"/>
        <w:adjustRightInd w:val="0"/>
        <w:spacing w:after="0"/>
        <w:ind w:firstLine="708"/>
        <w:rPr>
          <w:rFonts w:ascii="Times New Roman" w:hAnsi="Times New Roman" w:cs="Times New Roman"/>
          <w:color w:val="000000"/>
          <w:sz w:val="24"/>
          <w:szCs w:val="24"/>
        </w:rPr>
      </w:pPr>
      <w:r w:rsidRPr="00802633">
        <w:rPr>
          <w:rFonts w:ascii="Times New Roman" w:hAnsi="Times New Roman" w:eastAsia="Calibri" w:cs="Times New Roman"/>
          <w:color w:val="000000"/>
          <w:sz w:val="24"/>
          <w:szCs w:val="24"/>
        </w:rPr>
        <w:tab/>
      </w:r>
      <w:r w:rsidRPr="00802633">
        <w:rPr>
          <w:rFonts w:ascii="Times New Roman" w:hAnsi="Times New Roman" w:cs="Times New Roman"/>
          <w:color w:val="000000"/>
          <w:sz w:val="24"/>
          <w:szCs w:val="24"/>
        </w:rPr>
        <w:t xml:space="preserve">Vastgesteld </w:t>
      </w:r>
      <w:r w:rsidRPr="00802633">
        <w:rPr>
          <w:rFonts w:ascii="Times New Roman" w:hAnsi="Times New Roman" w:cs="Times New Roman"/>
          <w:sz w:val="24"/>
          <w:szCs w:val="24"/>
        </w:rPr>
        <w:t>19 december 2025</w:t>
      </w:r>
    </w:p>
    <w:p w:rsidRPr="00802633" w:rsidR="00003460" w:rsidP="00003460" w:rsidRDefault="00003460" w14:paraId="651B0E2B" w14:textId="77777777">
      <w:pPr>
        <w:autoSpaceDE w:val="0"/>
        <w:autoSpaceDN w:val="0"/>
        <w:adjustRightInd w:val="0"/>
        <w:spacing w:after="0"/>
        <w:rPr>
          <w:rFonts w:ascii="Times New Roman" w:hAnsi="Times New Roman" w:cs="Times New Roman"/>
          <w:color w:val="000000"/>
          <w:sz w:val="24"/>
          <w:szCs w:val="24"/>
        </w:rPr>
      </w:pPr>
    </w:p>
    <w:p w:rsidRPr="00802633" w:rsidR="00003460" w:rsidP="00003460" w:rsidRDefault="00003460" w14:paraId="59FB740B" w14:textId="77777777">
      <w:pPr>
        <w:spacing w:before="60" w:after="60"/>
        <w:rPr>
          <w:rFonts w:ascii="Times New Roman" w:hAnsi="Times New Roman" w:eastAsia="Times New Roman" w:cs="Times New Roman"/>
          <w:spacing w:val="-3"/>
          <w:sz w:val="24"/>
          <w:szCs w:val="24"/>
          <w:lang w:eastAsia="nl-NL"/>
        </w:rPr>
      </w:pPr>
      <w:r w:rsidRPr="00802633">
        <w:rPr>
          <w:rFonts w:ascii="Times New Roman" w:hAnsi="Times New Roman" w:cs="Times New Roman"/>
          <w:color w:val="000000"/>
          <w:sz w:val="24"/>
          <w:szCs w:val="24"/>
        </w:rPr>
        <w:t>De</w:t>
      </w:r>
      <w:r w:rsidRPr="00802633">
        <w:rPr>
          <w:rFonts w:ascii="Times New Roman" w:hAnsi="Times New Roman" w:cs="Times New Roman"/>
          <w:sz w:val="24"/>
          <w:szCs w:val="24"/>
        </w:rPr>
        <w:t xml:space="preserve"> vaste </w:t>
      </w:r>
      <w:r w:rsidRPr="00802633">
        <w:rPr>
          <w:rFonts w:ascii="Times New Roman" w:hAnsi="Times New Roman" w:cs="Times New Roman"/>
          <w:color w:val="000000"/>
          <w:sz w:val="24"/>
          <w:szCs w:val="24"/>
        </w:rPr>
        <w:t>commissie voor</w:t>
      </w:r>
      <w:r w:rsidRPr="00802633">
        <w:rPr>
          <w:rFonts w:ascii="Times New Roman" w:hAnsi="Times New Roman" w:cs="Times New Roman"/>
          <w:sz w:val="24"/>
          <w:szCs w:val="24"/>
        </w:rPr>
        <w:t xml:space="preserve"> </w:t>
      </w:r>
      <w:r w:rsidRPr="00802633">
        <w:rPr>
          <w:rFonts w:ascii="Times New Roman" w:hAnsi="Times New Roman" w:cs="Times New Roman"/>
          <w:spacing w:val="-3"/>
          <w:sz w:val="24"/>
          <w:szCs w:val="24"/>
        </w:rPr>
        <w:t>Buitenlandse Zaken</w:t>
      </w:r>
      <w:r w:rsidRPr="00802633">
        <w:rPr>
          <w:rFonts w:ascii="Times New Roman" w:hAnsi="Times New Roman" w:cs="Times New Roman"/>
          <w:sz w:val="24"/>
          <w:szCs w:val="24"/>
        </w:rPr>
        <w:t>,</w:t>
      </w:r>
      <w:r w:rsidRPr="00802633">
        <w:rPr>
          <w:rFonts w:ascii="Times New Roman" w:hAnsi="Times New Roman" w:cs="Times New Roman"/>
          <w:color w:val="000000"/>
          <w:sz w:val="24"/>
          <w:szCs w:val="24"/>
        </w:rPr>
        <w:t xml:space="preserve"> belast met het voorbereidend onderzoek van dit voorstel van wet, heeft de eer verslag uit te brengen in de vorm van een lijst van</w:t>
      </w:r>
      <w:r w:rsidRPr="00802633">
        <w:rPr>
          <w:rFonts w:ascii="Times New Roman" w:hAnsi="Times New Roman" w:cs="Times New Roman"/>
          <w:sz w:val="24"/>
          <w:szCs w:val="24"/>
        </w:rPr>
        <w:t xml:space="preserve"> vragen</w:t>
      </w:r>
      <w:r w:rsidRPr="00802633">
        <w:rPr>
          <w:rFonts w:ascii="Times New Roman" w:hAnsi="Times New Roman" w:cs="Times New Roman"/>
          <w:color w:val="000000"/>
          <w:sz w:val="24"/>
          <w:szCs w:val="24"/>
        </w:rPr>
        <w:t xml:space="preserve"> met de daarop gegeven</w:t>
      </w:r>
      <w:r w:rsidRPr="00802633">
        <w:rPr>
          <w:rFonts w:ascii="Times New Roman" w:hAnsi="Times New Roman" w:cs="Times New Roman"/>
          <w:sz w:val="24"/>
          <w:szCs w:val="24"/>
        </w:rPr>
        <w:t xml:space="preserve"> antwoorden</w:t>
      </w:r>
      <w:r w:rsidRPr="00802633">
        <w:rPr>
          <w:rFonts w:ascii="Times New Roman" w:hAnsi="Times New Roman" w:cs="Times New Roman"/>
          <w:color w:val="000000"/>
          <w:sz w:val="24"/>
          <w:szCs w:val="24"/>
        </w:rPr>
        <w:t xml:space="preserve">. </w:t>
      </w:r>
    </w:p>
    <w:p w:rsidRPr="00802633" w:rsidR="00003460" w:rsidP="00003460" w:rsidRDefault="00003460" w14:paraId="1E9F9D78" w14:textId="77777777">
      <w:pPr>
        <w:autoSpaceDE w:val="0"/>
        <w:autoSpaceDN w:val="0"/>
        <w:adjustRightInd w:val="0"/>
        <w:spacing w:after="0"/>
        <w:rPr>
          <w:rFonts w:ascii="Times New Roman" w:hAnsi="Times New Roman" w:cs="Times New Roman"/>
          <w:color w:val="000000"/>
          <w:sz w:val="24"/>
          <w:szCs w:val="24"/>
        </w:rPr>
      </w:pPr>
    </w:p>
    <w:p w:rsidRPr="00802633" w:rsidR="00003460" w:rsidP="00003460" w:rsidRDefault="00003460" w14:paraId="6C68C568" w14:textId="77777777">
      <w:pPr>
        <w:spacing w:before="60" w:after="60"/>
        <w:rPr>
          <w:rFonts w:ascii="Times New Roman" w:hAnsi="Times New Roman" w:eastAsia="Times New Roman" w:cs="Times New Roman"/>
          <w:spacing w:val="-3"/>
          <w:sz w:val="24"/>
          <w:szCs w:val="24"/>
          <w:lang w:eastAsia="nl-NL"/>
        </w:rPr>
      </w:pPr>
      <w:r w:rsidRPr="00802633">
        <w:rPr>
          <w:rFonts w:ascii="Times New Roman" w:hAnsi="Times New Roman" w:cs="Times New Roman"/>
          <w:color w:val="000000"/>
          <w:sz w:val="24"/>
          <w:szCs w:val="24"/>
        </w:rPr>
        <w:t xml:space="preserve">De </w:t>
      </w:r>
      <w:r w:rsidRPr="00802633">
        <w:rPr>
          <w:rFonts w:ascii="Times New Roman" w:hAnsi="Times New Roman" w:cs="Times New Roman"/>
          <w:sz w:val="24"/>
          <w:szCs w:val="24"/>
        </w:rPr>
        <w:t>vragen</w:t>
      </w:r>
      <w:r w:rsidRPr="00802633">
        <w:rPr>
          <w:rFonts w:ascii="Times New Roman" w:hAnsi="Times New Roman" w:cs="Times New Roman"/>
          <w:color w:val="000000"/>
          <w:sz w:val="24"/>
          <w:szCs w:val="24"/>
        </w:rPr>
        <w:t xml:space="preserve"> </w:t>
      </w:r>
      <w:r w:rsidRPr="00802633">
        <w:rPr>
          <w:rFonts w:ascii="Times New Roman" w:hAnsi="Times New Roman" w:cs="Times New Roman"/>
          <w:sz w:val="24"/>
          <w:szCs w:val="24"/>
        </w:rPr>
        <w:t>zijn</w:t>
      </w:r>
      <w:r w:rsidRPr="00802633">
        <w:rPr>
          <w:rFonts w:ascii="Times New Roman" w:hAnsi="Times New Roman" w:cs="Times New Roman"/>
          <w:color w:val="000000"/>
          <w:sz w:val="24"/>
          <w:szCs w:val="24"/>
        </w:rPr>
        <w:t xml:space="preserve"> op </w:t>
      </w:r>
      <w:r w:rsidRPr="00802633">
        <w:rPr>
          <w:rFonts w:ascii="Times New Roman" w:hAnsi="Times New Roman" w:cs="Times New Roman"/>
          <w:sz w:val="24"/>
          <w:szCs w:val="24"/>
        </w:rPr>
        <w:t xml:space="preserve">8 december 2025 </w:t>
      </w:r>
      <w:r w:rsidRPr="00802633">
        <w:rPr>
          <w:rFonts w:ascii="Times New Roman" w:hAnsi="Times New Roman" w:cs="Times New Roman"/>
          <w:color w:val="000000"/>
          <w:sz w:val="24"/>
          <w:szCs w:val="24"/>
        </w:rPr>
        <w:t>voorgelegd aan de minister van</w:t>
      </w:r>
      <w:r w:rsidRPr="00802633">
        <w:rPr>
          <w:rFonts w:ascii="Times New Roman" w:hAnsi="Times New Roman" w:cs="Times New Roman"/>
          <w:sz w:val="24"/>
          <w:szCs w:val="24"/>
        </w:rPr>
        <w:t xml:space="preserve"> </w:t>
      </w:r>
      <w:r w:rsidRPr="00802633">
        <w:rPr>
          <w:rFonts w:ascii="Times New Roman" w:hAnsi="Times New Roman" w:cs="Times New Roman"/>
          <w:spacing w:val="-3"/>
          <w:sz w:val="24"/>
          <w:szCs w:val="24"/>
        </w:rPr>
        <w:t>Buitenlandse Zaken</w:t>
      </w:r>
      <w:r w:rsidRPr="00802633">
        <w:rPr>
          <w:rFonts w:ascii="Times New Roman" w:hAnsi="Times New Roman" w:cs="Times New Roman"/>
          <w:color w:val="000000"/>
          <w:sz w:val="24"/>
          <w:szCs w:val="24"/>
        </w:rPr>
        <w:t>. Bij brief van</w:t>
      </w:r>
      <w:r w:rsidRPr="00802633">
        <w:rPr>
          <w:rFonts w:ascii="Times New Roman" w:hAnsi="Times New Roman" w:cs="Times New Roman"/>
          <w:sz w:val="24"/>
          <w:szCs w:val="24"/>
        </w:rPr>
        <w:t xml:space="preserve"> 12 december 2025 zijn </w:t>
      </w:r>
      <w:r w:rsidRPr="00802633">
        <w:rPr>
          <w:rFonts w:ascii="Times New Roman" w:hAnsi="Times New Roman" w:cs="Times New Roman"/>
          <w:color w:val="000000"/>
          <w:sz w:val="24"/>
          <w:szCs w:val="24"/>
        </w:rPr>
        <w:t>ze door de minister van</w:t>
      </w:r>
      <w:r w:rsidRPr="00802633">
        <w:rPr>
          <w:rFonts w:ascii="Times New Roman" w:hAnsi="Times New Roman" w:cs="Times New Roman"/>
          <w:sz w:val="24"/>
          <w:szCs w:val="24"/>
        </w:rPr>
        <w:t xml:space="preserve"> </w:t>
      </w:r>
      <w:r w:rsidRPr="00802633">
        <w:rPr>
          <w:rFonts w:ascii="Times New Roman" w:hAnsi="Times New Roman" w:cs="Times New Roman"/>
          <w:spacing w:val="-3"/>
          <w:sz w:val="24"/>
          <w:szCs w:val="24"/>
        </w:rPr>
        <w:t>Buitenlandse Zaken</w:t>
      </w:r>
      <w:r w:rsidRPr="00802633">
        <w:rPr>
          <w:rFonts w:ascii="Times New Roman" w:hAnsi="Times New Roman" w:cs="Times New Roman"/>
          <w:color w:val="000000"/>
          <w:sz w:val="24"/>
          <w:szCs w:val="24"/>
        </w:rPr>
        <w:t xml:space="preserve"> beantwoord. </w:t>
      </w:r>
    </w:p>
    <w:p w:rsidRPr="00802633" w:rsidR="00003460" w:rsidP="00003460" w:rsidRDefault="00003460" w14:paraId="0A6A0532" w14:textId="77777777">
      <w:pPr>
        <w:autoSpaceDE w:val="0"/>
        <w:autoSpaceDN w:val="0"/>
        <w:adjustRightInd w:val="0"/>
        <w:spacing w:after="0"/>
        <w:rPr>
          <w:rFonts w:ascii="Times New Roman" w:hAnsi="Times New Roman" w:cs="Times New Roman"/>
          <w:color w:val="000000"/>
          <w:sz w:val="24"/>
          <w:szCs w:val="24"/>
        </w:rPr>
      </w:pPr>
    </w:p>
    <w:p w:rsidRPr="00802633" w:rsidR="00003460" w:rsidP="00003460" w:rsidRDefault="00003460" w14:paraId="2055FD8C" w14:textId="77777777">
      <w:pPr>
        <w:autoSpaceDE w:val="0"/>
        <w:autoSpaceDN w:val="0"/>
        <w:adjustRightInd w:val="0"/>
        <w:spacing w:after="0"/>
        <w:rPr>
          <w:rFonts w:ascii="Times New Roman" w:hAnsi="Times New Roman" w:cs="Times New Roman"/>
          <w:color w:val="000000"/>
          <w:sz w:val="24"/>
          <w:szCs w:val="24"/>
        </w:rPr>
      </w:pPr>
      <w:r w:rsidRPr="00802633">
        <w:rPr>
          <w:rFonts w:ascii="Times New Roman" w:hAnsi="Times New Roman" w:cs="Times New Roman"/>
          <w:color w:val="000000"/>
          <w:sz w:val="24"/>
          <w:szCs w:val="24"/>
        </w:rPr>
        <w:t xml:space="preserve">Met de vaststelling van het verslag acht de commissie de openbare behandeling van het wetsvoorstel voldoende voorbereid. </w:t>
      </w:r>
    </w:p>
    <w:p w:rsidRPr="00802633" w:rsidR="00003460" w:rsidP="00003460" w:rsidRDefault="00003460" w14:paraId="1DECA80C" w14:textId="77777777">
      <w:pPr>
        <w:autoSpaceDE w:val="0"/>
        <w:autoSpaceDN w:val="0"/>
        <w:adjustRightInd w:val="0"/>
        <w:spacing w:after="0"/>
        <w:rPr>
          <w:rFonts w:ascii="Times New Roman" w:hAnsi="Times New Roman" w:cs="Times New Roman"/>
          <w:color w:val="000000"/>
          <w:sz w:val="24"/>
          <w:szCs w:val="24"/>
        </w:rPr>
      </w:pPr>
    </w:p>
    <w:p w:rsidRPr="00802633" w:rsidR="00003460" w:rsidP="00003460" w:rsidRDefault="00003460" w14:paraId="1AF79314" w14:textId="77777777">
      <w:pPr>
        <w:autoSpaceDE w:val="0"/>
        <w:autoSpaceDN w:val="0"/>
        <w:adjustRightInd w:val="0"/>
        <w:spacing w:after="0"/>
        <w:rPr>
          <w:rFonts w:ascii="Times New Roman" w:hAnsi="Times New Roman" w:cs="Times New Roman"/>
          <w:color w:val="000000"/>
          <w:sz w:val="24"/>
          <w:szCs w:val="24"/>
        </w:rPr>
      </w:pPr>
      <w:r w:rsidRPr="00802633">
        <w:rPr>
          <w:rFonts w:ascii="Times New Roman" w:hAnsi="Times New Roman" w:cs="Times New Roman"/>
          <w:color w:val="000000"/>
          <w:sz w:val="24"/>
          <w:szCs w:val="24"/>
        </w:rPr>
        <w:t xml:space="preserve">De </w:t>
      </w:r>
      <w:r w:rsidRPr="00802633">
        <w:rPr>
          <w:rFonts w:ascii="Times New Roman" w:hAnsi="Times New Roman" w:eastAsia="Calibri" w:cs="Times New Roman"/>
          <w:color w:val="000000"/>
          <w:sz w:val="24"/>
          <w:szCs w:val="24"/>
        </w:rPr>
        <w:t xml:space="preserve">fungerend </w:t>
      </w:r>
      <w:r w:rsidRPr="00802633">
        <w:rPr>
          <w:rFonts w:ascii="Times New Roman" w:hAnsi="Times New Roman" w:cs="Times New Roman"/>
          <w:color w:val="000000"/>
          <w:sz w:val="24"/>
          <w:szCs w:val="24"/>
        </w:rPr>
        <w:t>voorzitter van de commissie,</w:t>
      </w:r>
    </w:p>
    <w:p w:rsidRPr="00802633" w:rsidR="00003460" w:rsidP="00003460" w:rsidRDefault="00003460" w14:paraId="26D21B04" w14:textId="77777777">
      <w:pPr>
        <w:autoSpaceDE w:val="0"/>
        <w:autoSpaceDN w:val="0"/>
        <w:adjustRightInd w:val="0"/>
        <w:spacing w:after="0"/>
        <w:rPr>
          <w:rFonts w:ascii="Times New Roman" w:hAnsi="Times New Roman" w:cs="Times New Roman"/>
          <w:sz w:val="24"/>
          <w:szCs w:val="24"/>
        </w:rPr>
      </w:pPr>
      <w:r w:rsidRPr="00802633">
        <w:rPr>
          <w:rFonts w:ascii="Times New Roman" w:hAnsi="Times New Roman" w:cs="Times New Roman"/>
          <w:sz w:val="24"/>
          <w:szCs w:val="24"/>
        </w:rPr>
        <w:t>Klaver</w:t>
      </w:r>
    </w:p>
    <w:p w:rsidRPr="00802633" w:rsidR="00003460" w:rsidP="00003460" w:rsidRDefault="00003460" w14:paraId="65633D7F" w14:textId="77777777">
      <w:pPr>
        <w:autoSpaceDE w:val="0"/>
        <w:autoSpaceDN w:val="0"/>
        <w:adjustRightInd w:val="0"/>
        <w:spacing w:after="0"/>
        <w:rPr>
          <w:rFonts w:ascii="Times New Roman" w:hAnsi="Times New Roman" w:cs="Times New Roman"/>
          <w:color w:val="000000"/>
          <w:sz w:val="24"/>
          <w:szCs w:val="24"/>
        </w:rPr>
      </w:pPr>
    </w:p>
    <w:p w:rsidRPr="00802633" w:rsidR="00003460" w:rsidP="00003460" w:rsidRDefault="00003460" w14:paraId="2B3B1132" w14:textId="77777777">
      <w:pPr>
        <w:autoSpaceDE w:val="0"/>
        <w:autoSpaceDN w:val="0"/>
        <w:adjustRightInd w:val="0"/>
        <w:spacing w:after="0"/>
        <w:rPr>
          <w:rFonts w:ascii="Times New Roman" w:hAnsi="Times New Roman" w:cs="Times New Roman"/>
          <w:color w:val="000000"/>
          <w:sz w:val="24"/>
          <w:szCs w:val="24"/>
        </w:rPr>
      </w:pPr>
      <w:r w:rsidRPr="00802633">
        <w:rPr>
          <w:rFonts w:ascii="Times New Roman" w:hAnsi="Times New Roman" w:cs="Times New Roman"/>
          <w:color w:val="000000"/>
          <w:sz w:val="24"/>
          <w:szCs w:val="24"/>
        </w:rPr>
        <w:t xml:space="preserve">De </w:t>
      </w:r>
      <w:r w:rsidRPr="00802633">
        <w:rPr>
          <w:rFonts w:ascii="Times New Roman" w:hAnsi="Times New Roman" w:cs="Times New Roman"/>
          <w:sz w:val="24"/>
          <w:szCs w:val="24"/>
        </w:rPr>
        <w:t>griffier</w:t>
      </w:r>
      <w:r w:rsidRPr="00802633">
        <w:rPr>
          <w:rFonts w:ascii="Times New Roman" w:hAnsi="Times New Roman" w:cs="Times New Roman"/>
          <w:color w:val="000000"/>
          <w:sz w:val="24"/>
          <w:szCs w:val="24"/>
        </w:rPr>
        <w:t xml:space="preserve"> van de commissie,</w:t>
      </w:r>
    </w:p>
    <w:p w:rsidRPr="00802633" w:rsidR="00003460" w:rsidP="00003460" w:rsidRDefault="00003460" w14:paraId="140F7FC3" w14:textId="77777777">
      <w:pPr>
        <w:spacing w:after="0"/>
        <w:rPr>
          <w:rFonts w:ascii="Times New Roman" w:hAnsi="Times New Roman" w:cs="Times New Roman"/>
          <w:sz w:val="24"/>
          <w:szCs w:val="24"/>
        </w:rPr>
      </w:pPr>
      <w:r w:rsidRPr="00802633">
        <w:rPr>
          <w:rFonts w:ascii="Times New Roman" w:hAnsi="Times New Roman" w:cs="Times New Roman"/>
          <w:sz w:val="24"/>
          <w:szCs w:val="24"/>
        </w:rPr>
        <w:t>Westerhoff</w:t>
      </w:r>
    </w:p>
    <w:p w:rsidR="00003460" w:rsidP="00003460" w:rsidRDefault="00003460" w14:paraId="31A51217" w14:textId="77777777">
      <w:pPr>
        <w:spacing w:after="0"/>
        <w:rPr>
          <w:rFonts w:ascii="Times New Roman" w:hAnsi="Times New Roman" w:cs="Times New Roman"/>
          <w:sz w:val="24"/>
          <w:szCs w:val="24"/>
        </w:rPr>
      </w:pPr>
    </w:p>
    <w:p w:rsidRPr="00802633" w:rsidR="004E0756" w:rsidP="00003460" w:rsidRDefault="004E0756" w14:paraId="1EFEC2EF" w14:textId="77777777">
      <w:pPr>
        <w:spacing w:after="0"/>
        <w:rPr>
          <w:rFonts w:ascii="Times New Roman" w:hAnsi="Times New Roman" w:cs="Times New Roman"/>
          <w:sz w:val="24"/>
          <w:szCs w:val="24"/>
        </w:rPr>
      </w:pPr>
    </w:p>
    <w:p w:rsidRPr="00802633" w:rsidR="00003460" w:rsidP="00003460" w:rsidRDefault="00003460" w14:paraId="24B3C351" w14:textId="77777777">
      <w:pPr>
        <w:spacing w:after="0"/>
        <w:rPr>
          <w:rFonts w:ascii="Times New Roman" w:hAnsi="Times New Roman" w:cs="Times New Roman"/>
          <w:b/>
          <w:bCs/>
          <w:sz w:val="24"/>
          <w:szCs w:val="24"/>
        </w:rPr>
      </w:pPr>
      <w:r w:rsidRPr="00802633">
        <w:rPr>
          <w:rFonts w:ascii="Times New Roman" w:hAnsi="Times New Roman" w:cs="Times New Roman"/>
          <w:b/>
          <w:bCs/>
          <w:sz w:val="24"/>
          <w:szCs w:val="24"/>
        </w:rPr>
        <w:t>Vragen en antwoorden</w:t>
      </w:r>
    </w:p>
    <w:p w:rsidRPr="00802633" w:rsidR="00003460" w:rsidP="00003460" w:rsidRDefault="00003460" w14:paraId="1F58AE6E" w14:textId="77777777">
      <w:pPr>
        <w:rPr>
          <w:rFonts w:ascii="Times New Roman" w:hAnsi="Times New Roman" w:cs="Times New Roman"/>
          <w:sz w:val="24"/>
          <w:szCs w:val="24"/>
        </w:rPr>
      </w:pPr>
    </w:p>
    <w:tbl>
      <w:tblPr>
        <w:tblW w:w="5000" w:type="pct"/>
        <w:tblLayout w:type="fixed"/>
        <w:tblCellMar>
          <w:left w:w="0" w:type="dxa"/>
          <w:right w:w="0" w:type="dxa"/>
        </w:tblCellMar>
        <w:tblLook w:val="0000" w:firstRow="0" w:lastRow="0" w:firstColumn="0" w:lastColumn="0" w:noHBand="0" w:noVBand="0"/>
      </w:tblPr>
      <w:tblGrid>
        <w:gridCol w:w="568"/>
        <w:gridCol w:w="3788"/>
        <w:gridCol w:w="3944"/>
      </w:tblGrid>
      <w:tr w:rsidRPr="00802633" w:rsidR="00003460" w:rsidTr="004E0756" w14:paraId="05435D96" w14:textId="77777777">
        <w:tc>
          <w:tcPr>
            <w:tcW w:w="342" w:type="pct"/>
          </w:tcPr>
          <w:p w:rsidRPr="00802633" w:rsidR="00003460" w:rsidP="004E0756" w:rsidRDefault="00003460" w14:paraId="6C781CDE" w14:textId="77777777">
            <w:pPr>
              <w:jc w:val="center"/>
              <w:rPr>
                <w:rFonts w:ascii="Times New Roman" w:hAnsi="Times New Roman" w:cs="Times New Roman"/>
                <w:sz w:val="24"/>
                <w:szCs w:val="24"/>
              </w:rPr>
            </w:pPr>
            <w:r w:rsidRPr="00802633">
              <w:rPr>
                <w:rFonts w:ascii="Times New Roman" w:hAnsi="Times New Roman" w:cs="Times New Roman"/>
                <w:sz w:val="24"/>
                <w:szCs w:val="24"/>
              </w:rPr>
              <w:t>1</w:t>
            </w:r>
          </w:p>
        </w:tc>
        <w:tc>
          <w:tcPr>
            <w:tcW w:w="4658" w:type="pct"/>
            <w:gridSpan w:val="2"/>
          </w:tcPr>
          <w:p w:rsidRPr="00802633" w:rsidR="00003460" w:rsidP="009116F6" w:rsidRDefault="00003460" w14:paraId="56F86C5B" w14:textId="77777777">
            <w:pPr>
              <w:rPr>
                <w:rFonts w:ascii="Times New Roman" w:hAnsi="Times New Roman" w:cs="Times New Roman"/>
                <w:sz w:val="24"/>
                <w:szCs w:val="24"/>
              </w:rPr>
            </w:pPr>
            <w:r w:rsidRPr="00802633">
              <w:rPr>
                <w:rFonts w:ascii="Times New Roman" w:hAnsi="Times New Roman" w:cs="Times New Roman"/>
                <w:sz w:val="24"/>
                <w:szCs w:val="24"/>
              </w:rPr>
              <w:t>Kunt u in een tabel aangeven op welke budgetten de afgelopen drie jaar onderuitputting heeft plaatsgevonden?</w:t>
            </w:r>
          </w:p>
          <w:p w:rsidR="00003460" w:rsidP="009116F6" w:rsidRDefault="00003460" w14:paraId="1361B4B4" w14:textId="77777777">
            <w:pPr>
              <w:rPr>
                <w:rFonts w:ascii="Times New Roman" w:hAnsi="Times New Roman" w:cs="Times New Roman"/>
                <w:b/>
                <w:bCs/>
                <w:sz w:val="24"/>
                <w:szCs w:val="24"/>
              </w:rPr>
            </w:pPr>
            <w:r w:rsidRPr="00802633">
              <w:rPr>
                <w:rFonts w:ascii="Times New Roman" w:hAnsi="Times New Roman" w:cs="Times New Roman"/>
                <w:b/>
                <w:bCs/>
                <w:sz w:val="24"/>
                <w:szCs w:val="24"/>
              </w:rPr>
              <w:t>Antwoord: De onderuitputting van 2025 zal in het Jaarverslag van 2025 gerapporteerd worden. Voor de jaren 2024, 2023 en 2022 is een overzicht van de onderuitputting in de tabel hieronder gegeven.</w:t>
            </w:r>
          </w:p>
          <w:p w:rsidR="004E0756" w:rsidP="009116F6" w:rsidRDefault="004E0756" w14:paraId="0B4DE22F" w14:textId="77777777">
            <w:pPr>
              <w:rPr>
                <w:rFonts w:ascii="Times New Roman" w:hAnsi="Times New Roman" w:cs="Times New Roman"/>
                <w:b/>
                <w:bCs/>
                <w:sz w:val="24"/>
                <w:szCs w:val="24"/>
              </w:rPr>
            </w:pPr>
          </w:p>
          <w:tbl>
            <w:tblPr>
              <w:tblStyle w:val="Tabelraster"/>
              <w:tblW w:w="0" w:type="auto"/>
              <w:tblInd w:w="134" w:type="dxa"/>
              <w:tblLook w:val="04A0" w:firstRow="1" w:lastRow="0" w:firstColumn="1" w:lastColumn="0" w:noHBand="0" w:noVBand="1"/>
            </w:tblPr>
            <w:tblGrid>
              <w:gridCol w:w="4961"/>
              <w:gridCol w:w="2268"/>
            </w:tblGrid>
            <w:tr w:rsidRPr="00541D2F" w:rsidR="004E0756" w:rsidTr="00541D2F" w14:paraId="61682834" w14:textId="77777777">
              <w:tc>
                <w:tcPr>
                  <w:tcW w:w="4961" w:type="dxa"/>
                </w:tcPr>
                <w:p w:rsidRPr="00541D2F" w:rsidR="004E0756" w:rsidP="004E0756" w:rsidRDefault="004E0756" w14:paraId="0C9EBD6D" w14:textId="77777777">
                  <w:pPr>
                    <w:rPr>
                      <w:rFonts w:ascii="Times New Roman" w:hAnsi="Times New Roman" w:cs="Times New Roman"/>
                    </w:rPr>
                  </w:pPr>
                </w:p>
              </w:tc>
              <w:tc>
                <w:tcPr>
                  <w:tcW w:w="2268" w:type="dxa"/>
                </w:tcPr>
                <w:p w:rsidRPr="00541D2F" w:rsidR="004E0756" w:rsidP="004E0756" w:rsidRDefault="004E0756" w14:paraId="40D5B406" w14:textId="77777777">
                  <w:pPr>
                    <w:jc w:val="right"/>
                    <w:rPr>
                      <w:rFonts w:ascii="Times New Roman" w:hAnsi="Times New Roman" w:cs="Times New Roman"/>
                    </w:rPr>
                  </w:pPr>
                </w:p>
              </w:tc>
            </w:tr>
            <w:tr w:rsidRPr="00541D2F" w:rsidR="004E0756" w:rsidTr="00541D2F" w14:paraId="44667165" w14:textId="77777777">
              <w:tc>
                <w:tcPr>
                  <w:tcW w:w="4961" w:type="dxa"/>
                  <w:vAlign w:val="center"/>
                </w:tcPr>
                <w:p w:rsidRPr="00541D2F" w:rsidR="004E0756" w:rsidP="004E0756" w:rsidRDefault="004E0756" w14:paraId="73DB423B" w14:textId="77777777">
                  <w:pPr>
                    <w:rPr>
                      <w:rFonts w:ascii="Times New Roman" w:hAnsi="Times New Roman" w:cs="Times New Roman"/>
                    </w:rPr>
                  </w:pPr>
                  <w:r w:rsidRPr="00541D2F">
                    <w:rPr>
                      <w:rFonts w:ascii="Times New Roman" w:hAnsi="Times New Roman" w:cs="Times New Roman"/>
                      <w:b/>
                      <w:bCs/>
                    </w:rPr>
                    <w:t>Onderuitputting in 2024</w:t>
                  </w:r>
                </w:p>
              </w:tc>
              <w:tc>
                <w:tcPr>
                  <w:tcW w:w="2268" w:type="dxa"/>
                  <w:vAlign w:val="center"/>
                </w:tcPr>
                <w:p w:rsidRPr="00541D2F" w:rsidR="004E0756" w:rsidP="004E0756" w:rsidRDefault="004E0756" w14:paraId="3D88CE7D" w14:textId="77777777">
                  <w:pPr>
                    <w:jc w:val="right"/>
                    <w:rPr>
                      <w:rFonts w:ascii="Times New Roman" w:hAnsi="Times New Roman" w:cs="Times New Roman"/>
                    </w:rPr>
                  </w:pPr>
                  <w:r w:rsidRPr="00541D2F">
                    <w:rPr>
                      <w:rFonts w:ascii="Times New Roman" w:hAnsi="Times New Roman" w:cs="Times New Roman"/>
                      <w:b/>
                      <w:bCs/>
                    </w:rPr>
                    <w:t>In duizenden euro’s</w:t>
                  </w:r>
                </w:p>
              </w:tc>
            </w:tr>
            <w:tr w:rsidRPr="00541D2F" w:rsidR="004E0756" w:rsidTr="00541D2F" w14:paraId="2429047B" w14:textId="77777777">
              <w:tc>
                <w:tcPr>
                  <w:tcW w:w="4961" w:type="dxa"/>
                  <w:vAlign w:val="center"/>
                </w:tcPr>
                <w:p w:rsidRPr="00541D2F" w:rsidR="004E0756" w:rsidP="004E0756" w:rsidRDefault="004E0756" w14:paraId="2918FD52" w14:textId="77777777">
                  <w:pPr>
                    <w:rPr>
                      <w:rFonts w:ascii="Times New Roman" w:hAnsi="Times New Roman" w:cs="Times New Roman"/>
                    </w:rPr>
                  </w:pPr>
                  <w:r w:rsidRPr="00541D2F">
                    <w:rPr>
                      <w:rFonts w:ascii="Times New Roman" w:hAnsi="Times New Roman" w:cs="Times New Roman"/>
                      <w:color w:val="000000" w:themeColor="text1"/>
                    </w:rPr>
                    <w:t>Stabiliteitsfonds</w:t>
                  </w:r>
                </w:p>
              </w:tc>
              <w:tc>
                <w:tcPr>
                  <w:tcW w:w="2268" w:type="dxa"/>
                  <w:vAlign w:val="center"/>
                </w:tcPr>
                <w:p w:rsidRPr="00541D2F" w:rsidR="004E0756" w:rsidP="004E0756" w:rsidRDefault="004E0756" w14:paraId="3EBAED29" w14:textId="77777777">
                  <w:pPr>
                    <w:jc w:val="right"/>
                    <w:rPr>
                      <w:rFonts w:ascii="Times New Roman" w:hAnsi="Times New Roman" w:cs="Times New Roman"/>
                    </w:rPr>
                  </w:pPr>
                  <w:r w:rsidRPr="00541D2F">
                    <w:rPr>
                      <w:rFonts w:ascii="Times New Roman" w:hAnsi="Times New Roman" w:cs="Times New Roman"/>
                      <w:color w:val="000000" w:themeColor="text1"/>
                    </w:rPr>
                    <w:t>‒ 14.054</w:t>
                  </w:r>
                </w:p>
              </w:tc>
            </w:tr>
            <w:tr w:rsidRPr="00541D2F" w:rsidR="004E0756" w:rsidTr="00541D2F" w14:paraId="35DD0E29" w14:textId="77777777">
              <w:tc>
                <w:tcPr>
                  <w:tcW w:w="4961" w:type="dxa"/>
                  <w:vAlign w:val="center"/>
                </w:tcPr>
                <w:p w:rsidRPr="00541D2F" w:rsidR="004E0756" w:rsidP="004E0756" w:rsidRDefault="004E0756" w14:paraId="549D9A34" w14:textId="77777777">
                  <w:pPr>
                    <w:rPr>
                      <w:rFonts w:ascii="Times New Roman" w:hAnsi="Times New Roman" w:cs="Times New Roman"/>
                    </w:rPr>
                  </w:pPr>
                  <w:r w:rsidRPr="00541D2F">
                    <w:rPr>
                      <w:rFonts w:ascii="Times New Roman" w:hAnsi="Times New Roman" w:cs="Times New Roman"/>
                      <w:color w:val="000000" w:themeColor="text1"/>
                    </w:rPr>
                    <w:t>VN-Crisisbeheersingsoperaties</w:t>
                  </w:r>
                </w:p>
              </w:tc>
              <w:tc>
                <w:tcPr>
                  <w:tcW w:w="2268" w:type="dxa"/>
                  <w:vAlign w:val="center"/>
                </w:tcPr>
                <w:p w:rsidRPr="00541D2F" w:rsidR="004E0756" w:rsidP="004E0756" w:rsidRDefault="004E0756" w14:paraId="3D31AD95" w14:textId="77777777">
                  <w:pPr>
                    <w:jc w:val="right"/>
                    <w:rPr>
                      <w:rFonts w:ascii="Times New Roman" w:hAnsi="Times New Roman" w:cs="Times New Roman"/>
                    </w:rPr>
                  </w:pPr>
                  <w:r w:rsidRPr="00541D2F">
                    <w:rPr>
                      <w:rFonts w:ascii="Times New Roman" w:hAnsi="Times New Roman" w:cs="Times New Roman"/>
                      <w:color w:val="000000" w:themeColor="text1"/>
                    </w:rPr>
                    <w:t>‒ 15.163</w:t>
                  </w:r>
                </w:p>
              </w:tc>
            </w:tr>
            <w:tr w:rsidRPr="00541D2F" w:rsidR="004E0756" w:rsidTr="00541D2F" w14:paraId="2BF631FC" w14:textId="77777777">
              <w:tc>
                <w:tcPr>
                  <w:tcW w:w="4961" w:type="dxa"/>
                  <w:vAlign w:val="center"/>
                </w:tcPr>
                <w:p w:rsidRPr="00541D2F" w:rsidR="004E0756" w:rsidP="004E0756" w:rsidRDefault="004E0756" w14:paraId="7C751D59" w14:textId="77777777">
                  <w:pPr>
                    <w:rPr>
                      <w:rFonts w:ascii="Times New Roman" w:hAnsi="Times New Roman" w:cs="Times New Roman"/>
                    </w:rPr>
                  </w:pPr>
                  <w:r w:rsidRPr="00541D2F">
                    <w:rPr>
                      <w:rFonts w:ascii="Times New Roman" w:hAnsi="Times New Roman" w:cs="Times New Roman"/>
                      <w:color w:val="000000" w:themeColor="text1"/>
                    </w:rPr>
                    <w:t>Bevordering van veiligheid, stabiliteit en rechtsorde in internationaal verband: Overige</w:t>
                  </w:r>
                </w:p>
              </w:tc>
              <w:tc>
                <w:tcPr>
                  <w:tcW w:w="2268" w:type="dxa"/>
                  <w:vAlign w:val="center"/>
                </w:tcPr>
                <w:p w:rsidRPr="00541D2F" w:rsidR="004E0756" w:rsidP="004E0756" w:rsidRDefault="004E0756" w14:paraId="33F3D319" w14:textId="77777777">
                  <w:pPr>
                    <w:jc w:val="right"/>
                    <w:rPr>
                      <w:rFonts w:ascii="Times New Roman" w:hAnsi="Times New Roman" w:cs="Times New Roman"/>
                    </w:rPr>
                  </w:pPr>
                  <w:r w:rsidRPr="00541D2F">
                    <w:rPr>
                      <w:rFonts w:ascii="Times New Roman" w:hAnsi="Times New Roman" w:cs="Times New Roman"/>
                      <w:color w:val="000000" w:themeColor="text1"/>
                    </w:rPr>
                    <w:t>‒ 15.200</w:t>
                  </w:r>
                </w:p>
              </w:tc>
            </w:tr>
            <w:tr w:rsidRPr="00541D2F" w:rsidR="004E0756" w:rsidTr="00541D2F" w14:paraId="6DFE957E" w14:textId="77777777">
              <w:tc>
                <w:tcPr>
                  <w:tcW w:w="4961" w:type="dxa"/>
                  <w:vAlign w:val="center"/>
                </w:tcPr>
                <w:p w:rsidRPr="00541D2F" w:rsidR="004E0756" w:rsidP="004E0756" w:rsidRDefault="004E0756" w14:paraId="1EE86A77" w14:textId="77777777">
                  <w:pPr>
                    <w:rPr>
                      <w:rFonts w:ascii="Times New Roman" w:hAnsi="Times New Roman" w:cs="Times New Roman"/>
                    </w:rPr>
                  </w:pPr>
                  <w:r w:rsidRPr="00541D2F">
                    <w:rPr>
                      <w:rFonts w:ascii="Times New Roman" w:hAnsi="Times New Roman" w:cs="Times New Roman"/>
                      <w:color w:val="000000" w:themeColor="text1"/>
                    </w:rPr>
                    <w:t>Hogere ontvangsten restitutie programma's</w:t>
                  </w:r>
                </w:p>
              </w:tc>
              <w:tc>
                <w:tcPr>
                  <w:tcW w:w="2268" w:type="dxa"/>
                  <w:vAlign w:val="center"/>
                </w:tcPr>
                <w:p w:rsidRPr="00541D2F" w:rsidR="004E0756" w:rsidP="004E0756" w:rsidRDefault="004E0756" w14:paraId="55490982" w14:textId="77777777">
                  <w:pPr>
                    <w:jc w:val="right"/>
                    <w:rPr>
                      <w:rFonts w:ascii="Times New Roman" w:hAnsi="Times New Roman" w:cs="Times New Roman"/>
                    </w:rPr>
                  </w:pPr>
                  <w:r w:rsidRPr="00541D2F">
                    <w:rPr>
                      <w:rFonts w:ascii="Times New Roman" w:hAnsi="Times New Roman" w:cs="Times New Roman"/>
                      <w:color w:val="000000" w:themeColor="text1"/>
                    </w:rPr>
                    <w:t>‒ 6.188</w:t>
                  </w:r>
                </w:p>
              </w:tc>
            </w:tr>
            <w:tr w:rsidRPr="00541D2F" w:rsidR="004E0756" w:rsidTr="00541D2F" w14:paraId="635A496F" w14:textId="77777777">
              <w:tc>
                <w:tcPr>
                  <w:tcW w:w="4961" w:type="dxa"/>
                  <w:vAlign w:val="center"/>
                </w:tcPr>
                <w:p w:rsidRPr="00541D2F" w:rsidR="004E0756" w:rsidP="004E0756" w:rsidRDefault="004E0756" w14:paraId="5AB9F7BC" w14:textId="77777777">
                  <w:pPr>
                    <w:rPr>
                      <w:rFonts w:ascii="Times New Roman" w:hAnsi="Times New Roman" w:cs="Times New Roman"/>
                    </w:rPr>
                  </w:pPr>
                  <w:r w:rsidRPr="00541D2F">
                    <w:rPr>
                      <w:rFonts w:ascii="Times New Roman" w:hAnsi="Times New Roman" w:cs="Times New Roman"/>
                      <w:color w:val="000000" w:themeColor="text1"/>
                    </w:rPr>
                    <w:t>Europese Vredesfaciliteit</w:t>
                  </w:r>
                </w:p>
              </w:tc>
              <w:tc>
                <w:tcPr>
                  <w:tcW w:w="2268" w:type="dxa"/>
                  <w:vAlign w:val="center"/>
                </w:tcPr>
                <w:p w:rsidRPr="00541D2F" w:rsidR="004E0756" w:rsidP="004E0756" w:rsidRDefault="004E0756" w14:paraId="2B61D5F8" w14:textId="77777777">
                  <w:pPr>
                    <w:jc w:val="right"/>
                    <w:rPr>
                      <w:rFonts w:ascii="Times New Roman" w:hAnsi="Times New Roman" w:cs="Times New Roman"/>
                    </w:rPr>
                  </w:pPr>
                  <w:r w:rsidRPr="00541D2F">
                    <w:rPr>
                      <w:rFonts w:ascii="Times New Roman" w:hAnsi="Times New Roman" w:cs="Times New Roman"/>
                      <w:color w:val="000000" w:themeColor="text1"/>
                    </w:rPr>
                    <w:t>‒ 7.667</w:t>
                  </w:r>
                </w:p>
              </w:tc>
            </w:tr>
            <w:tr w:rsidRPr="00541D2F" w:rsidR="004E0756" w:rsidTr="00541D2F" w14:paraId="1061F1DB" w14:textId="77777777">
              <w:tc>
                <w:tcPr>
                  <w:tcW w:w="4961" w:type="dxa"/>
                  <w:vAlign w:val="center"/>
                </w:tcPr>
                <w:p w:rsidRPr="00541D2F" w:rsidR="004E0756" w:rsidP="004E0756" w:rsidRDefault="004E0756" w14:paraId="19C005F6" w14:textId="77777777">
                  <w:pPr>
                    <w:rPr>
                      <w:rFonts w:ascii="Times New Roman" w:hAnsi="Times New Roman" w:cs="Times New Roman"/>
                    </w:rPr>
                  </w:pPr>
                  <w:r w:rsidRPr="00541D2F">
                    <w:rPr>
                      <w:rFonts w:ascii="Times New Roman" w:hAnsi="Times New Roman" w:cs="Times New Roman"/>
                      <w:color w:val="000000" w:themeColor="text1"/>
                    </w:rPr>
                    <w:t>Hogere consulaire ontvangsten</w:t>
                  </w:r>
                </w:p>
              </w:tc>
              <w:tc>
                <w:tcPr>
                  <w:tcW w:w="2268" w:type="dxa"/>
                  <w:vAlign w:val="center"/>
                </w:tcPr>
                <w:p w:rsidRPr="00541D2F" w:rsidR="004E0756" w:rsidP="004E0756" w:rsidRDefault="004E0756" w14:paraId="76B171A6" w14:textId="77777777">
                  <w:pPr>
                    <w:jc w:val="right"/>
                    <w:rPr>
                      <w:rFonts w:ascii="Times New Roman" w:hAnsi="Times New Roman" w:cs="Times New Roman"/>
                    </w:rPr>
                  </w:pPr>
                  <w:r w:rsidRPr="00541D2F">
                    <w:rPr>
                      <w:rFonts w:ascii="Times New Roman" w:hAnsi="Times New Roman" w:cs="Times New Roman"/>
                      <w:color w:val="000000" w:themeColor="text1"/>
                    </w:rPr>
                    <w:t>‒ 6.140</w:t>
                  </w:r>
                </w:p>
              </w:tc>
            </w:tr>
            <w:tr w:rsidRPr="00541D2F" w:rsidR="004E0756" w:rsidTr="00541D2F" w14:paraId="315B04CB" w14:textId="77777777">
              <w:tc>
                <w:tcPr>
                  <w:tcW w:w="4961" w:type="dxa"/>
                  <w:vAlign w:val="center"/>
                </w:tcPr>
                <w:p w:rsidRPr="00541D2F" w:rsidR="004E0756" w:rsidP="004E0756" w:rsidRDefault="004E0756" w14:paraId="18881E7A" w14:textId="77777777">
                  <w:pPr>
                    <w:rPr>
                      <w:rFonts w:ascii="Times New Roman" w:hAnsi="Times New Roman" w:cs="Times New Roman"/>
                    </w:rPr>
                  </w:pPr>
                  <w:r w:rsidRPr="00541D2F">
                    <w:rPr>
                      <w:rFonts w:ascii="Times New Roman" w:hAnsi="Times New Roman" w:cs="Times New Roman"/>
                      <w:color w:val="000000" w:themeColor="text1"/>
                    </w:rPr>
                    <w:lastRenderedPageBreak/>
                    <w:t>Overige onderuitputting beleidsartikelen</w:t>
                  </w:r>
                </w:p>
              </w:tc>
              <w:tc>
                <w:tcPr>
                  <w:tcW w:w="2268" w:type="dxa"/>
                  <w:vAlign w:val="center"/>
                </w:tcPr>
                <w:p w:rsidRPr="00541D2F" w:rsidR="004E0756" w:rsidP="004E0756" w:rsidRDefault="004E0756" w14:paraId="3905DF79" w14:textId="77777777">
                  <w:pPr>
                    <w:jc w:val="right"/>
                    <w:rPr>
                      <w:rFonts w:ascii="Times New Roman" w:hAnsi="Times New Roman" w:cs="Times New Roman"/>
                    </w:rPr>
                  </w:pPr>
                  <w:r w:rsidRPr="00541D2F">
                    <w:rPr>
                      <w:rFonts w:ascii="Times New Roman" w:hAnsi="Times New Roman" w:cs="Times New Roman"/>
                      <w:color w:val="000000" w:themeColor="text1"/>
                    </w:rPr>
                    <w:t>‒ 5.583</w:t>
                  </w:r>
                </w:p>
              </w:tc>
            </w:tr>
            <w:tr w:rsidRPr="00541D2F" w:rsidR="004E0756" w:rsidTr="00541D2F" w14:paraId="7E00A5CD" w14:textId="77777777">
              <w:tc>
                <w:tcPr>
                  <w:tcW w:w="4961" w:type="dxa"/>
                  <w:vAlign w:val="center"/>
                </w:tcPr>
                <w:p w:rsidRPr="00541D2F" w:rsidR="004E0756" w:rsidP="004E0756" w:rsidRDefault="004E0756" w14:paraId="0BD39F70" w14:textId="77777777">
                  <w:pPr>
                    <w:rPr>
                      <w:rFonts w:ascii="Times New Roman" w:hAnsi="Times New Roman" w:cs="Times New Roman"/>
                    </w:rPr>
                  </w:pPr>
                  <w:r w:rsidRPr="00541D2F">
                    <w:rPr>
                      <w:rFonts w:ascii="Times New Roman" w:hAnsi="Times New Roman" w:cs="Times New Roman"/>
                      <w:color w:val="000000" w:themeColor="text1"/>
                    </w:rPr>
                    <w:t>HGIS nog onverdeeld</w:t>
                  </w:r>
                </w:p>
              </w:tc>
              <w:tc>
                <w:tcPr>
                  <w:tcW w:w="2268" w:type="dxa"/>
                  <w:vAlign w:val="center"/>
                </w:tcPr>
                <w:p w:rsidRPr="00541D2F" w:rsidR="004E0756" w:rsidP="004E0756" w:rsidRDefault="004E0756" w14:paraId="50984E4C" w14:textId="77777777">
                  <w:pPr>
                    <w:jc w:val="right"/>
                    <w:rPr>
                      <w:rFonts w:ascii="Times New Roman" w:hAnsi="Times New Roman" w:cs="Times New Roman"/>
                    </w:rPr>
                  </w:pPr>
                  <w:r w:rsidRPr="00541D2F">
                    <w:rPr>
                      <w:rFonts w:ascii="Times New Roman" w:hAnsi="Times New Roman" w:cs="Times New Roman"/>
                      <w:color w:val="000000" w:themeColor="text1"/>
                    </w:rPr>
                    <w:t>‒ 17.228</w:t>
                  </w:r>
                </w:p>
              </w:tc>
            </w:tr>
            <w:tr w:rsidRPr="00541D2F" w:rsidR="004E0756" w:rsidTr="00541D2F" w14:paraId="53369678" w14:textId="77777777">
              <w:tc>
                <w:tcPr>
                  <w:tcW w:w="4961" w:type="dxa"/>
                  <w:vAlign w:val="center"/>
                </w:tcPr>
                <w:p w:rsidRPr="00541D2F" w:rsidR="004E0756" w:rsidP="004E0756" w:rsidRDefault="004E0756" w14:paraId="79E5B4C3" w14:textId="77777777">
                  <w:pPr>
                    <w:rPr>
                      <w:rFonts w:ascii="Times New Roman" w:hAnsi="Times New Roman" w:cs="Times New Roman"/>
                    </w:rPr>
                  </w:pPr>
                  <w:r w:rsidRPr="00541D2F">
                    <w:rPr>
                      <w:rFonts w:ascii="Times New Roman" w:hAnsi="Times New Roman" w:cs="Times New Roman"/>
                      <w:color w:val="000000" w:themeColor="text1"/>
                    </w:rPr>
                    <w:t>Middelenafspraak</w:t>
                  </w:r>
                </w:p>
              </w:tc>
              <w:tc>
                <w:tcPr>
                  <w:tcW w:w="2268" w:type="dxa"/>
                  <w:vAlign w:val="center"/>
                </w:tcPr>
                <w:p w:rsidRPr="00541D2F" w:rsidR="004E0756" w:rsidP="004E0756" w:rsidRDefault="004E0756" w14:paraId="7C549073" w14:textId="77777777">
                  <w:pPr>
                    <w:jc w:val="right"/>
                    <w:rPr>
                      <w:rFonts w:ascii="Times New Roman" w:hAnsi="Times New Roman" w:cs="Times New Roman"/>
                    </w:rPr>
                  </w:pPr>
                  <w:r w:rsidRPr="00541D2F">
                    <w:rPr>
                      <w:rFonts w:ascii="Times New Roman" w:hAnsi="Times New Roman" w:cs="Times New Roman"/>
                      <w:color w:val="000000" w:themeColor="text1"/>
                    </w:rPr>
                    <w:t>‒ 62.754</w:t>
                  </w:r>
                </w:p>
              </w:tc>
            </w:tr>
            <w:tr w:rsidRPr="00541D2F" w:rsidR="004E0756" w:rsidTr="00541D2F" w14:paraId="737D55ED" w14:textId="77777777">
              <w:tc>
                <w:tcPr>
                  <w:tcW w:w="4961" w:type="dxa"/>
                  <w:vAlign w:val="center"/>
                </w:tcPr>
                <w:p w:rsidRPr="00541D2F" w:rsidR="004E0756" w:rsidP="004E0756" w:rsidRDefault="004E0756" w14:paraId="70375BD2" w14:textId="77777777">
                  <w:pPr>
                    <w:rPr>
                      <w:rFonts w:ascii="Times New Roman" w:hAnsi="Times New Roman" w:cs="Times New Roman"/>
                    </w:rPr>
                  </w:pPr>
                  <w:r w:rsidRPr="00541D2F">
                    <w:rPr>
                      <w:rFonts w:ascii="Times New Roman" w:hAnsi="Times New Roman" w:cs="Times New Roman"/>
                      <w:color w:val="000000" w:themeColor="text1"/>
                    </w:rPr>
                    <w:t>Hoog Risico posten</w:t>
                  </w:r>
                </w:p>
              </w:tc>
              <w:tc>
                <w:tcPr>
                  <w:tcW w:w="2268" w:type="dxa"/>
                  <w:vAlign w:val="center"/>
                </w:tcPr>
                <w:p w:rsidRPr="00541D2F" w:rsidR="004E0756" w:rsidP="004E0756" w:rsidRDefault="004E0756" w14:paraId="16CA8C84" w14:textId="77777777">
                  <w:pPr>
                    <w:jc w:val="right"/>
                    <w:rPr>
                      <w:rFonts w:ascii="Times New Roman" w:hAnsi="Times New Roman" w:cs="Times New Roman"/>
                    </w:rPr>
                  </w:pPr>
                  <w:r w:rsidRPr="00541D2F">
                    <w:rPr>
                      <w:rFonts w:ascii="Times New Roman" w:hAnsi="Times New Roman" w:cs="Times New Roman"/>
                      <w:color w:val="000000" w:themeColor="text1"/>
                    </w:rPr>
                    <w:t>‒ 34.800</w:t>
                  </w:r>
                </w:p>
              </w:tc>
            </w:tr>
            <w:tr w:rsidRPr="00541D2F" w:rsidR="004E0756" w:rsidTr="00541D2F" w14:paraId="79A75C6E" w14:textId="77777777">
              <w:tc>
                <w:tcPr>
                  <w:tcW w:w="4961" w:type="dxa"/>
                  <w:vAlign w:val="center"/>
                </w:tcPr>
                <w:p w:rsidRPr="00541D2F" w:rsidR="004E0756" w:rsidP="004E0756" w:rsidRDefault="004E0756" w14:paraId="2A566B39" w14:textId="77777777">
                  <w:pPr>
                    <w:rPr>
                      <w:rFonts w:ascii="Times New Roman" w:hAnsi="Times New Roman" w:cs="Times New Roman"/>
                    </w:rPr>
                  </w:pPr>
                </w:p>
              </w:tc>
              <w:tc>
                <w:tcPr>
                  <w:tcW w:w="2268" w:type="dxa"/>
                  <w:vAlign w:val="center"/>
                </w:tcPr>
                <w:p w:rsidRPr="00541D2F" w:rsidR="004E0756" w:rsidP="004E0756" w:rsidRDefault="004E0756" w14:paraId="505C2294" w14:textId="77777777">
                  <w:pPr>
                    <w:jc w:val="right"/>
                    <w:rPr>
                      <w:rFonts w:ascii="Times New Roman" w:hAnsi="Times New Roman" w:cs="Times New Roman"/>
                    </w:rPr>
                  </w:pPr>
                </w:p>
              </w:tc>
            </w:tr>
            <w:tr w:rsidRPr="00541D2F" w:rsidR="004E0756" w:rsidTr="00541D2F" w14:paraId="4DE57D82" w14:textId="77777777">
              <w:tc>
                <w:tcPr>
                  <w:tcW w:w="4961" w:type="dxa"/>
                  <w:vAlign w:val="center"/>
                </w:tcPr>
                <w:p w:rsidRPr="00541D2F" w:rsidR="004E0756" w:rsidP="004E0756" w:rsidRDefault="004E0756" w14:paraId="2491F1E8" w14:textId="77777777">
                  <w:pPr>
                    <w:rPr>
                      <w:rFonts w:ascii="Times New Roman" w:hAnsi="Times New Roman" w:cs="Times New Roman"/>
                    </w:rPr>
                  </w:pPr>
                  <w:r w:rsidRPr="00541D2F">
                    <w:rPr>
                      <w:rFonts w:ascii="Times New Roman" w:hAnsi="Times New Roman" w:cs="Times New Roman"/>
                      <w:b/>
                      <w:bCs/>
                    </w:rPr>
                    <w:t>Onderuitputting in 2023</w:t>
                  </w:r>
                </w:p>
              </w:tc>
              <w:tc>
                <w:tcPr>
                  <w:tcW w:w="2268" w:type="dxa"/>
                  <w:vAlign w:val="center"/>
                </w:tcPr>
                <w:p w:rsidRPr="00541D2F" w:rsidR="004E0756" w:rsidP="004E0756" w:rsidRDefault="004E0756" w14:paraId="0DFA1432" w14:textId="77777777">
                  <w:pPr>
                    <w:jc w:val="right"/>
                    <w:rPr>
                      <w:rFonts w:ascii="Times New Roman" w:hAnsi="Times New Roman" w:cs="Times New Roman"/>
                    </w:rPr>
                  </w:pPr>
                  <w:r w:rsidRPr="00541D2F">
                    <w:rPr>
                      <w:rFonts w:ascii="Times New Roman" w:hAnsi="Times New Roman" w:cs="Times New Roman"/>
                      <w:b/>
                      <w:bCs/>
                    </w:rPr>
                    <w:t>In duizenden euro’s</w:t>
                  </w:r>
                </w:p>
              </w:tc>
            </w:tr>
            <w:tr w:rsidRPr="00541D2F" w:rsidR="004E0756" w:rsidTr="00541D2F" w14:paraId="20098D3F" w14:textId="77777777">
              <w:tc>
                <w:tcPr>
                  <w:tcW w:w="4961" w:type="dxa"/>
                  <w:vAlign w:val="center"/>
                </w:tcPr>
                <w:p w:rsidRPr="00541D2F" w:rsidR="004E0756" w:rsidP="004E0756" w:rsidRDefault="004E0756" w14:paraId="780CB8AB" w14:textId="77777777">
                  <w:pPr>
                    <w:rPr>
                      <w:rFonts w:ascii="Times New Roman" w:hAnsi="Times New Roman" w:cs="Times New Roman"/>
                    </w:rPr>
                  </w:pPr>
                  <w:r w:rsidRPr="00541D2F">
                    <w:rPr>
                      <w:rFonts w:ascii="Times New Roman" w:hAnsi="Times New Roman" w:cs="Times New Roman"/>
                      <w:color w:val="000000" w:themeColor="text1"/>
                    </w:rPr>
                    <w:t>VN-Crisisbeheersingsoperaties</w:t>
                  </w:r>
                </w:p>
              </w:tc>
              <w:tc>
                <w:tcPr>
                  <w:tcW w:w="2268" w:type="dxa"/>
                  <w:vAlign w:val="center"/>
                </w:tcPr>
                <w:p w:rsidRPr="00541D2F" w:rsidR="004E0756" w:rsidP="004E0756" w:rsidRDefault="004E0756" w14:paraId="1B156D29" w14:textId="77777777">
                  <w:pPr>
                    <w:jc w:val="right"/>
                    <w:rPr>
                      <w:rFonts w:ascii="Times New Roman" w:hAnsi="Times New Roman" w:cs="Times New Roman"/>
                    </w:rPr>
                  </w:pPr>
                  <w:r w:rsidRPr="00541D2F">
                    <w:rPr>
                      <w:rFonts w:ascii="Times New Roman" w:hAnsi="Times New Roman" w:cs="Times New Roman"/>
                      <w:color w:val="000000" w:themeColor="text1"/>
                    </w:rPr>
                    <w:t>‒ 13.934</w:t>
                  </w:r>
                </w:p>
              </w:tc>
            </w:tr>
            <w:tr w:rsidRPr="00541D2F" w:rsidR="004E0756" w:rsidTr="00541D2F" w14:paraId="072035E3" w14:textId="77777777">
              <w:tc>
                <w:tcPr>
                  <w:tcW w:w="4961" w:type="dxa"/>
                  <w:vAlign w:val="center"/>
                </w:tcPr>
                <w:p w:rsidRPr="00541D2F" w:rsidR="004E0756" w:rsidP="004E0756" w:rsidRDefault="004E0756" w14:paraId="297C6B13" w14:textId="77777777">
                  <w:pPr>
                    <w:rPr>
                      <w:rFonts w:ascii="Times New Roman" w:hAnsi="Times New Roman" w:cs="Times New Roman"/>
                    </w:rPr>
                  </w:pPr>
                  <w:r w:rsidRPr="00541D2F">
                    <w:rPr>
                      <w:rFonts w:ascii="Times New Roman" w:hAnsi="Times New Roman" w:cs="Times New Roman"/>
                      <w:color w:val="000000" w:themeColor="text1"/>
                    </w:rPr>
                    <w:t>Middelenafspraak</w:t>
                  </w:r>
                </w:p>
              </w:tc>
              <w:tc>
                <w:tcPr>
                  <w:tcW w:w="2268" w:type="dxa"/>
                  <w:vAlign w:val="center"/>
                </w:tcPr>
                <w:p w:rsidRPr="00541D2F" w:rsidR="004E0756" w:rsidP="004E0756" w:rsidRDefault="004E0756" w14:paraId="252492CB" w14:textId="77777777">
                  <w:pPr>
                    <w:jc w:val="right"/>
                    <w:rPr>
                      <w:rFonts w:ascii="Times New Roman" w:hAnsi="Times New Roman" w:cs="Times New Roman"/>
                    </w:rPr>
                  </w:pPr>
                  <w:r w:rsidRPr="00541D2F">
                    <w:rPr>
                      <w:rFonts w:ascii="Times New Roman" w:hAnsi="Times New Roman" w:cs="Times New Roman"/>
                      <w:color w:val="000000" w:themeColor="text1"/>
                    </w:rPr>
                    <w:t>‒ 15.809</w:t>
                  </w:r>
                </w:p>
              </w:tc>
            </w:tr>
            <w:tr w:rsidRPr="00541D2F" w:rsidR="004E0756" w:rsidTr="00541D2F" w14:paraId="6D5E8421" w14:textId="77777777">
              <w:tc>
                <w:tcPr>
                  <w:tcW w:w="4961" w:type="dxa"/>
                  <w:vAlign w:val="center"/>
                </w:tcPr>
                <w:p w:rsidRPr="00541D2F" w:rsidR="004E0756" w:rsidP="004E0756" w:rsidRDefault="004E0756" w14:paraId="79C00B85" w14:textId="77777777">
                  <w:pPr>
                    <w:rPr>
                      <w:rFonts w:ascii="Times New Roman" w:hAnsi="Times New Roman" w:cs="Times New Roman"/>
                    </w:rPr>
                  </w:pPr>
                  <w:r w:rsidRPr="00541D2F">
                    <w:rPr>
                      <w:rFonts w:ascii="Times New Roman" w:hAnsi="Times New Roman" w:cs="Times New Roman"/>
                      <w:color w:val="000000" w:themeColor="text1"/>
                    </w:rPr>
                    <w:t>Koerswinsten</w:t>
                  </w:r>
                </w:p>
              </w:tc>
              <w:tc>
                <w:tcPr>
                  <w:tcW w:w="2268" w:type="dxa"/>
                  <w:vAlign w:val="center"/>
                </w:tcPr>
                <w:p w:rsidRPr="00541D2F" w:rsidR="004E0756" w:rsidP="004E0756" w:rsidRDefault="004E0756" w14:paraId="5786E726" w14:textId="77777777">
                  <w:pPr>
                    <w:jc w:val="right"/>
                    <w:rPr>
                      <w:rFonts w:ascii="Times New Roman" w:hAnsi="Times New Roman" w:cs="Times New Roman"/>
                    </w:rPr>
                  </w:pPr>
                  <w:r w:rsidRPr="00541D2F">
                    <w:rPr>
                      <w:rFonts w:ascii="Times New Roman" w:hAnsi="Times New Roman" w:cs="Times New Roman"/>
                      <w:color w:val="000000" w:themeColor="text1"/>
                    </w:rPr>
                    <w:t>‒ 7.610</w:t>
                  </w:r>
                </w:p>
              </w:tc>
            </w:tr>
            <w:tr w:rsidRPr="00541D2F" w:rsidR="004E0756" w:rsidTr="00541D2F" w14:paraId="1D639911" w14:textId="77777777">
              <w:tc>
                <w:tcPr>
                  <w:tcW w:w="4961" w:type="dxa"/>
                  <w:vAlign w:val="center"/>
                </w:tcPr>
                <w:p w:rsidRPr="00541D2F" w:rsidR="004E0756" w:rsidP="004E0756" w:rsidRDefault="004E0756" w14:paraId="5DFFD255" w14:textId="77777777">
                  <w:pPr>
                    <w:rPr>
                      <w:rFonts w:ascii="Times New Roman" w:hAnsi="Times New Roman" w:cs="Times New Roman"/>
                    </w:rPr>
                  </w:pPr>
                  <w:r w:rsidRPr="00541D2F">
                    <w:rPr>
                      <w:rFonts w:ascii="Times New Roman" w:hAnsi="Times New Roman" w:cs="Times New Roman"/>
                      <w:color w:val="000000" w:themeColor="text1"/>
                    </w:rPr>
                    <w:t>Hogere consulaire ontvangsten</w:t>
                  </w:r>
                </w:p>
              </w:tc>
              <w:tc>
                <w:tcPr>
                  <w:tcW w:w="2268" w:type="dxa"/>
                  <w:vAlign w:val="center"/>
                </w:tcPr>
                <w:p w:rsidRPr="00541D2F" w:rsidR="004E0756" w:rsidP="004E0756" w:rsidRDefault="004E0756" w14:paraId="3A34F9E5" w14:textId="77777777">
                  <w:pPr>
                    <w:jc w:val="right"/>
                    <w:rPr>
                      <w:rFonts w:ascii="Times New Roman" w:hAnsi="Times New Roman" w:cs="Times New Roman"/>
                    </w:rPr>
                  </w:pPr>
                  <w:r w:rsidRPr="00541D2F">
                    <w:rPr>
                      <w:rFonts w:ascii="Times New Roman" w:hAnsi="Times New Roman" w:cs="Times New Roman"/>
                      <w:color w:val="000000" w:themeColor="text1"/>
                    </w:rPr>
                    <w:t>‒ 11.595</w:t>
                  </w:r>
                </w:p>
              </w:tc>
            </w:tr>
            <w:tr w:rsidRPr="00541D2F" w:rsidR="004E0756" w:rsidTr="00541D2F" w14:paraId="520478E6" w14:textId="77777777">
              <w:tc>
                <w:tcPr>
                  <w:tcW w:w="4961" w:type="dxa"/>
                  <w:vAlign w:val="center"/>
                </w:tcPr>
                <w:p w:rsidRPr="00541D2F" w:rsidR="004E0756" w:rsidP="004E0756" w:rsidRDefault="004E0756" w14:paraId="10F3D09C" w14:textId="77777777">
                  <w:pPr>
                    <w:rPr>
                      <w:rFonts w:ascii="Times New Roman" w:hAnsi="Times New Roman" w:cs="Times New Roman"/>
                    </w:rPr>
                  </w:pPr>
                  <w:r w:rsidRPr="00541D2F">
                    <w:rPr>
                      <w:rFonts w:ascii="Times New Roman" w:hAnsi="Times New Roman" w:cs="Times New Roman"/>
                      <w:color w:val="000000" w:themeColor="text1"/>
                    </w:rPr>
                    <w:t>Lagere huisvestingskosten</w:t>
                  </w:r>
                </w:p>
              </w:tc>
              <w:tc>
                <w:tcPr>
                  <w:tcW w:w="2268" w:type="dxa"/>
                  <w:vAlign w:val="center"/>
                </w:tcPr>
                <w:p w:rsidRPr="00541D2F" w:rsidR="004E0756" w:rsidP="004E0756" w:rsidRDefault="004E0756" w14:paraId="7496A352" w14:textId="77777777">
                  <w:pPr>
                    <w:jc w:val="right"/>
                    <w:rPr>
                      <w:rFonts w:ascii="Times New Roman" w:hAnsi="Times New Roman" w:cs="Times New Roman"/>
                    </w:rPr>
                  </w:pPr>
                  <w:r w:rsidRPr="00541D2F">
                    <w:rPr>
                      <w:rFonts w:ascii="Times New Roman" w:hAnsi="Times New Roman" w:cs="Times New Roman"/>
                      <w:color w:val="000000" w:themeColor="text1"/>
                    </w:rPr>
                    <w:t>‒ 4.000</w:t>
                  </w:r>
                </w:p>
              </w:tc>
            </w:tr>
            <w:tr w:rsidRPr="00541D2F" w:rsidR="004E0756" w:rsidTr="00541D2F" w14:paraId="3878C48E" w14:textId="77777777">
              <w:tc>
                <w:tcPr>
                  <w:tcW w:w="4961" w:type="dxa"/>
                  <w:vAlign w:val="center"/>
                </w:tcPr>
                <w:p w:rsidRPr="00541D2F" w:rsidR="004E0756" w:rsidP="004E0756" w:rsidRDefault="004E0756" w14:paraId="109EEFFE" w14:textId="77777777">
                  <w:pPr>
                    <w:rPr>
                      <w:rFonts w:ascii="Times New Roman" w:hAnsi="Times New Roman" w:cs="Times New Roman"/>
                    </w:rPr>
                  </w:pPr>
                  <w:r w:rsidRPr="00541D2F">
                    <w:rPr>
                      <w:rFonts w:ascii="Times New Roman" w:hAnsi="Times New Roman" w:cs="Times New Roman"/>
                      <w:color w:val="000000" w:themeColor="text1"/>
                    </w:rPr>
                    <w:t>Loonkosten uitgezonden personeel</w:t>
                  </w:r>
                </w:p>
              </w:tc>
              <w:tc>
                <w:tcPr>
                  <w:tcW w:w="2268" w:type="dxa"/>
                  <w:vAlign w:val="center"/>
                </w:tcPr>
                <w:p w:rsidRPr="00541D2F" w:rsidR="004E0756" w:rsidP="004E0756" w:rsidRDefault="004E0756" w14:paraId="3C698DFC" w14:textId="77777777">
                  <w:pPr>
                    <w:jc w:val="right"/>
                    <w:rPr>
                      <w:rFonts w:ascii="Times New Roman" w:hAnsi="Times New Roman" w:cs="Times New Roman"/>
                    </w:rPr>
                  </w:pPr>
                  <w:r w:rsidRPr="00541D2F">
                    <w:rPr>
                      <w:rFonts w:ascii="Times New Roman" w:hAnsi="Times New Roman" w:cs="Times New Roman"/>
                      <w:color w:val="000000" w:themeColor="text1"/>
                    </w:rPr>
                    <w:t>‒ 14.000</w:t>
                  </w:r>
                </w:p>
              </w:tc>
            </w:tr>
            <w:tr w:rsidRPr="00541D2F" w:rsidR="004E0756" w:rsidTr="00541D2F" w14:paraId="1EAD3347" w14:textId="77777777">
              <w:tc>
                <w:tcPr>
                  <w:tcW w:w="4961" w:type="dxa"/>
                  <w:vAlign w:val="center"/>
                </w:tcPr>
                <w:p w:rsidRPr="00541D2F" w:rsidR="004E0756" w:rsidP="004E0756" w:rsidRDefault="004E0756" w14:paraId="0C19446B" w14:textId="77777777">
                  <w:pPr>
                    <w:rPr>
                      <w:rFonts w:ascii="Times New Roman" w:hAnsi="Times New Roman" w:cs="Times New Roman"/>
                    </w:rPr>
                  </w:pPr>
                  <w:r w:rsidRPr="00541D2F">
                    <w:rPr>
                      <w:rFonts w:ascii="Times New Roman" w:hAnsi="Times New Roman" w:cs="Times New Roman"/>
                      <w:color w:val="000000" w:themeColor="text1"/>
                    </w:rPr>
                    <w:t>Overige onderuitputting</w:t>
                  </w:r>
                </w:p>
              </w:tc>
              <w:tc>
                <w:tcPr>
                  <w:tcW w:w="2268" w:type="dxa"/>
                  <w:vAlign w:val="center"/>
                </w:tcPr>
                <w:p w:rsidRPr="00541D2F" w:rsidR="004E0756" w:rsidP="004E0756" w:rsidRDefault="004E0756" w14:paraId="406285A0" w14:textId="77777777">
                  <w:pPr>
                    <w:jc w:val="right"/>
                    <w:rPr>
                      <w:rFonts w:ascii="Times New Roman" w:hAnsi="Times New Roman" w:cs="Times New Roman"/>
                    </w:rPr>
                  </w:pPr>
                  <w:r w:rsidRPr="00541D2F">
                    <w:rPr>
                      <w:rFonts w:ascii="Times New Roman" w:hAnsi="Times New Roman" w:cs="Times New Roman"/>
                      <w:color w:val="000000" w:themeColor="text1"/>
                    </w:rPr>
                    <w:t>‒ 27.329</w:t>
                  </w:r>
                </w:p>
              </w:tc>
            </w:tr>
            <w:tr w:rsidRPr="00541D2F" w:rsidR="004E0756" w:rsidTr="00541D2F" w14:paraId="35F4C327" w14:textId="77777777">
              <w:tc>
                <w:tcPr>
                  <w:tcW w:w="4961" w:type="dxa"/>
                  <w:vAlign w:val="center"/>
                </w:tcPr>
                <w:p w:rsidRPr="00541D2F" w:rsidR="004E0756" w:rsidP="004E0756" w:rsidRDefault="004E0756" w14:paraId="7594F0B3" w14:textId="77777777">
                  <w:pPr>
                    <w:rPr>
                      <w:rFonts w:ascii="Times New Roman" w:hAnsi="Times New Roman" w:cs="Times New Roman"/>
                    </w:rPr>
                  </w:pPr>
                </w:p>
              </w:tc>
              <w:tc>
                <w:tcPr>
                  <w:tcW w:w="2268" w:type="dxa"/>
                  <w:vAlign w:val="center"/>
                </w:tcPr>
                <w:p w:rsidRPr="00541D2F" w:rsidR="004E0756" w:rsidP="004E0756" w:rsidRDefault="004E0756" w14:paraId="6DE2EEEC" w14:textId="77777777">
                  <w:pPr>
                    <w:jc w:val="right"/>
                    <w:rPr>
                      <w:rFonts w:ascii="Times New Roman" w:hAnsi="Times New Roman" w:cs="Times New Roman"/>
                    </w:rPr>
                  </w:pPr>
                </w:p>
              </w:tc>
            </w:tr>
            <w:tr w:rsidRPr="00541D2F" w:rsidR="004E0756" w:rsidTr="00541D2F" w14:paraId="23D91BC3" w14:textId="77777777">
              <w:tc>
                <w:tcPr>
                  <w:tcW w:w="4961" w:type="dxa"/>
                </w:tcPr>
                <w:p w:rsidRPr="00541D2F" w:rsidR="004E0756" w:rsidP="004E0756" w:rsidRDefault="004E0756" w14:paraId="09EF8CE8" w14:textId="219514D0">
                  <w:pPr>
                    <w:rPr>
                      <w:rFonts w:ascii="Times New Roman" w:hAnsi="Times New Roman" w:cs="Times New Roman"/>
                      <w:b/>
                      <w:bCs/>
                    </w:rPr>
                  </w:pPr>
                  <w:r w:rsidRPr="00541D2F">
                    <w:rPr>
                      <w:rFonts w:ascii="Times New Roman" w:hAnsi="Times New Roman" w:cs="Times New Roman"/>
                      <w:b/>
                      <w:bCs/>
                    </w:rPr>
                    <w:t>Onderuitputting op de uitgaven na NJN in 2022 (exc. EU-afdrachten)</w:t>
                  </w:r>
                </w:p>
              </w:tc>
              <w:tc>
                <w:tcPr>
                  <w:tcW w:w="2268" w:type="dxa"/>
                </w:tcPr>
                <w:p w:rsidRPr="00541D2F" w:rsidR="004E0756" w:rsidP="004E0756" w:rsidRDefault="004E0756" w14:paraId="45FD5CAC" w14:textId="77777777">
                  <w:pPr>
                    <w:jc w:val="right"/>
                    <w:rPr>
                      <w:rFonts w:ascii="Times New Roman" w:hAnsi="Times New Roman" w:cs="Times New Roman"/>
                      <w:b/>
                      <w:bCs/>
                    </w:rPr>
                  </w:pPr>
                  <w:r w:rsidRPr="00541D2F">
                    <w:rPr>
                      <w:rFonts w:ascii="Times New Roman" w:hAnsi="Times New Roman" w:cs="Times New Roman"/>
                      <w:b/>
                      <w:bCs/>
                    </w:rPr>
                    <w:t>In duizenden euro’s</w:t>
                  </w:r>
                </w:p>
              </w:tc>
            </w:tr>
            <w:tr w:rsidRPr="00541D2F" w:rsidR="004E0756" w:rsidTr="00541D2F" w14:paraId="4EDCDAFE" w14:textId="77777777">
              <w:tc>
                <w:tcPr>
                  <w:tcW w:w="4961" w:type="dxa"/>
                </w:tcPr>
                <w:p w:rsidRPr="00541D2F" w:rsidR="004E0756" w:rsidP="004E0756" w:rsidRDefault="004E0756" w14:paraId="5B0AC32F" w14:textId="77777777">
                  <w:pPr>
                    <w:rPr>
                      <w:rFonts w:ascii="Times New Roman" w:hAnsi="Times New Roman" w:cs="Times New Roman"/>
                    </w:rPr>
                  </w:pPr>
                  <w:r w:rsidRPr="00541D2F">
                    <w:rPr>
                      <w:rFonts w:ascii="Times New Roman" w:hAnsi="Times New Roman" w:cs="Times New Roman"/>
                    </w:rPr>
                    <w:t>Materiele uitgaven (7.1)</w:t>
                  </w:r>
                </w:p>
              </w:tc>
              <w:tc>
                <w:tcPr>
                  <w:tcW w:w="2268" w:type="dxa"/>
                </w:tcPr>
                <w:p w:rsidRPr="00541D2F" w:rsidR="004E0756" w:rsidP="004E0756" w:rsidRDefault="004E0756" w14:paraId="46EEB685" w14:textId="77777777">
                  <w:pPr>
                    <w:jc w:val="right"/>
                    <w:rPr>
                      <w:rFonts w:ascii="Times New Roman" w:hAnsi="Times New Roman" w:cs="Times New Roman"/>
                    </w:rPr>
                  </w:pPr>
                  <w:r w:rsidRPr="00541D2F">
                    <w:rPr>
                      <w:rFonts w:ascii="Times New Roman" w:hAnsi="Times New Roman" w:cs="Times New Roman"/>
                    </w:rPr>
                    <w:t>‒ 19.369</w:t>
                  </w:r>
                </w:p>
              </w:tc>
            </w:tr>
            <w:tr w:rsidRPr="00541D2F" w:rsidR="004E0756" w:rsidTr="00541D2F" w14:paraId="1BDA4C2C" w14:textId="77777777">
              <w:tc>
                <w:tcPr>
                  <w:tcW w:w="4961" w:type="dxa"/>
                </w:tcPr>
                <w:p w:rsidRPr="00541D2F" w:rsidR="004E0756" w:rsidP="004E0756" w:rsidRDefault="004E0756" w14:paraId="09CA117A" w14:textId="77777777">
                  <w:pPr>
                    <w:rPr>
                      <w:rFonts w:ascii="Times New Roman" w:hAnsi="Times New Roman" w:cs="Times New Roman"/>
                    </w:rPr>
                  </w:pPr>
                  <w:r w:rsidRPr="00541D2F">
                    <w:rPr>
                      <w:rFonts w:ascii="Times New Roman" w:hAnsi="Times New Roman" w:cs="Times New Roman"/>
                    </w:rPr>
                    <w:t>Koersverschillen (7.2)</w:t>
                  </w:r>
                </w:p>
              </w:tc>
              <w:tc>
                <w:tcPr>
                  <w:tcW w:w="2268" w:type="dxa"/>
                </w:tcPr>
                <w:p w:rsidRPr="00541D2F" w:rsidR="004E0756" w:rsidP="004E0756" w:rsidRDefault="004E0756" w14:paraId="280D2893" w14:textId="77777777">
                  <w:pPr>
                    <w:jc w:val="right"/>
                    <w:rPr>
                      <w:rFonts w:ascii="Times New Roman" w:hAnsi="Times New Roman" w:cs="Times New Roman"/>
                    </w:rPr>
                  </w:pPr>
                  <w:r w:rsidRPr="00541D2F">
                    <w:rPr>
                      <w:rFonts w:ascii="Times New Roman" w:hAnsi="Times New Roman" w:cs="Times New Roman"/>
                    </w:rPr>
                    <w:t>‒ 4.321</w:t>
                  </w:r>
                </w:p>
              </w:tc>
            </w:tr>
            <w:tr w:rsidRPr="00541D2F" w:rsidR="004E0756" w:rsidTr="00541D2F" w14:paraId="2A1A2B24" w14:textId="77777777">
              <w:tc>
                <w:tcPr>
                  <w:tcW w:w="4961" w:type="dxa"/>
                </w:tcPr>
                <w:p w:rsidRPr="00541D2F" w:rsidR="004E0756" w:rsidP="004E0756" w:rsidRDefault="004E0756" w14:paraId="20A8F360" w14:textId="77777777">
                  <w:pPr>
                    <w:rPr>
                      <w:rFonts w:ascii="Times New Roman" w:hAnsi="Times New Roman" w:cs="Times New Roman"/>
                    </w:rPr>
                  </w:pPr>
                  <w:r w:rsidRPr="00541D2F">
                    <w:rPr>
                      <w:rFonts w:ascii="Times New Roman" w:hAnsi="Times New Roman" w:cs="Times New Roman"/>
                    </w:rPr>
                    <w:t>Bevordering van veiligheid, stabiliteit en rechtsorde in int. verband (2.4)</w:t>
                  </w:r>
                </w:p>
              </w:tc>
              <w:tc>
                <w:tcPr>
                  <w:tcW w:w="2268" w:type="dxa"/>
                </w:tcPr>
                <w:p w:rsidRPr="00541D2F" w:rsidR="004E0756" w:rsidP="004E0756" w:rsidRDefault="004E0756" w14:paraId="0C8D76FB" w14:textId="77777777">
                  <w:pPr>
                    <w:jc w:val="right"/>
                    <w:rPr>
                      <w:rFonts w:ascii="Times New Roman" w:hAnsi="Times New Roman" w:cs="Times New Roman"/>
                    </w:rPr>
                  </w:pPr>
                  <w:r w:rsidRPr="00541D2F">
                    <w:rPr>
                      <w:rFonts w:ascii="Times New Roman" w:hAnsi="Times New Roman" w:cs="Times New Roman"/>
                    </w:rPr>
                    <w:t>‒ 5.107</w:t>
                  </w:r>
                </w:p>
              </w:tc>
            </w:tr>
            <w:tr w:rsidRPr="00541D2F" w:rsidR="004E0756" w:rsidTr="00541D2F" w14:paraId="636C735E" w14:textId="77777777">
              <w:tc>
                <w:tcPr>
                  <w:tcW w:w="4961" w:type="dxa"/>
                </w:tcPr>
                <w:p w:rsidRPr="00541D2F" w:rsidR="004E0756" w:rsidP="004E0756" w:rsidRDefault="004E0756" w14:paraId="48F5C125" w14:textId="77777777">
                  <w:pPr>
                    <w:rPr>
                      <w:rFonts w:ascii="Times New Roman" w:hAnsi="Times New Roman" w:cs="Times New Roman"/>
                    </w:rPr>
                  </w:pPr>
                  <w:r w:rsidRPr="00541D2F">
                    <w:rPr>
                      <w:rFonts w:ascii="Times New Roman" w:hAnsi="Times New Roman" w:cs="Times New Roman"/>
                    </w:rPr>
                    <w:t>Bevordering van transitie in prioritaire gebieden (2.5)</w:t>
                  </w:r>
                </w:p>
              </w:tc>
              <w:tc>
                <w:tcPr>
                  <w:tcW w:w="2268" w:type="dxa"/>
                </w:tcPr>
                <w:p w:rsidRPr="00541D2F" w:rsidR="004E0756" w:rsidP="004E0756" w:rsidRDefault="004E0756" w14:paraId="16FF83B5" w14:textId="77777777">
                  <w:pPr>
                    <w:jc w:val="right"/>
                    <w:rPr>
                      <w:rFonts w:ascii="Times New Roman" w:hAnsi="Times New Roman" w:cs="Times New Roman"/>
                    </w:rPr>
                  </w:pPr>
                  <w:r w:rsidRPr="00541D2F">
                    <w:rPr>
                      <w:rFonts w:ascii="Times New Roman" w:hAnsi="Times New Roman" w:cs="Times New Roman"/>
                    </w:rPr>
                    <w:t>‒ 4.082</w:t>
                  </w:r>
                </w:p>
              </w:tc>
            </w:tr>
            <w:tr w:rsidRPr="00541D2F" w:rsidR="004E0756" w:rsidTr="00541D2F" w14:paraId="5F489F7D" w14:textId="77777777">
              <w:tc>
                <w:tcPr>
                  <w:tcW w:w="4961" w:type="dxa"/>
                </w:tcPr>
                <w:p w:rsidRPr="00541D2F" w:rsidR="004E0756" w:rsidP="004E0756" w:rsidRDefault="004E0756" w14:paraId="5292DB54" w14:textId="77777777">
                  <w:pPr>
                    <w:rPr>
                      <w:rFonts w:ascii="Times New Roman" w:hAnsi="Times New Roman" w:cs="Times New Roman"/>
                    </w:rPr>
                  </w:pPr>
                  <w:r w:rsidRPr="00541D2F">
                    <w:rPr>
                      <w:rFonts w:ascii="Times New Roman" w:hAnsi="Times New Roman" w:cs="Times New Roman"/>
                    </w:rPr>
                    <w:t>Overige onderuitputting</w:t>
                  </w:r>
                </w:p>
              </w:tc>
              <w:tc>
                <w:tcPr>
                  <w:tcW w:w="2268" w:type="dxa"/>
                </w:tcPr>
                <w:p w:rsidRPr="00541D2F" w:rsidR="004E0756" w:rsidP="004E0756" w:rsidRDefault="004E0756" w14:paraId="66F4FADB" w14:textId="77777777">
                  <w:pPr>
                    <w:jc w:val="right"/>
                    <w:rPr>
                      <w:rFonts w:ascii="Times New Roman" w:hAnsi="Times New Roman" w:cs="Times New Roman"/>
                    </w:rPr>
                  </w:pPr>
                  <w:r w:rsidRPr="00541D2F">
                    <w:rPr>
                      <w:rFonts w:ascii="Times New Roman" w:hAnsi="Times New Roman" w:cs="Times New Roman"/>
                    </w:rPr>
                    <w:t>‒ 9.723</w:t>
                  </w:r>
                </w:p>
              </w:tc>
            </w:tr>
            <w:tr w:rsidRPr="00541D2F" w:rsidR="004E0756" w:rsidTr="00541D2F" w14:paraId="5443EADA" w14:textId="77777777">
              <w:tc>
                <w:tcPr>
                  <w:tcW w:w="4961" w:type="dxa"/>
                </w:tcPr>
                <w:p w:rsidRPr="00541D2F" w:rsidR="004E0756" w:rsidP="004E0756" w:rsidRDefault="004E0756" w14:paraId="001B68E3" w14:textId="77777777">
                  <w:pPr>
                    <w:rPr>
                      <w:rFonts w:ascii="Times New Roman" w:hAnsi="Times New Roman" w:cs="Times New Roman"/>
                    </w:rPr>
                  </w:pPr>
                </w:p>
              </w:tc>
              <w:tc>
                <w:tcPr>
                  <w:tcW w:w="2268" w:type="dxa"/>
                </w:tcPr>
                <w:p w:rsidRPr="00541D2F" w:rsidR="004E0756" w:rsidP="004E0756" w:rsidRDefault="004E0756" w14:paraId="36938436" w14:textId="77777777">
                  <w:pPr>
                    <w:jc w:val="right"/>
                    <w:rPr>
                      <w:rFonts w:ascii="Times New Roman" w:hAnsi="Times New Roman" w:cs="Times New Roman"/>
                    </w:rPr>
                  </w:pPr>
                </w:p>
              </w:tc>
            </w:tr>
          </w:tbl>
          <w:p w:rsidRPr="00802633" w:rsidR="00003460" w:rsidP="009116F6" w:rsidRDefault="00003460" w14:paraId="265E2878" w14:textId="77777777">
            <w:pPr>
              <w:rPr>
                <w:rFonts w:ascii="Times New Roman" w:hAnsi="Times New Roman" w:cs="Times New Roman"/>
                <w:sz w:val="24"/>
                <w:szCs w:val="24"/>
              </w:rPr>
            </w:pPr>
          </w:p>
        </w:tc>
      </w:tr>
      <w:tr w:rsidRPr="00802633" w:rsidR="00003460" w:rsidTr="009116F6" w14:paraId="617AA1C9" w14:textId="77777777">
        <w:tblPrEx>
          <w:tblCellMar>
            <w:left w:w="70" w:type="dxa"/>
            <w:right w:w="70" w:type="dxa"/>
          </w:tblCellMar>
          <w:tblLook w:val="04A0" w:firstRow="1" w:lastRow="0" w:firstColumn="1" w:lastColumn="0" w:noHBand="0" w:noVBand="1"/>
        </w:tblPrEx>
        <w:trPr>
          <w:gridAfter w:val="1"/>
          <w:wAfter w:w="2376" w:type="pct"/>
          <w:trHeight w:val="300"/>
        </w:trPr>
        <w:tc>
          <w:tcPr>
            <w:tcW w:w="2624" w:type="pct"/>
            <w:gridSpan w:val="2"/>
            <w:tcBorders>
              <w:top w:val="nil"/>
              <w:left w:val="nil"/>
              <w:bottom w:val="nil"/>
              <w:right w:val="single" w:color="FFFFFF" w:themeColor="background1" w:sz="12" w:space="0"/>
            </w:tcBorders>
            <w:vAlign w:val="center"/>
          </w:tcPr>
          <w:p w:rsidRPr="00802633" w:rsidR="00003460" w:rsidP="004E0756" w:rsidRDefault="00003460" w14:paraId="5E00D866" w14:textId="77777777">
            <w:pPr>
              <w:jc w:val="center"/>
              <w:rPr>
                <w:rFonts w:ascii="Times New Roman" w:hAnsi="Times New Roman" w:cs="Times New Roman"/>
                <w:b/>
                <w:color w:val="000000" w:themeColor="text1"/>
                <w:sz w:val="24"/>
                <w:szCs w:val="24"/>
              </w:rPr>
            </w:pPr>
          </w:p>
        </w:tc>
      </w:tr>
      <w:tr w:rsidRPr="00802633" w:rsidR="00003460" w:rsidTr="004E0756" w14:paraId="46886A3B" w14:textId="77777777">
        <w:tc>
          <w:tcPr>
            <w:tcW w:w="342" w:type="pct"/>
          </w:tcPr>
          <w:p w:rsidRPr="00802633" w:rsidR="00003460" w:rsidP="004E0756" w:rsidRDefault="00003460" w14:paraId="389D88F7" w14:textId="77777777">
            <w:pPr>
              <w:jc w:val="center"/>
              <w:rPr>
                <w:rFonts w:ascii="Times New Roman" w:hAnsi="Times New Roman" w:cs="Times New Roman"/>
                <w:sz w:val="24"/>
                <w:szCs w:val="24"/>
              </w:rPr>
            </w:pPr>
          </w:p>
          <w:p w:rsidRPr="00802633" w:rsidR="00003460" w:rsidP="004E0756" w:rsidRDefault="00003460" w14:paraId="1CC0FCBB" w14:textId="77777777">
            <w:pPr>
              <w:jc w:val="center"/>
              <w:rPr>
                <w:rFonts w:ascii="Times New Roman" w:hAnsi="Times New Roman" w:cs="Times New Roman"/>
                <w:sz w:val="24"/>
                <w:szCs w:val="24"/>
              </w:rPr>
            </w:pPr>
            <w:r w:rsidRPr="00802633">
              <w:rPr>
                <w:rFonts w:ascii="Times New Roman" w:hAnsi="Times New Roman" w:cs="Times New Roman"/>
                <w:sz w:val="24"/>
                <w:szCs w:val="24"/>
              </w:rPr>
              <w:t>2</w:t>
            </w:r>
          </w:p>
          <w:p w:rsidRPr="00802633" w:rsidR="00003460" w:rsidP="004E0756" w:rsidRDefault="00003460" w14:paraId="32AC4C9B" w14:textId="77777777">
            <w:pPr>
              <w:jc w:val="center"/>
              <w:rPr>
                <w:rFonts w:ascii="Times New Roman" w:hAnsi="Times New Roman" w:cs="Times New Roman"/>
                <w:sz w:val="24"/>
                <w:szCs w:val="24"/>
              </w:rPr>
            </w:pPr>
          </w:p>
        </w:tc>
        <w:tc>
          <w:tcPr>
            <w:tcW w:w="4658" w:type="pct"/>
            <w:gridSpan w:val="2"/>
          </w:tcPr>
          <w:p w:rsidRPr="00802633" w:rsidR="00003460" w:rsidP="009116F6" w:rsidRDefault="00003460" w14:paraId="17039267" w14:textId="77777777">
            <w:pPr>
              <w:rPr>
                <w:rFonts w:ascii="Times New Roman" w:hAnsi="Times New Roman" w:cs="Times New Roman"/>
                <w:sz w:val="24"/>
                <w:szCs w:val="24"/>
              </w:rPr>
            </w:pPr>
          </w:p>
          <w:p w:rsidRPr="00802633" w:rsidR="00003460" w:rsidP="009116F6" w:rsidRDefault="00003460" w14:paraId="7F1446D1" w14:textId="77777777">
            <w:pPr>
              <w:rPr>
                <w:rFonts w:ascii="Times New Roman" w:hAnsi="Times New Roman" w:cs="Times New Roman"/>
                <w:sz w:val="24"/>
                <w:szCs w:val="24"/>
              </w:rPr>
            </w:pPr>
            <w:r w:rsidRPr="00802633">
              <w:rPr>
                <w:rFonts w:ascii="Times New Roman" w:hAnsi="Times New Roman" w:cs="Times New Roman"/>
                <w:sz w:val="24"/>
                <w:szCs w:val="24"/>
              </w:rPr>
              <w:t>Kunt u toelichten wanneer het nieuwe visumsysteem in werking treedt? Zal de vertraging gevolgen hebben voor de begroting van 2026?</w:t>
            </w:r>
          </w:p>
          <w:p w:rsidRPr="00802633" w:rsidR="00003460" w:rsidP="009116F6" w:rsidRDefault="00003460" w14:paraId="47EDB21E" w14:textId="77777777">
            <w:pPr>
              <w:rPr>
                <w:rFonts w:ascii="Times New Roman" w:hAnsi="Times New Roman" w:cs="Times New Roman"/>
                <w:b/>
                <w:bCs/>
                <w:sz w:val="24"/>
                <w:szCs w:val="24"/>
              </w:rPr>
            </w:pPr>
            <w:r w:rsidRPr="00802633">
              <w:rPr>
                <w:rFonts w:ascii="Times New Roman" w:hAnsi="Times New Roman" w:cs="Times New Roman"/>
                <w:b/>
                <w:bCs/>
                <w:sz w:val="24"/>
                <w:szCs w:val="24"/>
              </w:rPr>
              <w:t xml:space="preserve">Antwoord: </w:t>
            </w:r>
          </w:p>
          <w:p w:rsidRPr="00802633" w:rsidR="00003460" w:rsidP="009116F6" w:rsidRDefault="00003460" w14:paraId="04D6FBD9" w14:textId="77777777">
            <w:pPr>
              <w:rPr>
                <w:rFonts w:ascii="Times New Roman" w:hAnsi="Times New Roman" w:cs="Times New Roman"/>
                <w:b/>
                <w:bCs/>
                <w:sz w:val="24"/>
                <w:szCs w:val="24"/>
                <w:highlight w:val="yellow"/>
              </w:rPr>
            </w:pPr>
            <w:r w:rsidRPr="00802633">
              <w:rPr>
                <w:rFonts w:ascii="Times New Roman" w:hAnsi="Times New Roman" w:cs="Times New Roman"/>
                <w:b/>
                <w:bCs/>
                <w:sz w:val="24"/>
                <w:szCs w:val="24"/>
              </w:rPr>
              <w:t xml:space="preserve">Het nieuwe visumsysteem is in werking getreden en wordt momenteel verder doorontwikkeld. Daarbij is vertraging opgetreden. Hierdoor is het gebruik van het oude systeem langer nodig dan gepland tot en met het eerste kwartaal 2026. Exacte kosten van het gebruik van het oude systeem zijn nog niet bekend maar wordt uw Kamer bij de Voorjaarsnota 2026 over geïnformeerd. </w:t>
            </w:r>
          </w:p>
        </w:tc>
      </w:tr>
      <w:tr w:rsidRPr="00802633" w:rsidR="00003460" w:rsidTr="004E0756" w14:paraId="224A300E" w14:textId="77777777">
        <w:tc>
          <w:tcPr>
            <w:tcW w:w="342" w:type="pct"/>
          </w:tcPr>
          <w:p w:rsidRPr="00802633" w:rsidR="00003460" w:rsidP="004E0756" w:rsidRDefault="00003460" w14:paraId="7A602E53" w14:textId="77777777">
            <w:pPr>
              <w:jc w:val="center"/>
              <w:rPr>
                <w:rFonts w:ascii="Times New Roman" w:hAnsi="Times New Roman" w:cs="Times New Roman"/>
                <w:sz w:val="24"/>
                <w:szCs w:val="24"/>
              </w:rPr>
            </w:pPr>
          </w:p>
        </w:tc>
        <w:tc>
          <w:tcPr>
            <w:tcW w:w="4658" w:type="pct"/>
            <w:gridSpan w:val="2"/>
          </w:tcPr>
          <w:p w:rsidRPr="00802633" w:rsidR="00003460" w:rsidP="009116F6" w:rsidRDefault="00003460" w14:paraId="56DE1EA3" w14:textId="77777777">
            <w:pPr>
              <w:rPr>
                <w:rFonts w:ascii="Times New Roman" w:hAnsi="Times New Roman" w:cs="Times New Roman"/>
                <w:sz w:val="24"/>
                <w:szCs w:val="24"/>
              </w:rPr>
            </w:pPr>
          </w:p>
        </w:tc>
      </w:tr>
      <w:tr w:rsidRPr="00802633" w:rsidR="00003460" w:rsidTr="004E0756" w14:paraId="1530D4F2" w14:textId="77777777">
        <w:tc>
          <w:tcPr>
            <w:tcW w:w="342" w:type="pct"/>
          </w:tcPr>
          <w:p w:rsidRPr="00802633" w:rsidR="00003460" w:rsidP="004E0756" w:rsidRDefault="00003460" w14:paraId="13223E96" w14:textId="77777777">
            <w:pPr>
              <w:jc w:val="center"/>
              <w:rPr>
                <w:rFonts w:ascii="Times New Roman" w:hAnsi="Times New Roman" w:cs="Times New Roman"/>
                <w:sz w:val="24"/>
                <w:szCs w:val="24"/>
              </w:rPr>
            </w:pPr>
            <w:r w:rsidRPr="00802633">
              <w:rPr>
                <w:rFonts w:ascii="Times New Roman" w:hAnsi="Times New Roman" w:cs="Times New Roman"/>
                <w:sz w:val="24"/>
                <w:szCs w:val="24"/>
              </w:rPr>
              <w:t>3</w:t>
            </w:r>
          </w:p>
        </w:tc>
        <w:tc>
          <w:tcPr>
            <w:tcW w:w="4658" w:type="pct"/>
            <w:gridSpan w:val="2"/>
          </w:tcPr>
          <w:p w:rsidRPr="00802633" w:rsidR="00003460" w:rsidP="009116F6" w:rsidRDefault="00003460" w14:paraId="23C7CE7F" w14:textId="77777777">
            <w:pPr>
              <w:rPr>
                <w:rFonts w:ascii="Times New Roman" w:hAnsi="Times New Roman" w:cs="Times New Roman"/>
                <w:sz w:val="24"/>
                <w:szCs w:val="24"/>
              </w:rPr>
            </w:pPr>
            <w:r w:rsidRPr="00802633">
              <w:rPr>
                <w:rFonts w:ascii="Times New Roman" w:hAnsi="Times New Roman" w:cs="Times New Roman"/>
                <w:sz w:val="24"/>
                <w:szCs w:val="24"/>
              </w:rPr>
              <w:t>Daar waar de ontvangsten voor paspoorten en visa stijgen met respectievelijk 1,5 miljoen euro en drie miljoen euro vanwege hogere aanvraagvolumes, zijn deze hogere volumes incidenteel of structureel geprognosticeerd in de raming voor 2026?</w:t>
            </w:r>
          </w:p>
          <w:p w:rsidRPr="00802633" w:rsidR="00003460" w:rsidP="009116F6" w:rsidRDefault="00003460" w14:paraId="434994FC" w14:textId="77777777">
            <w:pPr>
              <w:rPr>
                <w:rFonts w:ascii="Times New Roman" w:hAnsi="Times New Roman" w:cs="Times New Roman"/>
                <w:b/>
                <w:bCs/>
                <w:sz w:val="24"/>
                <w:szCs w:val="24"/>
              </w:rPr>
            </w:pPr>
            <w:r w:rsidRPr="00802633">
              <w:rPr>
                <w:rFonts w:ascii="Times New Roman" w:hAnsi="Times New Roman" w:cs="Times New Roman"/>
                <w:b/>
                <w:bCs/>
                <w:sz w:val="24"/>
                <w:szCs w:val="24"/>
              </w:rPr>
              <w:t xml:space="preserve">Antwoord: </w:t>
            </w:r>
          </w:p>
          <w:p w:rsidRPr="00802633" w:rsidR="00003460" w:rsidP="009116F6" w:rsidRDefault="00003460" w14:paraId="78E55FE2" w14:textId="77777777">
            <w:pPr>
              <w:rPr>
                <w:rFonts w:ascii="Times New Roman" w:hAnsi="Times New Roman" w:cs="Times New Roman"/>
                <w:b/>
                <w:bCs/>
                <w:sz w:val="24"/>
                <w:szCs w:val="24"/>
              </w:rPr>
            </w:pPr>
            <w:r w:rsidRPr="00802633">
              <w:rPr>
                <w:rFonts w:ascii="Times New Roman" w:hAnsi="Times New Roman" w:cs="Times New Roman"/>
                <w:b/>
                <w:bCs/>
                <w:sz w:val="24"/>
                <w:szCs w:val="24"/>
              </w:rPr>
              <w:t>De hogere volumes zijn incidenteel verwerkt in 2025 en zijn niet in de begroting 2026 geprognotiseerd.</w:t>
            </w:r>
          </w:p>
          <w:p w:rsidRPr="00802633" w:rsidR="00003460" w:rsidP="009116F6" w:rsidRDefault="00003460" w14:paraId="129C673A" w14:textId="77777777">
            <w:pPr>
              <w:rPr>
                <w:rFonts w:ascii="Times New Roman" w:hAnsi="Times New Roman" w:cs="Times New Roman"/>
                <w:b/>
                <w:bCs/>
                <w:sz w:val="24"/>
                <w:szCs w:val="24"/>
              </w:rPr>
            </w:pPr>
          </w:p>
        </w:tc>
      </w:tr>
      <w:tr w:rsidRPr="00802633" w:rsidR="00003460" w:rsidTr="004E0756" w14:paraId="63AC743E" w14:textId="77777777">
        <w:tc>
          <w:tcPr>
            <w:tcW w:w="342" w:type="pct"/>
          </w:tcPr>
          <w:p w:rsidRPr="00802633" w:rsidR="00003460" w:rsidP="004E0756" w:rsidRDefault="00003460" w14:paraId="0D65F639" w14:textId="77777777">
            <w:pPr>
              <w:jc w:val="center"/>
              <w:rPr>
                <w:rFonts w:ascii="Times New Roman" w:hAnsi="Times New Roman" w:cs="Times New Roman"/>
                <w:sz w:val="24"/>
                <w:szCs w:val="24"/>
              </w:rPr>
            </w:pPr>
          </w:p>
        </w:tc>
        <w:tc>
          <w:tcPr>
            <w:tcW w:w="4658" w:type="pct"/>
            <w:gridSpan w:val="2"/>
          </w:tcPr>
          <w:p w:rsidRPr="00802633" w:rsidR="00003460" w:rsidP="009116F6" w:rsidRDefault="00003460" w14:paraId="1BA3A5ED" w14:textId="77777777">
            <w:pPr>
              <w:rPr>
                <w:rFonts w:ascii="Times New Roman" w:hAnsi="Times New Roman" w:cs="Times New Roman"/>
                <w:sz w:val="24"/>
                <w:szCs w:val="24"/>
              </w:rPr>
            </w:pPr>
            <w:r w:rsidRPr="00802633">
              <w:rPr>
                <w:rFonts w:ascii="Times New Roman" w:hAnsi="Times New Roman" w:cs="Times New Roman"/>
                <w:sz w:val="24"/>
                <w:szCs w:val="24"/>
              </w:rPr>
              <w:t>Kunt u toelichten welke onderdelen binnen artikel 1.1 (Internationale instellingen) leiden tot de verlaging van 1,9 miljoen euro en in welke mate de lagere contributies aan de Verenigde Naties (VN) en de Organisatie voor Economische Samenwerking en Ontwikkeling (OESO) voortkomen uit wisselkoersvoordelen?</w:t>
            </w:r>
          </w:p>
          <w:p w:rsidRPr="00802633" w:rsidR="00003460" w:rsidP="009116F6" w:rsidRDefault="00003460" w14:paraId="702137EE" w14:textId="77777777">
            <w:pPr>
              <w:rPr>
                <w:rFonts w:ascii="Times New Roman" w:hAnsi="Times New Roman" w:cs="Times New Roman"/>
                <w:b/>
                <w:bCs/>
                <w:sz w:val="24"/>
                <w:szCs w:val="24"/>
              </w:rPr>
            </w:pPr>
            <w:r w:rsidRPr="00802633">
              <w:rPr>
                <w:rFonts w:ascii="Times New Roman" w:hAnsi="Times New Roman" w:cs="Times New Roman"/>
                <w:b/>
                <w:bCs/>
                <w:sz w:val="24"/>
                <w:szCs w:val="24"/>
              </w:rPr>
              <w:t>Antwoord:</w:t>
            </w:r>
          </w:p>
          <w:p w:rsidRPr="00802633" w:rsidR="00003460" w:rsidP="009116F6" w:rsidRDefault="00003460" w14:paraId="456BA690" w14:textId="77777777">
            <w:pPr>
              <w:rPr>
                <w:rFonts w:ascii="Times New Roman" w:hAnsi="Times New Roman" w:cs="Times New Roman"/>
                <w:b/>
                <w:bCs/>
                <w:sz w:val="24"/>
                <w:szCs w:val="24"/>
              </w:rPr>
            </w:pPr>
            <w:r w:rsidRPr="00802633">
              <w:rPr>
                <w:rFonts w:ascii="Times New Roman" w:hAnsi="Times New Roman" w:cs="Times New Roman"/>
                <w:b/>
                <w:bCs/>
                <w:sz w:val="24"/>
                <w:szCs w:val="24"/>
              </w:rPr>
              <w:t xml:space="preserve">De VN-contributie 2025 bedroeg USD 44.236.352. Ten opzichte van 2024 is de contributie USD 846.642 hoger, echter, als gevolg van de lagere corporate rate 2025 valt de contributie EUR 558.465 lager uit.  </w:t>
            </w:r>
          </w:p>
          <w:p w:rsidRPr="00802633" w:rsidR="00003460" w:rsidP="009116F6" w:rsidRDefault="00003460" w14:paraId="4DE1BAF4" w14:textId="77777777">
            <w:pPr>
              <w:rPr>
                <w:rFonts w:ascii="Times New Roman" w:hAnsi="Times New Roman" w:cs="Times New Roman"/>
                <w:b/>
                <w:bCs/>
                <w:sz w:val="24"/>
                <w:szCs w:val="24"/>
              </w:rPr>
            </w:pPr>
            <w:bookmarkStart w:name="_Hlk216208023" w:id="0"/>
            <w:r w:rsidRPr="00802633">
              <w:rPr>
                <w:rFonts w:ascii="Times New Roman" w:hAnsi="Times New Roman" w:cs="Times New Roman"/>
                <w:b/>
                <w:bCs/>
                <w:sz w:val="24"/>
                <w:szCs w:val="24"/>
              </w:rPr>
              <w:t>De mutatie op artikel 1.1 wordt niet veroorzaakt door wisselkoersvoordelen omdat de afdracht voor de OESO in euro’s wordt betaald. De daling in het budget voor OESO-contributie, komt doordat de bijdrage lager uitvalt dan eerder verwacht.</w:t>
            </w:r>
          </w:p>
          <w:bookmarkEnd w:id="0"/>
          <w:p w:rsidRPr="00802633" w:rsidR="00003460" w:rsidP="009116F6" w:rsidRDefault="00003460" w14:paraId="67CDF7E8" w14:textId="77777777">
            <w:pPr>
              <w:rPr>
                <w:rFonts w:ascii="Times New Roman" w:hAnsi="Times New Roman" w:cs="Times New Roman"/>
                <w:sz w:val="24"/>
                <w:szCs w:val="24"/>
              </w:rPr>
            </w:pPr>
          </w:p>
        </w:tc>
      </w:tr>
      <w:tr w:rsidRPr="00802633" w:rsidR="00003460" w:rsidTr="004E0756" w14:paraId="7C83AFA6" w14:textId="77777777">
        <w:tc>
          <w:tcPr>
            <w:tcW w:w="342" w:type="pct"/>
          </w:tcPr>
          <w:p w:rsidRPr="00802633" w:rsidR="00003460" w:rsidP="004E0756" w:rsidRDefault="00003460" w14:paraId="69F45D1E" w14:textId="77777777">
            <w:pPr>
              <w:jc w:val="center"/>
              <w:rPr>
                <w:rFonts w:ascii="Times New Roman" w:hAnsi="Times New Roman" w:cs="Times New Roman"/>
                <w:sz w:val="24"/>
                <w:szCs w:val="24"/>
              </w:rPr>
            </w:pPr>
            <w:r w:rsidRPr="00802633">
              <w:rPr>
                <w:rFonts w:ascii="Times New Roman" w:hAnsi="Times New Roman" w:cs="Times New Roman"/>
                <w:sz w:val="24"/>
                <w:szCs w:val="24"/>
              </w:rPr>
              <w:t>5</w:t>
            </w:r>
          </w:p>
        </w:tc>
        <w:tc>
          <w:tcPr>
            <w:tcW w:w="4658" w:type="pct"/>
            <w:gridSpan w:val="2"/>
          </w:tcPr>
          <w:p w:rsidRPr="00802633" w:rsidR="00003460" w:rsidP="009116F6" w:rsidRDefault="00003460" w14:paraId="5EA525A2" w14:textId="77777777">
            <w:pPr>
              <w:rPr>
                <w:rFonts w:ascii="Times New Roman" w:hAnsi="Times New Roman" w:cs="Times New Roman"/>
                <w:sz w:val="24"/>
                <w:szCs w:val="24"/>
              </w:rPr>
            </w:pPr>
            <w:r w:rsidRPr="00802633">
              <w:rPr>
                <w:rFonts w:ascii="Times New Roman" w:hAnsi="Times New Roman" w:cs="Times New Roman"/>
                <w:sz w:val="24"/>
                <w:szCs w:val="24"/>
              </w:rPr>
              <w:t>Daar waar op artikel 1.2 de uitgaven stijgen met vier miljoen euro, onder andere door een extra bijdrage aan het Bureau van de VN-Hoge Commissaris voor de Mensenrechten (OHCHR) in de Palestijnse Gebieden en een overboeking vanuit de begroting voor Buitenlandse Handel en Ontwikkelingshulp, kan de Kamer voor deze twee mutaties afzonderlijk de kasreeks 2025–2027 ontvangen?</w:t>
            </w:r>
          </w:p>
          <w:p w:rsidRPr="00802633" w:rsidR="00003460" w:rsidP="009116F6" w:rsidRDefault="00003460" w14:paraId="00A19A9C" w14:textId="77777777">
            <w:pPr>
              <w:rPr>
                <w:rFonts w:ascii="Times New Roman" w:hAnsi="Times New Roman" w:cs="Times New Roman"/>
                <w:b/>
                <w:bCs/>
                <w:sz w:val="24"/>
                <w:szCs w:val="24"/>
              </w:rPr>
            </w:pPr>
            <w:r w:rsidRPr="00802633">
              <w:rPr>
                <w:rFonts w:ascii="Times New Roman" w:hAnsi="Times New Roman" w:cs="Times New Roman"/>
                <w:b/>
                <w:bCs/>
                <w:sz w:val="24"/>
                <w:szCs w:val="24"/>
              </w:rPr>
              <w:t xml:space="preserve">Antwoord: </w:t>
            </w:r>
          </w:p>
          <w:p w:rsidRPr="00802633" w:rsidR="00003460" w:rsidP="009116F6" w:rsidRDefault="00003460" w14:paraId="52B51595" w14:textId="77777777">
            <w:pPr>
              <w:rPr>
                <w:rFonts w:ascii="Times New Roman" w:hAnsi="Times New Roman" w:cs="Times New Roman"/>
                <w:b/>
                <w:bCs/>
                <w:sz w:val="24"/>
                <w:szCs w:val="24"/>
              </w:rPr>
            </w:pPr>
            <w:r w:rsidRPr="00802633">
              <w:rPr>
                <w:rFonts w:ascii="Times New Roman" w:hAnsi="Times New Roman" w:cs="Times New Roman"/>
                <w:b/>
                <w:bCs/>
                <w:sz w:val="24"/>
                <w:szCs w:val="24"/>
              </w:rPr>
              <w:t>Beide mutaties zijn bestemd voor een extra bijdrage aan OHCHR voor activiteiten in de Palestijnse gebieden, deze bijdragen zijn beide eenjarig (2025) en derhalve is er geen sprake van een kasreeks.</w:t>
            </w:r>
          </w:p>
          <w:p w:rsidRPr="00802633" w:rsidR="00003460" w:rsidP="009116F6" w:rsidRDefault="00003460" w14:paraId="0809D6D7" w14:textId="77777777">
            <w:pPr>
              <w:rPr>
                <w:rFonts w:ascii="Times New Roman" w:hAnsi="Times New Roman" w:cs="Times New Roman"/>
                <w:sz w:val="24"/>
                <w:szCs w:val="24"/>
              </w:rPr>
            </w:pPr>
          </w:p>
        </w:tc>
      </w:tr>
      <w:tr w:rsidRPr="00802633" w:rsidR="00003460" w:rsidTr="004E0756" w14:paraId="57B6DBA5" w14:textId="77777777">
        <w:tc>
          <w:tcPr>
            <w:tcW w:w="342" w:type="pct"/>
          </w:tcPr>
          <w:p w:rsidRPr="00802633" w:rsidR="00003460" w:rsidP="004E0756" w:rsidRDefault="00003460" w14:paraId="62F66053" w14:textId="77777777">
            <w:pPr>
              <w:jc w:val="center"/>
              <w:rPr>
                <w:rFonts w:ascii="Times New Roman" w:hAnsi="Times New Roman" w:cs="Times New Roman"/>
                <w:sz w:val="24"/>
                <w:szCs w:val="24"/>
              </w:rPr>
            </w:pPr>
            <w:r w:rsidRPr="00802633">
              <w:rPr>
                <w:rFonts w:ascii="Times New Roman" w:hAnsi="Times New Roman" w:cs="Times New Roman"/>
                <w:sz w:val="24"/>
                <w:szCs w:val="24"/>
              </w:rPr>
              <w:t>6</w:t>
            </w:r>
          </w:p>
        </w:tc>
        <w:tc>
          <w:tcPr>
            <w:tcW w:w="4658" w:type="pct"/>
            <w:gridSpan w:val="2"/>
          </w:tcPr>
          <w:p w:rsidRPr="00802633" w:rsidR="00003460" w:rsidP="009116F6" w:rsidRDefault="00003460" w14:paraId="20DA3515" w14:textId="77777777">
            <w:pPr>
              <w:rPr>
                <w:rFonts w:ascii="Times New Roman" w:hAnsi="Times New Roman" w:cs="Times New Roman"/>
                <w:sz w:val="24"/>
                <w:szCs w:val="24"/>
              </w:rPr>
            </w:pPr>
            <w:r w:rsidRPr="00802633">
              <w:rPr>
                <w:rFonts w:ascii="Times New Roman" w:hAnsi="Times New Roman" w:cs="Times New Roman"/>
                <w:sz w:val="24"/>
                <w:szCs w:val="24"/>
              </w:rPr>
              <w:t>Kunt u de mutatie op artikel 2.2 cyber security van -1.3 miljoen euro nader toelichten?</w:t>
            </w:r>
          </w:p>
          <w:p w:rsidRPr="00802633" w:rsidR="00003460" w:rsidP="009116F6" w:rsidRDefault="00003460" w14:paraId="6E3333CD" w14:textId="77777777">
            <w:pPr>
              <w:rPr>
                <w:rFonts w:ascii="Times New Roman" w:hAnsi="Times New Roman" w:cs="Times New Roman"/>
                <w:b/>
                <w:bCs/>
                <w:sz w:val="24"/>
                <w:szCs w:val="24"/>
              </w:rPr>
            </w:pPr>
            <w:r w:rsidRPr="00802633">
              <w:rPr>
                <w:rFonts w:ascii="Times New Roman" w:hAnsi="Times New Roman" w:cs="Times New Roman"/>
                <w:b/>
                <w:bCs/>
                <w:sz w:val="24"/>
                <w:szCs w:val="24"/>
              </w:rPr>
              <w:t xml:space="preserve">Antwoord: </w:t>
            </w:r>
          </w:p>
          <w:p w:rsidRPr="00802633" w:rsidR="00003460" w:rsidP="009116F6" w:rsidRDefault="00003460" w14:paraId="3D57431F" w14:textId="77777777">
            <w:pPr>
              <w:rPr>
                <w:rFonts w:ascii="Times New Roman" w:hAnsi="Times New Roman" w:cs="Times New Roman"/>
                <w:b/>
                <w:bCs/>
                <w:sz w:val="24"/>
                <w:szCs w:val="24"/>
              </w:rPr>
            </w:pPr>
            <w:r w:rsidRPr="00802633">
              <w:rPr>
                <w:rFonts w:ascii="Times New Roman" w:hAnsi="Times New Roman" w:cs="Times New Roman"/>
                <w:b/>
                <w:bCs/>
                <w:sz w:val="24"/>
                <w:szCs w:val="24"/>
              </w:rPr>
              <w:t>Het betreft hier administratieve mutaties binnen artikel 2; EUR 0,69 miljoen verschuiving naar Global Forum on Cyber Expertise (optopping subsidie), EUR 0,5 miljoen naar Veiligheidsfonds (overheveling van cyber security uitgaven in het kader van een eenvoudigere budgetstructuur) en EUR 0,1 miljoen naar cyber security agentschappen (aanpassing financieel instrument).</w:t>
            </w:r>
          </w:p>
        </w:tc>
      </w:tr>
      <w:tr w:rsidRPr="00802633" w:rsidR="00003460" w:rsidTr="004E0756" w14:paraId="52249C37" w14:textId="77777777">
        <w:tc>
          <w:tcPr>
            <w:tcW w:w="342" w:type="pct"/>
          </w:tcPr>
          <w:p w:rsidRPr="00802633" w:rsidR="00003460" w:rsidP="004E0756" w:rsidRDefault="00003460" w14:paraId="1D152B8D" w14:textId="77777777">
            <w:pPr>
              <w:jc w:val="center"/>
              <w:rPr>
                <w:rFonts w:ascii="Times New Roman" w:hAnsi="Times New Roman" w:cs="Times New Roman"/>
                <w:sz w:val="24"/>
                <w:szCs w:val="24"/>
              </w:rPr>
            </w:pPr>
            <w:r w:rsidRPr="00802633">
              <w:rPr>
                <w:rFonts w:ascii="Times New Roman" w:hAnsi="Times New Roman" w:cs="Times New Roman"/>
                <w:sz w:val="24"/>
                <w:szCs w:val="24"/>
              </w:rPr>
              <w:t>7</w:t>
            </w:r>
          </w:p>
        </w:tc>
        <w:tc>
          <w:tcPr>
            <w:tcW w:w="4658" w:type="pct"/>
            <w:gridSpan w:val="2"/>
          </w:tcPr>
          <w:p w:rsidRPr="00802633" w:rsidR="00003460" w:rsidP="009116F6" w:rsidRDefault="00003460" w14:paraId="50347532" w14:textId="77777777">
            <w:pPr>
              <w:rPr>
                <w:rFonts w:ascii="Times New Roman" w:hAnsi="Times New Roman" w:cs="Times New Roman"/>
                <w:sz w:val="24"/>
                <w:szCs w:val="24"/>
              </w:rPr>
            </w:pPr>
            <w:r w:rsidRPr="00802633">
              <w:rPr>
                <w:rFonts w:ascii="Times New Roman" w:hAnsi="Times New Roman" w:cs="Times New Roman"/>
                <w:sz w:val="24"/>
                <w:szCs w:val="24"/>
              </w:rPr>
              <w:t>Daar waar artikel 2.1 (Bondgenootschappelijke veiligheid) een ophoging kent van 14,4 miljoen euro, met name door kosten voor de NAVO-Top, kunt u specificeren welk deel hiervan betrekking heeft op personeelskosten, organisatiekosten en lokatievoorzieningen?</w:t>
            </w:r>
          </w:p>
          <w:p w:rsidRPr="00802633" w:rsidR="00003460" w:rsidP="009116F6" w:rsidRDefault="00003460" w14:paraId="0780E91E" w14:textId="77777777">
            <w:pPr>
              <w:rPr>
                <w:rFonts w:ascii="Times New Roman" w:hAnsi="Times New Roman" w:cs="Times New Roman"/>
                <w:b/>
                <w:bCs/>
                <w:sz w:val="24"/>
                <w:szCs w:val="24"/>
              </w:rPr>
            </w:pPr>
            <w:r w:rsidRPr="00802633">
              <w:rPr>
                <w:rFonts w:ascii="Times New Roman" w:hAnsi="Times New Roman" w:cs="Times New Roman"/>
                <w:b/>
                <w:bCs/>
                <w:sz w:val="24"/>
                <w:szCs w:val="24"/>
              </w:rPr>
              <w:t>Antwoord:</w:t>
            </w:r>
          </w:p>
          <w:p w:rsidRPr="00802633" w:rsidR="00003460" w:rsidP="009116F6" w:rsidRDefault="00003460" w14:paraId="777BD13A" w14:textId="77777777">
            <w:pPr>
              <w:rPr>
                <w:rFonts w:ascii="Times New Roman" w:hAnsi="Times New Roman" w:cs="Times New Roman"/>
                <w:b/>
                <w:bCs/>
                <w:sz w:val="24"/>
                <w:szCs w:val="24"/>
              </w:rPr>
            </w:pPr>
            <w:r w:rsidRPr="00802633">
              <w:rPr>
                <w:rFonts w:ascii="Times New Roman" w:hAnsi="Times New Roman" w:cs="Times New Roman"/>
                <w:b/>
                <w:bCs/>
                <w:sz w:val="24"/>
                <w:szCs w:val="24"/>
              </w:rPr>
              <w:lastRenderedPageBreak/>
              <w:t xml:space="preserve">Van de EUR 14,4 miljoen ophoging is EUR 13 miljoen bestemd voor de NAVO-Top. Deze ophoging is volledig uitgegeven aan organisatiekosten van de Top en aanverwante events zoals het ‘Defence Industry Forum’. Een deel van deze kosten is doorbelast aan het Ministerie van Defensie. </w:t>
            </w:r>
          </w:p>
          <w:p w:rsidRPr="00802633" w:rsidR="00003460" w:rsidP="009116F6" w:rsidRDefault="00003460" w14:paraId="64169A26" w14:textId="77777777">
            <w:pPr>
              <w:rPr>
                <w:rFonts w:ascii="Times New Roman" w:hAnsi="Times New Roman" w:cs="Times New Roman"/>
                <w:sz w:val="24"/>
                <w:szCs w:val="24"/>
              </w:rPr>
            </w:pPr>
          </w:p>
        </w:tc>
      </w:tr>
      <w:tr w:rsidRPr="00802633" w:rsidR="00003460" w:rsidTr="004E0756" w14:paraId="1EC7D13A" w14:textId="77777777">
        <w:tc>
          <w:tcPr>
            <w:tcW w:w="342" w:type="pct"/>
          </w:tcPr>
          <w:p w:rsidRPr="00802633" w:rsidR="00003460" w:rsidP="004E0756" w:rsidRDefault="00003460" w14:paraId="6189BFD9" w14:textId="77777777">
            <w:pPr>
              <w:jc w:val="center"/>
              <w:rPr>
                <w:rFonts w:ascii="Times New Roman" w:hAnsi="Times New Roman" w:cs="Times New Roman"/>
                <w:sz w:val="24"/>
                <w:szCs w:val="24"/>
              </w:rPr>
            </w:pPr>
            <w:r w:rsidRPr="00802633">
              <w:rPr>
                <w:rFonts w:ascii="Times New Roman" w:hAnsi="Times New Roman" w:cs="Times New Roman"/>
                <w:sz w:val="24"/>
                <w:szCs w:val="24"/>
              </w:rPr>
              <w:lastRenderedPageBreak/>
              <w:t>8</w:t>
            </w:r>
          </w:p>
        </w:tc>
        <w:tc>
          <w:tcPr>
            <w:tcW w:w="4658" w:type="pct"/>
            <w:gridSpan w:val="2"/>
          </w:tcPr>
          <w:p w:rsidRPr="00802633" w:rsidR="00003460" w:rsidP="009116F6" w:rsidRDefault="00003460" w14:paraId="7C91C7D0" w14:textId="77777777">
            <w:pPr>
              <w:rPr>
                <w:rFonts w:ascii="Times New Roman" w:hAnsi="Times New Roman" w:cs="Times New Roman"/>
                <w:sz w:val="24"/>
                <w:szCs w:val="24"/>
              </w:rPr>
            </w:pPr>
            <w:r w:rsidRPr="00802633">
              <w:rPr>
                <w:rFonts w:ascii="Times New Roman" w:hAnsi="Times New Roman" w:cs="Times New Roman"/>
                <w:sz w:val="24"/>
                <w:szCs w:val="24"/>
              </w:rPr>
              <w:t>Daar waar binnen artikel 2.4 2,3 miljoen euro wordt toegevoegd aan het Stabiliteitsfonds (Official Development Assistance, ODA), kunt u inzicht geven in de projecten waarvoor deze ophoging wordt ingezet en welke landen het betreft?</w:t>
            </w:r>
          </w:p>
          <w:p w:rsidRPr="00802633" w:rsidR="00003460" w:rsidP="009116F6" w:rsidRDefault="00003460" w14:paraId="7FAB6A8C" w14:textId="77777777">
            <w:pPr>
              <w:rPr>
                <w:rFonts w:ascii="Times New Roman" w:hAnsi="Times New Roman" w:cs="Times New Roman"/>
                <w:b/>
                <w:bCs/>
                <w:sz w:val="24"/>
                <w:szCs w:val="24"/>
              </w:rPr>
            </w:pPr>
            <w:r w:rsidRPr="00802633">
              <w:rPr>
                <w:rFonts w:ascii="Times New Roman" w:hAnsi="Times New Roman" w:cs="Times New Roman"/>
                <w:b/>
                <w:bCs/>
                <w:sz w:val="24"/>
                <w:szCs w:val="24"/>
              </w:rPr>
              <w:t xml:space="preserve">Antwoord: </w:t>
            </w:r>
          </w:p>
          <w:p w:rsidRPr="00802633" w:rsidR="00003460" w:rsidP="009116F6" w:rsidRDefault="00003460" w14:paraId="6E2383F4" w14:textId="77777777">
            <w:pPr>
              <w:rPr>
                <w:rFonts w:ascii="Times New Roman" w:hAnsi="Times New Roman" w:cs="Times New Roman"/>
                <w:b/>
                <w:bCs/>
                <w:sz w:val="24"/>
                <w:szCs w:val="24"/>
              </w:rPr>
            </w:pPr>
            <w:r w:rsidRPr="00802633">
              <w:rPr>
                <w:rFonts w:ascii="Times New Roman" w:hAnsi="Times New Roman" w:cs="Times New Roman"/>
                <w:b/>
                <w:bCs/>
                <w:sz w:val="24"/>
                <w:szCs w:val="24"/>
              </w:rPr>
              <w:t xml:space="preserve">De middelen betroffen een teruggave van een Stabiliteitsfonds-project (ODA) dat eerder is gestopt. De middelen zijn opnieuw toegevoegd aan het ODA-gedeelte van het Stabiliteitsfonds. Het is niet mogelijk om deze middelen direct te koppelen aan specifieke andere activiteiten die hiervoor in de plaats zijn gekomen. In het algemeen worden middelen van het Stabiliteitsfonds uitgegeven in de volgende landen: </w:t>
            </w:r>
          </w:p>
          <w:p w:rsidRPr="00802633" w:rsidR="00003460" w:rsidP="00003460" w:rsidRDefault="00003460" w14:paraId="638A14A9" w14:textId="77777777">
            <w:pPr>
              <w:pStyle w:val="Lijstalinea"/>
              <w:numPr>
                <w:ilvl w:val="0"/>
                <w:numId w:val="1"/>
              </w:numPr>
              <w:spacing w:before="60" w:after="60" w:line="240" w:lineRule="auto"/>
              <w:rPr>
                <w:rFonts w:ascii="Times New Roman" w:hAnsi="Times New Roman" w:cs="Times New Roman"/>
                <w:b/>
                <w:bCs/>
                <w:sz w:val="24"/>
                <w:szCs w:val="24"/>
              </w:rPr>
            </w:pPr>
            <w:r w:rsidRPr="00802633">
              <w:rPr>
                <w:rFonts w:ascii="Times New Roman" w:hAnsi="Times New Roman" w:cs="Times New Roman"/>
                <w:b/>
                <w:bCs/>
                <w:sz w:val="24"/>
                <w:szCs w:val="24"/>
              </w:rPr>
              <w:t>In Europa: Oekraïne, Noord-Macedonië, Bosnië en Herzegovina, Kosovo, Moldavië;</w:t>
            </w:r>
          </w:p>
          <w:p w:rsidRPr="00802633" w:rsidR="00003460" w:rsidP="00003460" w:rsidRDefault="00003460" w14:paraId="43477C53" w14:textId="77777777">
            <w:pPr>
              <w:pStyle w:val="Lijstalinea"/>
              <w:numPr>
                <w:ilvl w:val="0"/>
                <w:numId w:val="1"/>
              </w:numPr>
              <w:spacing w:before="60" w:after="60" w:line="240" w:lineRule="auto"/>
              <w:rPr>
                <w:rFonts w:ascii="Times New Roman" w:hAnsi="Times New Roman" w:cs="Times New Roman"/>
                <w:b/>
                <w:bCs/>
                <w:sz w:val="24"/>
                <w:szCs w:val="24"/>
              </w:rPr>
            </w:pPr>
            <w:r w:rsidRPr="00802633">
              <w:rPr>
                <w:rFonts w:ascii="Times New Roman" w:hAnsi="Times New Roman" w:cs="Times New Roman"/>
                <w:b/>
                <w:bCs/>
                <w:sz w:val="24"/>
                <w:szCs w:val="24"/>
              </w:rPr>
              <w:t>In de Sahel en West-Afrika: Mauritanië, Mali, Burkina Faso, Noordoost-Nigeria, Niger, Tsjaad, Benin, Togo, Ivoorkust, Ghana;</w:t>
            </w:r>
          </w:p>
          <w:p w:rsidRPr="00802633" w:rsidR="00003460" w:rsidP="00003460" w:rsidRDefault="00003460" w14:paraId="28794955" w14:textId="77777777">
            <w:pPr>
              <w:pStyle w:val="Lijstalinea"/>
              <w:numPr>
                <w:ilvl w:val="0"/>
                <w:numId w:val="1"/>
              </w:numPr>
              <w:spacing w:before="60" w:after="60" w:line="240" w:lineRule="auto"/>
              <w:rPr>
                <w:rFonts w:ascii="Times New Roman" w:hAnsi="Times New Roman" w:cs="Times New Roman"/>
                <w:b/>
                <w:bCs/>
                <w:sz w:val="24"/>
                <w:szCs w:val="24"/>
              </w:rPr>
            </w:pPr>
            <w:r w:rsidRPr="00802633">
              <w:rPr>
                <w:rFonts w:ascii="Times New Roman" w:hAnsi="Times New Roman" w:cs="Times New Roman"/>
                <w:b/>
                <w:bCs/>
                <w:sz w:val="24"/>
                <w:szCs w:val="24"/>
              </w:rPr>
              <w:t>In de Hoorn van Afrika: Somalië, Soedan, Zuid-Soedan, Ethiopië, Kenia;</w:t>
            </w:r>
          </w:p>
          <w:p w:rsidRPr="00802633" w:rsidR="00003460" w:rsidP="00003460" w:rsidRDefault="00003460" w14:paraId="4FFEF8CD" w14:textId="77777777">
            <w:pPr>
              <w:pStyle w:val="Lijstalinea"/>
              <w:numPr>
                <w:ilvl w:val="0"/>
                <w:numId w:val="1"/>
              </w:numPr>
              <w:spacing w:before="60" w:after="60" w:line="240" w:lineRule="auto"/>
              <w:rPr>
                <w:rFonts w:ascii="Times New Roman" w:hAnsi="Times New Roman" w:cs="Times New Roman"/>
                <w:b/>
                <w:bCs/>
                <w:sz w:val="24"/>
                <w:szCs w:val="24"/>
              </w:rPr>
            </w:pPr>
            <w:r w:rsidRPr="00802633">
              <w:rPr>
                <w:rFonts w:ascii="Times New Roman" w:hAnsi="Times New Roman" w:cs="Times New Roman"/>
                <w:b/>
                <w:bCs/>
                <w:sz w:val="24"/>
                <w:szCs w:val="24"/>
              </w:rPr>
              <w:t>In de MENA regio: Egypte, Libië, Tunesië, Jemen, Jordanië, Palestijnse Gebieden, Libanon, Syrië, Irak;</w:t>
            </w:r>
          </w:p>
          <w:p w:rsidRPr="00802633" w:rsidR="00003460" w:rsidP="00003460" w:rsidRDefault="00003460" w14:paraId="039BAFC9" w14:textId="77777777">
            <w:pPr>
              <w:pStyle w:val="Lijstalinea"/>
              <w:numPr>
                <w:ilvl w:val="0"/>
                <w:numId w:val="1"/>
              </w:numPr>
              <w:spacing w:before="60" w:after="60" w:line="240" w:lineRule="auto"/>
              <w:rPr>
                <w:rFonts w:ascii="Times New Roman" w:hAnsi="Times New Roman" w:cs="Times New Roman"/>
                <w:b/>
                <w:bCs/>
                <w:sz w:val="24"/>
                <w:szCs w:val="24"/>
              </w:rPr>
            </w:pPr>
            <w:r w:rsidRPr="00802633">
              <w:rPr>
                <w:rFonts w:ascii="Times New Roman" w:hAnsi="Times New Roman" w:cs="Times New Roman"/>
                <w:b/>
                <w:bCs/>
                <w:sz w:val="24"/>
                <w:szCs w:val="24"/>
              </w:rPr>
              <w:t>Centraal Azië: Afghanistan;</w:t>
            </w:r>
          </w:p>
          <w:p w:rsidRPr="00802633" w:rsidR="00003460" w:rsidP="00003460" w:rsidRDefault="00003460" w14:paraId="06B3674C" w14:textId="77777777">
            <w:pPr>
              <w:pStyle w:val="Lijstalinea"/>
              <w:numPr>
                <w:ilvl w:val="0"/>
                <w:numId w:val="1"/>
              </w:numPr>
              <w:spacing w:before="60" w:after="60" w:line="240" w:lineRule="auto"/>
              <w:rPr>
                <w:rFonts w:ascii="Times New Roman" w:hAnsi="Times New Roman" w:cs="Times New Roman"/>
                <w:b/>
                <w:bCs/>
                <w:sz w:val="24"/>
                <w:szCs w:val="24"/>
              </w:rPr>
            </w:pPr>
            <w:r w:rsidRPr="00802633">
              <w:rPr>
                <w:rFonts w:ascii="Times New Roman" w:hAnsi="Times New Roman" w:cs="Times New Roman"/>
                <w:b/>
                <w:bCs/>
                <w:sz w:val="24"/>
                <w:szCs w:val="24"/>
              </w:rPr>
              <w:t>Kaukasus: Armenië</w:t>
            </w:r>
          </w:p>
          <w:p w:rsidRPr="00802633" w:rsidR="00003460" w:rsidP="00003460" w:rsidRDefault="00003460" w14:paraId="2B8E87B5" w14:textId="77777777">
            <w:pPr>
              <w:pStyle w:val="Lijstalinea"/>
              <w:numPr>
                <w:ilvl w:val="0"/>
                <w:numId w:val="1"/>
              </w:numPr>
              <w:spacing w:before="60" w:after="60" w:line="240" w:lineRule="auto"/>
              <w:rPr>
                <w:rFonts w:ascii="Times New Roman" w:hAnsi="Times New Roman" w:cs="Times New Roman"/>
                <w:b/>
                <w:bCs/>
                <w:sz w:val="24"/>
                <w:szCs w:val="24"/>
              </w:rPr>
            </w:pPr>
            <w:r w:rsidRPr="00802633">
              <w:rPr>
                <w:rFonts w:ascii="Times New Roman" w:hAnsi="Times New Roman" w:cs="Times New Roman"/>
                <w:b/>
                <w:bCs/>
                <w:sz w:val="24"/>
                <w:szCs w:val="24"/>
              </w:rPr>
              <w:t>Zuid-Amerika: Colombia, Venezuela;</w:t>
            </w:r>
          </w:p>
          <w:p w:rsidRPr="00802633" w:rsidR="00003460" w:rsidP="009116F6" w:rsidRDefault="00003460" w14:paraId="15F8EDF8" w14:textId="77777777">
            <w:pPr>
              <w:rPr>
                <w:rFonts w:ascii="Times New Roman" w:hAnsi="Times New Roman" w:cs="Times New Roman"/>
                <w:b/>
                <w:bCs/>
                <w:sz w:val="24"/>
                <w:szCs w:val="24"/>
              </w:rPr>
            </w:pPr>
            <w:r w:rsidRPr="00802633">
              <w:rPr>
                <w:rFonts w:ascii="Times New Roman" w:hAnsi="Times New Roman" w:cs="Times New Roman"/>
                <w:b/>
                <w:bCs/>
                <w:sz w:val="24"/>
                <w:szCs w:val="24"/>
              </w:rPr>
              <w:t>Hierbij wordt ingezet op de volgende onderwerpen:</w:t>
            </w:r>
          </w:p>
          <w:p w:rsidRPr="00802633" w:rsidR="00003460" w:rsidP="00003460" w:rsidRDefault="00003460" w14:paraId="09CDF3F3" w14:textId="77777777">
            <w:pPr>
              <w:pStyle w:val="Lijstalinea"/>
              <w:numPr>
                <w:ilvl w:val="0"/>
                <w:numId w:val="1"/>
              </w:numPr>
              <w:spacing w:before="60" w:after="60" w:line="240" w:lineRule="auto"/>
              <w:rPr>
                <w:rFonts w:ascii="Times New Roman" w:hAnsi="Times New Roman" w:cs="Times New Roman"/>
                <w:b/>
                <w:bCs/>
                <w:sz w:val="24"/>
                <w:szCs w:val="24"/>
                <w:lang w:val="en-US"/>
              </w:rPr>
            </w:pPr>
            <w:r w:rsidRPr="00802633">
              <w:rPr>
                <w:rFonts w:ascii="Times New Roman" w:hAnsi="Times New Roman" w:cs="Times New Roman"/>
                <w:b/>
                <w:bCs/>
                <w:sz w:val="24"/>
                <w:szCs w:val="24"/>
                <w:lang w:val="en-US"/>
              </w:rPr>
              <w:t>Security Sector Reform &amp; Governance</w:t>
            </w:r>
          </w:p>
          <w:p w:rsidRPr="00802633" w:rsidR="00003460" w:rsidP="00003460" w:rsidRDefault="00003460" w14:paraId="3D14753D" w14:textId="77777777">
            <w:pPr>
              <w:pStyle w:val="Lijstalinea"/>
              <w:numPr>
                <w:ilvl w:val="0"/>
                <w:numId w:val="1"/>
              </w:numPr>
              <w:spacing w:before="60" w:after="60" w:line="240" w:lineRule="auto"/>
              <w:rPr>
                <w:rFonts w:ascii="Times New Roman" w:hAnsi="Times New Roman" w:cs="Times New Roman"/>
                <w:b/>
                <w:bCs/>
                <w:sz w:val="24"/>
                <w:szCs w:val="24"/>
                <w:lang w:val="en-US"/>
              </w:rPr>
            </w:pPr>
            <w:r w:rsidRPr="00802633">
              <w:rPr>
                <w:rFonts w:ascii="Times New Roman" w:hAnsi="Times New Roman" w:cs="Times New Roman"/>
                <w:b/>
                <w:bCs/>
                <w:sz w:val="24"/>
                <w:szCs w:val="24"/>
                <w:lang w:val="en-US"/>
              </w:rPr>
              <w:t>Stabilisatie Trustfunds</w:t>
            </w:r>
          </w:p>
          <w:p w:rsidRPr="00802633" w:rsidR="00003460" w:rsidP="00003460" w:rsidRDefault="00003460" w14:paraId="54E27555" w14:textId="77777777">
            <w:pPr>
              <w:pStyle w:val="Lijstalinea"/>
              <w:numPr>
                <w:ilvl w:val="0"/>
                <w:numId w:val="1"/>
              </w:numPr>
              <w:spacing w:before="60" w:after="60" w:line="240" w:lineRule="auto"/>
              <w:rPr>
                <w:rFonts w:ascii="Times New Roman" w:hAnsi="Times New Roman" w:cs="Times New Roman"/>
                <w:b/>
                <w:bCs/>
                <w:sz w:val="24"/>
                <w:szCs w:val="24"/>
              </w:rPr>
            </w:pPr>
            <w:r w:rsidRPr="00802633">
              <w:rPr>
                <w:rFonts w:ascii="Times New Roman" w:hAnsi="Times New Roman" w:cs="Times New Roman"/>
                <w:b/>
                <w:bCs/>
                <w:sz w:val="24"/>
                <w:szCs w:val="24"/>
              </w:rPr>
              <w:t>Contra-terrorisme</w:t>
            </w:r>
          </w:p>
          <w:p w:rsidRPr="00802633" w:rsidR="00003460" w:rsidP="00003460" w:rsidRDefault="00003460" w14:paraId="0EBC255C" w14:textId="77777777">
            <w:pPr>
              <w:pStyle w:val="Lijstalinea"/>
              <w:numPr>
                <w:ilvl w:val="0"/>
                <w:numId w:val="1"/>
              </w:numPr>
              <w:spacing w:before="60" w:after="60" w:line="240" w:lineRule="auto"/>
              <w:rPr>
                <w:rFonts w:ascii="Times New Roman" w:hAnsi="Times New Roman" w:cs="Times New Roman"/>
                <w:b/>
                <w:bCs/>
                <w:sz w:val="24"/>
                <w:szCs w:val="24"/>
              </w:rPr>
            </w:pPr>
            <w:r w:rsidRPr="00802633">
              <w:rPr>
                <w:rFonts w:ascii="Times New Roman" w:hAnsi="Times New Roman" w:cs="Times New Roman"/>
                <w:b/>
                <w:bCs/>
                <w:sz w:val="24"/>
                <w:szCs w:val="24"/>
              </w:rPr>
              <w:t>Ondermijning</w:t>
            </w:r>
          </w:p>
          <w:p w:rsidRPr="00802633" w:rsidR="00003460" w:rsidP="00003460" w:rsidRDefault="00003460" w14:paraId="62F1E7FA" w14:textId="77777777">
            <w:pPr>
              <w:pStyle w:val="Lijstalinea"/>
              <w:numPr>
                <w:ilvl w:val="0"/>
                <w:numId w:val="1"/>
              </w:numPr>
              <w:spacing w:before="60" w:after="60" w:line="240" w:lineRule="auto"/>
              <w:rPr>
                <w:rFonts w:ascii="Times New Roman" w:hAnsi="Times New Roman" w:cs="Times New Roman"/>
                <w:b/>
                <w:bCs/>
                <w:sz w:val="24"/>
                <w:szCs w:val="24"/>
              </w:rPr>
            </w:pPr>
            <w:r w:rsidRPr="00802633">
              <w:rPr>
                <w:rFonts w:ascii="Times New Roman" w:hAnsi="Times New Roman" w:cs="Times New Roman"/>
                <w:b/>
                <w:bCs/>
                <w:sz w:val="24"/>
                <w:szCs w:val="24"/>
              </w:rPr>
              <w:t>Missies &amp; Operaties</w:t>
            </w:r>
          </w:p>
          <w:p w:rsidRPr="00802633" w:rsidR="00003460" w:rsidP="00003460" w:rsidRDefault="00003460" w14:paraId="755D4C71" w14:textId="77777777">
            <w:pPr>
              <w:pStyle w:val="Lijstalinea"/>
              <w:numPr>
                <w:ilvl w:val="0"/>
                <w:numId w:val="1"/>
              </w:numPr>
              <w:spacing w:before="60" w:after="60" w:line="240" w:lineRule="auto"/>
              <w:rPr>
                <w:rFonts w:ascii="Times New Roman" w:hAnsi="Times New Roman" w:cs="Times New Roman"/>
                <w:b/>
                <w:bCs/>
                <w:sz w:val="24"/>
                <w:szCs w:val="24"/>
              </w:rPr>
            </w:pPr>
            <w:r w:rsidRPr="00802633">
              <w:rPr>
                <w:rFonts w:ascii="Times New Roman" w:hAnsi="Times New Roman" w:cs="Times New Roman"/>
                <w:b/>
                <w:bCs/>
                <w:sz w:val="24"/>
                <w:szCs w:val="24"/>
              </w:rPr>
              <w:t>Women, Peace and Security</w:t>
            </w:r>
          </w:p>
          <w:p w:rsidRPr="00802633" w:rsidR="00003460" w:rsidP="009116F6" w:rsidRDefault="00003460" w14:paraId="174A771A" w14:textId="77777777">
            <w:pPr>
              <w:rPr>
                <w:rFonts w:ascii="Times New Roman" w:hAnsi="Times New Roman" w:cs="Times New Roman"/>
                <w:sz w:val="24"/>
                <w:szCs w:val="24"/>
              </w:rPr>
            </w:pPr>
          </w:p>
        </w:tc>
      </w:tr>
      <w:tr w:rsidRPr="00802633" w:rsidR="00003460" w:rsidTr="004E0756" w14:paraId="6783C4EF" w14:textId="77777777">
        <w:tc>
          <w:tcPr>
            <w:tcW w:w="342" w:type="pct"/>
          </w:tcPr>
          <w:p w:rsidRPr="00802633" w:rsidR="00003460" w:rsidP="004E0756" w:rsidRDefault="00003460" w14:paraId="72B25B0F" w14:textId="77777777">
            <w:pPr>
              <w:jc w:val="center"/>
              <w:rPr>
                <w:rFonts w:ascii="Times New Roman" w:hAnsi="Times New Roman" w:cs="Times New Roman"/>
                <w:sz w:val="24"/>
                <w:szCs w:val="24"/>
              </w:rPr>
            </w:pPr>
            <w:r w:rsidRPr="00802633">
              <w:rPr>
                <w:rFonts w:ascii="Times New Roman" w:hAnsi="Times New Roman" w:cs="Times New Roman"/>
                <w:sz w:val="24"/>
                <w:szCs w:val="24"/>
              </w:rPr>
              <w:t>9</w:t>
            </w:r>
          </w:p>
        </w:tc>
        <w:tc>
          <w:tcPr>
            <w:tcW w:w="4658" w:type="pct"/>
            <w:gridSpan w:val="2"/>
          </w:tcPr>
          <w:p w:rsidRPr="00802633" w:rsidR="00003460" w:rsidP="009116F6" w:rsidRDefault="00003460" w14:paraId="3F5C491B" w14:textId="77777777">
            <w:pPr>
              <w:rPr>
                <w:rFonts w:ascii="Times New Roman" w:hAnsi="Times New Roman" w:cs="Times New Roman"/>
                <w:sz w:val="24"/>
                <w:szCs w:val="24"/>
              </w:rPr>
            </w:pPr>
            <w:r w:rsidRPr="00802633">
              <w:rPr>
                <w:rFonts w:ascii="Times New Roman" w:hAnsi="Times New Roman" w:cs="Times New Roman"/>
                <w:sz w:val="24"/>
                <w:szCs w:val="24"/>
              </w:rPr>
              <w:t>Daar waar de verplichtingen op artikel 2 stijgen met 76,2 miljoen euro door een ontmijningstender die is verplaatst van 2024 naar 2025, kunt toelichten waarom deze aanbesteding is vertraagd en of dit gevolgen heeft voor operationele uitvoering in de betrokken landen?</w:t>
            </w:r>
          </w:p>
          <w:p w:rsidRPr="00802633" w:rsidR="00003460" w:rsidP="009116F6" w:rsidRDefault="00003460" w14:paraId="526D77FC" w14:textId="77777777">
            <w:pPr>
              <w:rPr>
                <w:rFonts w:ascii="Times New Roman" w:hAnsi="Times New Roman" w:cs="Times New Roman"/>
                <w:b/>
                <w:bCs/>
                <w:sz w:val="24"/>
                <w:szCs w:val="24"/>
              </w:rPr>
            </w:pPr>
            <w:r w:rsidRPr="00802633">
              <w:rPr>
                <w:rFonts w:ascii="Times New Roman" w:hAnsi="Times New Roman" w:cs="Times New Roman"/>
                <w:b/>
                <w:bCs/>
                <w:sz w:val="24"/>
                <w:szCs w:val="24"/>
              </w:rPr>
              <w:t xml:space="preserve">Antwoord: </w:t>
            </w:r>
          </w:p>
          <w:p w:rsidRPr="00802633" w:rsidR="00003460" w:rsidP="009116F6" w:rsidRDefault="00003460" w14:paraId="4CA0DCF5" w14:textId="77777777">
            <w:pPr>
              <w:rPr>
                <w:rFonts w:ascii="Times New Roman" w:hAnsi="Times New Roman" w:cs="Times New Roman"/>
                <w:b/>
                <w:bCs/>
                <w:sz w:val="24"/>
                <w:szCs w:val="24"/>
              </w:rPr>
            </w:pPr>
            <w:r w:rsidRPr="00802633">
              <w:rPr>
                <w:rFonts w:ascii="Times New Roman" w:hAnsi="Times New Roman" w:cs="Times New Roman"/>
                <w:b/>
                <w:bCs/>
                <w:sz w:val="24"/>
                <w:szCs w:val="24"/>
              </w:rPr>
              <w:lastRenderedPageBreak/>
              <w:t>De tender voor het Mine Action and Cluster Munitions Programme III (MACM III) is inmiddels uitgevoerd en nieuwe partners zijn meerjarig gecontracteerd. De besluitvorming over MACM III liet op zich wachten in verband met aantreden van een nieuwe bewindspersoon en de ontwikkeling van de nieuwe beleidsbrief Ontwikkelingshulp. Om te voorkomen dat ontmijningspartners uit het Mine Action and Cluster Munitions Programme II 2020-2024 hier nadeel in hun operationele uitvoering van ondervonden, zijn de lopende activiteiten uit dat programma verlengd tot en met maart 2025, waarbij ook aanvullende subsidie is verleend bij wijze van overbrugging.</w:t>
            </w:r>
          </w:p>
          <w:p w:rsidRPr="00802633" w:rsidR="00003460" w:rsidP="009116F6" w:rsidRDefault="00003460" w14:paraId="524977BF" w14:textId="77777777">
            <w:pPr>
              <w:rPr>
                <w:rFonts w:ascii="Times New Roman" w:hAnsi="Times New Roman" w:cs="Times New Roman"/>
                <w:sz w:val="24"/>
                <w:szCs w:val="24"/>
              </w:rPr>
            </w:pPr>
          </w:p>
        </w:tc>
      </w:tr>
      <w:tr w:rsidRPr="00802633" w:rsidR="00003460" w:rsidTr="004E0756" w14:paraId="5D0BF0B7" w14:textId="77777777">
        <w:tc>
          <w:tcPr>
            <w:tcW w:w="342" w:type="pct"/>
          </w:tcPr>
          <w:p w:rsidRPr="00802633" w:rsidR="00003460" w:rsidP="004E0756" w:rsidRDefault="00003460" w14:paraId="4526E9E7" w14:textId="77777777">
            <w:pPr>
              <w:jc w:val="center"/>
              <w:rPr>
                <w:rFonts w:ascii="Times New Roman" w:hAnsi="Times New Roman" w:cs="Times New Roman"/>
                <w:sz w:val="24"/>
                <w:szCs w:val="24"/>
              </w:rPr>
            </w:pPr>
            <w:r w:rsidRPr="00802633">
              <w:rPr>
                <w:rFonts w:ascii="Times New Roman" w:hAnsi="Times New Roman" w:cs="Times New Roman"/>
                <w:sz w:val="24"/>
                <w:szCs w:val="24"/>
              </w:rPr>
              <w:lastRenderedPageBreak/>
              <w:t>10</w:t>
            </w:r>
          </w:p>
        </w:tc>
        <w:tc>
          <w:tcPr>
            <w:tcW w:w="4658" w:type="pct"/>
            <w:gridSpan w:val="2"/>
          </w:tcPr>
          <w:p w:rsidRPr="00802633" w:rsidR="00003460" w:rsidP="009116F6" w:rsidRDefault="00003460" w14:paraId="00E81E09" w14:textId="77777777">
            <w:pPr>
              <w:rPr>
                <w:rFonts w:ascii="Times New Roman" w:hAnsi="Times New Roman" w:cs="Times New Roman"/>
                <w:sz w:val="24"/>
                <w:szCs w:val="24"/>
              </w:rPr>
            </w:pPr>
            <w:r w:rsidRPr="00802633">
              <w:rPr>
                <w:rFonts w:ascii="Times New Roman" w:hAnsi="Times New Roman" w:cs="Times New Roman"/>
                <w:sz w:val="24"/>
                <w:szCs w:val="24"/>
              </w:rPr>
              <w:t>Daar waar de bijdrage aan VN-crisisbeheersingsoperaties daalt met 14,1 miljoen euro vanwege de beëindiging van een VN-missie, kunt u aangeven om welke missies het gaat en welke verplichtingen daardoor komen te vervallen?</w:t>
            </w:r>
          </w:p>
          <w:p w:rsidRPr="00802633" w:rsidR="00003460" w:rsidP="009116F6" w:rsidRDefault="00003460" w14:paraId="63D4EDF3" w14:textId="77777777">
            <w:pPr>
              <w:rPr>
                <w:rFonts w:ascii="Times New Roman" w:hAnsi="Times New Roman" w:cs="Times New Roman"/>
                <w:b/>
                <w:bCs/>
                <w:sz w:val="24"/>
                <w:szCs w:val="24"/>
              </w:rPr>
            </w:pPr>
            <w:r w:rsidRPr="00802633">
              <w:rPr>
                <w:rFonts w:ascii="Times New Roman" w:hAnsi="Times New Roman" w:cs="Times New Roman"/>
                <w:b/>
                <w:bCs/>
                <w:sz w:val="24"/>
                <w:szCs w:val="24"/>
              </w:rPr>
              <w:t>Antwoord:</w:t>
            </w:r>
          </w:p>
          <w:p w:rsidRPr="00802633" w:rsidR="00003460" w:rsidP="009116F6" w:rsidRDefault="00003460" w14:paraId="7AB96355" w14:textId="77777777">
            <w:pPr>
              <w:rPr>
                <w:rFonts w:ascii="Times New Roman" w:hAnsi="Times New Roman" w:cs="Times New Roman"/>
                <w:b/>
                <w:bCs/>
                <w:sz w:val="24"/>
                <w:szCs w:val="24"/>
              </w:rPr>
            </w:pPr>
            <w:r w:rsidRPr="00802633">
              <w:rPr>
                <w:rFonts w:ascii="Times New Roman" w:hAnsi="Times New Roman" w:cs="Times New Roman"/>
                <w:b/>
                <w:bCs/>
                <w:sz w:val="24"/>
                <w:szCs w:val="24"/>
              </w:rPr>
              <w:t xml:space="preserve">De VN-crisisbeheersingsoperatie </w:t>
            </w:r>
            <w:r w:rsidRPr="00802633">
              <w:rPr>
                <w:rFonts w:ascii="Times New Roman" w:hAnsi="Times New Roman" w:cs="Times New Roman"/>
                <w:b/>
                <w:bCs/>
                <w:i/>
                <w:iCs/>
                <w:sz w:val="24"/>
                <w:szCs w:val="24"/>
              </w:rPr>
              <w:t>United Nations Multidimensional Integrated Stabilization Mission</w:t>
            </w:r>
            <w:r w:rsidRPr="00802633">
              <w:rPr>
                <w:rFonts w:ascii="Times New Roman" w:hAnsi="Times New Roman" w:cs="Times New Roman"/>
                <w:b/>
                <w:bCs/>
                <w:sz w:val="24"/>
                <w:szCs w:val="24"/>
              </w:rPr>
              <w:t xml:space="preserve"> in Mali (MINUSMA) is beëindigd. De administratieve afsluiting dient nog plaats te vinden door de VN. Daarna zal Nederland niet meer aangeslagen worden voor MINUSMA. </w:t>
            </w:r>
          </w:p>
          <w:p w:rsidRPr="00802633" w:rsidR="00003460" w:rsidP="009116F6" w:rsidRDefault="00003460" w14:paraId="3524BA4D" w14:textId="77777777">
            <w:pPr>
              <w:rPr>
                <w:rFonts w:ascii="Times New Roman" w:hAnsi="Times New Roman" w:cs="Times New Roman"/>
                <w:sz w:val="24"/>
                <w:szCs w:val="24"/>
              </w:rPr>
            </w:pPr>
          </w:p>
        </w:tc>
      </w:tr>
      <w:tr w:rsidRPr="00802633" w:rsidR="00003460" w:rsidTr="004E0756" w14:paraId="3D46DEED" w14:textId="77777777">
        <w:tc>
          <w:tcPr>
            <w:tcW w:w="342" w:type="pct"/>
          </w:tcPr>
          <w:p w:rsidRPr="00802633" w:rsidR="00003460" w:rsidP="004E0756" w:rsidRDefault="00003460" w14:paraId="2E1E8708" w14:textId="77777777">
            <w:pPr>
              <w:jc w:val="center"/>
              <w:rPr>
                <w:rFonts w:ascii="Times New Roman" w:hAnsi="Times New Roman" w:cs="Times New Roman"/>
                <w:sz w:val="24"/>
                <w:szCs w:val="24"/>
              </w:rPr>
            </w:pPr>
            <w:r w:rsidRPr="00802633">
              <w:rPr>
                <w:rFonts w:ascii="Times New Roman" w:hAnsi="Times New Roman" w:cs="Times New Roman"/>
                <w:sz w:val="24"/>
                <w:szCs w:val="24"/>
              </w:rPr>
              <w:t>11</w:t>
            </w:r>
          </w:p>
        </w:tc>
        <w:tc>
          <w:tcPr>
            <w:tcW w:w="4658" w:type="pct"/>
            <w:gridSpan w:val="2"/>
          </w:tcPr>
          <w:p w:rsidRPr="00802633" w:rsidR="00003460" w:rsidP="009116F6" w:rsidRDefault="00003460" w14:paraId="642EFC9F" w14:textId="77777777">
            <w:pPr>
              <w:rPr>
                <w:rFonts w:ascii="Times New Roman" w:hAnsi="Times New Roman" w:cs="Times New Roman"/>
                <w:sz w:val="24"/>
                <w:szCs w:val="24"/>
              </w:rPr>
            </w:pPr>
            <w:r w:rsidRPr="00802633">
              <w:rPr>
                <w:rFonts w:ascii="Times New Roman" w:hAnsi="Times New Roman" w:cs="Times New Roman"/>
                <w:sz w:val="24"/>
                <w:szCs w:val="24"/>
              </w:rPr>
              <w:t>Kunt u toelichten welke VN-vredesmissie in de toelichting op artikel 2.4 wordt beëindigd en welke gevolgen dit heeft voor de begroting van 2026?</w:t>
            </w:r>
          </w:p>
          <w:p w:rsidRPr="00802633" w:rsidR="00003460" w:rsidP="009116F6" w:rsidRDefault="00003460" w14:paraId="799E3ADF" w14:textId="77777777">
            <w:pPr>
              <w:rPr>
                <w:rFonts w:ascii="Times New Roman" w:hAnsi="Times New Roman" w:cs="Times New Roman"/>
                <w:b/>
                <w:bCs/>
                <w:sz w:val="24"/>
                <w:szCs w:val="24"/>
              </w:rPr>
            </w:pPr>
            <w:r w:rsidRPr="00802633">
              <w:rPr>
                <w:rFonts w:ascii="Times New Roman" w:hAnsi="Times New Roman" w:cs="Times New Roman"/>
                <w:b/>
                <w:bCs/>
                <w:sz w:val="24"/>
                <w:szCs w:val="24"/>
              </w:rPr>
              <w:t>Antwoord:</w:t>
            </w:r>
          </w:p>
          <w:p w:rsidRPr="00802633" w:rsidR="00003460" w:rsidP="009116F6" w:rsidRDefault="00003460" w14:paraId="4645786B" w14:textId="77777777">
            <w:pPr>
              <w:rPr>
                <w:rFonts w:ascii="Times New Roman" w:hAnsi="Times New Roman" w:cs="Times New Roman"/>
                <w:b/>
                <w:bCs/>
                <w:sz w:val="24"/>
                <w:szCs w:val="24"/>
              </w:rPr>
            </w:pPr>
            <w:r w:rsidRPr="00802633">
              <w:rPr>
                <w:rFonts w:ascii="Times New Roman" w:hAnsi="Times New Roman" w:cs="Times New Roman"/>
                <w:b/>
                <w:bCs/>
                <w:sz w:val="24"/>
                <w:szCs w:val="24"/>
              </w:rPr>
              <w:t xml:space="preserve">Zie antwoord vraag 10. Bij het opstellen van de begroting 2026 is reeds rekening gehouden met de  beëindiging van de VN-crisisbeheersingsoperatie MINUSMA. </w:t>
            </w:r>
          </w:p>
          <w:p w:rsidRPr="00802633" w:rsidR="00003460" w:rsidP="009116F6" w:rsidRDefault="00003460" w14:paraId="72298100" w14:textId="77777777">
            <w:pPr>
              <w:rPr>
                <w:rFonts w:ascii="Times New Roman" w:hAnsi="Times New Roman" w:cs="Times New Roman"/>
                <w:sz w:val="24"/>
                <w:szCs w:val="24"/>
              </w:rPr>
            </w:pPr>
          </w:p>
        </w:tc>
      </w:tr>
      <w:tr w:rsidRPr="00802633" w:rsidR="00003460" w:rsidTr="004E0756" w14:paraId="3726ABB1" w14:textId="77777777">
        <w:tc>
          <w:tcPr>
            <w:tcW w:w="342" w:type="pct"/>
          </w:tcPr>
          <w:p w:rsidRPr="00802633" w:rsidR="00003460" w:rsidP="004E0756" w:rsidRDefault="00003460" w14:paraId="62E302BC" w14:textId="77777777">
            <w:pPr>
              <w:jc w:val="center"/>
              <w:rPr>
                <w:rFonts w:ascii="Times New Roman" w:hAnsi="Times New Roman" w:cs="Times New Roman"/>
                <w:sz w:val="24"/>
                <w:szCs w:val="24"/>
              </w:rPr>
            </w:pPr>
            <w:r w:rsidRPr="00802633">
              <w:rPr>
                <w:rFonts w:ascii="Times New Roman" w:hAnsi="Times New Roman" w:cs="Times New Roman"/>
                <w:sz w:val="24"/>
                <w:szCs w:val="24"/>
              </w:rPr>
              <w:t>12</w:t>
            </w:r>
          </w:p>
        </w:tc>
        <w:tc>
          <w:tcPr>
            <w:tcW w:w="4658" w:type="pct"/>
            <w:gridSpan w:val="2"/>
          </w:tcPr>
          <w:p w:rsidRPr="00802633" w:rsidR="00003460" w:rsidP="009116F6" w:rsidRDefault="00003460" w14:paraId="39ECE1EE" w14:textId="77777777">
            <w:pPr>
              <w:rPr>
                <w:rFonts w:ascii="Times New Roman" w:hAnsi="Times New Roman" w:cs="Times New Roman"/>
                <w:sz w:val="24"/>
                <w:szCs w:val="24"/>
              </w:rPr>
            </w:pPr>
            <w:r w:rsidRPr="00802633">
              <w:rPr>
                <w:rFonts w:ascii="Times New Roman" w:hAnsi="Times New Roman" w:cs="Times New Roman"/>
                <w:sz w:val="24"/>
                <w:szCs w:val="24"/>
              </w:rPr>
              <w:t>Aangezien de invoerrechten aan de Europese Unie (artikel 3.6) neerwaarts worden bijgesteld met 214,7 miljoen euro, kunt u de onderliggende berekeningen van het saldo-effect tussen nationale raming en EU-raming beschikbaar stellen?</w:t>
            </w:r>
          </w:p>
          <w:p w:rsidRPr="00802633" w:rsidR="00003460" w:rsidP="009116F6" w:rsidRDefault="00003460" w14:paraId="4FA4360F" w14:textId="77777777">
            <w:pPr>
              <w:rPr>
                <w:rFonts w:ascii="Times New Roman" w:hAnsi="Times New Roman" w:cs="Times New Roman"/>
                <w:b/>
                <w:bCs/>
                <w:sz w:val="24"/>
                <w:szCs w:val="24"/>
              </w:rPr>
            </w:pPr>
            <w:r w:rsidRPr="00802633">
              <w:rPr>
                <w:rFonts w:ascii="Times New Roman" w:hAnsi="Times New Roman" w:cs="Times New Roman"/>
                <w:b/>
                <w:bCs/>
                <w:sz w:val="24"/>
                <w:szCs w:val="24"/>
              </w:rPr>
              <w:t>Antwoord:</w:t>
            </w:r>
          </w:p>
          <w:p w:rsidRPr="00802633" w:rsidR="00003460" w:rsidP="009116F6" w:rsidRDefault="00003460" w14:paraId="69BACC0B" w14:textId="77777777">
            <w:pPr>
              <w:rPr>
                <w:rFonts w:ascii="Times New Roman" w:hAnsi="Times New Roman" w:cs="Times New Roman"/>
                <w:b/>
                <w:bCs/>
                <w:sz w:val="24"/>
                <w:szCs w:val="24"/>
              </w:rPr>
            </w:pPr>
            <w:r w:rsidRPr="00802633">
              <w:rPr>
                <w:rFonts w:ascii="Times New Roman" w:hAnsi="Times New Roman" w:cs="Times New Roman"/>
                <w:b/>
                <w:bCs/>
                <w:sz w:val="24"/>
                <w:szCs w:val="24"/>
              </w:rPr>
              <w:t xml:space="preserve">Het saldo-effect tussen de raming van het ministerie van Financiën (meest actuele raming Nederlandse invoerrechten) aan de inkomstenkant en de raming van de Europese Commissie (raming voor gehele EU) aan de uitgavenkant is bij Najaarsnota (NJN) 2025 EUR 214,7 miljoen. De raming van de Europese Commissie is gelijkgetrokken aan de lager dan verwachte invoerrechten van de raming van het ministerie van Financiën (gebaseerd op recente cijfers CPB) via een neerwaartse bijstelling van EUR 214,7 miljoen. Nederland ontvangt 25% van de bruto af te dragen invoerrechten </w:t>
            </w:r>
            <w:r w:rsidRPr="00802633">
              <w:rPr>
                <w:rFonts w:ascii="Times New Roman" w:hAnsi="Times New Roman" w:cs="Times New Roman"/>
                <w:b/>
                <w:bCs/>
                <w:sz w:val="24"/>
                <w:szCs w:val="24"/>
              </w:rPr>
              <w:lastRenderedPageBreak/>
              <w:t xml:space="preserve">(TEM) als perceptiekostenvergoeding. Vanwege de lager dan verwachte invoerrechten, nemen ook de geraamde ontvangsten van de perceptiekostenvergoeding bij NJN 2025 af met EUR 54 miljoen. </w:t>
            </w:r>
          </w:p>
          <w:p w:rsidRPr="00802633" w:rsidR="00003460" w:rsidP="009116F6" w:rsidRDefault="00003460" w14:paraId="3E329FBB" w14:textId="77777777">
            <w:pPr>
              <w:rPr>
                <w:rFonts w:ascii="Times New Roman" w:hAnsi="Times New Roman" w:cs="Times New Roman"/>
                <w:sz w:val="24"/>
                <w:szCs w:val="24"/>
              </w:rPr>
            </w:pPr>
          </w:p>
        </w:tc>
      </w:tr>
      <w:tr w:rsidRPr="00802633" w:rsidR="00003460" w:rsidTr="004E0756" w14:paraId="025D1FF7" w14:textId="77777777">
        <w:tc>
          <w:tcPr>
            <w:tcW w:w="342" w:type="pct"/>
          </w:tcPr>
          <w:p w:rsidRPr="00802633" w:rsidR="00003460" w:rsidP="004E0756" w:rsidRDefault="00003460" w14:paraId="61956836" w14:textId="77777777">
            <w:pPr>
              <w:jc w:val="center"/>
              <w:rPr>
                <w:rFonts w:ascii="Times New Roman" w:hAnsi="Times New Roman" w:cs="Times New Roman"/>
                <w:sz w:val="24"/>
                <w:szCs w:val="24"/>
              </w:rPr>
            </w:pPr>
            <w:r w:rsidRPr="00802633">
              <w:rPr>
                <w:rFonts w:ascii="Times New Roman" w:hAnsi="Times New Roman" w:cs="Times New Roman"/>
                <w:sz w:val="24"/>
                <w:szCs w:val="24"/>
              </w:rPr>
              <w:lastRenderedPageBreak/>
              <w:t>13</w:t>
            </w:r>
          </w:p>
        </w:tc>
        <w:tc>
          <w:tcPr>
            <w:tcW w:w="4658" w:type="pct"/>
            <w:gridSpan w:val="2"/>
          </w:tcPr>
          <w:p w:rsidRPr="00802633" w:rsidR="00003460" w:rsidP="009116F6" w:rsidRDefault="00003460" w14:paraId="3BCBC153" w14:textId="77777777">
            <w:pPr>
              <w:rPr>
                <w:rFonts w:ascii="Times New Roman" w:hAnsi="Times New Roman" w:cs="Times New Roman"/>
                <w:sz w:val="24"/>
                <w:szCs w:val="24"/>
              </w:rPr>
            </w:pPr>
            <w:r w:rsidRPr="00802633">
              <w:rPr>
                <w:rFonts w:ascii="Times New Roman" w:hAnsi="Times New Roman" w:cs="Times New Roman"/>
                <w:sz w:val="24"/>
                <w:szCs w:val="24"/>
              </w:rPr>
              <w:t>Gelet op het feit dat artikel 4.1 en 4.2 samen bijna acht miljoen euro aan extra uitgaven laten zien voor consulaire systemen, mede door vertraagde implementatie van het nieuwe visumsysteem, kunt u een actuele planning geven voor de afronding van deze ICT-projecten?</w:t>
            </w:r>
          </w:p>
          <w:p w:rsidRPr="00802633" w:rsidR="00003460" w:rsidP="009116F6" w:rsidRDefault="00003460" w14:paraId="12C4619A" w14:textId="77777777">
            <w:pPr>
              <w:rPr>
                <w:rFonts w:ascii="Times New Roman" w:hAnsi="Times New Roman" w:cs="Times New Roman"/>
                <w:b/>
                <w:bCs/>
                <w:sz w:val="24"/>
                <w:szCs w:val="24"/>
              </w:rPr>
            </w:pPr>
            <w:r w:rsidRPr="00802633">
              <w:rPr>
                <w:rFonts w:ascii="Times New Roman" w:hAnsi="Times New Roman" w:cs="Times New Roman"/>
                <w:b/>
                <w:bCs/>
                <w:sz w:val="24"/>
                <w:szCs w:val="24"/>
              </w:rPr>
              <w:t xml:space="preserve">Antwoord: </w:t>
            </w:r>
          </w:p>
          <w:p w:rsidRPr="00802633" w:rsidR="00003460" w:rsidP="009116F6" w:rsidRDefault="00003460" w14:paraId="12E0F943" w14:textId="77777777">
            <w:pPr>
              <w:rPr>
                <w:rFonts w:ascii="Times New Roman" w:hAnsi="Times New Roman" w:cs="Times New Roman"/>
                <w:b/>
                <w:bCs/>
                <w:sz w:val="24"/>
                <w:szCs w:val="24"/>
              </w:rPr>
            </w:pPr>
            <w:r w:rsidRPr="00802633">
              <w:rPr>
                <w:rFonts w:ascii="Times New Roman" w:hAnsi="Times New Roman" w:cs="Times New Roman"/>
                <w:b/>
                <w:bCs/>
                <w:sz w:val="24"/>
                <w:szCs w:val="24"/>
              </w:rPr>
              <w:t>Op de opdrachtbudgetten staan middelen voor zowel beheer als doorontwikkeling van consulaire applicaties. Komend jaar wordt het nieuwe systeem voor het aanvragen van reisdocumenten uitgerold. Voor het systeem waarmee visumaanvragen worden afgehandeld zal de doorontwikkeling nog in 2026 en 2027 nodig zijn, onder meer vanwege implementatie van EU-verplichtingen.</w:t>
            </w:r>
          </w:p>
          <w:p w:rsidRPr="00802633" w:rsidR="00003460" w:rsidP="009116F6" w:rsidRDefault="00003460" w14:paraId="5BC7282D" w14:textId="77777777">
            <w:pPr>
              <w:rPr>
                <w:rFonts w:ascii="Times New Roman" w:hAnsi="Times New Roman" w:cs="Times New Roman"/>
                <w:sz w:val="24"/>
                <w:szCs w:val="24"/>
              </w:rPr>
            </w:pPr>
          </w:p>
        </w:tc>
      </w:tr>
      <w:tr w:rsidRPr="00802633" w:rsidR="00003460" w:rsidTr="004E0756" w14:paraId="0D481AB9" w14:textId="77777777">
        <w:tc>
          <w:tcPr>
            <w:tcW w:w="342" w:type="pct"/>
          </w:tcPr>
          <w:p w:rsidRPr="00802633" w:rsidR="00003460" w:rsidP="004E0756" w:rsidRDefault="00003460" w14:paraId="49A0037F" w14:textId="77777777">
            <w:pPr>
              <w:jc w:val="center"/>
              <w:rPr>
                <w:rFonts w:ascii="Times New Roman" w:hAnsi="Times New Roman" w:cs="Times New Roman"/>
                <w:sz w:val="24"/>
                <w:szCs w:val="24"/>
              </w:rPr>
            </w:pPr>
            <w:r w:rsidRPr="00802633">
              <w:rPr>
                <w:rFonts w:ascii="Times New Roman" w:hAnsi="Times New Roman" w:cs="Times New Roman"/>
                <w:sz w:val="24"/>
                <w:szCs w:val="24"/>
              </w:rPr>
              <w:t>14</w:t>
            </w:r>
          </w:p>
        </w:tc>
        <w:tc>
          <w:tcPr>
            <w:tcW w:w="4658" w:type="pct"/>
            <w:gridSpan w:val="2"/>
          </w:tcPr>
          <w:p w:rsidRPr="00802633" w:rsidR="00003460" w:rsidP="009116F6" w:rsidRDefault="00003460" w14:paraId="1AB304E5" w14:textId="77777777">
            <w:pPr>
              <w:rPr>
                <w:rFonts w:ascii="Times New Roman" w:hAnsi="Times New Roman" w:cs="Times New Roman"/>
                <w:b/>
                <w:bCs/>
                <w:sz w:val="24"/>
                <w:szCs w:val="24"/>
              </w:rPr>
            </w:pPr>
            <w:r w:rsidRPr="00802633">
              <w:rPr>
                <w:rFonts w:ascii="Times New Roman" w:hAnsi="Times New Roman" w:cs="Times New Roman"/>
                <w:sz w:val="24"/>
                <w:szCs w:val="24"/>
              </w:rPr>
              <w:t>Aangezien artikel 7 (Apparaat) een ophoging kent van 28,2 miljoen euro, met name door loonontwikkeling en correcties bij externe inhuur, kunt u aangeven hoeveel van deze middelen direct worden toegerekend aan posten in het buitenland versus het bestuursdepartement?</w:t>
            </w:r>
            <w:r w:rsidRPr="00802633">
              <w:rPr>
                <w:rFonts w:ascii="Times New Roman" w:hAnsi="Times New Roman" w:cs="Times New Roman"/>
                <w:b/>
                <w:bCs/>
                <w:sz w:val="24"/>
                <w:szCs w:val="24"/>
              </w:rPr>
              <w:t xml:space="preserve"> </w:t>
            </w:r>
          </w:p>
          <w:p w:rsidRPr="00802633" w:rsidR="00003460" w:rsidP="009116F6" w:rsidRDefault="00003460" w14:paraId="60CF82EE" w14:textId="77777777">
            <w:pPr>
              <w:rPr>
                <w:rFonts w:ascii="Times New Roman" w:hAnsi="Times New Roman" w:cs="Times New Roman"/>
                <w:b/>
                <w:bCs/>
                <w:sz w:val="24"/>
                <w:szCs w:val="24"/>
              </w:rPr>
            </w:pPr>
            <w:r w:rsidRPr="00802633">
              <w:rPr>
                <w:rFonts w:ascii="Times New Roman" w:hAnsi="Times New Roman" w:cs="Times New Roman"/>
                <w:b/>
                <w:bCs/>
                <w:sz w:val="24"/>
                <w:szCs w:val="24"/>
              </w:rPr>
              <w:t>Antwoord:</w:t>
            </w:r>
          </w:p>
          <w:p w:rsidRPr="00802633" w:rsidR="00003460" w:rsidP="009116F6" w:rsidRDefault="00003460" w14:paraId="13DED814" w14:textId="77777777">
            <w:pPr>
              <w:rPr>
                <w:rFonts w:ascii="Times New Roman" w:hAnsi="Times New Roman" w:cs="Times New Roman"/>
                <w:b/>
                <w:bCs/>
                <w:sz w:val="24"/>
                <w:szCs w:val="24"/>
              </w:rPr>
            </w:pPr>
            <w:r w:rsidRPr="00802633">
              <w:rPr>
                <w:rFonts w:ascii="Times New Roman" w:hAnsi="Times New Roman" w:cs="Times New Roman"/>
                <w:b/>
                <w:bCs/>
                <w:sz w:val="24"/>
                <w:szCs w:val="24"/>
              </w:rPr>
              <w:t>Van mutaties op apparaat is geen exacte verdeling te geven tussen departement en postennet. Het ministerie, bestaande uit kerndepartement in Den Haag en een postennet wereldwijd, werkt als één geheel. Voor het geheel van het apparaatsbudget geldt dat ongeveer 2/3</w:t>
            </w:r>
            <w:r w:rsidRPr="00802633">
              <w:rPr>
                <w:rFonts w:ascii="Times New Roman" w:hAnsi="Times New Roman" w:cs="Times New Roman"/>
                <w:b/>
                <w:bCs/>
                <w:sz w:val="24"/>
                <w:szCs w:val="24"/>
                <w:vertAlign w:val="superscript"/>
              </w:rPr>
              <w:t>e</w:t>
            </w:r>
            <w:r w:rsidRPr="00802633">
              <w:rPr>
                <w:rFonts w:ascii="Times New Roman" w:hAnsi="Times New Roman" w:cs="Times New Roman"/>
                <w:b/>
                <w:bCs/>
                <w:sz w:val="24"/>
                <w:szCs w:val="24"/>
              </w:rPr>
              <w:t xml:space="preserve"> betrekking heeft op het postennet. </w:t>
            </w:r>
          </w:p>
          <w:p w:rsidRPr="00802633" w:rsidR="00003460" w:rsidP="009116F6" w:rsidRDefault="00003460" w14:paraId="67143528" w14:textId="77777777">
            <w:pPr>
              <w:rPr>
                <w:rFonts w:ascii="Times New Roman" w:hAnsi="Times New Roman" w:cs="Times New Roman"/>
                <w:sz w:val="24"/>
                <w:szCs w:val="24"/>
              </w:rPr>
            </w:pPr>
          </w:p>
        </w:tc>
      </w:tr>
    </w:tbl>
    <w:p w:rsidRPr="00802633" w:rsidR="00003460" w:rsidP="00003460" w:rsidRDefault="00003460" w14:paraId="2235E0DC" w14:textId="77777777">
      <w:pPr>
        <w:rPr>
          <w:rFonts w:ascii="Times New Roman" w:hAnsi="Times New Roman" w:cs="Times New Roman"/>
          <w:sz w:val="24"/>
          <w:szCs w:val="24"/>
        </w:rPr>
      </w:pPr>
      <w:bookmarkStart w:name="bmkStartTabel" w:id="1"/>
      <w:bookmarkEnd w:id="1"/>
    </w:p>
    <w:p w:rsidR="00E6311E" w:rsidRDefault="00E6311E" w14:paraId="08000D80" w14:textId="77777777"/>
    <w:sectPr w:rsidR="00E6311E" w:rsidSect="00855BBE">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94385" w14:textId="77777777" w:rsidR="00003460" w:rsidRDefault="00003460" w:rsidP="00003460">
      <w:pPr>
        <w:spacing w:after="0" w:line="240" w:lineRule="auto"/>
      </w:pPr>
      <w:r>
        <w:separator/>
      </w:r>
    </w:p>
  </w:endnote>
  <w:endnote w:type="continuationSeparator" w:id="0">
    <w:p w14:paraId="556D7185" w14:textId="77777777" w:rsidR="00003460" w:rsidRDefault="00003460" w:rsidP="00003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BDBAF" w14:textId="77777777" w:rsidR="00003460" w:rsidRPr="00003460" w:rsidRDefault="00003460" w:rsidP="000034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8D42" w14:textId="77777777" w:rsidR="00003460" w:rsidRPr="00003460" w:rsidRDefault="00003460" w:rsidP="000034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5C40" w14:textId="77777777" w:rsidR="00003460" w:rsidRPr="00003460" w:rsidRDefault="00003460" w:rsidP="000034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39697" w14:textId="77777777" w:rsidR="00003460" w:rsidRDefault="00003460" w:rsidP="00003460">
      <w:pPr>
        <w:spacing w:after="0" w:line="240" w:lineRule="auto"/>
      </w:pPr>
      <w:r>
        <w:separator/>
      </w:r>
    </w:p>
  </w:footnote>
  <w:footnote w:type="continuationSeparator" w:id="0">
    <w:p w14:paraId="2D414595" w14:textId="77777777" w:rsidR="00003460" w:rsidRDefault="00003460" w:rsidP="00003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2A05" w14:textId="77777777" w:rsidR="00003460" w:rsidRPr="00003460" w:rsidRDefault="00003460" w:rsidP="000034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92D2" w14:textId="77777777" w:rsidR="00003460" w:rsidRPr="00003460" w:rsidRDefault="00003460" w:rsidP="000034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7D75" w14:textId="77777777" w:rsidR="00003460" w:rsidRPr="00003460" w:rsidRDefault="00003460" w:rsidP="000034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016E"/>
    <w:multiLevelType w:val="hybridMultilevel"/>
    <w:tmpl w:val="5030CD5C"/>
    <w:lvl w:ilvl="0" w:tplc="234C8742">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6430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60"/>
    <w:rsid w:val="00003460"/>
    <w:rsid w:val="0025703A"/>
    <w:rsid w:val="00404061"/>
    <w:rsid w:val="004E0756"/>
    <w:rsid w:val="00541D2F"/>
    <w:rsid w:val="00855BBE"/>
    <w:rsid w:val="00C57495"/>
    <w:rsid w:val="00CF207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DA9C"/>
  <w15:chartTrackingRefBased/>
  <w15:docId w15:val="{B9E73046-4822-47CD-BFE1-C857C5D5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3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3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34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34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34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34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34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34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34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34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34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34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34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34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34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34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34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3460"/>
    <w:rPr>
      <w:rFonts w:eastAsiaTheme="majorEastAsia" w:cstheme="majorBidi"/>
      <w:color w:val="272727" w:themeColor="text1" w:themeTint="D8"/>
    </w:rPr>
  </w:style>
  <w:style w:type="paragraph" w:styleId="Titel">
    <w:name w:val="Title"/>
    <w:basedOn w:val="Standaard"/>
    <w:next w:val="Standaard"/>
    <w:link w:val="TitelChar"/>
    <w:uiPriority w:val="10"/>
    <w:qFormat/>
    <w:rsid w:val="00003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34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34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34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34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3460"/>
    <w:rPr>
      <w:i/>
      <w:iCs/>
      <w:color w:val="404040" w:themeColor="text1" w:themeTint="BF"/>
    </w:rPr>
  </w:style>
  <w:style w:type="paragraph" w:styleId="Lijstalinea">
    <w:name w:val="List Paragraph"/>
    <w:basedOn w:val="Standaard"/>
    <w:uiPriority w:val="34"/>
    <w:qFormat/>
    <w:rsid w:val="00003460"/>
    <w:pPr>
      <w:ind w:left="720"/>
      <w:contextualSpacing/>
    </w:pPr>
  </w:style>
  <w:style w:type="character" w:styleId="Intensievebenadrukking">
    <w:name w:val="Intense Emphasis"/>
    <w:basedOn w:val="Standaardalinea-lettertype"/>
    <w:uiPriority w:val="21"/>
    <w:qFormat/>
    <w:rsid w:val="00003460"/>
    <w:rPr>
      <w:i/>
      <w:iCs/>
      <w:color w:val="0F4761" w:themeColor="accent1" w:themeShade="BF"/>
    </w:rPr>
  </w:style>
  <w:style w:type="paragraph" w:styleId="Duidelijkcitaat">
    <w:name w:val="Intense Quote"/>
    <w:basedOn w:val="Standaard"/>
    <w:next w:val="Standaard"/>
    <w:link w:val="DuidelijkcitaatChar"/>
    <w:uiPriority w:val="30"/>
    <w:qFormat/>
    <w:rsid w:val="00003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3460"/>
    <w:rPr>
      <w:i/>
      <w:iCs/>
      <w:color w:val="0F4761" w:themeColor="accent1" w:themeShade="BF"/>
    </w:rPr>
  </w:style>
  <w:style w:type="character" w:styleId="Intensieveverwijzing">
    <w:name w:val="Intense Reference"/>
    <w:basedOn w:val="Standaardalinea-lettertype"/>
    <w:uiPriority w:val="32"/>
    <w:qFormat/>
    <w:rsid w:val="00003460"/>
    <w:rPr>
      <w:b/>
      <w:bCs/>
      <w:smallCaps/>
      <w:color w:val="0F4761" w:themeColor="accent1" w:themeShade="BF"/>
      <w:spacing w:val="5"/>
    </w:rPr>
  </w:style>
  <w:style w:type="paragraph" w:styleId="Koptekst">
    <w:name w:val="header"/>
    <w:basedOn w:val="Standaard"/>
    <w:link w:val="KoptekstChar"/>
    <w:uiPriority w:val="99"/>
    <w:unhideWhenUsed/>
    <w:rsid w:val="0000346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003460"/>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00346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003460"/>
    <w:rPr>
      <w:rFonts w:ascii="Times New Roman" w:eastAsia="Times New Roman" w:hAnsi="Times New Roman" w:cs="Times New Roman"/>
      <w:kern w:val="0"/>
      <w:sz w:val="20"/>
      <w:szCs w:val="20"/>
      <w:lang w:eastAsia="nl-NL"/>
      <w14:ligatures w14:val="none"/>
    </w:rPr>
  </w:style>
  <w:style w:type="table" w:styleId="Tabelraster">
    <w:name w:val="Table Grid"/>
    <w:basedOn w:val="Standaardtabel"/>
    <w:uiPriority w:val="39"/>
    <w:rsid w:val="004E0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1663</ap:Words>
  <ap:Characters>9149</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2025-12-24T09:09:00.0000000Z</dcterms:created>
  <dcterms:modified xsi:type="dcterms:W3CDTF">2025-12-24T09:09:00.0000000Z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