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45" w:rsidRDefault="005C1CC5" w14:paraId="078C6C0A" w14:textId="588B3E4F">
      <w:pPr>
        <w:autoSpaceDE w:val="0"/>
        <w:autoSpaceDN w:val="0"/>
        <w:adjustRightInd w:val="0"/>
        <w:spacing w:before="0" w:after="0"/>
        <w:ind w:left="1416" w:hanging="1371"/>
        <w:rPr>
          <w:b/>
          <w:bCs/>
          <w:sz w:val="23"/>
          <w:szCs w:val="23"/>
        </w:rPr>
      </w:pPr>
      <w:r>
        <w:rPr>
          <w:b/>
          <w:bCs/>
          <w:sz w:val="23"/>
          <w:szCs w:val="23"/>
        </w:rPr>
        <w:t>36850-XVII</w:t>
      </w:r>
      <w:r w:rsidR="001856D0">
        <w:rPr>
          <w:b/>
          <w:bCs/>
          <w:sz w:val="23"/>
          <w:szCs w:val="23"/>
        </w:rPr>
        <w:tab/>
        <w:t>Wijziging van de begrotingsstaat van Buitenlandse Handel en Ontwikkelingssamenwerking (XVII) voor het jaar 2025 (wijziging samenhangende met de Najaarsnota)</w:t>
      </w:r>
    </w:p>
    <w:p w:rsidR="005D2945" w:rsidRDefault="005D2945" w14:paraId="3119642C" w14:textId="77777777">
      <w:pPr>
        <w:autoSpaceDE w:val="0"/>
        <w:autoSpaceDN w:val="0"/>
        <w:adjustRightInd w:val="0"/>
        <w:spacing w:before="0" w:after="0"/>
        <w:ind w:left="1416" w:hanging="1371"/>
        <w:rPr>
          <w:b/>
        </w:rPr>
      </w:pPr>
    </w:p>
    <w:p w:rsidR="005D2945" w:rsidRDefault="001856D0" w14:paraId="3624A9BA" w14:textId="77777777">
      <w:pPr>
        <w:rPr>
          <w:b/>
        </w:rPr>
      </w:pPr>
      <w:r>
        <w:rPr>
          <w:b/>
        </w:rPr>
        <w:t xml:space="preserve">nr. </w:t>
      </w:r>
      <w:r>
        <w:rPr>
          <w:b/>
        </w:rPr>
        <w:tab/>
      </w:r>
      <w:r>
        <w:rPr>
          <w:b/>
        </w:rPr>
        <w:tab/>
        <w:t>Lijst van vragen en antwoorden</w:t>
      </w:r>
    </w:p>
    <w:p w:rsidR="005D2945" w:rsidRDefault="001856D0" w14:paraId="379011D2" w14:textId="77777777">
      <w:r>
        <w:tab/>
      </w:r>
      <w:r>
        <w:tab/>
      </w:r>
    </w:p>
    <w:p w:rsidR="005D2945" w:rsidRDefault="001856D0" w14:paraId="2D08898B" w14:textId="77777777">
      <w:pPr>
        <w:ind w:left="702" w:firstLine="708"/>
        <w:rPr>
          <w:i/>
        </w:rPr>
      </w:pPr>
      <w:r>
        <w:t xml:space="preserve">Vastgesteld </w:t>
      </w:r>
      <w:r>
        <w:rPr>
          <w:i/>
        </w:rPr>
        <w:t>(wordt door griffie ingevuld als antwoorden er zijn)</w:t>
      </w:r>
    </w:p>
    <w:p w:rsidR="005D2945" w:rsidRDefault="001856D0" w14:paraId="3B9174AF" w14:textId="6827232F">
      <w:pPr>
        <w:ind w:left="1410"/>
      </w:pPr>
      <w:r>
        <w:t xml:space="preserve">De vaste commissie voor </w:t>
      </w:r>
      <w:r w:rsidR="005C1CC5">
        <w:t>Buitenlandse Handel en Ontwikkelingshulp</w:t>
      </w:r>
      <w:r>
        <w:t xml:space="preserve"> heeft een aantal vragen voorgelegd aan de </w:t>
      </w:r>
      <w:r w:rsidR="005C1CC5">
        <w:t>staatssecretaris van Buitenlandse Zaken</w:t>
      </w:r>
      <w:r>
        <w:t xml:space="preserve"> over </w:t>
      </w:r>
      <w:r w:rsidR="005C1CC5">
        <w:t>de brief van 28 november 2025</w:t>
      </w:r>
      <w:r>
        <w:t xml:space="preserve"> van inzake de </w:t>
      </w:r>
      <w:r>
        <w:rPr>
          <w:b/>
        </w:rPr>
        <w:t>Wijziging van de begrotingsstaat voor Buitenlandse Handel en Ontwikkelingshulp (XVII) voor het jaar 2025 (wijziging samenhangende met de Najaarsnota)</w:t>
      </w:r>
      <w:r>
        <w:t xml:space="preserve"> (</w:t>
      </w:r>
      <w:r>
        <w:rPr>
          <w:b/>
        </w:rPr>
        <w:t>36850-XVII</w:t>
      </w:r>
      <w:r>
        <w:t xml:space="preserve">, nr. </w:t>
      </w:r>
      <w:r>
        <w:rPr>
          <w:b/>
        </w:rPr>
        <w:t>1</w:t>
      </w:r>
      <w:r>
        <w:t>).</w:t>
      </w:r>
    </w:p>
    <w:p w:rsidR="005D2945" w:rsidRDefault="001856D0" w14:paraId="56363996" w14:textId="3F84C66A">
      <w:pPr>
        <w:ind w:left="1410"/>
      </w:pPr>
      <w:r>
        <w:t xml:space="preserve">De daarop door de </w:t>
      </w:r>
      <w:r w:rsidR="005C1CC5">
        <w:t>staatssecretaris</w:t>
      </w:r>
      <w:r>
        <w:t xml:space="preserve"> gegeven antwoorden zijn hierbij afgedrukt.</w:t>
      </w:r>
    </w:p>
    <w:p w:rsidR="005D2945" w:rsidRDefault="005D2945" w14:paraId="794C0B6D" w14:textId="77777777">
      <w:pPr>
        <w:spacing w:before="0" w:after="0"/>
      </w:pPr>
    </w:p>
    <w:p w:rsidR="005D2945" w:rsidRDefault="005C1CC5" w14:paraId="755F4FED" w14:textId="0D76B0E1">
      <w:pPr>
        <w:spacing w:before="0" w:after="0"/>
        <w:ind w:left="703" w:firstLine="709"/>
      </w:pPr>
      <w:r>
        <w:t>Fungerend v</w:t>
      </w:r>
      <w:r w:rsidR="001856D0">
        <w:t xml:space="preserve">oorzitter van de commissie, </w:t>
      </w:r>
    </w:p>
    <w:p w:rsidR="005D2945" w:rsidRDefault="001856D0" w14:paraId="648A36B3" w14:textId="41DDF31E">
      <w:pPr>
        <w:spacing w:before="0" w:after="0"/>
      </w:pPr>
      <w:r>
        <w:tab/>
      </w:r>
      <w:r w:rsidR="005C1CC5">
        <w:tab/>
      </w:r>
      <w:proofErr w:type="spellStart"/>
      <w:r w:rsidR="005C1CC5">
        <w:t>Boswijk</w:t>
      </w:r>
      <w:proofErr w:type="spellEnd"/>
    </w:p>
    <w:p w:rsidR="005D2945" w:rsidRDefault="001856D0" w14:paraId="256157C2" w14:textId="77777777">
      <w:pPr>
        <w:spacing w:before="0" w:after="0"/>
      </w:pPr>
      <w:r>
        <w:tab/>
      </w:r>
      <w:r>
        <w:tab/>
      </w:r>
    </w:p>
    <w:p w:rsidR="005D2945" w:rsidRDefault="001856D0" w14:paraId="22706214" w14:textId="0F76D227">
      <w:pPr>
        <w:spacing w:before="0" w:after="0"/>
      </w:pPr>
      <w:r>
        <w:tab/>
      </w:r>
      <w:r>
        <w:tab/>
      </w:r>
      <w:r w:rsidR="005C1CC5">
        <w:t>Adjunct-g</w:t>
      </w:r>
      <w:r>
        <w:t>riffier van de commissie,</w:t>
      </w:r>
    </w:p>
    <w:p w:rsidR="005D2945" w:rsidRDefault="001856D0" w14:paraId="4C6F605F" w14:textId="163B9D02">
      <w:pPr>
        <w:spacing w:before="0" w:after="0"/>
      </w:pPr>
      <w:r>
        <w:tab/>
      </w:r>
      <w:r>
        <w:tab/>
      </w:r>
      <w:r w:rsidR="005C1CC5">
        <w:t>Hoedemaker</w:t>
      </w:r>
    </w:p>
    <w:p w:rsidR="005D2945" w:rsidRDefault="005D2945" w14:paraId="67D104CF" w14:textId="77777777"/>
    <w:tbl>
      <w:tblPr>
        <w:tblW w:w="9497" w:type="dxa"/>
        <w:tblLayout w:type="fixed"/>
        <w:tblCellMar>
          <w:left w:w="0" w:type="dxa"/>
          <w:right w:w="0" w:type="dxa"/>
        </w:tblCellMar>
        <w:tblLook w:val="0000" w:firstRow="0" w:lastRow="0" w:firstColumn="0" w:lastColumn="0" w:noHBand="0" w:noVBand="0"/>
      </w:tblPr>
      <w:tblGrid>
        <w:gridCol w:w="585"/>
        <w:gridCol w:w="6503"/>
        <w:gridCol w:w="850"/>
        <w:gridCol w:w="992"/>
        <w:gridCol w:w="567"/>
      </w:tblGrid>
      <w:tr w:rsidRPr="00B84E3B" w:rsidR="005D2945" w:rsidTr="00B84E3B" w14:paraId="16CB14D9" w14:textId="77777777">
        <w:trPr>
          <w:cantSplit/>
        </w:trPr>
        <w:tc>
          <w:tcPr>
            <w:tcW w:w="585" w:type="dxa"/>
          </w:tcPr>
          <w:p w:rsidRPr="00B84E3B" w:rsidR="005D2945" w:rsidRDefault="001856D0" w14:paraId="58B27368" w14:textId="77777777">
            <w:bookmarkStart w:name="bmkStartTabel" w:id="0"/>
            <w:bookmarkEnd w:id="0"/>
            <w:proofErr w:type="spellStart"/>
            <w:r w:rsidRPr="00B84E3B">
              <w:t>Nr</w:t>
            </w:r>
            <w:proofErr w:type="spellEnd"/>
          </w:p>
        </w:tc>
        <w:tc>
          <w:tcPr>
            <w:tcW w:w="6503" w:type="dxa"/>
          </w:tcPr>
          <w:p w:rsidRPr="00B84E3B" w:rsidR="005D2945" w:rsidRDefault="001856D0" w14:paraId="5102406F" w14:textId="77777777">
            <w:r w:rsidRPr="00B84E3B">
              <w:t>Vraag</w:t>
            </w:r>
          </w:p>
        </w:tc>
        <w:tc>
          <w:tcPr>
            <w:tcW w:w="850" w:type="dxa"/>
          </w:tcPr>
          <w:p w:rsidRPr="00B84E3B" w:rsidR="005D2945" w:rsidRDefault="00B84E3B" w14:paraId="5E6ED27E" w14:textId="3D1E05D1">
            <w:pPr>
              <w:jc w:val="right"/>
            </w:pPr>
            <w:r w:rsidRPr="00B84E3B">
              <w:t>Bijlage</w:t>
            </w:r>
          </w:p>
        </w:tc>
        <w:tc>
          <w:tcPr>
            <w:tcW w:w="992" w:type="dxa"/>
          </w:tcPr>
          <w:p w:rsidRPr="00B84E3B" w:rsidR="005D2945" w:rsidP="00E7153D" w:rsidRDefault="001856D0" w14:paraId="5C8E0264" w14:textId="77777777">
            <w:pPr>
              <w:jc w:val="right"/>
            </w:pPr>
            <w:r w:rsidRPr="00B84E3B">
              <w:t>Blz. (van)</w:t>
            </w:r>
          </w:p>
        </w:tc>
        <w:tc>
          <w:tcPr>
            <w:tcW w:w="567" w:type="dxa"/>
          </w:tcPr>
          <w:p w:rsidRPr="00B84E3B" w:rsidR="005D2945" w:rsidP="00E7153D" w:rsidRDefault="001856D0" w14:paraId="4EFE8F44" w14:textId="77777777">
            <w:pPr>
              <w:jc w:val="center"/>
            </w:pPr>
            <w:r w:rsidRPr="00B84E3B">
              <w:t>t/m</w:t>
            </w:r>
          </w:p>
        </w:tc>
      </w:tr>
      <w:tr w:rsidRPr="00B84E3B" w:rsidR="005D2945" w:rsidTr="00B84E3B" w14:paraId="455994E5" w14:textId="77777777">
        <w:tc>
          <w:tcPr>
            <w:tcW w:w="585" w:type="dxa"/>
          </w:tcPr>
          <w:p w:rsidRPr="00B84E3B" w:rsidR="005D2945" w:rsidRDefault="001856D0" w14:paraId="07EB86F4" w14:textId="77777777">
            <w:r w:rsidRPr="00B84E3B">
              <w:t>1</w:t>
            </w:r>
          </w:p>
        </w:tc>
        <w:tc>
          <w:tcPr>
            <w:tcW w:w="6503" w:type="dxa"/>
          </w:tcPr>
          <w:p w:rsidRPr="00B84E3B" w:rsidR="005D2945" w:rsidRDefault="001856D0" w14:paraId="4194102F" w14:textId="77777777">
            <w:r w:rsidRPr="00B84E3B">
              <w:t xml:space="preserve">Klopt het dat veel extra kosten zijn betaald door ontstane ruimte op 5.4 doordat de kosten voor asielopvang lager dan geraamd waren? Hoeveel was de originele raming van </w:t>
            </w:r>
            <w:proofErr w:type="spellStart"/>
            <w:r w:rsidRPr="00B84E3B">
              <w:t>asielkosten</w:t>
            </w:r>
            <w:proofErr w:type="spellEnd"/>
            <w:r w:rsidRPr="00B84E3B">
              <w:t xml:space="preserve"> betaald uit ODA? Hoeveel is die raming neerwaarts bijgesteld?</w:t>
            </w:r>
          </w:p>
          <w:p w:rsidRPr="00B84E3B" w:rsidR="00DC2D25" w:rsidRDefault="00DC2D25" w14:paraId="2038BEDE" w14:textId="77777777"/>
          <w:p w:rsidRPr="00B84E3B" w:rsidR="00DC2D25" w:rsidRDefault="00DC2D25" w14:paraId="2CB2BE0E" w14:textId="77777777">
            <w:pPr>
              <w:rPr>
                <w:b/>
                <w:bCs/>
              </w:rPr>
            </w:pPr>
            <w:r w:rsidRPr="00B84E3B">
              <w:rPr>
                <w:b/>
                <w:bCs/>
              </w:rPr>
              <w:t>Antwoord</w:t>
            </w:r>
          </w:p>
          <w:p w:rsidRPr="00B84E3B" w:rsidR="005D2945" w:rsidRDefault="00A65E0A" w14:paraId="0D675A76" w14:textId="5FBAAA32">
            <w:pPr>
              <w:rPr>
                <w:b/>
                <w:bCs/>
              </w:rPr>
            </w:pPr>
            <w:r w:rsidRPr="00B84E3B">
              <w:rPr>
                <w:b/>
                <w:bCs/>
              </w:rPr>
              <w:t>Bij de suppletoire begroting september 2025 was de raming voor de ODA-toerekening voor 2025 EUR 1</w:t>
            </w:r>
            <w:r w:rsidRPr="00B84E3B" w:rsidR="00A00586">
              <w:rPr>
                <w:b/>
                <w:bCs/>
              </w:rPr>
              <w:t>,</w:t>
            </w:r>
            <w:r w:rsidRPr="00B84E3B">
              <w:rPr>
                <w:b/>
                <w:bCs/>
              </w:rPr>
              <w:t xml:space="preserve">173 </w:t>
            </w:r>
            <w:r w:rsidRPr="00B84E3B" w:rsidR="00A00586">
              <w:rPr>
                <w:b/>
                <w:bCs/>
              </w:rPr>
              <w:t xml:space="preserve">miljard </w:t>
            </w:r>
            <w:r w:rsidRPr="00B84E3B">
              <w:rPr>
                <w:b/>
                <w:bCs/>
              </w:rPr>
              <w:t>(</w:t>
            </w:r>
            <w:proofErr w:type="spellStart"/>
            <w:r w:rsidRPr="00B84E3B">
              <w:rPr>
                <w:b/>
                <w:bCs/>
              </w:rPr>
              <w:t>AenM</w:t>
            </w:r>
            <w:proofErr w:type="spellEnd"/>
            <w:r w:rsidRPr="00B84E3B">
              <w:rPr>
                <w:b/>
                <w:bCs/>
              </w:rPr>
              <w:t xml:space="preserve"> en OCW). Bij de Najaarsnota is deze raming op </w:t>
            </w:r>
            <w:r w:rsidRPr="00B84E3B" w:rsidR="00184E64">
              <w:rPr>
                <w:b/>
                <w:bCs/>
              </w:rPr>
              <w:t xml:space="preserve">basis van de </w:t>
            </w:r>
            <w:proofErr w:type="spellStart"/>
            <w:r w:rsidRPr="00B84E3B" w:rsidR="00184E64">
              <w:rPr>
                <w:b/>
                <w:bCs/>
              </w:rPr>
              <w:t>Meerjar</w:t>
            </w:r>
            <w:r w:rsidRPr="00B84E3B" w:rsidR="00A00586">
              <w:rPr>
                <w:b/>
                <w:bCs/>
              </w:rPr>
              <w:t>en</w:t>
            </w:r>
            <w:proofErr w:type="spellEnd"/>
            <w:r w:rsidRPr="00B84E3B" w:rsidR="00184E64">
              <w:rPr>
                <w:b/>
                <w:bCs/>
              </w:rPr>
              <w:t xml:space="preserve"> Productie Prognose (MPP)</w:t>
            </w:r>
            <w:r w:rsidRPr="00B84E3B" w:rsidR="00AC2D4C">
              <w:rPr>
                <w:b/>
                <w:bCs/>
              </w:rPr>
              <w:t xml:space="preserve"> bijgesteld</w:t>
            </w:r>
            <w:r w:rsidRPr="00B84E3B" w:rsidR="00184E64">
              <w:rPr>
                <w:b/>
                <w:bCs/>
              </w:rPr>
              <w:t xml:space="preserve"> naar EUR 1</w:t>
            </w:r>
            <w:r w:rsidRPr="00B84E3B" w:rsidR="00A00586">
              <w:rPr>
                <w:b/>
                <w:bCs/>
              </w:rPr>
              <w:t>,</w:t>
            </w:r>
            <w:r w:rsidRPr="00B84E3B" w:rsidR="00184E64">
              <w:rPr>
                <w:b/>
                <w:bCs/>
              </w:rPr>
              <w:t xml:space="preserve">057 </w:t>
            </w:r>
            <w:r w:rsidRPr="00B84E3B" w:rsidR="00A00586">
              <w:rPr>
                <w:b/>
                <w:bCs/>
              </w:rPr>
              <w:t>miljard</w:t>
            </w:r>
            <w:r w:rsidRPr="00B84E3B" w:rsidR="00184E64">
              <w:rPr>
                <w:b/>
                <w:bCs/>
              </w:rPr>
              <w:t>. Hierdoor vloeit EUR 116 miljoen terug naar de BHO-begroting. Dit bedrag is</w:t>
            </w:r>
            <w:r w:rsidRPr="00B84E3B" w:rsidR="00960C49">
              <w:rPr>
                <w:b/>
                <w:bCs/>
              </w:rPr>
              <w:t xml:space="preserve"> zoals gebruikelijk</w:t>
            </w:r>
            <w:r w:rsidRPr="00B84E3B" w:rsidR="00184E64">
              <w:rPr>
                <w:b/>
                <w:bCs/>
              </w:rPr>
              <w:t xml:space="preserve"> </w:t>
            </w:r>
            <w:r w:rsidRPr="00B84E3B" w:rsidR="00A00586">
              <w:rPr>
                <w:b/>
                <w:bCs/>
              </w:rPr>
              <w:t>ingezet binnen de ODA-doelstellingen.</w:t>
            </w:r>
            <w:r w:rsidRPr="00B84E3B" w:rsidR="00184E64">
              <w:rPr>
                <w:b/>
                <w:bCs/>
              </w:rPr>
              <w:t xml:space="preserve"> </w:t>
            </w:r>
          </w:p>
          <w:p w:rsidRPr="00B84E3B" w:rsidR="006D14F9" w:rsidRDefault="006D14F9" w14:paraId="71A4E201" w14:textId="67EABFCA">
            <w:pPr>
              <w:rPr>
                <w:bCs/>
              </w:rPr>
            </w:pPr>
          </w:p>
        </w:tc>
        <w:tc>
          <w:tcPr>
            <w:tcW w:w="850" w:type="dxa"/>
          </w:tcPr>
          <w:p w:rsidRPr="00B84E3B" w:rsidR="005D2945" w:rsidRDefault="005D2945" w14:paraId="5D7F3660" w14:textId="28B73700">
            <w:pPr>
              <w:jc w:val="right"/>
            </w:pPr>
          </w:p>
        </w:tc>
        <w:tc>
          <w:tcPr>
            <w:tcW w:w="992" w:type="dxa"/>
          </w:tcPr>
          <w:p w:rsidRPr="00B84E3B" w:rsidR="005D2945" w:rsidRDefault="005D2945" w14:paraId="7455DE02" w14:textId="77777777">
            <w:pPr>
              <w:jc w:val="right"/>
            </w:pPr>
          </w:p>
        </w:tc>
        <w:tc>
          <w:tcPr>
            <w:tcW w:w="567" w:type="dxa"/>
          </w:tcPr>
          <w:p w:rsidRPr="00B84E3B" w:rsidR="005D2945" w:rsidRDefault="001856D0" w14:paraId="1D32EA77" w14:textId="77777777">
            <w:pPr>
              <w:jc w:val="right"/>
            </w:pPr>
            <w:r w:rsidRPr="00B84E3B">
              <w:t xml:space="preserve"> </w:t>
            </w:r>
          </w:p>
        </w:tc>
      </w:tr>
      <w:tr w:rsidRPr="00B84E3B" w:rsidR="005D2945" w:rsidTr="00B84E3B" w14:paraId="6153B913" w14:textId="77777777">
        <w:tc>
          <w:tcPr>
            <w:tcW w:w="585" w:type="dxa"/>
          </w:tcPr>
          <w:p w:rsidRPr="00B84E3B" w:rsidR="005D2945" w:rsidRDefault="001856D0" w14:paraId="18B201D7" w14:textId="77777777">
            <w:r w:rsidRPr="00B84E3B">
              <w:t>2</w:t>
            </w:r>
          </w:p>
        </w:tc>
        <w:tc>
          <w:tcPr>
            <w:tcW w:w="6503" w:type="dxa"/>
          </w:tcPr>
          <w:p w:rsidRPr="00B84E3B" w:rsidR="00DC2D25" w:rsidP="00DC2D25" w:rsidRDefault="001856D0" w14:paraId="53C34514" w14:textId="77777777">
            <w:r w:rsidRPr="00B84E3B">
              <w:t>Kunt u aangeven hoe u de motie Hirsch uitvoert die verzoekt om te onderzoeken hoe de impact van de pauzering van USAID opgevangen kan worden in de versterking van democratie en rechtsstaat</w:t>
            </w:r>
            <w:r w:rsidRPr="00B84E3B" w:rsidR="00251785">
              <w:t xml:space="preserve"> (Kamerstuk 21501-02, nr. 3051)</w:t>
            </w:r>
            <w:r w:rsidRPr="00B84E3B">
              <w:t>?</w:t>
            </w:r>
          </w:p>
          <w:p w:rsidRPr="00B84E3B" w:rsidR="00DC2D25" w:rsidP="00DC2D25" w:rsidRDefault="00DC2D25" w14:paraId="7A20DAF9" w14:textId="77777777"/>
          <w:p w:rsidRPr="00B84E3B" w:rsidR="00DC2D25" w:rsidP="00DC2D25" w:rsidRDefault="00DC2D25" w14:paraId="053DEED4" w14:textId="77777777">
            <w:pPr>
              <w:rPr>
                <w:b/>
                <w:bCs/>
              </w:rPr>
            </w:pPr>
            <w:r w:rsidRPr="00B84E3B">
              <w:rPr>
                <w:b/>
                <w:bCs/>
              </w:rPr>
              <w:t>Antwoord</w:t>
            </w:r>
          </w:p>
          <w:p w:rsidRPr="00B84E3B" w:rsidR="0C7DD9CC" w:rsidP="2FB92556" w:rsidRDefault="0C7DD9CC" w14:paraId="1178E37C" w14:textId="7B191BDA">
            <w:pPr>
              <w:pStyle w:val="ListParagraph"/>
              <w:numPr>
                <w:ilvl w:val="0"/>
                <w:numId w:val="13"/>
              </w:numPr>
              <w:ind w:left="0"/>
              <w:rPr>
                <w:b/>
                <w:bCs/>
              </w:rPr>
            </w:pPr>
            <w:r w:rsidRPr="00B84E3B">
              <w:rPr>
                <w:b/>
                <w:bCs/>
              </w:rPr>
              <w:t>Het financiële gat dat de VS achterlaat op ontwikkeling, het VN-systeem en mensenrechten is te groot voor Nederland om te vullen. In lijn met de motie Hirsch heeft Nederland tijdens discussies in EU-verband aandacht gevraagd voor het opvangen van de meest acute noden door het wegvallen van de financiële steun van USAID en o.a. het opvangen van de gevolgen op gebied van de rechtsstaat en democratie (zie verslag RBZ-Handel).</w:t>
            </w:r>
            <w:r w:rsidR="00B84E3B">
              <w:rPr>
                <w:rStyle w:val="FootnoteReference"/>
                <w:b/>
                <w:bCs/>
              </w:rPr>
              <w:footnoteReference w:id="2"/>
            </w:r>
            <w:r w:rsidRPr="00B84E3B">
              <w:rPr>
                <w:b/>
                <w:bCs/>
              </w:rPr>
              <w:t xml:space="preserve"> We blijven dit doen.</w:t>
            </w:r>
          </w:p>
          <w:p w:rsidRPr="00B84E3B" w:rsidR="0C7DD9CC" w:rsidP="0C7DD9CC" w:rsidRDefault="0C7DD9CC" w14:paraId="6960581D" w14:textId="0EFD4EAB">
            <w:pPr>
              <w:rPr>
                <w:b/>
                <w:bCs/>
              </w:rPr>
            </w:pPr>
            <w:r w:rsidRPr="00B84E3B">
              <w:rPr>
                <w:b/>
                <w:bCs/>
              </w:rPr>
              <w:t xml:space="preserve">Daarnaast heeft BZ met uitvoeringspartners van het NFRP MATRA-programma gesproken. Daarbij kwam aan de orde hoe Nederland het maatschappelijk middenveld en de rechtsstaat in (potentiële) kandidaat-lidstaten en de landen van het Oostelijk Partnerschap (MATRA-doellanden) verder kan ondersteunen. Hieruit kwam ook het belang aan de orde om in publieke communicatie vanuit de EU en Nederland richting de </w:t>
            </w:r>
            <w:r w:rsidRPr="00B84E3B">
              <w:rPr>
                <w:b/>
                <w:bCs/>
              </w:rPr>
              <w:lastRenderedPageBreak/>
              <w:t>bevolking van MATRA-doellanden het maatschappelijk middenveld en rechtsstaatshervormingen te ondersteunen. Nederland zet zich hiervoor in, in EU-verband en via publieke diplomatie in de regio.</w:t>
            </w:r>
          </w:p>
          <w:p w:rsidRPr="00B84E3B" w:rsidR="006D14F9" w:rsidRDefault="006D14F9" w14:paraId="7FFD571D" w14:textId="3626F989"/>
        </w:tc>
        <w:tc>
          <w:tcPr>
            <w:tcW w:w="850" w:type="dxa"/>
          </w:tcPr>
          <w:p w:rsidRPr="00B84E3B" w:rsidR="005D2945" w:rsidRDefault="005D2945" w14:paraId="3503F4B6" w14:textId="17C5CCC0">
            <w:pPr>
              <w:jc w:val="right"/>
            </w:pPr>
          </w:p>
        </w:tc>
        <w:tc>
          <w:tcPr>
            <w:tcW w:w="992" w:type="dxa"/>
          </w:tcPr>
          <w:p w:rsidRPr="00B84E3B" w:rsidR="005D2945" w:rsidRDefault="005D2945" w14:paraId="73CFC9A6" w14:textId="77777777">
            <w:pPr>
              <w:jc w:val="right"/>
            </w:pPr>
          </w:p>
        </w:tc>
        <w:tc>
          <w:tcPr>
            <w:tcW w:w="567" w:type="dxa"/>
          </w:tcPr>
          <w:p w:rsidRPr="00B84E3B" w:rsidR="005D2945" w:rsidRDefault="001856D0" w14:paraId="0577D5DA" w14:textId="77777777">
            <w:pPr>
              <w:jc w:val="right"/>
            </w:pPr>
            <w:r w:rsidRPr="00B84E3B">
              <w:t xml:space="preserve"> </w:t>
            </w:r>
          </w:p>
        </w:tc>
      </w:tr>
      <w:tr w:rsidRPr="00B84E3B" w:rsidR="005D2945" w:rsidTr="00B84E3B" w14:paraId="0DF6729A" w14:textId="77777777">
        <w:tc>
          <w:tcPr>
            <w:tcW w:w="585" w:type="dxa"/>
          </w:tcPr>
          <w:p w:rsidRPr="00B84E3B" w:rsidR="005D2945" w:rsidRDefault="001856D0" w14:paraId="63F00689" w14:textId="77777777">
            <w:r w:rsidRPr="00B84E3B">
              <w:t>3</w:t>
            </w:r>
          </w:p>
        </w:tc>
        <w:tc>
          <w:tcPr>
            <w:tcW w:w="6503" w:type="dxa"/>
          </w:tcPr>
          <w:p w:rsidRPr="00B84E3B" w:rsidR="00DC2D25" w:rsidP="00DC2D25" w:rsidRDefault="001856D0" w14:paraId="2BE97C6D" w14:textId="77777777">
            <w:r w:rsidRPr="00B84E3B">
              <w:t>In januari 2025 zei minister Klever dat het budget “samenwerking maatschappelijk organisaties” slechts 30% is van de financiering die ngo’s krijgen uit ontwikkelingshulp. Wat is die andere 70%?</w:t>
            </w:r>
          </w:p>
          <w:p w:rsidRPr="00B84E3B" w:rsidR="00DC2D25" w:rsidP="00DC2D25" w:rsidRDefault="00DC2D25" w14:paraId="375739DD" w14:textId="77777777"/>
          <w:p w:rsidRPr="00B84E3B" w:rsidR="00DC2D25" w:rsidP="00DC2D25" w:rsidRDefault="00DC2D25" w14:paraId="2853AC14" w14:textId="77777777">
            <w:r w:rsidRPr="00B84E3B">
              <w:rPr>
                <w:b/>
                <w:bCs/>
              </w:rPr>
              <w:t>Antwoord</w:t>
            </w:r>
          </w:p>
          <w:p w:rsidRPr="00B84E3B" w:rsidR="005D2945" w:rsidRDefault="00F16C99" w14:paraId="16F253D9" w14:textId="37EBF891">
            <w:r w:rsidRPr="00B84E3B">
              <w:rPr>
                <w:b/>
                <w:bCs/>
              </w:rPr>
              <w:t xml:space="preserve">Van alle financiering die ngo’s uit de BHO-begroting ontvangen liep in 2023 ongeveer 30% via het beleidskader Versterking Maatschappelijk Middenveld. De rest van de financiering van ngo’s liep via </w:t>
            </w:r>
            <w:r w:rsidRPr="00B84E3B" w:rsidR="001E1E50">
              <w:rPr>
                <w:b/>
                <w:bCs/>
              </w:rPr>
              <w:t xml:space="preserve">humanitaire hulp en via </w:t>
            </w:r>
            <w:r w:rsidRPr="00B84E3B">
              <w:rPr>
                <w:b/>
                <w:bCs/>
              </w:rPr>
              <w:t>thematische programmering op bijvoorbeeld water, voedselzekerheid, gezondheid, mensenrechten en veiligheid en rechtsorde</w:t>
            </w:r>
            <w:r w:rsidRPr="00B84E3B">
              <w:t>.</w:t>
            </w:r>
          </w:p>
          <w:p w:rsidRPr="00B84E3B" w:rsidR="006D14F9" w:rsidRDefault="006D14F9" w14:paraId="0A37A08C" w14:textId="3CBCB205"/>
        </w:tc>
        <w:tc>
          <w:tcPr>
            <w:tcW w:w="850" w:type="dxa"/>
          </w:tcPr>
          <w:p w:rsidRPr="00B84E3B" w:rsidR="005D2945" w:rsidRDefault="005D2945" w14:paraId="1316C81E" w14:textId="1A4C9BBF">
            <w:pPr>
              <w:jc w:val="right"/>
            </w:pPr>
          </w:p>
        </w:tc>
        <w:tc>
          <w:tcPr>
            <w:tcW w:w="992" w:type="dxa"/>
          </w:tcPr>
          <w:p w:rsidRPr="00B84E3B" w:rsidR="005D2945" w:rsidRDefault="005D2945" w14:paraId="6C07F5A5" w14:textId="77777777">
            <w:pPr>
              <w:jc w:val="right"/>
            </w:pPr>
          </w:p>
        </w:tc>
        <w:tc>
          <w:tcPr>
            <w:tcW w:w="567" w:type="dxa"/>
          </w:tcPr>
          <w:p w:rsidRPr="00B84E3B" w:rsidR="005D2945" w:rsidRDefault="001856D0" w14:paraId="0867B77A" w14:textId="77777777">
            <w:pPr>
              <w:jc w:val="right"/>
            </w:pPr>
            <w:r w:rsidRPr="00B84E3B">
              <w:t xml:space="preserve"> </w:t>
            </w:r>
          </w:p>
        </w:tc>
      </w:tr>
      <w:tr w:rsidRPr="00B84E3B" w:rsidR="005D2945" w:rsidTr="00B84E3B" w14:paraId="24DC5985" w14:textId="77777777">
        <w:tc>
          <w:tcPr>
            <w:tcW w:w="585" w:type="dxa"/>
          </w:tcPr>
          <w:p w:rsidRPr="00B84E3B" w:rsidR="005D2945" w:rsidRDefault="001856D0" w14:paraId="42974906" w14:textId="77777777">
            <w:r w:rsidRPr="00B84E3B">
              <w:t>4</w:t>
            </w:r>
          </w:p>
        </w:tc>
        <w:tc>
          <w:tcPr>
            <w:tcW w:w="6503" w:type="dxa"/>
          </w:tcPr>
          <w:p w:rsidRPr="00B84E3B" w:rsidR="00DC2D25" w:rsidP="00DC2D25" w:rsidRDefault="001856D0" w14:paraId="095E5089" w14:textId="77777777">
            <w:r w:rsidRPr="00B84E3B">
              <w:t xml:space="preserve">De oude systematiek van oude kabinetten, waarbij het </w:t>
            </w:r>
            <w:proofErr w:type="spellStart"/>
            <w:r w:rsidRPr="00B84E3B">
              <w:t>basispad</w:t>
            </w:r>
            <w:proofErr w:type="spellEnd"/>
            <w:r w:rsidRPr="00B84E3B">
              <w:t xml:space="preserve"> 0,7 </w:t>
            </w:r>
            <w:proofErr w:type="spellStart"/>
            <w:r w:rsidRPr="00B84E3B">
              <w:t>bni</w:t>
            </w:r>
            <w:proofErr w:type="spellEnd"/>
            <w:r w:rsidRPr="00B84E3B">
              <w:t xml:space="preserve"> is, en beleidskeuzes daar vanaf worden gehaald, is nog steeds niet hersteld. Nu beweert het kabinet dat koppelen aan 0,7 zou leiden tot een verslechtering van het budget omdat de economie minder hard groeit. Kan dit toegelicht en uitgelegd worden? Het huidige budget voor 2026 is 0,55%, en zal in de komende jaren dalen tot 0,44%. Hoe kan koppelen aan 0,7%, minus beleidskeuzes, dan tot een verslechtering leiden? Alleen bij ernstige economische krimp, waar geen sprake van is, zou dit toch een verslechtering betekenen?</w:t>
            </w:r>
          </w:p>
          <w:p w:rsidRPr="00B84E3B" w:rsidR="00DC2D25" w:rsidP="00DC2D25" w:rsidRDefault="00DC2D25" w14:paraId="02443A64" w14:textId="77777777"/>
          <w:p w:rsidRPr="00B84E3B" w:rsidR="00DC2D25" w:rsidP="00DC2D25" w:rsidRDefault="00DC2D25" w14:paraId="0E80BEA9" w14:textId="77777777">
            <w:pPr>
              <w:rPr>
                <w:b/>
                <w:bCs/>
              </w:rPr>
            </w:pPr>
            <w:r w:rsidRPr="00B84E3B">
              <w:rPr>
                <w:b/>
                <w:bCs/>
              </w:rPr>
              <w:t>Antwoord</w:t>
            </w:r>
          </w:p>
          <w:p w:rsidRPr="00B84E3B" w:rsidR="003D239E" w:rsidP="00F14DEA" w:rsidRDefault="003D239E" w14:paraId="62859D0B" w14:textId="4876D363">
            <w:pPr>
              <w:rPr>
                <w:b/>
                <w:bCs/>
              </w:rPr>
            </w:pPr>
            <w:r w:rsidRPr="00B84E3B">
              <w:rPr>
                <w:b/>
                <w:bCs/>
              </w:rPr>
              <w:t xml:space="preserve">Omdat de koppeling van voorgaande </w:t>
            </w:r>
            <w:r w:rsidRPr="00FE2A49">
              <w:rPr>
                <w:b/>
                <w:bCs/>
              </w:rPr>
              <w:t>kabinetten uitg</w:t>
            </w:r>
            <w:r w:rsidRPr="00FE2A49" w:rsidR="00551048">
              <w:rPr>
                <w:b/>
                <w:bCs/>
              </w:rPr>
              <w:t>ing</w:t>
            </w:r>
            <w:r w:rsidRPr="00FE2A49">
              <w:rPr>
                <w:b/>
                <w:bCs/>
              </w:rPr>
              <w:t xml:space="preserve"> van</w:t>
            </w:r>
            <w:r w:rsidRPr="00B84E3B">
              <w:rPr>
                <w:b/>
                <w:bCs/>
              </w:rPr>
              <w:t xml:space="preserve"> 0,7% van het </w:t>
            </w:r>
            <w:proofErr w:type="spellStart"/>
            <w:r w:rsidRPr="00B84E3B">
              <w:rPr>
                <w:b/>
                <w:bCs/>
              </w:rPr>
              <w:t>bni</w:t>
            </w:r>
            <w:proofErr w:type="spellEnd"/>
            <w:r w:rsidRPr="00B84E3B">
              <w:rPr>
                <w:b/>
                <w:bCs/>
              </w:rPr>
              <w:t xml:space="preserve"> en de </w:t>
            </w:r>
            <w:r w:rsidRPr="00B84E3B" w:rsidR="004C4BBD">
              <w:rPr>
                <w:b/>
                <w:bCs/>
              </w:rPr>
              <w:t xml:space="preserve">huidige </w:t>
            </w:r>
            <w:r w:rsidRPr="00B84E3B">
              <w:rPr>
                <w:b/>
                <w:bCs/>
              </w:rPr>
              <w:t xml:space="preserve">koppeling stabiliseert op </w:t>
            </w:r>
            <w:r w:rsidRPr="00B84E3B" w:rsidR="004B6F3B">
              <w:rPr>
                <w:b/>
                <w:bCs/>
              </w:rPr>
              <w:t xml:space="preserve">een </w:t>
            </w:r>
            <w:r w:rsidRPr="00B84E3B">
              <w:rPr>
                <w:b/>
                <w:bCs/>
              </w:rPr>
              <w:t xml:space="preserve">lager percentage is de mutatie op basis van 0,7% zowel bij een stijging als bij een daling groter. </w:t>
            </w:r>
            <w:r w:rsidRPr="00B84E3B" w:rsidR="00EF4A3D">
              <w:rPr>
                <w:b/>
                <w:bCs/>
              </w:rPr>
              <w:t xml:space="preserve">Een daling van het </w:t>
            </w:r>
            <w:proofErr w:type="spellStart"/>
            <w:r w:rsidRPr="00B84E3B" w:rsidR="00EF4A3D">
              <w:rPr>
                <w:b/>
                <w:bCs/>
              </w:rPr>
              <w:t>bni</w:t>
            </w:r>
            <w:proofErr w:type="spellEnd"/>
            <w:r w:rsidRPr="00B84E3B" w:rsidR="00EF4A3D">
              <w:rPr>
                <w:b/>
                <w:bCs/>
              </w:rPr>
              <w:t xml:space="preserve"> ten opzichte van de laatst verwerkte raming, zoals afgelopen MEV2026 het geval was ten opzichte van de CEP2025, zal leiden tot een verlaging van het ODA-budget ongeacht de manier van koppelen. </w:t>
            </w:r>
          </w:p>
          <w:p w:rsidRPr="00B84E3B" w:rsidR="006D14F9" w:rsidRDefault="006D14F9" w14:paraId="40D9452B" w14:textId="2295F200"/>
        </w:tc>
        <w:tc>
          <w:tcPr>
            <w:tcW w:w="850" w:type="dxa"/>
          </w:tcPr>
          <w:p w:rsidRPr="00B84E3B" w:rsidR="005D2945" w:rsidRDefault="005D2945" w14:paraId="6A3F623A" w14:textId="07FFB87F">
            <w:pPr>
              <w:jc w:val="right"/>
            </w:pPr>
          </w:p>
        </w:tc>
        <w:tc>
          <w:tcPr>
            <w:tcW w:w="992" w:type="dxa"/>
          </w:tcPr>
          <w:p w:rsidRPr="00B84E3B" w:rsidR="005D2945" w:rsidRDefault="005D2945" w14:paraId="1CA84295" w14:textId="77777777">
            <w:pPr>
              <w:jc w:val="right"/>
            </w:pPr>
          </w:p>
        </w:tc>
        <w:tc>
          <w:tcPr>
            <w:tcW w:w="567" w:type="dxa"/>
          </w:tcPr>
          <w:p w:rsidRPr="00B84E3B" w:rsidR="005D2945" w:rsidRDefault="001856D0" w14:paraId="7E0F1D1A" w14:textId="77777777">
            <w:pPr>
              <w:jc w:val="right"/>
            </w:pPr>
            <w:r w:rsidRPr="00B84E3B">
              <w:t xml:space="preserve"> </w:t>
            </w:r>
          </w:p>
        </w:tc>
      </w:tr>
      <w:tr w:rsidRPr="00B84E3B" w:rsidR="005D2945" w:rsidTr="00B84E3B" w14:paraId="57094DCE" w14:textId="77777777">
        <w:tc>
          <w:tcPr>
            <w:tcW w:w="585" w:type="dxa"/>
          </w:tcPr>
          <w:p w:rsidRPr="00B84E3B" w:rsidR="005D2945" w:rsidRDefault="001856D0" w14:paraId="34630C86" w14:textId="77777777">
            <w:r w:rsidRPr="00B84E3B">
              <w:t>5</w:t>
            </w:r>
          </w:p>
        </w:tc>
        <w:tc>
          <w:tcPr>
            <w:tcW w:w="6503" w:type="dxa"/>
          </w:tcPr>
          <w:p w:rsidRPr="00B84E3B" w:rsidR="00DC2D25" w:rsidP="00DC2D25" w:rsidRDefault="001856D0" w14:paraId="4F268536" w14:textId="77777777">
            <w:r w:rsidRPr="00B84E3B">
              <w:t>Wat is de planning als het gaat om de route richting toetreding van Nederland tot het Verdrag van Aken</w:t>
            </w:r>
            <w:r w:rsidRPr="00B84E3B" w:rsidR="00251785">
              <w:t xml:space="preserve">, inclusief data van Europese en Nederlandse vergaderingen, </w:t>
            </w:r>
            <w:r w:rsidRPr="00B84E3B">
              <w:t>tot aan de datum van toetreding</w:t>
            </w:r>
            <w:r w:rsidRPr="00B84E3B" w:rsidR="00251785">
              <w:t xml:space="preserve">? </w:t>
            </w:r>
          </w:p>
          <w:p w:rsidRPr="00B84E3B" w:rsidR="00DC2D25" w:rsidP="00DC2D25" w:rsidRDefault="00DC2D25" w14:paraId="13D1448F" w14:textId="77777777"/>
          <w:p w:rsidRPr="00B84E3B" w:rsidR="00DC2D25" w:rsidP="00DC2D25" w:rsidRDefault="00DC2D25" w14:paraId="5E3FD08E" w14:textId="2EBE5073">
            <w:pPr>
              <w:rPr>
                <w:b/>
                <w:bCs/>
              </w:rPr>
            </w:pPr>
            <w:r w:rsidRPr="00B84E3B">
              <w:rPr>
                <w:b/>
                <w:bCs/>
              </w:rPr>
              <w:t>Antwoord</w:t>
            </w:r>
          </w:p>
          <w:p w:rsidRPr="00B84E3B" w:rsidR="008A1B80" w:rsidP="008A1B80" w:rsidRDefault="008A1B80" w14:paraId="49424452" w14:textId="77777777">
            <w:pPr>
              <w:rPr>
                <w:b/>
                <w:bCs/>
              </w:rPr>
            </w:pPr>
            <w:r w:rsidRPr="00B84E3B">
              <w:rPr>
                <w:b/>
                <w:bCs/>
              </w:rPr>
              <w:t xml:space="preserve">Nederland heeft in juli 2023 de wens uitgesproken om toe te treden tot het Verdrag inzake exportcontrole in het defensiedomein (ook wel bekend als het Verdrag van Aken) en in juni 2025 van de drie huidige verdragslanden Duitsland, Frankrijk en Spanje een formele uitnodiging ontvangen om toe te treden tot dit verdrag. In reactie op deze uitnodiging wordt momenteel gewerkt aan de parlementaire goedkeuringsstukken. </w:t>
            </w:r>
          </w:p>
          <w:p w:rsidRPr="00B84E3B" w:rsidR="00E40706" w:rsidP="008A1B80" w:rsidRDefault="00E40706" w14:paraId="17DF1B1C" w14:textId="77777777">
            <w:pPr>
              <w:rPr>
                <w:b/>
                <w:bCs/>
              </w:rPr>
            </w:pPr>
          </w:p>
          <w:p w:rsidRPr="00B84E3B" w:rsidR="006D14F9" w:rsidRDefault="00A337EF" w14:paraId="08DFF594" w14:textId="066143C9">
            <w:pPr>
              <w:rPr>
                <w:b/>
                <w:bCs/>
              </w:rPr>
            </w:pPr>
            <w:r w:rsidRPr="00B84E3B">
              <w:rPr>
                <w:b/>
                <w:bCs/>
              </w:rPr>
              <w:t>Binnen afzienbare tijd zullen</w:t>
            </w:r>
            <w:r w:rsidRPr="00B84E3B" w:rsidR="008A1B80">
              <w:rPr>
                <w:b/>
                <w:bCs/>
              </w:rPr>
              <w:t xml:space="preserve"> deze stukken gereed zijn, </w:t>
            </w:r>
            <w:r w:rsidRPr="00B84E3B">
              <w:rPr>
                <w:b/>
                <w:bCs/>
              </w:rPr>
              <w:t>waarna</w:t>
            </w:r>
            <w:r w:rsidRPr="00B84E3B" w:rsidR="008A1B80">
              <w:rPr>
                <w:b/>
                <w:bCs/>
              </w:rPr>
              <w:t xml:space="preserve"> de </w:t>
            </w:r>
            <w:r w:rsidR="004E4464">
              <w:rPr>
                <w:b/>
                <w:bCs/>
              </w:rPr>
              <w:t>M</w:t>
            </w:r>
            <w:r w:rsidRPr="00B84E3B" w:rsidR="008A1B80">
              <w:rPr>
                <w:b/>
                <w:bCs/>
              </w:rPr>
              <w:t xml:space="preserve">inisterraad </w:t>
            </w:r>
            <w:r w:rsidRPr="00B84E3B">
              <w:rPr>
                <w:b/>
                <w:bCs/>
              </w:rPr>
              <w:t>zal</w:t>
            </w:r>
            <w:r w:rsidRPr="00B84E3B" w:rsidR="008A1B80">
              <w:rPr>
                <w:b/>
                <w:bCs/>
              </w:rPr>
              <w:t xml:space="preserve"> worden gevraagd om in te stemmen met het starten van de parlementaire goedkeuringsprocedure, teneinde tot het verdrag toe te kunnen treden. Na afronding zal het verdrag aanhangig worden gemaakt bij de Raad van State. Hierna volgt het parlementaire goedkeuringstraject.</w:t>
            </w:r>
          </w:p>
          <w:p w:rsidRPr="00B84E3B" w:rsidR="006D14F9" w:rsidRDefault="006D14F9" w14:paraId="56E435EA" w14:textId="74239D72"/>
        </w:tc>
        <w:tc>
          <w:tcPr>
            <w:tcW w:w="850" w:type="dxa"/>
          </w:tcPr>
          <w:p w:rsidRPr="00B84E3B" w:rsidR="005D2945" w:rsidRDefault="005D2945" w14:paraId="0BF5258E" w14:textId="785585E6">
            <w:pPr>
              <w:jc w:val="right"/>
            </w:pPr>
          </w:p>
        </w:tc>
        <w:tc>
          <w:tcPr>
            <w:tcW w:w="992" w:type="dxa"/>
          </w:tcPr>
          <w:p w:rsidRPr="00B84E3B" w:rsidR="005D2945" w:rsidRDefault="005D2945" w14:paraId="56AE805E" w14:textId="77777777">
            <w:pPr>
              <w:jc w:val="right"/>
            </w:pPr>
          </w:p>
        </w:tc>
        <w:tc>
          <w:tcPr>
            <w:tcW w:w="567" w:type="dxa"/>
          </w:tcPr>
          <w:p w:rsidRPr="00B84E3B" w:rsidR="005D2945" w:rsidRDefault="001856D0" w14:paraId="7F7F706F" w14:textId="77777777">
            <w:pPr>
              <w:jc w:val="right"/>
            </w:pPr>
            <w:r w:rsidRPr="00B84E3B">
              <w:t xml:space="preserve"> </w:t>
            </w:r>
          </w:p>
        </w:tc>
      </w:tr>
      <w:tr w:rsidRPr="00B84E3B" w:rsidR="005D2945" w:rsidTr="00B84E3B" w14:paraId="68D17DB2" w14:textId="77777777">
        <w:tc>
          <w:tcPr>
            <w:tcW w:w="585" w:type="dxa"/>
          </w:tcPr>
          <w:p w:rsidRPr="00B84E3B" w:rsidR="005D2945" w:rsidRDefault="001856D0" w14:paraId="1AFABEDD" w14:textId="77777777">
            <w:r w:rsidRPr="00B84E3B">
              <w:t>6</w:t>
            </w:r>
          </w:p>
        </w:tc>
        <w:tc>
          <w:tcPr>
            <w:tcW w:w="6503" w:type="dxa"/>
          </w:tcPr>
          <w:p w:rsidRPr="00B84E3B" w:rsidR="00DC2D25" w:rsidP="00DC2D25" w:rsidRDefault="001856D0" w14:paraId="53F6B590" w14:textId="77777777">
            <w:r w:rsidRPr="00B84E3B">
              <w:t xml:space="preserve">Welke stappen dienen nog gezet te worden voordat toetreding tot het </w:t>
            </w:r>
            <w:r w:rsidRPr="00B84E3B" w:rsidR="009A609C">
              <w:t>Verdrag</w:t>
            </w:r>
            <w:r w:rsidRPr="00B84E3B">
              <w:t xml:space="preserve"> van Aken rond is? En op welke momenten zal </w:t>
            </w:r>
            <w:r w:rsidRPr="00B84E3B" w:rsidR="00251785">
              <w:t>u</w:t>
            </w:r>
            <w:r w:rsidRPr="00B84E3B">
              <w:t xml:space="preserve"> hierover bericht geven en ruimte aan de Kamer bieden voor parlementaire controle?</w:t>
            </w:r>
          </w:p>
          <w:p w:rsidRPr="00B84E3B" w:rsidR="00DC2D25" w:rsidP="00DC2D25" w:rsidRDefault="00DC2D25" w14:paraId="3AA0318D" w14:textId="77777777"/>
          <w:p w:rsidRPr="00B84E3B" w:rsidR="00DC2D25" w:rsidP="00DC2D25" w:rsidRDefault="00DC2D25" w14:paraId="2E99B8B4" w14:textId="77777777">
            <w:pPr>
              <w:rPr>
                <w:b/>
                <w:bCs/>
              </w:rPr>
            </w:pPr>
            <w:r w:rsidRPr="00B84E3B">
              <w:rPr>
                <w:b/>
                <w:bCs/>
              </w:rPr>
              <w:lastRenderedPageBreak/>
              <w:t>Antwoord</w:t>
            </w:r>
          </w:p>
          <w:p w:rsidRPr="00B84E3B" w:rsidR="005D2945" w:rsidRDefault="00DD7552" w14:paraId="6BEAEFC0" w14:textId="21FE4CFF">
            <w:pPr>
              <w:rPr>
                <w:b/>
                <w:bCs/>
              </w:rPr>
            </w:pPr>
            <w:r w:rsidRPr="00B84E3B">
              <w:rPr>
                <w:b/>
                <w:bCs/>
              </w:rPr>
              <w:t>Zie</w:t>
            </w:r>
            <w:r w:rsidR="00B84E3B">
              <w:rPr>
                <w:b/>
                <w:bCs/>
              </w:rPr>
              <w:t xml:space="preserve"> het</w:t>
            </w:r>
            <w:r w:rsidRPr="00B84E3B">
              <w:rPr>
                <w:b/>
                <w:bCs/>
              </w:rPr>
              <w:t xml:space="preserve"> antwoord </w:t>
            </w:r>
            <w:r w:rsidR="00B84E3B">
              <w:rPr>
                <w:b/>
                <w:bCs/>
              </w:rPr>
              <w:t xml:space="preserve">op </w:t>
            </w:r>
            <w:r w:rsidRPr="00B84E3B">
              <w:rPr>
                <w:b/>
                <w:bCs/>
              </w:rPr>
              <w:t>vraag 5.</w:t>
            </w:r>
          </w:p>
          <w:p w:rsidRPr="00B84E3B" w:rsidR="006D14F9" w:rsidRDefault="006D14F9" w14:paraId="2078F4C3" w14:textId="56211415"/>
        </w:tc>
        <w:tc>
          <w:tcPr>
            <w:tcW w:w="850" w:type="dxa"/>
          </w:tcPr>
          <w:p w:rsidRPr="00B84E3B" w:rsidR="005D2945" w:rsidRDefault="005D2945" w14:paraId="5B529376" w14:textId="03FEB761">
            <w:pPr>
              <w:jc w:val="right"/>
            </w:pPr>
          </w:p>
        </w:tc>
        <w:tc>
          <w:tcPr>
            <w:tcW w:w="992" w:type="dxa"/>
          </w:tcPr>
          <w:p w:rsidRPr="00B84E3B" w:rsidR="005D2945" w:rsidRDefault="005D2945" w14:paraId="09EFFFAB" w14:textId="77777777">
            <w:pPr>
              <w:jc w:val="right"/>
            </w:pPr>
          </w:p>
        </w:tc>
        <w:tc>
          <w:tcPr>
            <w:tcW w:w="567" w:type="dxa"/>
          </w:tcPr>
          <w:p w:rsidRPr="00B84E3B" w:rsidR="005D2945" w:rsidRDefault="001856D0" w14:paraId="573008E1" w14:textId="77777777">
            <w:pPr>
              <w:jc w:val="right"/>
            </w:pPr>
            <w:r w:rsidRPr="00B84E3B">
              <w:t xml:space="preserve"> </w:t>
            </w:r>
          </w:p>
        </w:tc>
      </w:tr>
      <w:tr w:rsidRPr="00B84E3B" w:rsidR="005D2945" w:rsidTr="00B84E3B" w14:paraId="26697032" w14:textId="77777777">
        <w:tc>
          <w:tcPr>
            <w:tcW w:w="585" w:type="dxa"/>
          </w:tcPr>
          <w:p w:rsidRPr="00B84E3B" w:rsidR="005D2945" w:rsidRDefault="001856D0" w14:paraId="47D00D53" w14:textId="77777777">
            <w:r w:rsidRPr="00B84E3B">
              <w:t>7</w:t>
            </w:r>
          </w:p>
        </w:tc>
        <w:tc>
          <w:tcPr>
            <w:tcW w:w="6503" w:type="dxa"/>
          </w:tcPr>
          <w:p w:rsidRPr="00B84E3B" w:rsidR="00DC2D25" w:rsidP="00DC2D25" w:rsidRDefault="001856D0" w14:paraId="3AD3A5DA" w14:textId="77777777">
            <w:r w:rsidRPr="00B84E3B">
              <w:t>Wanneer gaat de IOB het Nederlandse wapenexportbeleid weer analyseren?</w:t>
            </w:r>
          </w:p>
          <w:p w:rsidRPr="00B84E3B" w:rsidR="00DC2D25" w:rsidP="00DC2D25" w:rsidRDefault="00DC2D25" w14:paraId="648E6A58" w14:textId="77777777"/>
          <w:p w:rsidRPr="00B84E3B" w:rsidR="00DC2D25" w:rsidP="00DC2D25" w:rsidRDefault="00DC2D25" w14:paraId="46929D1E" w14:textId="77777777">
            <w:pPr>
              <w:rPr>
                <w:b/>
                <w:bCs/>
              </w:rPr>
            </w:pPr>
            <w:r w:rsidRPr="00B84E3B">
              <w:rPr>
                <w:b/>
                <w:bCs/>
              </w:rPr>
              <w:t>Antwoord</w:t>
            </w:r>
          </w:p>
          <w:p w:rsidRPr="00B84E3B" w:rsidR="00916A41" w:rsidRDefault="00916A41" w14:paraId="2D5DDA9F" w14:textId="77777777">
            <w:pPr>
              <w:rPr>
                <w:b/>
                <w:bCs/>
              </w:rPr>
            </w:pPr>
            <w:r w:rsidRPr="00B84E3B">
              <w:rPr>
                <w:b/>
                <w:bCs/>
              </w:rPr>
              <w:t xml:space="preserve">IOB is de inhoudelijk onafhankelijke evaluatiedienst van het ministerie van Buitenlandse Zaken en draagt zelf zorg voor zijn evaluatieprogrammering. Een evaluatie van het Nederlandse wapenexportbeleid is niet opgenomen in de programmering van IOB. </w:t>
            </w:r>
          </w:p>
          <w:p w:rsidRPr="00B84E3B" w:rsidR="00916A41" w:rsidRDefault="00916A41" w14:paraId="5531B97C" w14:textId="50586E46">
            <w:pPr>
              <w:rPr>
                <w:b/>
                <w:bCs/>
              </w:rPr>
            </w:pPr>
            <w:r w:rsidRPr="00B84E3B">
              <w:rPr>
                <w:b/>
                <w:bCs/>
              </w:rPr>
              <w:t>De evaluatie van het Nederlandse wapenexportbeleid staat gepland voor 2027, volgens de planning van de Strategische Evaluatie Agenda (SEA) van Buitenlandse Zaken zoals beschreven in de Memorie van Toelichting bij de Begroting van 2026 (KST 36600-V-2). Op dit moment is het voornemen de evaluatie uit te besteden aan een externe partij.</w:t>
            </w:r>
          </w:p>
          <w:p w:rsidRPr="00B84E3B" w:rsidR="006D14F9" w:rsidRDefault="006D14F9" w14:paraId="139C0611" w14:textId="4FAF183D"/>
        </w:tc>
        <w:tc>
          <w:tcPr>
            <w:tcW w:w="850" w:type="dxa"/>
          </w:tcPr>
          <w:p w:rsidRPr="00B84E3B" w:rsidR="005D2945" w:rsidRDefault="005D2945" w14:paraId="63A176A4" w14:textId="5DCDAA3A">
            <w:pPr>
              <w:jc w:val="right"/>
            </w:pPr>
          </w:p>
        </w:tc>
        <w:tc>
          <w:tcPr>
            <w:tcW w:w="992" w:type="dxa"/>
          </w:tcPr>
          <w:p w:rsidRPr="00B84E3B" w:rsidR="005D2945" w:rsidRDefault="005D2945" w14:paraId="445161D2" w14:textId="77777777">
            <w:pPr>
              <w:jc w:val="right"/>
            </w:pPr>
          </w:p>
        </w:tc>
        <w:tc>
          <w:tcPr>
            <w:tcW w:w="567" w:type="dxa"/>
          </w:tcPr>
          <w:p w:rsidRPr="00B84E3B" w:rsidR="005D2945" w:rsidRDefault="001856D0" w14:paraId="012292E1" w14:textId="77777777">
            <w:pPr>
              <w:jc w:val="right"/>
            </w:pPr>
            <w:r w:rsidRPr="00B84E3B">
              <w:t xml:space="preserve"> </w:t>
            </w:r>
          </w:p>
        </w:tc>
      </w:tr>
      <w:tr w:rsidRPr="00B84E3B" w:rsidR="005D2945" w:rsidTr="00B84E3B" w14:paraId="564BDB4E" w14:textId="77777777">
        <w:tc>
          <w:tcPr>
            <w:tcW w:w="585" w:type="dxa"/>
          </w:tcPr>
          <w:p w:rsidRPr="00B84E3B" w:rsidR="005D2945" w:rsidRDefault="001856D0" w14:paraId="3601F952" w14:textId="77777777">
            <w:r w:rsidRPr="00B84E3B">
              <w:t>8</w:t>
            </w:r>
          </w:p>
        </w:tc>
        <w:tc>
          <w:tcPr>
            <w:tcW w:w="6503" w:type="dxa"/>
          </w:tcPr>
          <w:p w:rsidRPr="00B84E3B" w:rsidR="00DC2D25" w:rsidP="00DC2D25" w:rsidRDefault="001856D0" w14:paraId="4C16B225" w14:textId="77777777">
            <w:r w:rsidRPr="00B84E3B">
              <w:t xml:space="preserve">Wanneer verwacht </w:t>
            </w:r>
            <w:r w:rsidRPr="00B84E3B" w:rsidR="00251785">
              <w:t xml:space="preserve">u </w:t>
            </w:r>
            <w:r w:rsidRPr="00B84E3B">
              <w:t>de toets van de vergunning van de F35-onderdelen naar Israël afgerond te hebben?</w:t>
            </w:r>
          </w:p>
          <w:p w:rsidRPr="00B84E3B" w:rsidR="00DC2D25" w:rsidP="00DC2D25" w:rsidRDefault="00DC2D25" w14:paraId="1DBD0D7C" w14:textId="77777777"/>
          <w:p w:rsidRPr="00B84E3B" w:rsidR="00DC2D25" w:rsidP="00DC2D25" w:rsidRDefault="00DC2D25" w14:paraId="78BB1D65" w14:textId="77777777">
            <w:pPr>
              <w:rPr>
                <w:b/>
                <w:bCs/>
              </w:rPr>
            </w:pPr>
            <w:r w:rsidRPr="00B84E3B">
              <w:rPr>
                <w:b/>
                <w:bCs/>
              </w:rPr>
              <w:t>Antwoord</w:t>
            </w:r>
          </w:p>
          <w:p w:rsidRPr="00B84E3B" w:rsidR="00E40706" w:rsidP="00E40706" w:rsidRDefault="00E40706" w14:paraId="5D5C6DE1" w14:textId="144DE558">
            <w:pPr>
              <w:rPr>
                <w:b/>
                <w:bCs/>
              </w:rPr>
            </w:pPr>
            <w:r w:rsidRPr="00B84E3B">
              <w:rPr>
                <w:b/>
                <w:bCs/>
              </w:rPr>
              <w:t>Conform het arrest van de Hoge Raad (d.d. 3 oktober 2025) is de uit- en doorvoer van F-35 onderdelen vanuit Nederland naar Israël opnieuw beoordeeld aan de hand van de geldende kaders voor wapenexportcontrole. Daarover is uw Kamer op 13 november jl. per brief (Kamerstuk 22054-469) geïnformeerd.</w:t>
            </w:r>
          </w:p>
          <w:p w:rsidRPr="00B84E3B" w:rsidR="00E40706" w:rsidP="00E40706" w:rsidRDefault="00E40706" w14:paraId="3DF04B8C" w14:textId="77777777">
            <w:pPr>
              <w:rPr>
                <w:b/>
                <w:bCs/>
              </w:rPr>
            </w:pPr>
            <w:r w:rsidRPr="00B84E3B">
              <w:rPr>
                <w:b/>
                <w:bCs/>
              </w:rPr>
              <w:t xml:space="preserve">Gelet op de recente ontwikkelingen rondom het staakt-het-vuren en de verdere uitwerking van het vredesplan, is er sprake van een situatie die voortdurend in ontwikkeling is. Het kabinet heeft daarom besloten tot een volgende herbeoordeling binnen een uiterlijke termijn van zes maanden. </w:t>
            </w:r>
          </w:p>
          <w:p w:rsidRPr="00B84E3B" w:rsidR="006D14F9" w:rsidRDefault="006D14F9" w14:paraId="04C684E3" w14:textId="75BE7088"/>
        </w:tc>
        <w:tc>
          <w:tcPr>
            <w:tcW w:w="850" w:type="dxa"/>
          </w:tcPr>
          <w:p w:rsidRPr="00B84E3B" w:rsidR="005D2945" w:rsidRDefault="005D2945" w14:paraId="4EE4BC33" w14:textId="3608506F">
            <w:pPr>
              <w:jc w:val="right"/>
            </w:pPr>
          </w:p>
        </w:tc>
        <w:tc>
          <w:tcPr>
            <w:tcW w:w="992" w:type="dxa"/>
          </w:tcPr>
          <w:p w:rsidRPr="00B84E3B" w:rsidR="005D2945" w:rsidRDefault="005D2945" w14:paraId="3814D229" w14:textId="77777777">
            <w:pPr>
              <w:jc w:val="right"/>
            </w:pPr>
          </w:p>
        </w:tc>
        <w:tc>
          <w:tcPr>
            <w:tcW w:w="567" w:type="dxa"/>
          </w:tcPr>
          <w:p w:rsidRPr="00B84E3B" w:rsidR="005D2945" w:rsidRDefault="001856D0" w14:paraId="11CF3C60" w14:textId="77777777">
            <w:pPr>
              <w:jc w:val="right"/>
            </w:pPr>
            <w:r w:rsidRPr="00B84E3B">
              <w:t xml:space="preserve"> </w:t>
            </w:r>
          </w:p>
        </w:tc>
      </w:tr>
      <w:tr w:rsidRPr="00B84E3B" w:rsidR="005D2945" w:rsidTr="00B84E3B" w14:paraId="6048B484" w14:textId="77777777">
        <w:tc>
          <w:tcPr>
            <w:tcW w:w="585" w:type="dxa"/>
          </w:tcPr>
          <w:p w:rsidRPr="00B84E3B" w:rsidR="005D2945" w:rsidRDefault="001856D0" w14:paraId="37293486" w14:textId="77777777">
            <w:r w:rsidRPr="00B84E3B">
              <w:t>9</w:t>
            </w:r>
          </w:p>
        </w:tc>
        <w:tc>
          <w:tcPr>
            <w:tcW w:w="6503" w:type="dxa"/>
          </w:tcPr>
          <w:p w:rsidRPr="00B84E3B" w:rsidR="00DC2D25" w:rsidP="00DC2D25" w:rsidRDefault="001856D0" w14:paraId="30148C90" w14:textId="77777777">
            <w:r w:rsidRPr="00B84E3B">
              <w:t>Welke vergunningen zijn er sinds april 2023 afgegeven aan de V</w:t>
            </w:r>
            <w:r w:rsidRPr="00B84E3B" w:rsidR="00251785">
              <w:t>erenigde Arabische Emiraten</w:t>
            </w:r>
            <w:r w:rsidRPr="00B84E3B">
              <w:t xml:space="preserve">, Saudi-Arabië, Qatar en Egypte? </w:t>
            </w:r>
            <w:r w:rsidRPr="00B84E3B" w:rsidR="00251785">
              <w:t>Kunt u de b</w:t>
            </w:r>
            <w:r w:rsidRPr="00B84E3B">
              <w:t>ijbehorende beslisnota</w:t>
            </w:r>
            <w:r w:rsidRPr="00B84E3B" w:rsidR="00251785">
              <w:t>’</w:t>
            </w:r>
            <w:r w:rsidRPr="00B84E3B">
              <w:t xml:space="preserve">s </w:t>
            </w:r>
            <w:r w:rsidRPr="00B84E3B" w:rsidR="00251785">
              <w:t>met de Kamer delen</w:t>
            </w:r>
            <w:r w:rsidRPr="00B84E3B">
              <w:t>?</w:t>
            </w:r>
          </w:p>
          <w:p w:rsidRPr="00B84E3B" w:rsidR="00DC2D25" w:rsidP="00DC2D25" w:rsidRDefault="00DC2D25" w14:paraId="1F613E64" w14:textId="77777777"/>
          <w:p w:rsidRPr="00B84E3B" w:rsidR="00DC2D25" w:rsidP="00DC2D25" w:rsidRDefault="00DC2D25" w14:paraId="70A34024" w14:textId="77777777">
            <w:pPr>
              <w:rPr>
                <w:b/>
                <w:bCs/>
              </w:rPr>
            </w:pPr>
            <w:r w:rsidRPr="00B84E3B">
              <w:rPr>
                <w:b/>
                <w:bCs/>
              </w:rPr>
              <w:t>Antwoord</w:t>
            </w:r>
          </w:p>
          <w:p w:rsidRPr="00B84E3B" w:rsidR="00E40706" w:rsidP="00E40706" w:rsidRDefault="00E40706" w14:paraId="2F49D450" w14:textId="77777777">
            <w:pPr>
              <w:rPr>
                <w:b/>
                <w:bCs/>
              </w:rPr>
            </w:pPr>
            <w:r w:rsidRPr="00B84E3B">
              <w:rPr>
                <w:b/>
                <w:bCs/>
              </w:rPr>
              <w:t xml:space="preserve">Over zowel toegewezen als afgewezen vergunningaanvragen wordt openbaar gerapporteerd via rijksoverheid.nl. In aanvulling daarop wordt de Tweede Kamer conform de motie El </w:t>
            </w:r>
            <w:proofErr w:type="spellStart"/>
            <w:r w:rsidRPr="00B84E3B">
              <w:rPr>
                <w:b/>
                <w:bCs/>
              </w:rPr>
              <w:t>Fassed</w:t>
            </w:r>
            <w:proofErr w:type="spellEnd"/>
            <w:r w:rsidRPr="00B84E3B">
              <w:rPr>
                <w:b/>
                <w:bCs/>
              </w:rPr>
              <w:t xml:space="preserve"> c.s. (Kamerstuk 2010-2011, 22 054, nr. 165 en Kamerstuk 2011-2012, 22 054, nr. 181) versneld (binnen twee weken na afgifte van vergunning) per brief</w:t>
            </w:r>
            <w:r w:rsidR="009D0370">
              <w:rPr>
                <w:b/>
                <w:bCs/>
              </w:rPr>
              <w:t xml:space="preserve"> </w:t>
            </w:r>
            <w:r w:rsidRPr="00B84E3B">
              <w:rPr>
                <w:b/>
                <w:bCs/>
              </w:rPr>
              <w:t>geïnformeerd over afgegeven nieuwe vergunningen (niet zijnde een verlenging of vervanging) voor de definitieve uitvoer van volledige wapensystemen met een waarde van meer dan € 2 miljoen indien het land van eindbestemming geen EU/NAVO-land of een daaraan gelijk gesteld land (Japan, Zwitserland, Nieuw-Zeeland en Australië) betreft.</w:t>
            </w:r>
          </w:p>
          <w:p w:rsidRPr="00B84E3B" w:rsidR="006D14F9" w:rsidP="009D0370" w:rsidRDefault="006D14F9" w14:paraId="42D0D5D1" w14:textId="0FBAA120"/>
        </w:tc>
        <w:tc>
          <w:tcPr>
            <w:tcW w:w="850" w:type="dxa"/>
          </w:tcPr>
          <w:p w:rsidRPr="00B84E3B" w:rsidR="005D2945" w:rsidRDefault="005D2945" w14:paraId="60A7844C" w14:textId="7802723C">
            <w:pPr>
              <w:jc w:val="right"/>
            </w:pPr>
          </w:p>
        </w:tc>
        <w:tc>
          <w:tcPr>
            <w:tcW w:w="992" w:type="dxa"/>
          </w:tcPr>
          <w:p w:rsidRPr="00B84E3B" w:rsidR="005D2945" w:rsidRDefault="005D2945" w14:paraId="158B3B7E" w14:textId="77777777">
            <w:pPr>
              <w:jc w:val="right"/>
            </w:pPr>
          </w:p>
        </w:tc>
        <w:tc>
          <w:tcPr>
            <w:tcW w:w="567" w:type="dxa"/>
          </w:tcPr>
          <w:p w:rsidRPr="00B84E3B" w:rsidR="005D2945" w:rsidRDefault="001856D0" w14:paraId="1976091F" w14:textId="77777777">
            <w:pPr>
              <w:jc w:val="right"/>
            </w:pPr>
            <w:r w:rsidRPr="00B84E3B">
              <w:t xml:space="preserve"> </w:t>
            </w:r>
          </w:p>
        </w:tc>
      </w:tr>
      <w:tr w:rsidRPr="00B84E3B" w:rsidR="005D2945" w:rsidTr="00B84E3B" w14:paraId="4AE92EA8" w14:textId="77777777">
        <w:tc>
          <w:tcPr>
            <w:tcW w:w="585" w:type="dxa"/>
          </w:tcPr>
          <w:p w:rsidRPr="00B84E3B" w:rsidR="005D2945" w:rsidRDefault="001856D0" w14:paraId="60420604" w14:textId="77777777">
            <w:r w:rsidRPr="00B84E3B">
              <w:t>10</w:t>
            </w:r>
          </w:p>
        </w:tc>
        <w:tc>
          <w:tcPr>
            <w:tcW w:w="6503" w:type="dxa"/>
          </w:tcPr>
          <w:p w:rsidRPr="00B84E3B" w:rsidR="00DC2D25" w:rsidP="00DC2D25" w:rsidRDefault="001856D0" w14:paraId="6159F687" w14:textId="77777777">
            <w:r w:rsidRPr="00B84E3B">
              <w:t>Kunnen de exportlijsten worden geüpdatet, met daarin een gedetailleerde beschrijving van de betreffende militaire goederen? Kan ook worden aangegeven of het een geheel wapensysteem of een onderdeel betreft?</w:t>
            </w:r>
          </w:p>
          <w:p w:rsidRPr="00B84E3B" w:rsidR="00DC2D25" w:rsidP="00DC2D25" w:rsidRDefault="00DC2D25" w14:paraId="5353749B" w14:textId="77777777"/>
          <w:p w:rsidRPr="00B84E3B" w:rsidR="00DC2D25" w:rsidP="00DC2D25" w:rsidRDefault="00DC2D25" w14:paraId="43AD36CD" w14:textId="77777777">
            <w:pPr>
              <w:rPr>
                <w:b/>
                <w:bCs/>
              </w:rPr>
            </w:pPr>
            <w:r w:rsidRPr="00B84E3B">
              <w:rPr>
                <w:b/>
                <w:bCs/>
              </w:rPr>
              <w:t>Antwoord</w:t>
            </w:r>
          </w:p>
          <w:p w:rsidRPr="00B84E3B" w:rsidR="00E40706" w:rsidP="00E40706" w:rsidRDefault="00E40706" w14:paraId="0A40DFC8" w14:textId="2125113E">
            <w:pPr>
              <w:rPr>
                <w:b/>
                <w:bCs/>
              </w:rPr>
            </w:pPr>
            <w:r w:rsidRPr="00B84E3B">
              <w:rPr>
                <w:b/>
                <w:bCs/>
              </w:rPr>
              <w:t xml:space="preserve">Zie het antwoord op vraag 9. De daarin vermelde openbare rapportage van de afgegeven vergunningen voor militaire goederen is bijgewerkt tot en met </w:t>
            </w:r>
            <w:r w:rsidRPr="00B84E3B" w:rsidR="00215895">
              <w:rPr>
                <w:b/>
                <w:bCs/>
              </w:rPr>
              <w:lastRenderedPageBreak/>
              <w:t>juli</w:t>
            </w:r>
            <w:r w:rsidRPr="00B84E3B">
              <w:rPr>
                <w:b/>
                <w:bCs/>
              </w:rPr>
              <w:t xml:space="preserve"> 2025. Het overzicht wordt zo spoedig mogelijk bijgewerkt met de meest recente data van de maanden </w:t>
            </w:r>
            <w:r w:rsidRPr="00B84E3B" w:rsidR="00215895">
              <w:rPr>
                <w:b/>
                <w:bCs/>
              </w:rPr>
              <w:t xml:space="preserve">augustus, september, </w:t>
            </w:r>
            <w:r w:rsidRPr="00B84E3B">
              <w:rPr>
                <w:b/>
                <w:bCs/>
              </w:rPr>
              <w:t xml:space="preserve">oktober en november 2025. Er is tijd nodig om de data van alle vergunningaanvragen te verwerken en gereed te maken voor publicatie. Hierdoor zit er een tijdsperiode tussen het afgeven van een vergunning en de openbare publicatie van deze vergunning in de rapportage. </w:t>
            </w:r>
          </w:p>
          <w:p w:rsidRPr="00B84E3B" w:rsidR="006D14F9" w:rsidRDefault="006D14F9" w14:paraId="5FEDAE07" w14:textId="7E63175C"/>
        </w:tc>
        <w:tc>
          <w:tcPr>
            <w:tcW w:w="850" w:type="dxa"/>
          </w:tcPr>
          <w:p w:rsidRPr="00B84E3B" w:rsidR="005D2945" w:rsidRDefault="005D2945" w14:paraId="3C3A35EF" w14:textId="10E565AE">
            <w:pPr>
              <w:jc w:val="right"/>
            </w:pPr>
          </w:p>
        </w:tc>
        <w:tc>
          <w:tcPr>
            <w:tcW w:w="992" w:type="dxa"/>
          </w:tcPr>
          <w:p w:rsidRPr="00B84E3B" w:rsidR="005D2945" w:rsidRDefault="005D2945" w14:paraId="2033E12D" w14:textId="77777777">
            <w:pPr>
              <w:jc w:val="right"/>
            </w:pPr>
          </w:p>
        </w:tc>
        <w:tc>
          <w:tcPr>
            <w:tcW w:w="567" w:type="dxa"/>
          </w:tcPr>
          <w:p w:rsidRPr="00B84E3B" w:rsidR="005D2945" w:rsidRDefault="001856D0" w14:paraId="01523C8A" w14:textId="77777777">
            <w:pPr>
              <w:jc w:val="right"/>
            </w:pPr>
            <w:r w:rsidRPr="00B84E3B">
              <w:t xml:space="preserve"> </w:t>
            </w:r>
          </w:p>
        </w:tc>
      </w:tr>
      <w:tr w:rsidRPr="00B84E3B" w:rsidR="005D2945" w:rsidTr="00B84E3B" w14:paraId="24F6761A" w14:textId="77777777">
        <w:tc>
          <w:tcPr>
            <w:tcW w:w="585" w:type="dxa"/>
          </w:tcPr>
          <w:p w:rsidRPr="00B84E3B" w:rsidR="005D2945" w:rsidRDefault="001856D0" w14:paraId="6EAFC988" w14:textId="77777777">
            <w:r w:rsidRPr="00B84E3B">
              <w:t>11</w:t>
            </w:r>
          </w:p>
        </w:tc>
        <w:tc>
          <w:tcPr>
            <w:tcW w:w="6503" w:type="dxa"/>
          </w:tcPr>
          <w:p w:rsidRPr="00B84E3B" w:rsidR="00DC2D25" w:rsidP="00DC2D25" w:rsidRDefault="001856D0" w14:paraId="4D3B7284" w14:textId="77777777">
            <w:r w:rsidRPr="00B84E3B">
              <w:t>Kunnen alle vergunningen, inclusief onderliggende beslisnota’s van militaire goederen uitgevoerd naar Israël sinds januari 2025, gedeeld worden?</w:t>
            </w:r>
          </w:p>
          <w:p w:rsidRPr="00B84E3B" w:rsidR="00DC2D25" w:rsidP="00DC2D25" w:rsidRDefault="00DC2D25" w14:paraId="7CA5027F" w14:textId="77777777"/>
          <w:p w:rsidRPr="00B84E3B" w:rsidR="00DC2D25" w:rsidP="00DC2D25" w:rsidRDefault="00DC2D25" w14:paraId="615DCC74" w14:textId="77777777">
            <w:pPr>
              <w:rPr>
                <w:b/>
                <w:bCs/>
              </w:rPr>
            </w:pPr>
            <w:r w:rsidRPr="00B84E3B">
              <w:rPr>
                <w:b/>
                <w:bCs/>
              </w:rPr>
              <w:t>Antwoord</w:t>
            </w:r>
          </w:p>
          <w:p w:rsidRPr="005822D2" w:rsidR="00E40706" w:rsidP="00E40706" w:rsidRDefault="00E40706" w14:paraId="22964133" w14:textId="4AFA8FCA">
            <w:pPr>
              <w:rPr>
                <w:b/>
                <w:bCs/>
              </w:rPr>
            </w:pPr>
            <w:r w:rsidRPr="005822D2">
              <w:rPr>
                <w:b/>
                <w:bCs/>
              </w:rPr>
              <w:t>Zie het antwoord op vraag 9</w:t>
            </w:r>
            <w:r w:rsidR="009D0370">
              <w:rPr>
                <w:b/>
                <w:bCs/>
              </w:rPr>
              <w:t xml:space="preserve"> en 10</w:t>
            </w:r>
            <w:r w:rsidRPr="005822D2">
              <w:rPr>
                <w:b/>
                <w:bCs/>
              </w:rPr>
              <w:t>.</w:t>
            </w:r>
          </w:p>
          <w:p w:rsidRPr="00B84E3B" w:rsidR="006D14F9" w:rsidRDefault="006D14F9" w14:paraId="68D35E4A" w14:textId="1532E35D"/>
        </w:tc>
        <w:tc>
          <w:tcPr>
            <w:tcW w:w="850" w:type="dxa"/>
          </w:tcPr>
          <w:p w:rsidRPr="00B84E3B" w:rsidR="005D2945" w:rsidRDefault="005D2945" w14:paraId="0FD52EB4" w14:textId="4B7A7DAE">
            <w:pPr>
              <w:jc w:val="right"/>
            </w:pPr>
          </w:p>
        </w:tc>
        <w:tc>
          <w:tcPr>
            <w:tcW w:w="992" w:type="dxa"/>
          </w:tcPr>
          <w:p w:rsidRPr="00B84E3B" w:rsidR="005D2945" w:rsidRDefault="005D2945" w14:paraId="006D5F80" w14:textId="77777777">
            <w:pPr>
              <w:jc w:val="right"/>
            </w:pPr>
          </w:p>
        </w:tc>
        <w:tc>
          <w:tcPr>
            <w:tcW w:w="567" w:type="dxa"/>
          </w:tcPr>
          <w:p w:rsidRPr="00B84E3B" w:rsidR="005D2945" w:rsidRDefault="001856D0" w14:paraId="7EF55623" w14:textId="77777777">
            <w:pPr>
              <w:jc w:val="right"/>
            </w:pPr>
            <w:r w:rsidRPr="00B84E3B">
              <w:t xml:space="preserve"> </w:t>
            </w:r>
          </w:p>
        </w:tc>
      </w:tr>
      <w:tr w:rsidRPr="00B84E3B" w:rsidR="005D2945" w:rsidTr="00B84E3B" w14:paraId="72E5869E" w14:textId="77777777">
        <w:tc>
          <w:tcPr>
            <w:tcW w:w="585" w:type="dxa"/>
          </w:tcPr>
          <w:p w:rsidRPr="00B84E3B" w:rsidR="005D2945" w:rsidRDefault="001856D0" w14:paraId="1E1D8C5A" w14:textId="77777777">
            <w:r w:rsidRPr="00B84E3B">
              <w:t>12</w:t>
            </w:r>
          </w:p>
        </w:tc>
        <w:tc>
          <w:tcPr>
            <w:tcW w:w="6503" w:type="dxa"/>
          </w:tcPr>
          <w:p w:rsidRPr="00B84E3B" w:rsidR="00DC2D25" w:rsidP="00DC2D25" w:rsidRDefault="001856D0" w14:paraId="59FCF529" w14:textId="77777777">
            <w:bookmarkStart w:name="_Hlk216195560" w:id="1"/>
            <w:r w:rsidRPr="00B84E3B">
              <w:t>Welke militaire goederen zijn middels een doorvoervergunning vanuit de V</w:t>
            </w:r>
            <w:r w:rsidRPr="00B84E3B" w:rsidR="009A609C">
              <w:t>erenigde Staten</w:t>
            </w:r>
            <w:r w:rsidRPr="00B84E3B">
              <w:t>, via Nederland naar de V</w:t>
            </w:r>
            <w:r w:rsidRPr="00B84E3B" w:rsidR="009A609C">
              <w:t>erenigde Arabische Emiraten</w:t>
            </w:r>
            <w:r w:rsidRPr="00B84E3B">
              <w:t xml:space="preserve">, Saudi-Arabië, Qatar en Egypte uitgevoerd? </w:t>
            </w:r>
            <w:r w:rsidRPr="00B84E3B" w:rsidR="009A609C">
              <w:t>Kunt u de bijbehorende beslisnota’s met de Kamer delen?</w:t>
            </w:r>
          </w:p>
          <w:p w:rsidRPr="00B84E3B" w:rsidR="00DC2D25" w:rsidP="00DC2D25" w:rsidRDefault="00DC2D25" w14:paraId="58561E74" w14:textId="77777777"/>
          <w:p w:rsidRPr="00B84E3B" w:rsidR="00DC2D25" w:rsidP="00DC2D25" w:rsidRDefault="00DC2D25" w14:paraId="7ADB2BF1" w14:textId="77777777">
            <w:pPr>
              <w:rPr>
                <w:b/>
                <w:bCs/>
              </w:rPr>
            </w:pPr>
            <w:r w:rsidRPr="00B84E3B">
              <w:rPr>
                <w:b/>
                <w:bCs/>
              </w:rPr>
              <w:t>Antwoord</w:t>
            </w:r>
          </w:p>
          <w:p w:rsidRPr="005822D2" w:rsidR="00215895" w:rsidP="00E40706" w:rsidRDefault="004C796F" w14:paraId="694858BC" w14:textId="7D962AAE">
            <w:pPr>
              <w:rPr>
                <w:b/>
                <w:bCs/>
              </w:rPr>
            </w:pPr>
            <w:r w:rsidRPr="005822D2">
              <w:rPr>
                <w:b/>
                <w:bCs/>
              </w:rPr>
              <w:t xml:space="preserve">Over </w:t>
            </w:r>
            <w:r w:rsidRPr="005822D2" w:rsidR="0026560E">
              <w:rPr>
                <w:b/>
                <w:bCs/>
              </w:rPr>
              <w:t>de</w:t>
            </w:r>
            <w:r w:rsidRPr="005822D2">
              <w:rPr>
                <w:b/>
                <w:bCs/>
              </w:rPr>
              <w:t xml:space="preserve"> </w:t>
            </w:r>
            <w:r w:rsidRPr="005822D2" w:rsidR="00F072B7">
              <w:rPr>
                <w:b/>
                <w:bCs/>
              </w:rPr>
              <w:t xml:space="preserve">afgegeven vergunningen voor </w:t>
            </w:r>
            <w:r w:rsidRPr="005822D2">
              <w:rPr>
                <w:b/>
                <w:bCs/>
              </w:rPr>
              <w:t xml:space="preserve">doorvoer van militaire goederen </w:t>
            </w:r>
            <w:r w:rsidRPr="00FE2A49">
              <w:rPr>
                <w:b/>
                <w:bCs/>
              </w:rPr>
              <w:t>wordt</w:t>
            </w:r>
            <w:r w:rsidRPr="00FE2A49" w:rsidR="009D0370">
              <w:rPr>
                <w:b/>
                <w:bCs/>
              </w:rPr>
              <w:t xml:space="preserve"> doorlopend</w:t>
            </w:r>
            <w:r w:rsidRPr="00FE2A49">
              <w:rPr>
                <w:b/>
                <w:bCs/>
              </w:rPr>
              <w:t xml:space="preserve"> openbaar</w:t>
            </w:r>
            <w:r w:rsidRPr="005822D2">
              <w:rPr>
                <w:b/>
                <w:bCs/>
              </w:rPr>
              <w:t xml:space="preserve"> gerapporteerd via rijksoverheid.nl. Zie ook het antwoord op vraag 9.</w:t>
            </w:r>
            <w:bookmarkEnd w:id="1"/>
          </w:p>
          <w:p w:rsidRPr="00B84E3B" w:rsidR="006D14F9" w:rsidP="009D0370" w:rsidRDefault="006D14F9" w14:paraId="6E9E286B" w14:textId="470B619A"/>
        </w:tc>
        <w:tc>
          <w:tcPr>
            <w:tcW w:w="850" w:type="dxa"/>
          </w:tcPr>
          <w:p w:rsidRPr="00B84E3B" w:rsidR="005D2945" w:rsidRDefault="005D2945" w14:paraId="448174E7" w14:textId="35346244">
            <w:pPr>
              <w:jc w:val="right"/>
            </w:pPr>
          </w:p>
        </w:tc>
        <w:tc>
          <w:tcPr>
            <w:tcW w:w="992" w:type="dxa"/>
          </w:tcPr>
          <w:p w:rsidRPr="00B84E3B" w:rsidR="005D2945" w:rsidRDefault="005D2945" w14:paraId="356E8847" w14:textId="77777777">
            <w:pPr>
              <w:jc w:val="right"/>
            </w:pPr>
          </w:p>
        </w:tc>
        <w:tc>
          <w:tcPr>
            <w:tcW w:w="567" w:type="dxa"/>
          </w:tcPr>
          <w:p w:rsidRPr="00B84E3B" w:rsidR="005D2945" w:rsidRDefault="001856D0" w14:paraId="6C6ED4C5" w14:textId="77777777">
            <w:pPr>
              <w:jc w:val="right"/>
            </w:pPr>
            <w:r w:rsidRPr="00B84E3B">
              <w:t xml:space="preserve"> </w:t>
            </w:r>
          </w:p>
        </w:tc>
      </w:tr>
      <w:tr w:rsidRPr="00424F3D" w:rsidR="005D2945" w:rsidTr="00B84E3B" w14:paraId="11262046" w14:textId="77777777">
        <w:tc>
          <w:tcPr>
            <w:tcW w:w="585" w:type="dxa"/>
          </w:tcPr>
          <w:p w:rsidRPr="00B84E3B" w:rsidR="005D2945" w:rsidRDefault="001856D0" w14:paraId="6A6A61BE" w14:textId="77777777">
            <w:r w:rsidRPr="00B84E3B">
              <w:t>13</w:t>
            </w:r>
          </w:p>
        </w:tc>
        <w:tc>
          <w:tcPr>
            <w:tcW w:w="6503" w:type="dxa"/>
          </w:tcPr>
          <w:p w:rsidRPr="00B84E3B" w:rsidR="00DC2D25" w:rsidP="00DC2D25" w:rsidRDefault="00A769AB" w14:paraId="1FD28D7C" w14:textId="77777777">
            <w:r w:rsidRPr="00B84E3B">
              <w:t xml:space="preserve">Gelet op de daling van het budget </w:t>
            </w:r>
            <w:r w:rsidRPr="00B84E3B" w:rsidR="001856D0">
              <w:t>met € 7,1 miljoen</w:t>
            </w:r>
            <w:r w:rsidRPr="00B84E3B">
              <w:t xml:space="preserve"> binnen artikel 1.1, k</w:t>
            </w:r>
            <w:r w:rsidRPr="00B84E3B" w:rsidR="009A609C">
              <w:t xml:space="preserve">unt u </w:t>
            </w:r>
            <w:r w:rsidRPr="00B84E3B" w:rsidR="001856D0">
              <w:t xml:space="preserve">toelichten of deze bijstelling gevolgen heeft voor IMVO-programma’s in agrarische </w:t>
            </w:r>
            <w:proofErr w:type="spellStart"/>
            <w:r w:rsidRPr="00B84E3B" w:rsidR="001856D0">
              <w:t>waardeketens</w:t>
            </w:r>
            <w:proofErr w:type="spellEnd"/>
            <w:r w:rsidRPr="00B84E3B" w:rsidR="001856D0">
              <w:t xml:space="preserve"> in landen met lagere productiestandaarden dan in Nederland zijn toegestaan, waaronder </w:t>
            </w:r>
            <w:proofErr w:type="spellStart"/>
            <w:r w:rsidRPr="00B84E3B" w:rsidR="001856D0">
              <w:t>Mercosur</w:t>
            </w:r>
            <w:proofErr w:type="spellEnd"/>
            <w:r w:rsidRPr="00B84E3B" w:rsidR="001856D0">
              <w:t>-staten?</w:t>
            </w:r>
          </w:p>
          <w:p w:rsidRPr="00B84E3B" w:rsidR="00DC2D25" w:rsidP="00DC2D25" w:rsidRDefault="00DC2D25" w14:paraId="6B8A8857" w14:textId="77777777"/>
          <w:p w:rsidRPr="00B84E3B" w:rsidR="00DC2D25" w:rsidP="00DC2D25" w:rsidRDefault="00DC2D25" w14:paraId="3C9D5795" w14:textId="77777777">
            <w:pPr>
              <w:rPr>
                <w:b/>
                <w:bCs/>
              </w:rPr>
            </w:pPr>
            <w:r w:rsidRPr="00B84E3B">
              <w:rPr>
                <w:b/>
                <w:bCs/>
              </w:rPr>
              <w:t>Antwoord</w:t>
            </w:r>
          </w:p>
          <w:p w:rsidRPr="005822D2" w:rsidR="006D14F9" w:rsidRDefault="005D53BE" w14:paraId="46F32764" w14:textId="0B3E2776">
            <w:pPr>
              <w:rPr>
                <w:b/>
                <w:bCs/>
              </w:rPr>
            </w:pPr>
            <w:r w:rsidRPr="005822D2">
              <w:rPr>
                <w:b/>
                <w:bCs/>
              </w:rPr>
              <w:t xml:space="preserve">De daling van het budget binnen artikel 1.1. heeft geen gevolgen voor IMVO-programma’s in agrarische </w:t>
            </w:r>
            <w:proofErr w:type="spellStart"/>
            <w:r w:rsidRPr="005822D2">
              <w:rPr>
                <w:b/>
                <w:bCs/>
              </w:rPr>
              <w:t>waardeketens</w:t>
            </w:r>
            <w:proofErr w:type="spellEnd"/>
            <w:r w:rsidRPr="005822D2" w:rsidR="00DB6E77">
              <w:rPr>
                <w:b/>
                <w:bCs/>
              </w:rPr>
              <w:t xml:space="preserve"> in p</w:t>
            </w:r>
            <w:r w:rsidRPr="005822D2" w:rsidR="00B3075F">
              <w:rPr>
                <w:b/>
                <w:bCs/>
              </w:rPr>
              <w:t>artner</w:t>
            </w:r>
            <w:r w:rsidRPr="005822D2" w:rsidR="00DB6E77">
              <w:rPr>
                <w:b/>
                <w:bCs/>
              </w:rPr>
              <w:t>landen</w:t>
            </w:r>
            <w:r w:rsidRPr="005822D2">
              <w:rPr>
                <w:b/>
                <w:bCs/>
              </w:rPr>
              <w:t>.</w:t>
            </w:r>
          </w:p>
          <w:p w:rsidRPr="00B84E3B" w:rsidR="006D14F9" w:rsidRDefault="006D14F9" w14:paraId="0E34AA17" w14:textId="6A939E7E"/>
        </w:tc>
        <w:tc>
          <w:tcPr>
            <w:tcW w:w="850" w:type="dxa"/>
          </w:tcPr>
          <w:p w:rsidRPr="00424F3D" w:rsidR="005D2945" w:rsidP="238A3327" w:rsidRDefault="005D2945" w14:paraId="156DF5B2" w14:textId="35AA8D51">
            <w:pPr>
              <w:jc w:val="right"/>
            </w:pPr>
          </w:p>
        </w:tc>
        <w:tc>
          <w:tcPr>
            <w:tcW w:w="992" w:type="dxa"/>
          </w:tcPr>
          <w:p w:rsidRPr="00424F3D" w:rsidR="005D2945" w:rsidRDefault="005D2945" w14:paraId="36777020" w14:textId="77777777">
            <w:pPr>
              <w:jc w:val="right"/>
            </w:pPr>
          </w:p>
        </w:tc>
        <w:tc>
          <w:tcPr>
            <w:tcW w:w="567" w:type="dxa"/>
          </w:tcPr>
          <w:p w:rsidRPr="00424F3D" w:rsidR="005D2945" w:rsidRDefault="001856D0" w14:paraId="1F1559E3" w14:textId="77777777">
            <w:pPr>
              <w:jc w:val="right"/>
            </w:pPr>
            <w:r w:rsidRPr="00424F3D">
              <w:t xml:space="preserve"> </w:t>
            </w:r>
          </w:p>
        </w:tc>
      </w:tr>
      <w:tr w:rsidRPr="00424F3D" w:rsidR="005D2945" w:rsidTr="00B84E3B" w14:paraId="167913D6" w14:textId="77777777">
        <w:tc>
          <w:tcPr>
            <w:tcW w:w="585" w:type="dxa"/>
          </w:tcPr>
          <w:p w:rsidRPr="00B84E3B" w:rsidR="005D2945" w:rsidRDefault="001856D0" w14:paraId="7EB0E9DA" w14:textId="77777777">
            <w:r w:rsidRPr="00B84E3B">
              <w:t>14</w:t>
            </w:r>
          </w:p>
        </w:tc>
        <w:tc>
          <w:tcPr>
            <w:tcW w:w="6503" w:type="dxa"/>
          </w:tcPr>
          <w:p w:rsidRPr="00B84E3B" w:rsidR="00DC2D25" w:rsidP="00DC2D25" w:rsidRDefault="001856D0" w14:paraId="5AA7D58A" w14:textId="77777777">
            <w:r w:rsidRPr="00B84E3B">
              <w:t xml:space="preserve">Artikel 1.2 laat een verschuiving zien van subsidies naar opdrachten binnen internationaal ondernemen. </w:t>
            </w:r>
            <w:r w:rsidRPr="00B84E3B" w:rsidR="009A609C">
              <w:t xml:space="preserve">Kunt u </w:t>
            </w:r>
            <w:r w:rsidRPr="00B84E3B">
              <w:t>aangeven hoeveel van deze middelen word</w:t>
            </w:r>
            <w:r w:rsidRPr="00B84E3B" w:rsidR="009A609C">
              <w:t xml:space="preserve">en </w:t>
            </w:r>
            <w:r w:rsidRPr="00B84E3B">
              <w:t>ingezet voor handelsbevordering in landen waarmee de EU onderhandelt over of uitvoering geeft aan handelsakkoorden, en welke sectoren dit betreft specifiek in de landbouwketen?</w:t>
            </w:r>
          </w:p>
          <w:p w:rsidRPr="00B84E3B" w:rsidR="00DC2D25" w:rsidP="00DC2D25" w:rsidRDefault="00DC2D25" w14:paraId="73B7EF90" w14:textId="77777777"/>
          <w:p w:rsidRPr="00B84E3B" w:rsidR="00DC2D25" w:rsidP="00DC2D25" w:rsidRDefault="00DC2D25" w14:paraId="726E5EBF" w14:textId="77777777">
            <w:pPr>
              <w:rPr>
                <w:b/>
                <w:bCs/>
              </w:rPr>
            </w:pPr>
            <w:r w:rsidRPr="00B84E3B">
              <w:rPr>
                <w:b/>
                <w:bCs/>
              </w:rPr>
              <w:t>Antwoord</w:t>
            </w:r>
          </w:p>
          <w:p w:rsidRPr="005501E2" w:rsidR="007B432B" w:rsidP="007B432B" w:rsidRDefault="007B432B" w14:paraId="48549A58" w14:textId="63E446D0">
            <w:pPr>
              <w:rPr>
                <w:b/>
                <w:bCs/>
              </w:rPr>
            </w:pPr>
            <w:r w:rsidRPr="005501E2">
              <w:rPr>
                <w:b/>
                <w:bCs/>
              </w:rPr>
              <w:t xml:space="preserve">De verschuiving wordt ingezet in het brede handelsinstrumentarium. Het handelsinstrumentarium is wereldwijd beschikbaar met uitzondering van landen waarop sancties van toepassing zijn. Dit handelsinstrumentarium is gericht op de promotie van het Nederlandse bedrijfsleven in het buitenland en werkt </w:t>
            </w:r>
            <w:r w:rsidRPr="005501E2" w:rsidR="005501E2">
              <w:rPr>
                <w:b/>
                <w:bCs/>
              </w:rPr>
              <w:t>vraag gestuurd</w:t>
            </w:r>
            <w:r w:rsidRPr="005501E2">
              <w:rPr>
                <w:b/>
                <w:bCs/>
              </w:rPr>
              <w:t>, zodat het optimaal aansluit op de behoeften en wensen van bedrijven. Handelsbevordering is niet direct gekoppeld aan landen waar de EU mee onderhandelt over of uitvoering geeft aan handelsakkoorden. Er is uiteraard overlap tussen de landen en regio’s waarmee de EU handelsakkoorden heeft of wil sluiten en waar Nederlands bedrijfsleven actief is en gebruikmaakt van inzet van het handelsinstrumentarium. Er zijn geen overzichten beschikbaar waarin wordt weergegeven hoeveel budget van het handelsinstrumentarium er</w:t>
            </w:r>
            <w:r w:rsidRPr="005501E2" w:rsidR="00A43486">
              <w:rPr>
                <w:b/>
                <w:bCs/>
              </w:rPr>
              <w:t xml:space="preserve"> in totaal</w:t>
            </w:r>
            <w:r w:rsidRPr="005501E2">
              <w:rPr>
                <w:b/>
                <w:bCs/>
              </w:rPr>
              <w:t xml:space="preserve"> per land en per sector wordt ingezet.</w:t>
            </w:r>
          </w:p>
          <w:p w:rsidRPr="00B84E3B" w:rsidR="006D14F9" w:rsidRDefault="006D14F9" w14:paraId="64085AE3" w14:textId="7A0CC171"/>
        </w:tc>
        <w:tc>
          <w:tcPr>
            <w:tcW w:w="850" w:type="dxa"/>
          </w:tcPr>
          <w:p w:rsidRPr="00424F3D" w:rsidR="005D2945" w:rsidP="238A3327" w:rsidRDefault="005D2945" w14:paraId="2F9398B2" w14:textId="6AFC2242">
            <w:pPr>
              <w:jc w:val="right"/>
            </w:pPr>
          </w:p>
        </w:tc>
        <w:tc>
          <w:tcPr>
            <w:tcW w:w="992" w:type="dxa"/>
          </w:tcPr>
          <w:p w:rsidRPr="00424F3D" w:rsidR="005D2945" w:rsidRDefault="005D2945" w14:paraId="4C55C386" w14:textId="77777777">
            <w:pPr>
              <w:jc w:val="right"/>
            </w:pPr>
          </w:p>
        </w:tc>
        <w:tc>
          <w:tcPr>
            <w:tcW w:w="567" w:type="dxa"/>
          </w:tcPr>
          <w:p w:rsidRPr="00424F3D" w:rsidR="005D2945" w:rsidRDefault="001856D0" w14:paraId="113AC3E0" w14:textId="77777777">
            <w:pPr>
              <w:jc w:val="right"/>
            </w:pPr>
            <w:r w:rsidRPr="00424F3D">
              <w:t xml:space="preserve"> </w:t>
            </w:r>
          </w:p>
        </w:tc>
      </w:tr>
      <w:tr w:rsidRPr="00B84E3B" w:rsidR="005D2945" w:rsidTr="00B84E3B" w14:paraId="02DD9003" w14:textId="77777777">
        <w:tc>
          <w:tcPr>
            <w:tcW w:w="585" w:type="dxa"/>
          </w:tcPr>
          <w:p w:rsidRPr="00B84E3B" w:rsidR="005D2945" w:rsidRDefault="001856D0" w14:paraId="3DFAB9B5" w14:textId="77777777">
            <w:r w:rsidRPr="00B84E3B">
              <w:lastRenderedPageBreak/>
              <w:t>15</w:t>
            </w:r>
          </w:p>
        </w:tc>
        <w:tc>
          <w:tcPr>
            <w:tcW w:w="6503" w:type="dxa"/>
          </w:tcPr>
          <w:p w:rsidRPr="00B84E3B" w:rsidR="00DC2D25" w:rsidP="00DC2D25" w:rsidRDefault="00A769AB" w14:paraId="1A43A220" w14:textId="77777777">
            <w:r w:rsidRPr="00B84E3B">
              <w:t>Gelet op de stijging  van de uitgaven voor duurzame productie en handel met € 28,6 miljoen binnen artikel 1.3, k</w:t>
            </w:r>
            <w:r w:rsidRPr="00B84E3B" w:rsidR="009A609C">
              <w:t xml:space="preserve">unt u </w:t>
            </w:r>
            <w:r w:rsidRPr="00B84E3B" w:rsidR="001856D0">
              <w:t>specificeren welke landbouw- en voedselketens hiermee worden ondersteund, en of deze ketens producten exporteren naar de EU onder potentieel ongelijke standaardvoorwaarden?</w:t>
            </w:r>
          </w:p>
          <w:p w:rsidRPr="00B84E3B" w:rsidR="00DC2D25" w:rsidP="00DC2D25" w:rsidRDefault="00DC2D25" w14:paraId="2FAF6D1C" w14:textId="77777777"/>
          <w:p w:rsidRPr="00B84E3B" w:rsidR="00DC2D25" w:rsidP="00DC2D25" w:rsidRDefault="00DC2D25" w14:paraId="77F98996" w14:textId="77777777">
            <w:pPr>
              <w:rPr>
                <w:b/>
                <w:bCs/>
              </w:rPr>
            </w:pPr>
            <w:r w:rsidRPr="00B84E3B">
              <w:rPr>
                <w:b/>
                <w:bCs/>
              </w:rPr>
              <w:t>Antwoord</w:t>
            </w:r>
          </w:p>
          <w:p w:rsidRPr="00424F3D" w:rsidR="000778C9" w:rsidP="000778C9" w:rsidRDefault="000778C9" w14:paraId="503BB70E" w14:textId="001D1A0D">
            <w:pPr>
              <w:rPr>
                <w:b/>
                <w:bCs/>
              </w:rPr>
            </w:pPr>
            <w:r w:rsidRPr="00424F3D">
              <w:rPr>
                <w:b/>
                <w:bCs/>
              </w:rPr>
              <w:t>De stijging betreft uitgaven op lopende programma’s voor duurzame productie en handel. Het betreft verduurzaming van onder andere cacao, palmolie, koffie en thee</w:t>
            </w:r>
            <w:r w:rsidRPr="00424F3D" w:rsidR="00BA699B">
              <w:rPr>
                <w:b/>
                <w:bCs/>
              </w:rPr>
              <w:t xml:space="preserve">. Deze producten worden </w:t>
            </w:r>
            <w:r w:rsidRPr="00424F3D">
              <w:rPr>
                <w:b/>
                <w:bCs/>
              </w:rPr>
              <w:t xml:space="preserve">ook naar de EU geëxporteerd conform bestaande wet- en regelgeving.  </w:t>
            </w:r>
          </w:p>
          <w:p w:rsidRPr="00B84E3B" w:rsidR="006D14F9" w:rsidRDefault="006D14F9" w14:paraId="56B31ABC" w14:textId="07FD481A"/>
        </w:tc>
        <w:tc>
          <w:tcPr>
            <w:tcW w:w="850" w:type="dxa"/>
          </w:tcPr>
          <w:p w:rsidRPr="00B84E3B" w:rsidR="005D2945" w:rsidRDefault="005D2945" w14:paraId="3015912A" w14:textId="65BB22E7">
            <w:pPr>
              <w:jc w:val="right"/>
            </w:pPr>
          </w:p>
        </w:tc>
        <w:tc>
          <w:tcPr>
            <w:tcW w:w="992" w:type="dxa"/>
          </w:tcPr>
          <w:p w:rsidRPr="00B84E3B" w:rsidR="005D2945" w:rsidRDefault="005D2945" w14:paraId="466EBD31" w14:textId="77777777">
            <w:pPr>
              <w:jc w:val="right"/>
            </w:pPr>
          </w:p>
        </w:tc>
        <w:tc>
          <w:tcPr>
            <w:tcW w:w="567" w:type="dxa"/>
          </w:tcPr>
          <w:p w:rsidRPr="00B84E3B" w:rsidR="005D2945" w:rsidRDefault="001856D0" w14:paraId="215CDED7" w14:textId="77777777">
            <w:pPr>
              <w:jc w:val="right"/>
            </w:pPr>
            <w:r w:rsidRPr="00B84E3B">
              <w:t xml:space="preserve"> </w:t>
            </w:r>
          </w:p>
        </w:tc>
      </w:tr>
      <w:tr w:rsidRPr="00B84E3B" w:rsidR="005D2945" w:rsidTr="00B84E3B" w14:paraId="7157FE03" w14:textId="77777777">
        <w:tc>
          <w:tcPr>
            <w:tcW w:w="585" w:type="dxa"/>
          </w:tcPr>
          <w:p w:rsidRPr="00B84E3B" w:rsidR="005D2945" w:rsidRDefault="001856D0" w14:paraId="08EA7585" w14:textId="77777777">
            <w:r w:rsidRPr="00B84E3B">
              <w:t>16</w:t>
            </w:r>
          </w:p>
        </w:tc>
        <w:tc>
          <w:tcPr>
            <w:tcW w:w="6503" w:type="dxa"/>
          </w:tcPr>
          <w:p w:rsidRPr="00B84E3B" w:rsidR="00DC2D25" w:rsidP="00DC2D25" w:rsidRDefault="00A769AB" w14:paraId="5B3BEF3F" w14:textId="77777777">
            <w:r w:rsidRPr="00B84E3B">
              <w:t xml:space="preserve">Gelet op de toename van de verplichtingen op artikel </w:t>
            </w:r>
            <w:r w:rsidRPr="00B84E3B" w:rsidR="001856D0">
              <w:t xml:space="preserve">door </w:t>
            </w:r>
            <w:proofErr w:type="spellStart"/>
            <w:r w:rsidRPr="00B84E3B" w:rsidR="001856D0">
              <w:t>realtime</w:t>
            </w:r>
            <w:proofErr w:type="spellEnd"/>
            <w:r w:rsidRPr="00B84E3B" w:rsidR="001856D0">
              <w:t xml:space="preserve"> verrekening bij RVO en </w:t>
            </w:r>
            <w:proofErr w:type="spellStart"/>
            <w:r w:rsidRPr="00B84E3B" w:rsidR="001856D0">
              <w:t>Invest</w:t>
            </w:r>
            <w:proofErr w:type="spellEnd"/>
            <w:r w:rsidRPr="00B84E3B" w:rsidR="001856D0">
              <w:t xml:space="preserve"> International</w:t>
            </w:r>
            <w:r w:rsidRPr="00B84E3B">
              <w:t>, kunt</w:t>
            </w:r>
            <w:r w:rsidRPr="00B84E3B" w:rsidR="009A609C">
              <w:t xml:space="preserve"> u </w:t>
            </w:r>
            <w:r w:rsidRPr="00B84E3B" w:rsidR="001856D0">
              <w:t xml:space="preserve">aangeven of een deel van deze verplichtingen betrekking heeft op investeringen of handelsmissies in </w:t>
            </w:r>
            <w:proofErr w:type="spellStart"/>
            <w:r w:rsidRPr="00B84E3B" w:rsidR="001856D0">
              <w:t>Mercosur</w:t>
            </w:r>
            <w:proofErr w:type="spellEnd"/>
            <w:r w:rsidRPr="00B84E3B" w:rsidR="001856D0">
              <w:t xml:space="preserve">-landen of andere landen met substantiële </w:t>
            </w:r>
            <w:proofErr w:type="spellStart"/>
            <w:r w:rsidRPr="00B84E3B" w:rsidR="001856D0">
              <w:t>agrifood</w:t>
            </w:r>
            <w:proofErr w:type="spellEnd"/>
            <w:r w:rsidRPr="00B84E3B" w:rsidR="001856D0">
              <w:t>-export naar de EU?</w:t>
            </w:r>
          </w:p>
          <w:p w:rsidRPr="00B84E3B" w:rsidR="00DC2D25" w:rsidP="00DC2D25" w:rsidRDefault="00DC2D25" w14:paraId="25562273" w14:textId="77777777"/>
          <w:p w:rsidRPr="00B84E3B" w:rsidR="00DC2D25" w:rsidP="00DC2D25" w:rsidRDefault="00DC2D25" w14:paraId="74745217" w14:textId="77777777">
            <w:pPr>
              <w:rPr>
                <w:b/>
                <w:bCs/>
              </w:rPr>
            </w:pPr>
            <w:r w:rsidRPr="00B84E3B">
              <w:rPr>
                <w:b/>
                <w:bCs/>
              </w:rPr>
              <w:t>Antwoord</w:t>
            </w:r>
          </w:p>
          <w:p w:rsidRPr="00424F3D" w:rsidR="005D2945" w:rsidRDefault="0099301B" w14:paraId="18BAB113" w14:textId="345FDA08">
            <w:pPr>
              <w:rPr>
                <w:b/>
                <w:bCs/>
              </w:rPr>
            </w:pPr>
            <w:r w:rsidRPr="00424F3D">
              <w:rPr>
                <w:b/>
                <w:bCs/>
              </w:rPr>
              <w:t xml:space="preserve">De toename van de verplichtingen worden met name veroorzaakt door een verhoging van het verplichtingenbudget voor infrastructuurontwikkeling uitgevoerd door </w:t>
            </w:r>
            <w:proofErr w:type="spellStart"/>
            <w:r w:rsidRPr="00424F3D">
              <w:rPr>
                <w:b/>
                <w:bCs/>
              </w:rPr>
              <w:t>Invest</w:t>
            </w:r>
            <w:proofErr w:type="spellEnd"/>
            <w:r w:rsidRPr="00424F3D">
              <w:rPr>
                <w:b/>
                <w:bCs/>
              </w:rPr>
              <w:t xml:space="preserve"> International, de bijbehorende uitvoeringskosten en de bijdrage aan het agentschap RVO. Deze instrumenten zijn niet gericht op investeringen of handelsmissies in </w:t>
            </w:r>
            <w:proofErr w:type="spellStart"/>
            <w:r w:rsidRPr="00424F3D">
              <w:rPr>
                <w:b/>
                <w:bCs/>
              </w:rPr>
              <w:t>Mercosur</w:t>
            </w:r>
            <w:proofErr w:type="spellEnd"/>
            <w:r w:rsidRPr="00424F3D">
              <w:rPr>
                <w:b/>
                <w:bCs/>
              </w:rPr>
              <w:t xml:space="preserve">-landen of andere landen met substantiële </w:t>
            </w:r>
            <w:proofErr w:type="spellStart"/>
            <w:r w:rsidRPr="00424F3D">
              <w:rPr>
                <w:b/>
                <w:bCs/>
              </w:rPr>
              <w:t>agri</w:t>
            </w:r>
            <w:proofErr w:type="spellEnd"/>
            <w:r w:rsidRPr="00424F3D">
              <w:rPr>
                <w:b/>
                <w:bCs/>
              </w:rPr>
              <w:t xml:space="preserve">-food export naar de EU. </w:t>
            </w:r>
          </w:p>
          <w:p w:rsidRPr="00B84E3B" w:rsidR="006D14F9" w:rsidRDefault="006D14F9" w14:paraId="25AB2C2A" w14:textId="0296A195"/>
        </w:tc>
        <w:tc>
          <w:tcPr>
            <w:tcW w:w="850" w:type="dxa"/>
          </w:tcPr>
          <w:p w:rsidRPr="00B84E3B" w:rsidR="005D2945" w:rsidRDefault="005D2945" w14:paraId="32C9FE3F" w14:textId="5736EB88">
            <w:pPr>
              <w:jc w:val="right"/>
            </w:pPr>
          </w:p>
        </w:tc>
        <w:tc>
          <w:tcPr>
            <w:tcW w:w="992" w:type="dxa"/>
          </w:tcPr>
          <w:p w:rsidRPr="00B84E3B" w:rsidR="005D2945" w:rsidRDefault="005D2945" w14:paraId="0A2B8DEB" w14:textId="77777777">
            <w:pPr>
              <w:jc w:val="right"/>
            </w:pPr>
          </w:p>
        </w:tc>
        <w:tc>
          <w:tcPr>
            <w:tcW w:w="567" w:type="dxa"/>
          </w:tcPr>
          <w:p w:rsidRPr="00B84E3B" w:rsidR="005D2945" w:rsidRDefault="001856D0" w14:paraId="43F03618" w14:textId="77777777">
            <w:pPr>
              <w:jc w:val="right"/>
            </w:pPr>
            <w:r w:rsidRPr="00B84E3B">
              <w:t xml:space="preserve"> </w:t>
            </w:r>
          </w:p>
        </w:tc>
      </w:tr>
      <w:tr w:rsidRPr="00B84E3B" w:rsidR="005D2945" w:rsidTr="00B84E3B" w14:paraId="3668EE88" w14:textId="77777777">
        <w:tc>
          <w:tcPr>
            <w:tcW w:w="585" w:type="dxa"/>
          </w:tcPr>
          <w:p w:rsidRPr="00B84E3B" w:rsidR="005D2945" w:rsidRDefault="001856D0" w14:paraId="57B89F97" w14:textId="77777777">
            <w:r w:rsidRPr="00B84E3B">
              <w:t>17</w:t>
            </w:r>
          </w:p>
        </w:tc>
        <w:tc>
          <w:tcPr>
            <w:tcW w:w="6503" w:type="dxa"/>
          </w:tcPr>
          <w:p w:rsidRPr="00B84E3B" w:rsidR="00DC2D25" w:rsidP="00DC2D25" w:rsidRDefault="00A769AB" w14:paraId="602ADD01" w14:textId="77777777">
            <w:r w:rsidRPr="00B84E3B">
              <w:t xml:space="preserve">Gelet op de diverse mutaties die zichtbaar zijn binnen artikel 2.1  </w:t>
            </w:r>
            <w:r w:rsidRPr="00B84E3B" w:rsidR="001856D0">
              <w:t>in programma’s voor voedselzekerheid en duurzame landbouw</w:t>
            </w:r>
            <w:r w:rsidRPr="00B84E3B">
              <w:t>, kan</w:t>
            </w:r>
            <w:r w:rsidRPr="00B84E3B" w:rsidR="001856D0">
              <w:t xml:space="preserve"> per </w:t>
            </w:r>
            <w:proofErr w:type="spellStart"/>
            <w:r w:rsidRPr="00B84E3B" w:rsidR="001856D0">
              <w:t>subprogramma</w:t>
            </w:r>
            <w:proofErr w:type="spellEnd"/>
            <w:r w:rsidRPr="00B84E3B" w:rsidR="001856D0">
              <w:t xml:space="preserve"> worden aangegeven of deze inzet effect kan hebben op de exportcapaciteit van landbouwsectoren in landen die nu of in de toekomst onder EU-handelsverdragen vallen?</w:t>
            </w:r>
          </w:p>
          <w:p w:rsidRPr="00B84E3B" w:rsidR="00DC2D25" w:rsidP="00DC2D25" w:rsidRDefault="00DC2D25" w14:paraId="676D69CB" w14:textId="77777777"/>
          <w:p w:rsidRPr="00B84E3B" w:rsidR="00DC2D25" w:rsidP="00DC2D25" w:rsidRDefault="00DC2D25" w14:paraId="6B80894E" w14:textId="77777777">
            <w:pPr>
              <w:rPr>
                <w:b/>
                <w:bCs/>
              </w:rPr>
            </w:pPr>
            <w:r w:rsidRPr="00B84E3B">
              <w:rPr>
                <w:b/>
                <w:bCs/>
              </w:rPr>
              <w:t>Antwoord</w:t>
            </w:r>
          </w:p>
          <w:p w:rsidRPr="00424F3D" w:rsidR="006D14F9" w:rsidRDefault="008725F7" w14:paraId="60CF5046" w14:textId="128DD4D4">
            <w:pPr>
              <w:rPr>
                <w:b/>
                <w:bCs/>
              </w:rPr>
            </w:pPr>
            <w:r w:rsidRPr="00424F3D">
              <w:rPr>
                <w:b/>
                <w:bCs/>
              </w:rPr>
              <w:t xml:space="preserve">De inzet op </w:t>
            </w:r>
            <w:r w:rsidRPr="00424F3D" w:rsidR="00AF56D5">
              <w:rPr>
                <w:b/>
                <w:bCs/>
              </w:rPr>
              <w:t>v</w:t>
            </w:r>
            <w:r w:rsidRPr="00424F3D">
              <w:rPr>
                <w:b/>
                <w:bCs/>
              </w:rPr>
              <w:t>oedselzekerheid binnen artikel 2.1 is gericht op versterking van lokale voedselsystemen</w:t>
            </w:r>
            <w:r w:rsidRPr="00424F3D" w:rsidR="007B4851">
              <w:rPr>
                <w:b/>
                <w:bCs/>
              </w:rPr>
              <w:t>,</w:t>
            </w:r>
            <w:r w:rsidRPr="00424F3D">
              <w:rPr>
                <w:b/>
                <w:bCs/>
              </w:rPr>
              <w:t xml:space="preserve"> </w:t>
            </w:r>
            <w:r w:rsidRPr="00424F3D" w:rsidR="007B4851">
              <w:rPr>
                <w:b/>
                <w:bCs/>
              </w:rPr>
              <w:t xml:space="preserve">met focus op gebieden waar de ontwikkeling van de voedsellandbouw stagneert en ondervoeding structureel is </w:t>
            </w:r>
            <w:r w:rsidRPr="00424F3D">
              <w:rPr>
                <w:b/>
                <w:bCs/>
              </w:rPr>
              <w:t xml:space="preserve">(TK 33625-341). </w:t>
            </w:r>
            <w:r w:rsidRPr="00424F3D" w:rsidR="000265DC">
              <w:rPr>
                <w:b/>
                <w:bCs/>
              </w:rPr>
              <w:t xml:space="preserve">Exportlandbouw is </w:t>
            </w:r>
            <w:r w:rsidRPr="00424F3D" w:rsidR="003A1791">
              <w:rPr>
                <w:b/>
                <w:bCs/>
              </w:rPr>
              <w:t>daarbinnen</w:t>
            </w:r>
            <w:r w:rsidRPr="00424F3D" w:rsidR="000265DC">
              <w:rPr>
                <w:b/>
                <w:bCs/>
              </w:rPr>
              <w:t xml:space="preserve"> geen expliciet doel en </w:t>
            </w:r>
            <w:r w:rsidRPr="00424F3D" w:rsidR="0071656A">
              <w:rPr>
                <w:b/>
                <w:bCs/>
              </w:rPr>
              <w:t xml:space="preserve">directe </w:t>
            </w:r>
            <w:r w:rsidRPr="00424F3D" w:rsidR="000265DC">
              <w:rPr>
                <w:b/>
                <w:bCs/>
              </w:rPr>
              <w:t>e</w:t>
            </w:r>
            <w:r w:rsidRPr="00424F3D">
              <w:rPr>
                <w:b/>
                <w:bCs/>
              </w:rPr>
              <w:t xml:space="preserve">ffecten op exportcapaciteit </w:t>
            </w:r>
            <w:r w:rsidRPr="00424F3D" w:rsidR="0016503B">
              <w:rPr>
                <w:b/>
                <w:bCs/>
              </w:rPr>
              <w:t xml:space="preserve">worden dan ook niet </w:t>
            </w:r>
            <w:r w:rsidRPr="00424F3D" w:rsidR="00AF56D5">
              <w:rPr>
                <w:b/>
                <w:bCs/>
              </w:rPr>
              <w:t>gemonitord</w:t>
            </w:r>
            <w:r w:rsidRPr="00424F3D" w:rsidR="0016503B">
              <w:rPr>
                <w:b/>
                <w:bCs/>
              </w:rPr>
              <w:t xml:space="preserve"> en </w:t>
            </w:r>
            <w:r w:rsidRPr="00424F3D">
              <w:rPr>
                <w:b/>
                <w:bCs/>
              </w:rPr>
              <w:t xml:space="preserve">zijn </w:t>
            </w:r>
            <w:r w:rsidRPr="00424F3D" w:rsidR="0016503B">
              <w:rPr>
                <w:b/>
                <w:bCs/>
              </w:rPr>
              <w:t>waarschijnlijk</w:t>
            </w:r>
            <w:r w:rsidRPr="00424F3D" w:rsidR="000265DC">
              <w:rPr>
                <w:b/>
                <w:bCs/>
              </w:rPr>
              <w:t xml:space="preserve"> beperkt</w:t>
            </w:r>
            <w:r w:rsidRPr="00424F3D" w:rsidR="007B4851">
              <w:rPr>
                <w:b/>
                <w:bCs/>
              </w:rPr>
              <w:t xml:space="preserve">. </w:t>
            </w:r>
            <w:r w:rsidRPr="00424F3D" w:rsidR="0016503B">
              <w:rPr>
                <w:b/>
                <w:bCs/>
              </w:rPr>
              <w:t>Indirect</w:t>
            </w:r>
            <w:r w:rsidRPr="00424F3D" w:rsidR="00BD64C5">
              <w:rPr>
                <w:b/>
                <w:bCs/>
              </w:rPr>
              <w:t xml:space="preserve"> </w:t>
            </w:r>
            <w:r w:rsidRPr="00424F3D" w:rsidR="0071656A">
              <w:rPr>
                <w:b/>
                <w:bCs/>
              </w:rPr>
              <w:t xml:space="preserve">kan de inzet op </w:t>
            </w:r>
            <w:r w:rsidRPr="00424F3D" w:rsidR="00AF56D5">
              <w:rPr>
                <w:b/>
                <w:bCs/>
              </w:rPr>
              <w:t>voedselzekerheid</w:t>
            </w:r>
            <w:r w:rsidRPr="00424F3D" w:rsidR="0071656A">
              <w:rPr>
                <w:b/>
                <w:bCs/>
              </w:rPr>
              <w:t xml:space="preserve"> </w:t>
            </w:r>
            <w:r w:rsidRPr="00424F3D" w:rsidR="0016503B">
              <w:rPr>
                <w:b/>
                <w:bCs/>
              </w:rPr>
              <w:t>wel</w:t>
            </w:r>
            <w:r w:rsidRPr="00424F3D" w:rsidR="00BD64C5">
              <w:rPr>
                <w:b/>
                <w:bCs/>
              </w:rPr>
              <w:t xml:space="preserve"> </w:t>
            </w:r>
            <w:r w:rsidRPr="00424F3D" w:rsidR="0071656A">
              <w:rPr>
                <w:b/>
                <w:bCs/>
              </w:rPr>
              <w:t>bijdragen aan de exportcapaciteit</w:t>
            </w:r>
            <w:r w:rsidRPr="00424F3D" w:rsidR="00BD64C5">
              <w:rPr>
                <w:b/>
                <w:bCs/>
              </w:rPr>
              <w:t>,</w:t>
            </w:r>
            <w:r w:rsidRPr="00424F3D" w:rsidR="0071656A">
              <w:rPr>
                <w:b/>
                <w:bCs/>
              </w:rPr>
              <w:t xml:space="preserve"> </w:t>
            </w:r>
            <w:r w:rsidRPr="00424F3D" w:rsidR="00BD64C5">
              <w:rPr>
                <w:b/>
                <w:bCs/>
              </w:rPr>
              <w:t xml:space="preserve">inclusief naar de EU, </w:t>
            </w:r>
            <w:r w:rsidRPr="00424F3D" w:rsidR="0016503B">
              <w:rPr>
                <w:b/>
                <w:bCs/>
              </w:rPr>
              <w:t xml:space="preserve">namelijk </w:t>
            </w:r>
            <w:r w:rsidRPr="00424F3D" w:rsidR="00BD64C5">
              <w:rPr>
                <w:b/>
                <w:bCs/>
              </w:rPr>
              <w:t xml:space="preserve">via </w:t>
            </w:r>
            <w:r w:rsidRPr="00424F3D" w:rsidR="0016503B">
              <w:rPr>
                <w:b/>
                <w:bCs/>
              </w:rPr>
              <w:t>algemene</w:t>
            </w:r>
            <w:r w:rsidRPr="00424F3D" w:rsidR="00BD64C5">
              <w:rPr>
                <w:b/>
                <w:bCs/>
              </w:rPr>
              <w:t xml:space="preserve"> verbetering van de kwaliteit en duurzaamheid van agrarische producten en productieprocessen. </w:t>
            </w:r>
            <w:r w:rsidRPr="00424F3D" w:rsidR="008721BA">
              <w:rPr>
                <w:b/>
                <w:bCs/>
              </w:rPr>
              <w:t xml:space="preserve">Die indirecte </w:t>
            </w:r>
            <w:r w:rsidRPr="00424F3D" w:rsidR="0016503B">
              <w:rPr>
                <w:b/>
                <w:bCs/>
              </w:rPr>
              <w:t xml:space="preserve">effecten zijn echter moeilijk aantoonbaar. </w:t>
            </w:r>
          </w:p>
        </w:tc>
        <w:tc>
          <w:tcPr>
            <w:tcW w:w="850" w:type="dxa"/>
          </w:tcPr>
          <w:p w:rsidRPr="00B84E3B" w:rsidR="005D2945" w:rsidRDefault="005D2945" w14:paraId="0C478744" w14:textId="70F6A4A8">
            <w:pPr>
              <w:jc w:val="right"/>
            </w:pPr>
          </w:p>
        </w:tc>
        <w:tc>
          <w:tcPr>
            <w:tcW w:w="992" w:type="dxa"/>
          </w:tcPr>
          <w:p w:rsidRPr="00B84E3B" w:rsidR="005D2945" w:rsidRDefault="005D2945" w14:paraId="2F1CFC84" w14:textId="77777777">
            <w:pPr>
              <w:jc w:val="right"/>
            </w:pPr>
          </w:p>
        </w:tc>
        <w:tc>
          <w:tcPr>
            <w:tcW w:w="567" w:type="dxa"/>
          </w:tcPr>
          <w:p w:rsidRPr="00B84E3B" w:rsidR="005D2945" w:rsidRDefault="001856D0" w14:paraId="0610325E" w14:textId="77777777">
            <w:pPr>
              <w:jc w:val="right"/>
            </w:pPr>
            <w:r w:rsidRPr="00B84E3B">
              <w:t xml:space="preserve"> </w:t>
            </w:r>
          </w:p>
        </w:tc>
      </w:tr>
      <w:tr w:rsidRPr="00B84E3B" w:rsidR="005D2945" w:rsidTr="00B84E3B" w14:paraId="25EE1892" w14:textId="77777777">
        <w:tc>
          <w:tcPr>
            <w:tcW w:w="585" w:type="dxa"/>
          </w:tcPr>
          <w:p w:rsidRPr="00B84E3B" w:rsidR="005D2945" w:rsidRDefault="001856D0" w14:paraId="72939B97" w14:textId="77777777">
            <w:r w:rsidRPr="00B84E3B">
              <w:t>18</w:t>
            </w:r>
          </w:p>
        </w:tc>
        <w:tc>
          <w:tcPr>
            <w:tcW w:w="6503" w:type="dxa"/>
          </w:tcPr>
          <w:p w:rsidRPr="00B84E3B" w:rsidR="003F0923" w:rsidP="003F0923" w:rsidRDefault="001856D0" w14:paraId="42BE9213" w14:textId="64911221">
            <w:bookmarkStart w:name="_Hlk216192740" w:id="2"/>
            <w:r w:rsidRPr="00B84E3B">
              <w:t xml:space="preserve">De ontvangstenstijging van € 14 miljoen via de FOM-reserve voor het DTIF betreft investeringen in opkomende markten. Kan worden uitgesplitst welk deel hiervan betrekking heeft op </w:t>
            </w:r>
            <w:proofErr w:type="spellStart"/>
            <w:r w:rsidRPr="00B84E3B">
              <w:t>agrifood</w:t>
            </w:r>
            <w:proofErr w:type="spellEnd"/>
            <w:r w:rsidRPr="00B84E3B">
              <w:t xml:space="preserve">-sectoren of </w:t>
            </w:r>
            <w:proofErr w:type="spellStart"/>
            <w:r w:rsidRPr="00B84E3B">
              <w:t>handelsfacilitatie</w:t>
            </w:r>
            <w:proofErr w:type="spellEnd"/>
            <w:r w:rsidRPr="00B84E3B">
              <w:t xml:space="preserve"> in landen waarmee de EU onderhandelt over handelsakkoorden?</w:t>
            </w:r>
          </w:p>
          <w:p w:rsidRPr="00B84E3B" w:rsidR="003F0923" w:rsidP="003F0923" w:rsidRDefault="003F0923" w14:paraId="23F6B613" w14:textId="77777777"/>
          <w:p w:rsidRPr="00424F3D" w:rsidR="003F0923" w:rsidP="003F0923" w:rsidRDefault="003F0923" w14:paraId="4AB3C234" w14:textId="77777777">
            <w:pPr>
              <w:rPr>
                <w:b/>
                <w:bCs/>
              </w:rPr>
            </w:pPr>
            <w:r w:rsidRPr="00424F3D">
              <w:rPr>
                <w:b/>
                <w:bCs/>
              </w:rPr>
              <w:t>Antwoord</w:t>
            </w:r>
          </w:p>
          <w:p w:rsidRPr="00424F3D" w:rsidR="005D2945" w:rsidRDefault="00DA67EF" w14:paraId="1A808513" w14:textId="77EB1BCD">
            <w:pPr>
              <w:rPr>
                <w:b/>
                <w:bCs/>
              </w:rPr>
            </w:pPr>
            <w:r w:rsidRPr="00424F3D">
              <w:rPr>
                <w:b/>
                <w:bCs/>
              </w:rPr>
              <w:t xml:space="preserve">De ontvangsten zijn niet toe te rekenen aan specifieke landen en/of sectoren. </w:t>
            </w:r>
            <w:r w:rsidRPr="00424F3D" w:rsidR="1C9D7522">
              <w:rPr>
                <w:b/>
                <w:bCs/>
              </w:rPr>
              <w:t xml:space="preserve">De stijging van de ontvangsten dient ter dekking van de transacties die gericht zijn op financiering van ondernemingen ten behoeve van directe buitenlandse investeringen en/of export transacties met als uitgangspunt het leveren van een bijdrage aan werkgelegenheid en duurzame economische groei in Nederland. </w:t>
            </w:r>
          </w:p>
          <w:bookmarkEnd w:id="2"/>
          <w:p w:rsidRPr="00B84E3B" w:rsidR="006D14F9" w:rsidRDefault="006D14F9" w14:paraId="23C4D4F0" w14:textId="4485C171"/>
        </w:tc>
        <w:tc>
          <w:tcPr>
            <w:tcW w:w="850" w:type="dxa"/>
          </w:tcPr>
          <w:p w:rsidRPr="00B84E3B" w:rsidR="005D2945" w:rsidRDefault="005D2945" w14:paraId="5129B003" w14:textId="4117C295">
            <w:pPr>
              <w:jc w:val="right"/>
            </w:pPr>
          </w:p>
        </w:tc>
        <w:tc>
          <w:tcPr>
            <w:tcW w:w="992" w:type="dxa"/>
          </w:tcPr>
          <w:p w:rsidRPr="00B84E3B" w:rsidR="005D2945" w:rsidRDefault="005D2945" w14:paraId="47523F1A" w14:textId="77777777">
            <w:pPr>
              <w:jc w:val="right"/>
            </w:pPr>
          </w:p>
        </w:tc>
        <w:tc>
          <w:tcPr>
            <w:tcW w:w="567" w:type="dxa"/>
          </w:tcPr>
          <w:p w:rsidRPr="00B84E3B" w:rsidR="005D2945" w:rsidRDefault="001856D0" w14:paraId="394BA462" w14:textId="77777777">
            <w:pPr>
              <w:jc w:val="right"/>
            </w:pPr>
            <w:r w:rsidRPr="00B84E3B">
              <w:t xml:space="preserve"> </w:t>
            </w:r>
          </w:p>
        </w:tc>
      </w:tr>
      <w:tr w:rsidRPr="00B84E3B" w:rsidR="005D2945" w:rsidTr="00B84E3B" w14:paraId="6F6FEE3D" w14:textId="77777777">
        <w:tc>
          <w:tcPr>
            <w:tcW w:w="585" w:type="dxa"/>
          </w:tcPr>
          <w:p w:rsidRPr="00B84E3B" w:rsidR="005D2945" w:rsidRDefault="001856D0" w14:paraId="3A317221" w14:textId="77777777">
            <w:r w:rsidRPr="00B84E3B">
              <w:lastRenderedPageBreak/>
              <w:t>19</w:t>
            </w:r>
          </w:p>
        </w:tc>
        <w:tc>
          <w:tcPr>
            <w:tcW w:w="6503" w:type="dxa"/>
          </w:tcPr>
          <w:p w:rsidRPr="00B84E3B" w:rsidR="003F0923" w:rsidP="1C9D7522" w:rsidRDefault="1C9D7522" w14:paraId="20857944" w14:textId="77777777">
            <w:r w:rsidRPr="00B84E3B">
              <w:t>Kunt u bevestigen dat er in Nederland Braziliaans rundvlees is teruggeroepen in verband met de aanwezigheid van in de Europese Unie verboden groeihormonen, en via welke kanalen dit vlees in Nederland op de markt is gekomen?</w:t>
            </w:r>
          </w:p>
          <w:p w:rsidRPr="00B84E3B" w:rsidR="003F0923" w:rsidP="1C9D7522" w:rsidRDefault="003F0923" w14:paraId="3B89F80D" w14:textId="77777777"/>
          <w:p w:rsidRPr="00B84E3B" w:rsidR="003F0923" w:rsidP="1C9D7522" w:rsidRDefault="1C9D7522" w14:paraId="36FDD61A" w14:textId="77777777">
            <w:pPr>
              <w:rPr>
                <w:b/>
                <w:bCs/>
              </w:rPr>
            </w:pPr>
            <w:r w:rsidRPr="00B84E3B">
              <w:rPr>
                <w:b/>
                <w:bCs/>
              </w:rPr>
              <w:t>Antwoord</w:t>
            </w:r>
          </w:p>
          <w:p w:rsidRPr="00424F3D" w:rsidR="00B3075F" w:rsidP="1C9D7522" w:rsidRDefault="1C9D7522" w14:paraId="000A98D6" w14:textId="317FD591">
            <w:pPr>
              <w:rPr>
                <w:b/>
                <w:bCs/>
              </w:rPr>
            </w:pPr>
            <w:r w:rsidRPr="00424F3D">
              <w:rPr>
                <w:b/>
                <w:bCs/>
              </w:rPr>
              <w:t xml:space="preserve">Ja, zoals bevestigd in het schriftelijk overleg over de informele Landbouw- en Visserijraad 11-12 december van 9 december jl. (Kamerstuk 21501-32-1736) is er een partij Braziliaans rundvlees tegengehouden. De Nederlandse </w:t>
            </w:r>
            <w:r w:rsidRPr="00FE2A49">
              <w:rPr>
                <w:b/>
                <w:bCs/>
              </w:rPr>
              <w:t xml:space="preserve">Voedsel- en Warenautoriteit (NVWA) doet op dit moment nader onderzoek. </w:t>
            </w:r>
            <w:r w:rsidRPr="00FE2A49" w:rsidR="00842060">
              <w:rPr>
                <w:b/>
                <w:bCs/>
              </w:rPr>
              <w:t>De resultaten van het onderzoek naar de feiten en daaruit voortvloeiende acties worden aan de opdrachtgevers van de NVWA (respectievelijk LVVN en VWS) verzonden. Vervolgens zal uw Kamer per brief worden geïnformeerd.</w:t>
            </w:r>
          </w:p>
          <w:p w:rsidRPr="00B84E3B" w:rsidR="006D14F9" w:rsidRDefault="006D14F9" w14:paraId="15F434B5" w14:textId="77FF19F5"/>
        </w:tc>
        <w:tc>
          <w:tcPr>
            <w:tcW w:w="850" w:type="dxa"/>
          </w:tcPr>
          <w:p w:rsidRPr="00B84E3B" w:rsidR="005D2945" w:rsidRDefault="005D2945" w14:paraId="5496B9A0" w14:textId="4790AA37">
            <w:pPr>
              <w:jc w:val="right"/>
            </w:pPr>
          </w:p>
        </w:tc>
        <w:tc>
          <w:tcPr>
            <w:tcW w:w="992" w:type="dxa"/>
          </w:tcPr>
          <w:p w:rsidRPr="00B84E3B" w:rsidR="005D2945" w:rsidRDefault="005D2945" w14:paraId="355C1FF8" w14:textId="77777777">
            <w:pPr>
              <w:jc w:val="right"/>
            </w:pPr>
          </w:p>
        </w:tc>
        <w:tc>
          <w:tcPr>
            <w:tcW w:w="567" w:type="dxa"/>
          </w:tcPr>
          <w:p w:rsidRPr="00B84E3B" w:rsidR="005D2945" w:rsidRDefault="001856D0" w14:paraId="2A4335B3" w14:textId="77777777">
            <w:pPr>
              <w:jc w:val="right"/>
            </w:pPr>
            <w:r w:rsidRPr="00B84E3B">
              <w:t xml:space="preserve"> </w:t>
            </w:r>
          </w:p>
        </w:tc>
      </w:tr>
      <w:tr w:rsidRPr="00B84E3B" w:rsidR="005D2945" w:rsidTr="00B84E3B" w14:paraId="45F3EEB8" w14:textId="77777777">
        <w:tc>
          <w:tcPr>
            <w:tcW w:w="585" w:type="dxa"/>
          </w:tcPr>
          <w:p w:rsidRPr="00B84E3B" w:rsidR="005D2945" w:rsidRDefault="001856D0" w14:paraId="34138EAD" w14:textId="77777777">
            <w:r w:rsidRPr="00B84E3B">
              <w:t>20</w:t>
            </w:r>
          </w:p>
        </w:tc>
        <w:tc>
          <w:tcPr>
            <w:tcW w:w="6503" w:type="dxa"/>
          </w:tcPr>
          <w:p w:rsidRPr="00B84E3B" w:rsidR="003F0923" w:rsidP="003F0923" w:rsidRDefault="001856D0" w14:paraId="29457D0A" w14:textId="77777777">
            <w:r w:rsidRPr="00B84E3B">
              <w:t>Om welke hoeveelheden rundvlees en om hoeveel afzonderlijke partijen of zendingen gaat het in Nederland, uitgesplitst naar importeur, distributeur en afnemers?</w:t>
            </w:r>
          </w:p>
          <w:p w:rsidRPr="00B84E3B" w:rsidR="003F0923" w:rsidP="003F0923" w:rsidRDefault="003F0923" w14:paraId="69DABB47" w14:textId="77777777"/>
          <w:p w:rsidRPr="00B84E3B" w:rsidR="003F0923" w:rsidP="003F0923" w:rsidRDefault="003F0923" w14:paraId="074F7A0C" w14:textId="77777777">
            <w:pPr>
              <w:rPr>
                <w:b/>
                <w:bCs/>
              </w:rPr>
            </w:pPr>
            <w:r w:rsidRPr="00B84E3B">
              <w:rPr>
                <w:b/>
                <w:bCs/>
              </w:rPr>
              <w:t>Antwoord</w:t>
            </w:r>
          </w:p>
          <w:p w:rsidRPr="00424F3D" w:rsidR="00CF76B3" w:rsidP="00CF76B3" w:rsidRDefault="00CF76B3" w14:paraId="330D4F0A" w14:textId="3E98903C">
            <w:pPr>
              <w:rPr>
                <w:b/>
                <w:bCs/>
              </w:rPr>
            </w:pPr>
            <w:r w:rsidRPr="00424F3D">
              <w:rPr>
                <w:b/>
                <w:bCs/>
              </w:rPr>
              <w:t xml:space="preserve">Zie </w:t>
            </w:r>
            <w:r w:rsidRPr="00424F3D" w:rsidR="00BD1C9F">
              <w:rPr>
                <w:b/>
                <w:bCs/>
              </w:rPr>
              <w:t xml:space="preserve">het antwoord op </w:t>
            </w:r>
            <w:r w:rsidRPr="00424F3D">
              <w:rPr>
                <w:b/>
                <w:bCs/>
              </w:rPr>
              <w:t>vraag 19</w:t>
            </w:r>
            <w:r w:rsidRPr="00424F3D" w:rsidR="00AD3596">
              <w:rPr>
                <w:b/>
                <w:bCs/>
              </w:rPr>
              <w:t>.</w:t>
            </w:r>
          </w:p>
          <w:p w:rsidRPr="00B84E3B" w:rsidR="006D14F9" w:rsidRDefault="006D14F9" w14:paraId="6D5547B4" w14:textId="3D07F3B2"/>
        </w:tc>
        <w:tc>
          <w:tcPr>
            <w:tcW w:w="850" w:type="dxa"/>
          </w:tcPr>
          <w:p w:rsidRPr="00B84E3B" w:rsidR="005D2945" w:rsidRDefault="005D2945" w14:paraId="7BACC1D1" w14:textId="13DEE2E4">
            <w:pPr>
              <w:jc w:val="right"/>
            </w:pPr>
          </w:p>
        </w:tc>
        <w:tc>
          <w:tcPr>
            <w:tcW w:w="992" w:type="dxa"/>
          </w:tcPr>
          <w:p w:rsidRPr="00B84E3B" w:rsidR="005D2945" w:rsidRDefault="005D2945" w14:paraId="2D9471D4" w14:textId="77777777">
            <w:pPr>
              <w:jc w:val="right"/>
            </w:pPr>
          </w:p>
        </w:tc>
        <w:tc>
          <w:tcPr>
            <w:tcW w:w="567" w:type="dxa"/>
          </w:tcPr>
          <w:p w:rsidRPr="00B84E3B" w:rsidR="005D2945" w:rsidRDefault="001856D0" w14:paraId="32DF9215" w14:textId="77777777">
            <w:pPr>
              <w:jc w:val="right"/>
            </w:pPr>
            <w:r w:rsidRPr="00B84E3B">
              <w:t xml:space="preserve"> </w:t>
            </w:r>
          </w:p>
        </w:tc>
      </w:tr>
      <w:tr w:rsidRPr="00B84E3B" w:rsidR="005D2945" w:rsidTr="00B84E3B" w14:paraId="2FC17DD3" w14:textId="77777777">
        <w:tc>
          <w:tcPr>
            <w:tcW w:w="585" w:type="dxa"/>
          </w:tcPr>
          <w:p w:rsidRPr="00B84E3B" w:rsidR="005D2945" w:rsidRDefault="001856D0" w14:paraId="3A19E070" w14:textId="77777777">
            <w:r w:rsidRPr="00B84E3B">
              <w:t>21</w:t>
            </w:r>
          </w:p>
        </w:tc>
        <w:tc>
          <w:tcPr>
            <w:tcW w:w="6503" w:type="dxa"/>
          </w:tcPr>
          <w:p w:rsidRPr="00B84E3B" w:rsidR="003F0923" w:rsidP="003F0923" w:rsidRDefault="001856D0" w14:paraId="087E7C80" w14:textId="77777777">
            <w:r w:rsidRPr="00B84E3B">
              <w:t>Welke maatregelen zijn getroffen om na te gaan of consumenten mogelijk al van het betreffende rundvlees hebben geconsumeerd, en welke gezondheidsrisico’s ziet u voor Nederlandse consumenten?</w:t>
            </w:r>
          </w:p>
          <w:p w:rsidRPr="00B84E3B" w:rsidR="003F0923" w:rsidP="003F0923" w:rsidRDefault="003F0923" w14:paraId="777AFF0E" w14:textId="77777777"/>
          <w:p w:rsidRPr="00B84E3B" w:rsidR="003F0923" w:rsidP="003F0923" w:rsidRDefault="003F0923" w14:paraId="4497C402" w14:textId="77777777">
            <w:pPr>
              <w:rPr>
                <w:b/>
                <w:bCs/>
              </w:rPr>
            </w:pPr>
            <w:r w:rsidRPr="00B84E3B">
              <w:rPr>
                <w:b/>
                <w:bCs/>
              </w:rPr>
              <w:t>Antwoord</w:t>
            </w:r>
          </w:p>
          <w:p w:rsidRPr="00424F3D" w:rsidR="00CF76B3" w:rsidP="00CF76B3" w:rsidRDefault="00CF76B3" w14:paraId="027E0ED6" w14:textId="41786F0A">
            <w:pPr>
              <w:rPr>
                <w:b/>
                <w:bCs/>
              </w:rPr>
            </w:pPr>
            <w:r w:rsidRPr="00424F3D">
              <w:rPr>
                <w:b/>
                <w:bCs/>
              </w:rPr>
              <w:t xml:space="preserve">Zie </w:t>
            </w:r>
            <w:r w:rsidRPr="00424F3D" w:rsidR="00BD1C9F">
              <w:rPr>
                <w:b/>
                <w:bCs/>
              </w:rPr>
              <w:t xml:space="preserve">het antwoord op </w:t>
            </w:r>
            <w:r w:rsidRPr="00424F3D">
              <w:rPr>
                <w:b/>
                <w:bCs/>
              </w:rPr>
              <w:t>vraag 19</w:t>
            </w:r>
            <w:r w:rsidRPr="00424F3D" w:rsidR="00AD3596">
              <w:rPr>
                <w:b/>
                <w:bCs/>
              </w:rPr>
              <w:t>.</w:t>
            </w:r>
          </w:p>
          <w:p w:rsidRPr="00B84E3B" w:rsidR="006D14F9" w:rsidRDefault="006D14F9" w14:paraId="0DC3E921" w14:textId="4C0E40C2"/>
        </w:tc>
        <w:tc>
          <w:tcPr>
            <w:tcW w:w="850" w:type="dxa"/>
          </w:tcPr>
          <w:p w:rsidRPr="00B84E3B" w:rsidR="005D2945" w:rsidRDefault="005D2945" w14:paraId="2FD3528F" w14:textId="68B2EF4F">
            <w:pPr>
              <w:jc w:val="right"/>
            </w:pPr>
          </w:p>
        </w:tc>
        <w:tc>
          <w:tcPr>
            <w:tcW w:w="992" w:type="dxa"/>
          </w:tcPr>
          <w:p w:rsidRPr="00B84E3B" w:rsidR="005D2945" w:rsidRDefault="005D2945" w14:paraId="5912FAEF" w14:textId="77777777">
            <w:pPr>
              <w:jc w:val="right"/>
            </w:pPr>
          </w:p>
        </w:tc>
        <w:tc>
          <w:tcPr>
            <w:tcW w:w="567" w:type="dxa"/>
          </w:tcPr>
          <w:p w:rsidRPr="00B84E3B" w:rsidR="005D2945" w:rsidRDefault="001856D0" w14:paraId="48318B80" w14:textId="77777777">
            <w:pPr>
              <w:jc w:val="right"/>
            </w:pPr>
            <w:r w:rsidRPr="00B84E3B">
              <w:t xml:space="preserve"> </w:t>
            </w:r>
          </w:p>
        </w:tc>
      </w:tr>
      <w:tr w:rsidRPr="00B84E3B" w:rsidR="005D2945" w:rsidTr="00B84E3B" w14:paraId="28979C34" w14:textId="77777777">
        <w:tc>
          <w:tcPr>
            <w:tcW w:w="585" w:type="dxa"/>
          </w:tcPr>
          <w:p w:rsidRPr="00B84E3B" w:rsidR="005D2945" w:rsidRDefault="001856D0" w14:paraId="2D04D6B4" w14:textId="77777777">
            <w:r w:rsidRPr="00B84E3B">
              <w:t>22</w:t>
            </w:r>
          </w:p>
        </w:tc>
        <w:tc>
          <w:tcPr>
            <w:tcW w:w="6503" w:type="dxa"/>
          </w:tcPr>
          <w:p w:rsidRPr="00B84E3B" w:rsidR="003F0923" w:rsidP="1C9D7522" w:rsidRDefault="1C9D7522" w14:paraId="028A5F76" w14:textId="77777777">
            <w:r w:rsidRPr="00B84E3B">
              <w:t>Hoe beoordeelt u, in het licht van deze vondst van verboden hormonen, de betrouwbaarheid en robuustheid van de veterinaire en voedselveiligheidscontroles in Brazilië?</w:t>
            </w:r>
          </w:p>
          <w:p w:rsidRPr="00B84E3B" w:rsidR="003F0923" w:rsidP="1C9D7522" w:rsidRDefault="003F0923" w14:paraId="117CD1B7" w14:textId="77777777"/>
          <w:p w:rsidRPr="00B84E3B" w:rsidR="003F0923" w:rsidP="1C9D7522" w:rsidRDefault="1C9D7522" w14:paraId="7C861486" w14:textId="77777777">
            <w:pPr>
              <w:rPr>
                <w:b/>
                <w:bCs/>
              </w:rPr>
            </w:pPr>
            <w:r w:rsidRPr="00B84E3B">
              <w:rPr>
                <w:b/>
                <w:bCs/>
              </w:rPr>
              <w:t>Antwoord</w:t>
            </w:r>
          </w:p>
          <w:p w:rsidRPr="00424F3D" w:rsidR="00B3075F" w:rsidP="1C9D7522" w:rsidRDefault="1C9D7522" w14:paraId="4DB20F17" w14:textId="29223ACC">
            <w:pPr>
              <w:rPr>
                <w:b/>
                <w:bCs/>
              </w:rPr>
            </w:pPr>
            <w:r w:rsidRPr="00424F3D">
              <w:rPr>
                <w:b/>
                <w:bCs/>
              </w:rPr>
              <w:t xml:space="preserve">Zie </w:t>
            </w:r>
            <w:r w:rsidRPr="00424F3D" w:rsidR="00424F3D">
              <w:rPr>
                <w:b/>
                <w:bCs/>
              </w:rPr>
              <w:t xml:space="preserve">het antwoord op </w:t>
            </w:r>
            <w:r w:rsidRPr="00424F3D">
              <w:rPr>
                <w:b/>
                <w:bCs/>
              </w:rPr>
              <w:t>vraag 19.</w:t>
            </w:r>
            <w:r w:rsidRPr="00424F3D" w:rsidR="00424F3D">
              <w:rPr>
                <w:b/>
                <w:bCs/>
              </w:rPr>
              <w:t xml:space="preserve"> </w:t>
            </w:r>
            <w:r w:rsidRPr="00424F3D">
              <w:rPr>
                <w:b/>
                <w:bCs/>
              </w:rPr>
              <w:t xml:space="preserve">Alle geïmporteerde producten – ook die uit de </w:t>
            </w:r>
            <w:proofErr w:type="spellStart"/>
            <w:r w:rsidRPr="00424F3D">
              <w:rPr>
                <w:b/>
                <w:bCs/>
              </w:rPr>
              <w:t>Mercosur</w:t>
            </w:r>
            <w:proofErr w:type="spellEnd"/>
            <w:r w:rsidRPr="00424F3D">
              <w:rPr>
                <w:b/>
                <w:bCs/>
              </w:rPr>
              <w:t>-landen – moeten voldoen aan de eisen die de EU stelt op het gebied van Europese plant- en diergezondheidseisen en voedselveiligheidseisen, inclusief residuen van medicijnen en antimicrobiële resistentie (AMR</w:t>
            </w:r>
            <w:r w:rsidRPr="00FE2A49">
              <w:rPr>
                <w:b/>
                <w:bCs/>
              </w:rPr>
              <w:t>). Hierop wordt toegezien door een drieledig systeem van controles: 1) in de productielanden, waar de Commissie audits uitvoert op productielocaties; 2) aan de grens (douane en NVWA);  3) in de EU zelf, onder andere door de NVWA.</w:t>
            </w:r>
            <w:r w:rsidRPr="00FE2A49" w:rsidR="00AC3A8C">
              <w:rPr>
                <w:b/>
                <w:bCs/>
              </w:rPr>
              <w:t xml:space="preserve"> In dat kader is op 9 december jl. door de Europese Commissie aangekondigd het aantal audits in derde landen met 50% te verhogen en de controles van voedselproducten aan de EU-buitengrens te intensiveren.</w:t>
            </w:r>
            <w:r w:rsidRPr="00FE2A49" w:rsidR="00AC3A8C">
              <w:rPr>
                <w:rStyle w:val="FootnoteReference"/>
                <w:b/>
                <w:bCs/>
              </w:rPr>
              <w:footnoteReference w:id="3"/>
            </w:r>
            <w:r w:rsidRPr="00FE2A49">
              <w:rPr>
                <w:b/>
                <w:bCs/>
              </w:rPr>
              <w:t xml:space="preserve"> Door deze controles wordt voorkomen dat producten die niet aan deze eisen voldoen de EU-markt opkomen. Wanneer er sporen van niet toegestane stoffen worden aangetroffen wordt hiernaar gehandeld door de Europese Commissie en de</w:t>
            </w:r>
            <w:r w:rsidRPr="00424F3D">
              <w:rPr>
                <w:b/>
                <w:bCs/>
              </w:rPr>
              <w:t xml:space="preserve"> nationale autoriteiten, net zoals er wordt opgetreden wanneer er niet toegestane stoffen worden aangetroffen op binnen de EU geproduceerde voedselproducten. Momenteel is de NVWA, zoals aangegeven in het antwoord op vraag 19, bezig om nader onderzoek te doen naar deze specifieke casus. </w:t>
            </w:r>
          </w:p>
          <w:p w:rsidRPr="00B84E3B" w:rsidR="006D14F9" w:rsidP="00424F3D" w:rsidRDefault="006D14F9" w14:paraId="2DAD8312" w14:textId="3C61E0A6">
            <w:pPr>
              <w:tabs>
                <w:tab w:val="left" w:pos="980"/>
              </w:tabs>
            </w:pPr>
          </w:p>
        </w:tc>
        <w:tc>
          <w:tcPr>
            <w:tcW w:w="850" w:type="dxa"/>
          </w:tcPr>
          <w:p w:rsidRPr="00B84E3B" w:rsidR="005D2945" w:rsidRDefault="005D2945" w14:paraId="748A0E8C" w14:textId="3393A987">
            <w:pPr>
              <w:jc w:val="right"/>
            </w:pPr>
          </w:p>
        </w:tc>
        <w:tc>
          <w:tcPr>
            <w:tcW w:w="992" w:type="dxa"/>
          </w:tcPr>
          <w:p w:rsidRPr="00B84E3B" w:rsidR="005D2945" w:rsidRDefault="005D2945" w14:paraId="6F5CF5DC" w14:textId="77777777">
            <w:pPr>
              <w:jc w:val="right"/>
            </w:pPr>
          </w:p>
        </w:tc>
        <w:tc>
          <w:tcPr>
            <w:tcW w:w="567" w:type="dxa"/>
          </w:tcPr>
          <w:p w:rsidRPr="00B84E3B" w:rsidR="005D2945" w:rsidRDefault="001856D0" w14:paraId="5C50F36E" w14:textId="77777777">
            <w:pPr>
              <w:jc w:val="right"/>
            </w:pPr>
            <w:r w:rsidRPr="00B84E3B">
              <w:t xml:space="preserve"> </w:t>
            </w:r>
          </w:p>
        </w:tc>
      </w:tr>
      <w:tr w:rsidRPr="00B84E3B" w:rsidR="005D2945" w:rsidTr="00B84E3B" w14:paraId="4BE2E707" w14:textId="77777777">
        <w:tc>
          <w:tcPr>
            <w:tcW w:w="585" w:type="dxa"/>
          </w:tcPr>
          <w:p w:rsidRPr="00B84E3B" w:rsidR="005D2945" w:rsidRDefault="001856D0" w14:paraId="5B50372E" w14:textId="77777777">
            <w:r w:rsidRPr="00B84E3B">
              <w:t>23</w:t>
            </w:r>
          </w:p>
        </w:tc>
        <w:tc>
          <w:tcPr>
            <w:tcW w:w="6503" w:type="dxa"/>
          </w:tcPr>
          <w:p w:rsidRPr="00B84E3B" w:rsidR="003F0923" w:rsidP="003F0923" w:rsidRDefault="001856D0" w14:paraId="0BAAD9A5" w14:textId="77777777">
            <w:r w:rsidRPr="00B84E3B">
              <w:t>Hoe heeft de NVWA gehandeld vanaf het moment dat bekend werd dat consignaties Braziliaans rundvlees met verboden hormonen de EU waren binnengekomen, en welke concrete stappen zijn in Nederland gezet om deze producten uit de handel te halen?</w:t>
            </w:r>
          </w:p>
          <w:p w:rsidRPr="00B84E3B" w:rsidR="003F0923" w:rsidP="003F0923" w:rsidRDefault="003F0923" w14:paraId="346C450A" w14:textId="77777777"/>
          <w:p w:rsidRPr="00B84E3B" w:rsidR="003F0923" w:rsidP="003F0923" w:rsidRDefault="003F0923" w14:paraId="38A17004" w14:textId="77777777">
            <w:pPr>
              <w:rPr>
                <w:b/>
                <w:bCs/>
              </w:rPr>
            </w:pPr>
            <w:r w:rsidRPr="00B84E3B">
              <w:rPr>
                <w:b/>
                <w:bCs/>
              </w:rPr>
              <w:t>Antwoord</w:t>
            </w:r>
          </w:p>
          <w:p w:rsidRPr="00424F3D" w:rsidR="00CF76B3" w:rsidP="00CF76B3" w:rsidRDefault="00CF76B3" w14:paraId="2779C696" w14:textId="754F3E46">
            <w:pPr>
              <w:rPr>
                <w:b/>
                <w:bCs/>
              </w:rPr>
            </w:pPr>
            <w:r w:rsidRPr="00424F3D">
              <w:rPr>
                <w:b/>
                <w:bCs/>
              </w:rPr>
              <w:t xml:space="preserve">Zie </w:t>
            </w:r>
            <w:r w:rsidRPr="00424F3D" w:rsidR="00BD1C9F">
              <w:rPr>
                <w:b/>
                <w:bCs/>
              </w:rPr>
              <w:t xml:space="preserve">het antwoord op </w:t>
            </w:r>
            <w:r w:rsidRPr="00424F3D">
              <w:rPr>
                <w:b/>
                <w:bCs/>
              </w:rPr>
              <w:t>vraag 19</w:t>
            </w:r>
            <w:r w:rsidRPr="00424F3D" w:rsidR="00765937">
              <w:rPr>
                <w:b/>
                <w:bCs/>
              </w:rPr>
              <w:t>.</w:t>
            </w:r>
          </w:p>
          <w:p w:rsidRPr="00B84E3B" w:rsidR="006D14F9" w:rsidRDefault="006D14F9" w14:paraId="2F61B3B5" w14:textId="101BB547"/>
        </w:tc>
        <w:tc>
          <w:tcPr>
            <w:tcW w:w="850" w:type="dxa"/>
          </w:tcPr>
          <w:p w:rsidRPr="00B84E3B" w:rsidR="005D2945" w:rsidRDefault="005D2945" w14:paraId="5237F1FB" w14:textId="42DB753D">
            <w:pPr>
              <w:jc w:val="right"/>
            </w:pPr>
          </w:p>
        </w:tc>
        <w:tc>
          <w:tcPr>
            <w:tcW w:w="992" w:type="dxa"/>
          </w:tcPr>
          <w:p w:rsidRPr="00B84E3B" w:rsidR="005D2945" w:rsidRDefault="005D2945" w14:paraId="474B121C" w14:textId="77777777">
            <w:pPr>
              <w:jc w:val="right"/>
            </w:pPr>
          </w:p>
        </w:tc>
        <w:tc>
          <w:tcPr>
            <w:tcW w:w="567" w:type="dxa"/>
          </w:tcPr>
          <w:p w:rsidRPr="00B84E3B" w:rsidR="005D2945" w:rsidRDefault="001856D0" w14:paraId="2602938A" w14:textId="77777777">
            <w:pPr>
              <w:jc w:val="right"/>
            </w:pPr>
            <w:r w:rsidRPr="00B84E3B">
              <w:t xml:space="preserve"> </w:t>
            </w:r>
          </w:p>
        </w:tc>
      </w:tr>
      <w:tr w:rsidRPr="00B84E3B" w:rsidR="005D2945" w:rsidTr="00B84E3B" w14:paraId="7078F1F8" w14:textId="77777777">
        <w:tc>
          <w:tcPr>
            <w:tcW w:w="585" w:type="dxa"/>
          </w:tcPr>
          <w:p w:rsidRPr="00B84E3B" w:rsidR="005D2945" w:rsidRDefault="001856D0" w14:paraId="5AC5E5D6" w14:textId="77777777">
            <w:r w:rsidRPr="00B84E3B">
              <w:t>24</w:t>
            </w:r>
          </w:p>
        </w:tc>
        <w:tc>
          <w:tcPr>
            <w:tcW w:w="6503" w:type="dxa"/>
          </w:tcPr>
          <w:p w:rsidRPr="00B84E3B" w:rsidR="003F0923" w:rsidP="003F0923" w:rsidRDefault="001856D0" w14:paraId="25CE16CA" w14:textId="77777777">
            <w:r w:rsidRPr="00B84E3B">
              <w:t>Beschikt de NVWA over voldoende capaciteit en bevoegdheden om structureler te testen op verboden hormonen en antibiotica in geïmporteerd vlees uit derde landen, inclusief Brazilië, en zo nee, welke versterkingen acht u nodig?</w:t>
            </w:r>
          </w:p>
          <w:p w:rsidRPr="00B84E3B" w:rsidR="003F0923" w:rsidP="003F0923" w:rsidRDefault="003F0923" w14:paraId="6E4D06F7" w14:textId="77777777"/>
          <w:p w:rsidRPr="00B84E3B" w:rsidR="003F0923" w:rsidP="003F0923" w:rsidRDefault="003F0923" w14:paraId="1C112BCB" w14:textId="77777777">
            <w:pPr>
              <w:rPr>
                <w:b/>
                <w:bCs/>
              </w:rPr>
            </w:pPr>
            <w:r w:rsidRPr="00B84E3B">
              <w:rPr>
                <w:b/>
                <w:bCs/>
              </w:rPr>
              <w:t>Antwoord</w:t>
            </w:r>
          </w:p>
          <w:p w:rsidRPr="00061843" w:rsidR="00B3075F" w:rsidP="00B3075F" w:rsidRDefault="00B3075F" w14:paraId="6198FEAB" w14:textId="77777777">
            <w:pPr>
              <w:rPr>
                <w:b/>
                <w:bCs/>
              </w:rPr>
            </w:pPr>
            <w:r w:rsidRPr="00061843">
              <w:rPr>
                <w:b/>
                <w:bCs/>
              </w:rPr>
              <w:t xml:space="preserve">Zoals aangegeven in het antwoord op vraag 22 is er een drieledig systeem van controle op geïmporteerde producten. Voor de invoer van producten zijn binnen de Europese Unie afspraken gemaakt, die in Verordeningen zijn vastgelegd. Deze afspraken betreffen welke voedselveiligheidsgaranties er voor de te importeren producten moeten worden afgegeven.  Deze afspraken zijn niet afhankelijk van de volumes die geïmporteerd worden. </w:t>
            </w:r>
          </w:p>
          <w:p w:rsidRPr="00061843" w:rsidR="00B3075F" w:rsidP="00B3075F" w:rsidRDefault="00B3075F" w14:paraId="456EE14E" w14:textId="77777777">
            <w:pPr>
              <w:rPr>
                <w:b/>
                <w:bCs/>
              </w:rPr>
            </w:pPr>
            <w:r w:rsidRPr="00061843">
              <w:rPr>
                <w:b/>
                <w:bCs/>
              </w:rPr>
              <w:t xml:space="preserve">Op dit moment wordt er door de EU al intensief gecontroleerd op o.a. vleesproducten uit Brazilië. Rundvlees uit Brazilië wordt aanzienlijk vaker gecontroleerd dan gemiddeld en voor pluimveevlees uit Brazilië is dit zelfs 100%. Wanneer verboden stoffen worden aangetroffen kunnen partijen worden tegengehouden en waar nodig getraceerd en vernietigd. </w:t>
            </w:r>
          </w:p>
          <w:p w:rsidRPr="00061843" w:rsidR="00B3075F" w:rsidP="00B3075F" w:rsidRDefault="00B3075F" w14:paraId="49C6387D" w14:textId="6E7DA24A">
            <w:pPr>
              <w:rPr>
                <w:b/>
                <w:bCs/>
              </w:rPr>
            </w:pPr>
            <w:r w:rsidRPr="00061843">
              <w:rPr>
                <w:b/>
                <w:bCs/>
              </w:rPr>
              <w:t>Op 9 december jl. is door de Europese Commissie een verdere intensivering aangekondigd van de audits in derde landen (de Commissie is voornemens het aantal audits met 50% te verhogen) en de controles aan de EU buitengrens waar het gaat om geïmporteerde voedselproducten.</w:t>
            </w:r>
            <w:r w:rsidRPr="00061843">
              <w:rPr>
                <w:rStyle w:val="FootnoteReference"/>
                <w:rFonts w:eastAsiaTheme="majorEastAsia"/>
                <w:b/>
                <w:bCs/>
              </w:rPr>
              <w:footnoteReference w:id="4"/>
            </w:r>
            <w:r w:rsidRPr="00061843">
              <w:rPr>
                <w:b/>
                <w:bCs/>
              </w:rPr>
              <w:t xml:space="preserve"> </w:t>
            </w:r>
          </w:p>
          <w:p w:rsidRPr="00B84E3B" w:rsidR="006D14F9" w:rsidP="00061843" w:rsidRDefault="006D14F9" w14:paraId="750F2AF7" w14:textId="641AC6FB"/>
        </w:tc>
        <w:tc>
          <w:tcPr>
            <w:tcW w:w="850" w:type="dxa"/>
          </w:tcPr>
          <w:p w:rsidRPr="00B84E3B" w:rsidR="005D2945" w:rsidRDefault="005D2945" w14:paraId="61F038F8" w14:textId="6A5F3DFA">
            <w:pPr>
              <w:jc w:val="right"/>
            </w:pPr>
          </w:p>
        </w:tc>
        <w:tc>
          <w:tcPr>
            <w:tcW w:w="992" w:type="dxa"/>
          </w:tcPr>
          <w:p w:rsidRPr="00B84E3B" w:rsidR="005D2945" w:rsidRDefault="005D2945" w14:paraId="57C66A05" w14:textId="77777777">
            <w:pPr>
              <w:jc w:val="right"/>
            </w:pPr>
          </w:p>
        </w:tc>
        <w:tc>
          <w:tcPr>
            <w:tcW w:w="567" w:type="dxa"/>
          </w:tcPr>
          <w:p w:rsidRPr="00B84E3B" w:rsidR="005D2945" w:rsidRDefault="001856D0" w14:paraId="71DE192E" w14:textId="77777777">
            <w:pPr>
              <w:jc w:val="right"/>
            </w:pPr>
            <w:r w:rsidRPr="00B84E3B">
              <w:t xml:space="preserve"> </w:t>
            </w:r>
          </w:p>
        </w:tc>
      </w:tr>
      <w:tr w:rsidRPr="00B84E3B" w:rsidR="005D2945" w:rsidTr="00B84E3B" w14:paraId="1CFF6A48" w14:textId="77777777">
        <w:tc>
          <w:tcPr>
            <w:tcW w:w="585" w:type="dxa"/>
          </w:tcPr>
          <w:p w:rsidRPr="00B84E3B" w:rsidR="005D2945" w:rsidRDefault="001856D0" w14:paraId="6AE7A576" w14:textId="77777777">
            <w:r w:rsidRPr="00B84E3B">
              <w:t>25</w:t>
            </w:r>
          </w:p>
        </w:tc>
        <w:tc>
          <w:tcPr>
            <w:tcW w:w="6503" w:type="dxa"/>
          </w:tcPr>
          <w:p w:rsidRPr="00B84E3B" w:rsidR="003F0923" w:rsidP="1C9D7522" w:rsidRDefault="1C9D7522" w14:paraId="2AF8295D" w14:textId="77777777">
            <w:bookmarkStart w:name="_Hlk216197180" w:id="3"/>
            <w:r w:rsidRPr="00B84E3B">
              <w:t>Welke gevolgen verbindt u aan deze affaire voor de Nederlandse inzet ten aanzien van de (voortgezette) onderhandelingen en eventuele ratificatie van het EU‑</w:t>
            </w:r>
            <w:proofErr w:type="spellStart"/>
            <w:r w:rsidRPr="00B84E3B">
              <w:t>Mercosur</w:t>
            </w:r>
            <w:proofErr w:type="spellEnd"/>
            <w:r w:rsidRPr="00B84E3B">
              <w:t>‑handelsakkoord, gezien de zorgen over hormoongebruik, antibiotica en marktverstoring in de Europese veehouderij?</w:t>
            </w:r>
          </w:p>
          <w:p w:rsidRPr="00B84E3B" w:rsidR="003F0923" w:rsidP="1C9D7522" w:rsidRDefault="003F0923" w14:paraId="0D57A689" w14:textId="77777777"/>
          <w:p w:rsidRPr="00B84E3B" w:rsidR="003F0923" w:rsidP="1C9D7522" w:rsidRDefault="1C9D7522" w14:paraId="769C8FC3" w14:textId="77777777">
            <w:pPr>
              <w:rPr>
                <w:b/>
                <w:bCs/>
              </w:rPr>
            </w:pPr>
            <w:r w:rsidRPr="00B84E3B">
              <w:rPr>
                <w:b/>
                <w:bCs/>
              </w:rPr>
              <w:t>Antwoord</w:t>
            </w:r>
          </w:p>
          <w:bookmarkEnd w:id="3"/>
          <w:p w:rsidRPr="00061843" w:rsidR="00B3075F" w:rsidP="1C9D7522" w:rsidRDefault="00B3075F" w14:paraId="7858D1E6" w14:textId="49EEAE20">
            <w:pPr>
              <w:rPr>
                <w:b/>
                <w:bCs/>
              </w:rPr>
            </w:pPr>
            <w:r w:rsidRPr="00061843">
              <w:rPr>
                <w:b/>
                <w:bCs/>
              </w:rPr>
              <w:t xml:space="preserve">Het incident met deze partij rundvlees staat los van het </w:t>
            </w:r>
            <w:proofErr w:type="spellStart"/>
            <w:r w:rsidRPr="00061843">
              <w:rPr>
                <w:b/>
                <w:bCs/>
              </w:rPr>
              <w:t>Mercosur</w:t>
            </w:r>
            <w:proofErr w:type="spellEnd"/>
            <w:r w:rsidRPr="00061843">
              <w:rPr>
                <w:b/>
                <w:bCs/>
              </w:rPr>
              <w:t xml:space="preserve"> akkoord. Producten worden immers nu ook, dus  zonder akkoord, geïmporteerd, en moeten daarbij voldoen aan de EU SPS eisen. </w:t>
            </w:r>
            <w:r w:rsidR="00551048">
              <w:rPr>
                <w:b/>
                <w:bCs/>
              </w:rPr>
              <w:t>I</w:t>
            </w:r>
            <w:r w:rsidRPr="00061843">
              <w:rPr>
                <w:b/>
                <w:bCs/>
              </w:rPr>
              <w:t>n deze context is het goed dat de Commissie op 9 december jl. heeft bevestigd het aantal controles en audits in derde landen te verhogen. Het kabinet zal de resultaten van deze audits en controles actief blijven monitoren. Met het versturen van de kabinetsappreciatie op 14 november jl. heeft het kabinet de Kamer op de hoogte gesteld van het voorgenomen standpunt over het EU-</w:t>
            </w:r>
            <w:proofErr w:type="spellStart"/>
            <w:r w:rsidRPr="00061843">
              <w:rPr>
                <w:b/>
                <w:bCs/>
              </w:rPr>
              <w:t>Mercosur</w:t>
            </w:r>
            <w:proofErr w:type="spellEnd"/>
            <w:r w:rsidRPr="00061843">
              <w:rPr>
                <w:b/>
                <w:bCs/>
              </w:rPr>
              <w:t xml:space="preserve"> akkoord.</w:t>
            </w:r>
            <w:r w:rsidRPr="00061843">
              <w:rPr>
                <w:b/>
                <w:bCs/>
                <w:vertAlign w:val="superscript"/>
              </w:rPr>
              <w:footnoteReference w:id="5"/>
            </w:r>
            <w:r w:rsidRPr="00061843">
              <w:rPr>
                <w:b/>
                <w:bCs/>
              </w:rPr>
              <w:t xml:space="preserve"> De appreciatie is uitgebreid besproken met uw Kamer tijdens het Commissiedebat over de RBZ Handel van 19 november jl.</w:t>
            </w:r>
          </w:p>
          <w:p w:rsidRPr="00B84E3B" w:rsidR="006D14F9" w:rsidRDefault="006D14F9" w14:paraId="53C38F23" w14:textId="193E2BF2"/>
        </w:tc>
        <w:tc>
          <w:tcPr>
            <w:tcW w:w="850" w:type="dxa"/>
          </w:tcPr>
          <w:p w:rsidRPr="00B84E3B" w:rsidR="005D2945" w:rsidRDefault="005D2945" w14:paraId="10570184" w14:textId="62D98ECA">
            <w:pPr>
              <w:jc w:val="right"/>
            </w:pPr>
          </w:p>
        </w:tc>
        <w:tc>
          <w:tcPr>
            <w:tcW w:w="992" w:type="dxa"/>
          </w:tcPr>
          <w:p w:rsidRPr="00B84E3B" w:rsidR="005D2945" w:rsidRDefault="005D2945" w14:paraId="74E1E996" w14:textId="77777777">
            <w:pPr>
              <w:jc w:val="right"/>
            </w:pPr>
          </w:p>
        </w:tc>
        <w:tc>
          <w:tcPr>
            <w:tcW w:w="567" w:type="dxa"/>
          </w:tcPr>
          <w:p w:rsidRPr="00B84E3B" w:rsidR="005D2945" w:rsidRDefault="001856D0" w14:paraId="19CB0805" w14:textId="77777777">
            <w:pPr>
              <w:jc w:val="right"/>
            </w:pPr>
            <w:r w:rsidRPr="00B84E3B">
              <w:t xml:space="preserve"> </w:t>
            </w:r>
          </w:p>
        </w:tc>
      </w:tr>
      <w:tr w:rsidRPr="00B84E3B" w:rsidR="005D2945" w:rsidTr="00B84E3B" w14:paraId="551D0176" w14:textId="77777777">
        <w:tc>
          <w:tcPr>
            <w:tcW w:w="585" w:type="dxa"/>
          </w:tcPr>
          <w:p w:rsidRPr="00B84E3B" w:rsidR="005D2945" w:rsidRDefault="001856D0" w14:paraId="0D9D040E" w14:textId="6A79609E">
            <w:r w:rsidRPr="00B84E3B">
              <w:t>26</w:t>
            </w:r>
          </w:p>
        </w:tc>
        <w:tc>
          <w:tcPr>
            <w:tcW w:w="6503" w:type="dxa"/>
          </w:tcPr>
          <w:p w:rsidRPr="00B84E3B" w:rsidR="003F0923" w:rsidP="003F0923" w:rsidRDefault="001856D0" w14:paraId="22FECEE7" w14:textId="6EB6F54D">
            <w:r w:rsidRPr="00B84E3B">
              <w:t xml:space="preserve">Op welke wijze is in de begroting rekening gehouden met de voorbereiding van COP17 van de </w:t>
            </w:r>
            <w:proofErr w:type="spellStart"/>
            <w:r w:rsidRPr="00B84E3B">
              <w:t>Convention</w:t>
            </w:r>
            <w:proofErr w:type="spellEnd"/>
            <w:r w:rsidRPr="00B84E3B">
              <w:t xml:space="preserve"> on </w:t>
            </w:r>
            <w:proofErr w:type="spellStart"/>
            <w:r w:rsidRPr="00B84E3B">
              <w:t>Biological</w:t>
            </w:r>
            <w:proofErr w:type="spellEnd"/>
            <w:r w:rsidRPr="00B84E3B">
              <w:t xml:space="preserve"> </w:t>
            </w:r>
            <w:proofErr w:type="spellStart"/>
            <w:r w:rsidRPr="00B84E3B">
              <w:t>Diversity</w:t>
            </w:r>
            <w:proofErr w:type="spellEnd"/>
            <w:r w:rsidRPr="00B84E3B">
              <w:t xml:space="preserve"> in 2026?</w:t>
            </w:r>
          </w:p>
          <w:p w:rsidRPr="00061843" w:rsidR="003F0923" w:rsidP="003F0923" w:rsidRDefault="003F0923" w14:paraId="2454436B" w14:textId="5B540DC8">
            <w:pPr>
              <w:rPr>
                <w:b/>
                <w:bCs/>
              </w:rPr>
            </w:pPr>
          </w:p>
          <w:p w:rsidR="00FE2A49" w:rsidP="003F0923" w:rsidRDefault="00FE2A49" w14:paraId="292198E2" w14:textId="77777777">
            <w:pPr>
              <w:rPr>
                <w:b/>
                <w:bCs/>
              </w:rPr>
            </w:pPr>
          </w:p>
          <w:p w:rsidRPr="00061843" w:rsidR="003F0923" w:rsidP="003F0923" w:rsidRDefault="003F0923" w14:paraId="4FAB2EFF" w14:textId="55C2B188">
            <w:pPr>
              <w:rPr>
                <w:b/>
                <w:bCs/>
              </w:rPr>
            </w:pPr>
            <w:r w:rsidRPr="00061843">
              <w:rPr>
                <w:b/>
                <w:bCs/>
              </w:rPr>
              <w:lastRenderedPageBreak/>
              <w:t>Antwoord</w:t>
            </w:r>
          </w:p>
          <w:p w:rsidRPr="00061843" w:rsidR="001C1EBE" w:rsidRDefault="001C1EBE" w14:paraId="62F87E6F" w14:textId="5B99E8C6">
            <w:pPr>
              <w:rPr>
                <w:b/>
                <w:bCs/>
              </w:rPr>
            </w:pPr>
            <w:r w:rsidRPr="00061843">
              <w:rPr>
                <w:b/>
                <w:bCs/>
              </w:rPr>
              <w:t xml:space="preserve">Binnen de begroting voor BHO worden diverse projecten ondersteund die bijdragen aan het behoud </w:t>
            </w:r>
            <w:r w:rsidRPr="00061843" w:rsidR="00324DF3">
              <w:rPr>
                <w:b/>
                <w:bCs/>
              </w:rPr>
              <w:t xml:space="preserve">en duurzaam gebruik </w:t>
            </w:r>
            <w:r w:rsidRPr="00061843">
              <w:rPr>
                <w:b/>
                <w:bCs/>
              </w:rPr>
              <w:t xml:space="preserve">van biodiversiteit in ontwikkelingslanden. Dit wordt net als bij klimaatfinanciering bijgehouden </w:t>
            </w:r>
            <w:r w:rsidRPr="00061843" w:rsidR="00EA2604">
              <w:rPr>
                <w:b/>
                <w:bCs/>
              </w:rPr>
              <w:t>door per project in de administratie vast te leggen in welke mate het project bijdraagt aan het thema.</w:t>
            </w:r>
            <w:r w:rsidRPr="00061843">
              <w:rPr>
                <w:b/>
                <w:bCs/>
              </w:rPr>
              <w:t xml:space="preserve"> In 2024 bedroeg het totaal </w:t>
            </w:r>
            <w:r w:rsidRPr="00061843" w:rsidR="00324DF3">
              <w:rPr>
                <w:b/>
                <w:bCs/>
              </w:rPr>
              <w:t xml:space="preserve">aan biodiversiteitsrelevante financiering vanuit de BHO-begroting 276 miljoen euro. </w:t>
            </w:r>
            <w:r w:rsidRPr="00061843">
              <w:rPr>
                <w:b/>
                <w:bCs/>
              </w:rPr>
              <w:t xml:space="preserve"> </w:t>
            </w:r>
            <w:r w:rsidRPr="00061843" w:rsidR="006A4E8B">
              <w:rPr>
                <w:b/>
                <w:bCs/>
              </w:rPr>
              <w:t xml:space="preserve">De verdragscontributie voor de </w:t>
            </w:r>
            <w:proofErr w:type="spellStart"/>
            <w:r w:rsidRPr="00061843" w:rsidR="00E2659E">
              <w:rPr>
                <w:b/>
                <w:bCs/>
              </w:rPr>
              <w:t>Convention</w:t>
            </w:r>
            <w:proofErr w:type="spellEnd"/>
            <w:r w:rsidRPr="00061843" w:rsidR="00E2659E">
              <w:rPr>
                <w:b/>
                <w:bCs/>
              </w:rPr>
              <w:t xml:space="preserve"> on </w:t>
            </w:r>
            <w:proofErr w:type="spellStart"/>
            <w:r w:rsidRPr="00061843" w:rsidR="00E2659E">
              <w:rPr>
                <w:b/>
                <w:bCs/>
              </w:rPr>
              <w:t>Biological</w:t>
            </w:r>
            <w:proofErr w:type="spellEnd"/>
            <w:r w:rsidRPr="00061843" w:rsidR="00E2659E">
              <w:rPr>
                <w:b/>
                <w:bCs/>
              </w:rPr>
              <w:t xml:space="preserve"> </w:t>
            </w:r>
            <w:proofErr w:type="spellStart"/>
            <w:r w:rsidRPr="00061843" w:rsidR="00E2659E">
              <w:rPr>
                <w:b/>
                <w:bCs/>
              </w:rPr>
              <w:t>Diversity</w:t>
            </w:r>
            <w:proofErr w:type="spellEnd"/>
            <w:r w:rsidRPr="00061843" w:rsidR="00E2659E">
              <w:rPr>
                <w:b/>
                <w:bCs/>
              </w:rPr>
              <w:t xml:space="preserve"> (</w:t>
            </w:r>
            <w:r w:rsidRPr="00061843" w:rsidR="006A4E8B">
              <w:rPr>
                <w:b/>
                <w:bCs/>
              </w:rPr>
              <w:t>CBD</w:t>
            </w:r>
            <w:r w:rsidRPr="00061843" w:rsidR="00E2659E">
              <w:rPr>
                <w:b/>
                <w:bCs/>
              </w:rPr>
              <w:t>)</w:t>
            </w:r>
            <w:r w:rsidRPr="00061843" w:rsidR="006A4E8B">
              <w:rPr>
                <w:b/>
                <w:bCs/>
              </w:rPr>
              <w:t xml:space="preserve"> komt uit de begroting van het ministerie van LVVN. Voorafgaand aan COP17 zal uw Kamer door de staatssecretaris van LVVN worden geïnformeerd over de kabinetsinzet voor de COP.</w:t>
            </w:r>
            <w:r w:rsidRPr="00061843">
              <w:rPr>
                <w:b/>
                <w:bCs/>
              </w:rPr>
              <w:t xml:space="preserve"> </w:t>
            </w:r>
          </w:p>
          <w:p w:rsidRPr="00B84E3B" w:rsidR="006D14F9" w:rsidRDefault="006D14F9" w14:paraId="5BB153E4" w14:textId="5E183B2D"/>
        </w:tc>
        <w:tc>
          <w:tcPr>
            <w:tcW w:w="850" w:type="dxa"/>
          </w:tcPr>
          <w:p w:rsidRPr="00B84E3B" w:rsidR="005D2945" w:rsidRDefault="005D2945" w14:paraId="3CEC449E" w14:textId="403F578B">
            <w:pPr>
              <w:jc w:val="right"/>
            </w:pPr>
          </w:p>
        </w:tc>
        <w:tc>
          <w:tcPr>
            <w:tcW w:w="992" w:type="dxa"/>
          </w:tcPr>
          <w:p w:rsidRPr="00B84E3B" w:rsidR="005D2945" w:rsidRDefault="005D2945" w14:paraId="4F1145BA" w14:textId="77777777">
            <w:pPr>
              <w:jc w:val="right"/>
            </w:pPr>
          </w:p>
        </w:tc>
        <w:tc>
          <w:tcPr>
            <w:tcW w:w="567" w:type="dxa"/>
          </w:tcPr>
          <w:p w:rsidRPr="00B84E3B" w:rsidR="005D2945" w:rsidRDefault="001856D0" w14:paraId="64ACD2B9" w14:textId="77777777">
            <w:pPr>
              <w:jc w:val="right"/>
            </w:pPr>
            <w:r w:rsidRPr="00B84E3B">
              <w:t xml:space="preserve"> </w:t>
            </w:r>
          </w:p>
        </w:tc>
      </w:tr>
      <w:tr w:rsidRPr="00B84E3B" w:rsidR="005D2945" w:rsidTr="00B84E3B" w14:paraId="5C6BFD43" w14:textId="77777777">
        <w:tc>
          <w:tcPr>
            <w:tcW w:w="585" w:type="dxa"/>
          </w:tcPr>
          <w:p w:rsidRPr="00B84E3B" w:rsidR="005D2945" w:rsidRDefault="001856D0" w14:paraId="54CDE82E" w14:textId="77777777">
            <w:r w:rsidRPr="00B84E3B">
              <w:t>27</w:t>
            </w:r>
          </w:p>
        </w:tc>
        <w:tc>
          <w:tcPr>
            <w:tcW w:w="6503" w:type="dxa"/>
          </w:tcPr>
          <w:p w:rsidRPr="00B84E3B" w:rsidR="003F0923" w:rsidP="1C9D7522" w:rsidRDefault="1C9D7522" w14:paraId="50551468" w14:textId="77777777">
            <w:r w:rsidRPr="00B84E3B">
              <w:t>Hoe verhoudt de inzet op IMVO-normen zich tot de wens van het kabinet tot regeldrukbeperking voor het bedrijfsleven? Welke inzet heeft de prioriteit?</w:t>
            </w:r>
          </w:p>
          <w:p w:rsidRPr="00B84E3B" w:rsidR="003F0923" w:rsidP="1C9D7522" w:rsidRDefault="003F0923" w14:paraId="6AFCBF4F" w14:textId="77777777"/>
          <w:p w:rsidRPr="00B84E3B" w:rsidR="003F0923" w:rsidP="1C9D7522" w:rsidRDefault="1C9D7522" w14:paraId="7D441841" w14:textId="77777777">
            <w:pPr>
              <w:rPr>
                <w:b/>
                <w:bCs/>
              </w:rPr>
            </w:pPr>
            <w:r w:rsidRPr="00B84E3B">
              <w:rPr>
                <w:b/>
                <w:bCs/>
              </w:rPr>
              <w:t>Antwoord</w:t>
            </w:r>
          </w:p>
          <w:p w:rsidRPr="00061843" w:rsidR="005D2945" w:rsidP="1C9D7522" w:rsidRDefault="1C9D7522" w14:paraId="438EA137" w14:textId="70A1D4FD">
            <w:pPr>
              <w:rPr>
                <w:b/>
                <w:bCs/>
              </w:rPr>
            </w:pPr>
            <w:r w:rsidRPr="00061843">
              <w:rPr>
                <w:b/>
                <w:bCs/>
              </w:rPr>
              <w:t xml:space="preserve">Het kabinet beschouwt beide punten als belangrijk. In de context van het Omnibus I-traject gaan de twee hand in hand. De inzet van het kabinet, gedeeld in het BNC-fiche over het </w:t>
            </w:r>
            <w:r w:rsidRPr="00FE2A49">
              <w:rPr>
                <w:b/>
                <w:bCs/>
              </w:rPr>
              <w:t xml:space="preserve">Omnibus I-voorstel, was gericht op regeldrukbeperking binnen de CSDDD </w:t>
            </w:r>
            <w:r w:rsidRPr="00FE2A49" w:rsidR="00551048">
              <w:rPr>
                <w:b/>
                <w:bCs/>
              </w:rPr>
              <w:t>met behoud</w:t>
            </w:r>
            <w:r w:rsidRPr="00FE2A49">
              <w:rPr>
                <w:b/>
              </w:rPr>
              <w:t xml:space="preserve"> van de </w:t>
            </w:r>
            <w:r w:rsidRPr="00FE2A49" w:rsidR="00551048">
              <w:rPr>
                <w:b/>
                <w:bCs/>
              </w:rPr>
              <w:t>doelen</w:t>
            </w:r>
            <w:r w:rsidRPr="00FE2A49">
              <w:rPr>
                <w:b/>
                <w:bCs/>
              </w:rPr>
              <w:t>. Een belangrijke prioriteit van de kabinetsinzet betrof versterking van de</w:t>
            </w:r>
            <w:r w:rsidRPr="00061843">
              <w:rPr>
                <w:b/>
                <w:bCs/>
              </w:rPr>
              <w:t xml:space="preserve"> </w:t>
            </w:r>
            <w:proofErr w:type="spellStart"/>
            <w:r w:rsidRPr="00061843">
              <w:rPr>
                <w:b/>
                <w:bCs/>
              </w:rPr>
              <w:t>risicogebaseerde</w:t>
            </w:r>
            <w:proofErr w:type="spellEnd"/>
            <w:r w:rsidRPr="00061843">
              <w:rPr>
                <w:b/>
                <w:bCs/>
              </w:rPr>
              <w:t xml:space="preserve"> benadering binnen de CSDDD. Deze benadering maakt het voor bedrijven mogelijk om zich te richten op situaties waar de risico’s het grootst zijn en dat is vaak verderop in de waardeketen. Deze gerichte aanpak, in combinatie met een beperking van informatie-uitvragen aan ketenpartners, vermindert ook de regeldruk voor bedrijven. Deze inzet is behaald in het voorlopig politiek akkoord dat is gesloten op Omnibus I, waarover uw Kamer middels brief (kenmerk BZ2523162) separaat is geïnformeerd. Met deze benadering wordt zowel bijgedragen aan regeldrukvermindering voor bedrijven, als positieve impact in </w:t>
            </w:r>
            <w:proofErr w:type="spellStart"/>
            <w:r w:rsidRPr="00061843">
              <w:rPr>
                <w:b/>
                <w:bCs/>
              </w:rPr>
              <w:t>waardeketens</w:t>
            </w:r>
            <w:proofErr w:type="spellEnd"/>
            <w:r w:rsidRPr="00061843">
              <w:rPr>
                <w:b/>
                <w:bCs/>
              </w:rPr>
              <w:t xml:space="preserve">. Zie ook het antwoord op vraag 40. </w:t>
            </w:r>
          </w:p>
          <w:p w:rsidRPr="00B84E3B" w:rsidR="006D14F9" w:rsidRDefault="006D14F9" w14:paraId="7A50FE28" w14:textId="046E2AA8"/>
        </w:tc>
        <w:tc>
          <w:tcPr>
            <w:tcW w:w="850" w:type="dxa"/>
          </w:tcPr>
          <w:p w:rsidRPr="00B84E3B" w:rsidR="005D2945" w:rsidRDefault="005D2945" w14:paraId="10332F62" w14:textId="708D6626">
            <w:pPr>
              <w:jc w:val="right"/>
            </w:pPr>
          </w:p>
        </w:tc>
        <w:tc>
          <w:tcPr>
            <w:tcW w:w="992" w:type="dxa"/>
          </w:tcPr>
          <w:p w:rsidRPr="00B84E3B" w:rsidR="005D2945" w:rsidRDefault="005D2945" w14:paraId="16AD76FB" w14:textId="77777777">
            <w:pPr>
              <w:jc w:val="right"/>
            </w:pPr>
          </w:p>
        </w:tc>
        <w:tc>
          <w:tcPr>
            <w:tcW w:w="567" w:type="dxa"/>
          </w:tcPr>
          <w:p w:rsidRPr="00B84E3B" w:rsidR="005D2945" w:rsidRDefault="001856D0" w14:paraId="17BA2D63" w14:textId="77777777">
            <w:pPr>
              <w:jc w:val="right"/>
            </w:pPr>
            <w:r w:rsidRPr="00B84E3B">
              <w:t xml:space="preserve"> </w:t>
            </w:r>
          </w:p>
        </w:tc>
      </w:tr>
      <w:tr w:rsidRPr="00B84E3B" w:rsidR="005D2945" w:rsidTr="00B84E3B" w14:paraId="2A148C73" w14:textId="77777777">
        <w:tc>
          <w:tcPr>
            <w:tcW w:w="585" w:type="dxa"/>
          </w:tcPr>
          <w:p w:rsidRPr="00B84E3B" w:rsidR="005D2945" w:rsidRDefault="001856D0" w14:paraId="35DFEC6D" w14:textId="77777777">
            <w:r w:rsidRPr="00B84E3B">
              <w:t>28</w:t>
            </w:r>
          </w:p>
        </w:tc>
        <w:tc>
          <w:tcPr>
            <w:tcW w:w="6503" w:type="dxa"/>
          </w:tcPr>
          <w:p w:rsidRPr="00B84E3B" w:rsidR="003F0923" w:rsidP="003F0923" w:rsidRDefault="001856D0" w14:paraId="5C049527" w14:textId="77777777">
            <w:r w:rsidRPr="00B84E3B">
              <w:t xml:space="preserve">Aan welke projecten voor Global </w:t>
            </w:r>
            <w:proofErr w:type="spellStart"/>
            <w:r w:rsidRPr="00B84E3B">
              <w:t>Getaway</w:t>
            </w:r>
            <w:proofErr w:type="spellEnd"/>
            <w:r w:rsidRPr="00B84E3B">
              <w:t xml:space="preserve"> draagt Nederland bij? Wat doen deze projecten en hoe draagt Nederland bij?</w:t>
            </w:r>
          </w:p>
          <w:p w:rsidRPr="00B84E3B" w:rsidR="003F0923" w:rsidP="003F0923" w:rsidRDefault="003F0923" w14:paraId="36DADDB9" w14:textId="77777777"/>
          <w:p w:rsidRPr="00B84E3B" w:rsidR="003F0923" w:rsidP="003F0923" w:rsidRDefault="003F0923" w14:paraId="0578D2E9" w14:textId="77777777">
            <w:pPr>
              <w:rPr>
                <w:b/>
                <w:bCs/>
              </w:rPr>
            </w:pPr>
            <w:r w:rsidRPr="00B84E3B">
              <w:rPr>
                <w:b/>
                <w:bCs/>
              </w:rPr>
              <w:t>Antwoord</w:t>
            </w:r>
          </w:p>
          <w:p w:rsidRPr="00061843" w:rsidR="005F0B9F" w:rsidP="00487F44" w:rsidRDefault="005F0B9F" w14:paraId="3670600E" w14:textId="77777777">
            <w:pPr>
              <w:rPr>
                <w:b/>
                <w:bCs/>
              </w:rPr>
            </w:pPr>
            <w:r w:rsidRPr="00061843">
              <w:rPr>
                <w:b/>
                <w:bCs/>
              </w:rPr>
              <w:t xml:space="preserve">Global Gateway is een strategie en wordt geïmplementeerd via een veelheid aan programma’s, instrumenten en budgetten, zowel van de EU als van lidstaten. </w:t>
            </w:r>
          </w:p>
          <w:p w:rsidRPr="00061843" w:rsidR="00487F44" w:rsidP="00487F44" w:rsidRDefault="00487F44" w14:paraId="68CEA217" w14:textId="63C5CDAD">
            <w:pPr>
              <w:rPr>
                <w:b/>
                <w:bCs/>
              </w:rPr>
            </w:pPr>
            <w:r w:rsidRPr="00061843">
              <w:rPr>
                <w:b/>
                <w:bCs/>
              </w:rPr>
              <w:t xml:space="preserve">Nederland werkt proactief aan vier innovatieve en </w:t>
            </w:r>
            <w:proofErr w:type="spellStart"/>
            <w:r w:rsidRPr="00061843">
              <w:rPr>
                <w:b/>
                <w:bCs/>
              </w:rPr>
              <w:t>transformatieve</w:t>
            </w:r>
            <w:proofErr w:type="spellEnd"/>
            <w:r w:rsidRPr="00061843">
              <w:rPr>
                <w:b/>
                <w:bCs/>
              </w:rPr>
              <w:t xml:space="preserve"> Global Gateway focus projecten. De twee projecten op agrologistiek, in de </w:t>
            </w:r>
            <w:proofErr w:type="spellStart"/>
            <w:r w:rsidRPr="00061843">
              <w:rPr>
                <w:b/>
                <w:bCs/>
              </w:rPr>
              <w:t>Northern</w:t>
            </w:r>
            <w:proofErr w:type="spellEnd"/>
            <w:r w:rsidRPr="00061843">
              <w:rPr>
                <w:b/>
                <w:bCs/>
              </w:rPr>
              <w:t xml:space="preserve"> corridor in Oost Afrika en in de Lobito corridor in Angola, hebben in december 2025 cofinanciering van de EU gekregen via </w:t>
            </w:r>
            <w:proofErr w:type="spellStart"/>
            <w:r w:rsidRPr="00061843">
              <w:rPr>
                <w:b/>
                <w:bCs/>
                <w:i/>
                <w:iCs/>
              </w:rPr>
              <w:t>delegated</w:t>
            </w:r>
            <w:proofErr w:type="spellEnd"/>
            <w:r w:rsidRPr="00061843">
              <w:rPr>
                <w:b/>
                <w:bCs/>
                <w:i/>
                <w:iCs/>
              </w:rPr>
              <w:t xml:space="preserve"> cooperation</w:t>
            </w:r>
            <w:r w:rsidRPr="00061843">
              <w:rPr>
                <w:b/>
                <w:bCs/>
              </w:rPr>
              <w:t xml:space="preserve">, naast de Nederlandse inzet en financiering. </w:t>
            </w:r>
            <w:proofErr w:type="spellStart"/>
            <w:r w:rsidRPr="00061843">
              <w:rPr>
                <w:b/>
                <w:bCs/>
              </w:rPr>
              <w:t>Invest</w:t>
            </w:r>
            <w:proofErr w:type="spellEnd"/>
            <w:r w:rsidRPr="00061843">
              <w:rPr>
                <w:b/>
                <w:bCs/>
              </w:rPr>
              <w:t xml:space="preserve"> International is voor Nederland de centrale organisatie in deze projecten en werkt aan de projectontwikkeling, financiering en implementatie. Ook financieren we Trade Mark Afrika voor inzet op </w:t>
            </w:r>
            <w:proofErr w:type="spellStart"/>
            <w:r w:rsidRPr="00061843">
              <w:rPr>
                <w:b/>
                <w:bCs/>
              </w:rPr>
              <w:t>handelsfacilitatie</w:t>
            </w:r>
            <w:proofErr w:type="spellEnd"/>
            <w:r w:rsidRPr="00061843">
              <w:rPr>
                <w:b/>
                <w:bCs/>
              </w:rPr>
              <w:t xml:space="preserve"> op de </w:t>
            </w:r>
            <w:proofErr w:type="spellStart"/>
            <w:r w:rsidRPr="00061843">
              <w:rPr>
                <w:b/>
                <w:bCs/>
              </w:rPr>
              <w:t>Northern</w:t>
            </w:r>
            <w:proofErr w:type="spellEnd"/>
            <w:r w:rsidRPr="00061843">
              <w:rPr>
                <w:b/>
                <w:bCs/>
              </w:rPr>
              <w:t xml:space="preserve"> corridor. De twee energieprojecten op groene waterstof in Namibië en energietransitie in Indonesië bevinden zich nog in de ontwerp- en voorstelfase. </w:t>
            </w:r>
          </w:p>
          <w:p w:rsidRPr="00061843" w:rsidR="00487F44" w:rsidP="00487F44" w:rsidRDefault="005F0B9F" w14:paraId="15B3E913" w14:textId="39038CCB">
            <w:pPr>
              <w:rPr>
                <w:b/>
                <w:bCs/>
              </w:rPr>
            </w:pPr>
            <w:r w:rsidRPr="00061843">
              <w:rPr>
                <w:b/>
                <w:bCs/>
              </w:rPr>
              <w:t xml:space="preserve">Daarnaast </w:t>
            </w:r>
            <w:r w:rsidRPr="00061843" w:rsidR="00487F44">
              <w:rPr>
                <w:b/>
                <w:bCs/>
              </w:rPr>
              <w:t xml:space="preserve">staan </w:t>
            </w:r>
            <w:r w:rsidRPr="00061843">
              <w:rPr>
                <w:b/>
                <w:bCs/>
              </w:rPr>
              <w:t>op de Europese Global Gateway vlaggenschip lijst</w:t>
            </w:r>
            <w:r w:rsidRPr="00061843" w:rsidR="00487F44">
              <w:rPr>
                <w:b/>
                <w:bCs/>
              </w:rPr>
              <w:t xml:space="preserve"> infrastructuurprojecten op </w:t>
            </w:r>
            <w:r w:rsidRPr="00061843">
              <w:rPr>
                <w:b/>
                <w:bCs/>
              </w:rPr>
              <w:t xml:space="preserve">o.a. </w:t>
            </w:r>
            <w:r w:rsidRPr="00061843" w:rsidR="00487F44">
              <w:rPr>
                <w:b/>
                <w:bCs/>
              </w:rPr>
              <w:t xml:space="preserve">kustbescherming </w:t>
            </w:r>
            <w:r w:rsidRPr="00061843">
              <w:rPr>
                <w:b/>
                <w:bCs/>
              </w:rPr>
              <w:t xml:space="preserve">en energie </w:t>
            </w:r>
            <w:r w:rsidRPr="00061843" w:rsidR="00487F44">
              <w:rPr>
                <w:b/>
                <w:bCs/>
              </w:rPr>
              <w:t xml:space="preserve">gefinancierd door het DRIVE programma. </w:t>
            </w:r>
            <w:r w:rsidRPr="00061843">
              <w:rPr>
                <w:b/>
                <w:bCs/>
              </w:rPr>
              <w:t xml:space="preserve">Ook </w:t>
            </w:r>
            <w:r w:rsidRPr="00061843" w:rsidR="00487F44">
              <w:rPr>
                <w:b/>
                <w:bCs/>
              </w:rPr>
              <w:t xml:space="preserve">kunnen Nederlandse bedrijven, ontwikkelingsorganisaties en kennisinstellingen deelnemen aan </w:t>
            </w:r>
            <w:r w:rsidRPr="00061843">
              <w:rPr>
                <w:b/>
                <w:bCs/>
              </w:rPr>
              <w:t xml:space="preserve">Global Gateway </w:t>
            </w:r>
            <w:r w:rsidRPr="00061843" w:rsidR="00487F44">
              <w:rPr>
                <w:b/>
                <w:bCs/>
              </w:rPr>
              <w:t xml:space="preserve">initiatieven van andere EU lidstaten. </w:t>
            </w:r>
          </w:p>
          <w:p w:rsidRPr="00B84E3B" w:rsidR="006D14F9" w:rsidRDefault="006D14F9" w14:paraId="6A7DD974" w14:textId="10D8E846"/>
        </w:tc>
        <w:tc>
          <w:tcPr>
            <w:tcW w:w="850" w:type="dxa"/>
          </w:tcPr>
          <w:p w:rsidRPr="00B84E3B" w:rsidR="005D2945" w:rsidRDefault="005D2945" w14:paraId="790C1865" w14:textId="7B94C52D">
            <w:pPr>
              <w:jc w:val="right"/>
            </w:pPr>
          </w:p>
        </w:tc>
        <w:tc>
          <w:tcPr>
            <w:tcW w:w="992" w:type="dxa"/>
          </w:tcPr>
          <w:p w:rsidRPr="00B84E3B" w:rsidR="005D2945" w:rsidRDefault="005D2945" w14:paraId="6010D20D" w14:textId="77777777">
            <w:pPr>
              <w:jc w:val="right"/>
            </w:pPr>
          </w:p>
        </w:tc>
        <w:tc>
          <w:tcPr>
            <w:tcW w:w="567" w:type="dxa"/>
          </w:tcPr>
          <w:p w:rsidRPr="00B84E3B" w:rsidR="005D2945" w:rsidRDefault="001856D0" w14:paraId="00572434" w14:textId="77777777">
            <w:pPr>
              <w:jc w:val="right"/>
            </w:pPr>
            <w:r w:rsidRPr="00B84E3B">
              <w:t xml:space="preserve"> </w:t>
            </w:r>
          </w:p>
        </w:tc>
      </w:tr>
      <w:tr w:rsidRPr="00B84E3B" w:rsidR="005D2945" w:rsidTr="00B84E3B" w14:paraId="756A8E79" w14:textId="77777777">
        <w:tc>
          <w:tcPr>
            <w:tcW w:w="585" w:type="dxa"/>
          </w:tcPr>
          <w:p w:rsidRPr="00B84E3B" w:rsidR="005D2945" w:rsidRDefault="001856D0" w14:paraId="715CDC09" w14:textId="77777777">
            <w:r w:rsidRPr="00B84E3B">
              <w:lastRenderedPageBreak/>
              <w:t>29</w:t>
            </w:r>
          </w:p>
        </w:tc>
        <w:tc>
          <w:tcPr>
            <w:tcW w:w="6503" w:type="dxa"/>
          </w:tcPr>
          <w:p w:rsidRPr="00B84E3B" w:rsidR="003F0923" w:rsidP="1C9D7522" w:rsidRDefault="1C9D7522" w14:paraId="3793B7A3" w14:textId="77777777">
            <w:r w:rsidRPr="00B84E3B">
              <w:t>U spreekt vaak over een op regels gebaseerd handelssysteem. Over welke regels heeft u het dan? Hoe kunt u hierover spreken, als er geen – wettelijke – eisen mogen worden gesteld aan importproducten op gebied van milieu, dierenwelzijn en arbeidsomstandigheden?</w:t>
            </w:r>
          </w:p>
          <w:p w:rsidRPr="00B84E3B" w:rsidR="003F0923" w:rsidP="1C9D7522" w:rsidRDefault="003F0923" w14:paraId="38F8AF19" w14:textId="77777777"/>
          <w:p w:rsidRPr="00B84E3B" w:rsidR="003F0923" w:rsidP="1C9D7522" w:rsidRDefault="1C9D7522" w14:paraId="3762257A" w14:textId="77777777">
            <w:pPr>
              <w:rPr>
                <w:b/>
                <w:bCs/>
              </w:rPr>
            </w:pPr>
            <w:r w:rsidRPr="00B84E3B">
              <w:rPr>
                <w:b/>
                <w:bCs/>
              </w:rPr>
              <w:t>Antwoord</w:t>
            </w:r>
          </w:p>
          <w:p w:rsidR="00061843" w:rsidP="1C9D7522" w:rsidRDefault="1C9D7522" w14:paraId="41E703CD" w14:textId="77777777">
            <w:pPr>
              <w:rPr>
                <w:b/>
                <w:bCs/>
              </w:rPr>
            </w:pPr>
            <w:r w:rsidRPr="00061843">
              <w:rPr>
                <w:b/>
                <w:bCs/>
              </w:rPr>
              <w:t>Onder het op regels gebaseerde handelssysteem verstaat het kabinet de verschillende regels die voortvloeien uit de akkoorden van de Wereldhandelsorganisatie (WTO) en de handelsakkoorden die de EU met derde landen heeft gesloten. Circa driekwart van de wereldhandel vindt plaats op basis van WTO-regels, die onder meer zien op tarifaire en non-tarifaire handelsbelemmeringen, subsidies, aanbestedingen, handel in diensten en intellectueel eigendom. In EU handelsakkoorden worden daarnaast door de EU nadere afspraken gemaakt op genoemde terreinen, maar ook op terreinen als investeringen en duurzaamheidsstandaarden ten aanzien van arbeid en milieu. De afspraken in EU handelsakkoorden zijn bindend en afdwingbaar.</w:t>
            </w:r>
            <w:r w:rsidR="00061843">
              <w:rPr>
                <w:b/>
                <w:bCs/>
              </w:rPr>
              <w:t xml:space="preserve"> </w:t>
            </w:r>
            <w:r w:rsidRPr="00061843" w:rsidR="00DF47C9">
              <w:rPr>
                <w:b/>
                <w:bCs/>
              </w:rPr>
              <w:t>Voor regels over handel in goederen</w:t>
            </w:r>
            <w:r w:rsidRPr="00061843" w:rsidR="00F94AB5">
              <w:rPr>
                <w:b/>
                <w:bCs/>
              </w:rPr>
              <w:t xml:space="preserve"> is het belangrijk om een onderscheid te maken tussen </w:t>
            </w:r>
            <w:r w:rsidRPr="00061843" w:rsidR="00F94AB5">
              <w:rPr>
                <w:b/>
                <w:bCs/>
                <w:i/>
                <w:iCs/>
              </w:rPr>
              <w:t>product</w:t>
            </w:r>
            <w:r w:rsidRPr="00061843" w:rsidR="00F94AB5">
              <w:rPr>
                <w:b/>
                <w:bCs/>
              </w:rPr>
              <w:t xml:space="preserve">standaarden en </w:t>
            </w:r>
            <w:r w:rsidRPr="00061843" w:rsidR="00F94AB5">
              <w:rPr>
                <w:b/>
                <w:bCs/>
                <w:i/>
                <w:iCs/>
              </w:rPr>
              <w:t>productie</w:t>
            </w:r>
            <w:r w:rsidRPr="00061843" w:rsidR="00F94AB5">
              <w:rPr>
                <w:b/>
                <w:bCs/>
              </w:rPr>
              <w:t>standaarden.</w:t>
            </w:r>
            <w:r w:rsidRPr="00061843" w:rsidR="00F94AB5">
              <w:rPr>
                <w:rStyle w:val="FootnoteReference"/>
                <w:b/>
                <w:bCs/>
              </w:rPr>
              <w:footnoteReference w:id="6"/>
            </w:r>
            <w:r w:rsidRPr="00061843" w:rsidR="00F94AB5">
              <w:rPr>
                <w:b/>
                <w:bCs/>
              </w:rPr>
              <w:t xml:space="preserve"> </w:t>
            </w:r>
          </w:p>
          <w:p w:rsidR="00061843" w:rsidP="1C9D7522" w:rsidRDefault="00F94AB5" w14:paraId="7CB7F6A2" w14:textId="77777777">
            <w:pPr>
              <w:rPr>
                <w:b/>
                <w:bCs/>
              </w:rPr>
            </w:pPr>
            <w:r w:rsidRPr="00061843">
              <w:rPr>
                <w:b/>
                <w:bCs/>
              </w:rPr>
              <w:t>Productstandaarden zien op de fysieke kenmerken van een product</w:t>
            </w:r>
            <w:r w:rsidRPr="00061843" w:rsidR="00DF47C9">
              <w:rPr>
                <w:b/>
                <w:bCs/>
              </w:rPr>
              <w:t xml:space="preserve"> en elk land (of regio) mag daartoe zijn eigen regels maken</w:t>
            </w:r>
            <w:r w:rsidRPr="00061843">
              <w:rPr>
                <w:b/>
                <w:bCs/>
              </w:rPr>
              <w:t xml:space="preserve">. </w:t>
            </w:r>
            <w:r w:rsidRPr="00061843" w:rsidR="00DF47C9">
              <w:rPr>
                <w:b/>
                <w:bCs/>
              </w:rPr>
              <w:t>Zo moeten</w:t>
            </w:r>
            <w:r w:rsidRPr="00061843">
              <w:rPr>
                <w:b/>
                <w:bCs/>
              </w:rPr>
              <w:t xml:space="preserve"> alle producten die de EU-markt betreden, ongeacht hun productielocatie, aan de in de EU geldende productstandaarden voldoen. Dergelijke productstandaarden </w:t>
            </w:r>
            <w:r w:rsidRPr="00061843" w:rsidR="00EA3983">
              <w:rPr>
                <w:b/>
                <w:bCs/>
              </w:rPr>
              <w:t>gelden voor</w:t>
            </w:r>
            <w:r w:rsidRPr="00061843">
              <w:rPr>
                <w:b/>
                <w:bCs/>
              </w:rPr>
              <w:t xml:space="preserve"> voedselveiligheid</w:t>
            </w:r>
            <w:r w:rsidRPr="00061843" w:rsidR="00DF47C9">
              <w:rPr>
                <w:b/>
                <w:bCs/>
              </w:rPr>
              <w:t xml:space="preserve"> </w:t>
            </w:r>
            <w:r w:rsidRPr="00061843" w:rsidR="000354B1">
              <w:rPr>
                <w:b/>
                <w:bCs/>
              </w:rPr>
              <w:t xml:space="preserve">of </w:t>
            </w:r>
            <w:r w:rsidRPr="00061843" w:rsidR="00DF47C9">
              <w:rPr>
                <w:b/>
                <w:bCs/>
              </w:rPr>
              <w:t xml:space="preserve">productveiligheid voor </w:t>
            </w:r>
            <w:r w:rsidRPr="00061843" w:rsidR="00EA3983">
              <w:rPr>
                <w:b/>
                <w:bCs/>
              </w:rPr>
              <w:t xml:space="preserve">bijvoorbeeld </w:t>
            </w:r>
            <w:r w:rsidRPr="00061843" w:rsidR="00DF47C9">
              <w:rPr>
                <w:b/>
                <w:bCs/>
              </w:rPr>
              <w:t xml:space="preserve">speelgoed, textiel </w:t>
            </w:r>
            <w:r w:rsidRPr="00061843" w:rsidR="000354B1">
              <w:rPr>
                <w:b/>
                <w:bCs/>
              </w:rPr>
              <w:t>en</w:t>
            </w:r>
            <w:r w:rsidRPr="00061843" w:rsidR="00DF47C9">
              <w:rPr>
                <w:b/>
                <w:bCs/>
              </w:rPr>
              <w:t xml:space="preserve"> medicijnen</w:t>
            </w:r>
            <w:r w:rsidRPr="00061843">
              <w:rPr>
                <w:b/>
                <w:bCs/>
              </w:rPr>
              <w:t xml:space="preserve">. </w:t>
            </w:r>
          </w:p>
          <w:p w:rsidR="00061843" w:rsidP="1C9D7522" w:rsidRDefault="00F94AB5" w14:paraId="462687EF" w14:textId="77777777">
            <w:pPr>
              <w:rPr>
                <w:b/>
                <w:bCs/>
              </w:rPr>
            </w:pPr>
            <w:r w:rsidRPr="00061843">
              <w:rPr>
                <w:b/>
                <w:bCs/>
              </w:rPr>
              <w:t xml:space="preserve">Productiestandaarden zien daarentegen op de </w:t>
            </w:r>
            <w:r w:rsidRPr="00061843">
              <w:rPr>
                <w:b/>
                <w:bCs/>
                <w:i/>
                <w:iCs/>
              </w:rPr>
              <w:t>wijze</w:t>
            </w:r>
            <w:r w:rsidRPr="00061843">
              <w:rPr>
                <w:b/>
                <w:bCs/>
              </w:rPr>
              <w:t xml:space="preserve"> waarop een product is geproduceerd</w:t>
            </w:r>
            <w:r w:rsidRPr="00061843" w:rsidR="000354B1">
              <w:rPr>
                <w:b/>
                <w:bCs/>
              </w:rPr>
              <w:t>. V</w:t>
            </w:r>
            <w:r w:rsidRPr="00061843">
              <w:rPr>
                <w:b/>
                <w:bCs/>
              </w:rPr>
              <w:t xml:space="preserve">oorbeelden daarvan zijn regels over arbeidsomstandigheden en bescherming van het milieu. WTO-regels stellen strenge eisen aan het eenzijdig opleggen van productiestandaarden aan import van producten die buiten de eigen jurisdictie zijn geproduceerd. De reden daarvoor is dat ieder land, net als de EU, een </w:t>
            </w:r>
            <w:r w:rsidRPr="00061843">
              <w:rPr>
                <w:b/>
                <w:bCs/>
                <w:i/>
                <w:iCs/>
              </w:rPr>
              <w:t xml:space="preserve">right </w:t>
            </w:r>
            <w:proofErr w:type="spellStart"/>
            <w:r w:rsidRPr="00061843">
              <w:rPr>
                <w:b/>
                <w:bCs/>
                <w:i/>
                <w:iCs/>
              </w:rPr>
              <w:t>to</w:t>
            </w:r>
            <w:proofErr w:type="spellEnd"/>
            <w:r w:rsidRPr="00061843">
              <w:rPr>
                <w:b/>
                <w:bCs/>
                <w:i/>
                <w:iCs/>
              </w:rPr>
              <w:t xml:space="preserve"> </w:t>
            </w:r>
            <w:proofErr w:type="spellStart"/>
            <w:r w:rsidRPr="00061843">
              <w:rPr>
                <w:b/>
                <w:bCs/>
                <w:i/>
                <w:iCs/>
              </w:rPr>
              <w:t>regulate</w:t>
            </w:r>
            <w:proofErr w:type="spellEnd"/>
            <w:r w:rsidRPr="00061843">
              <w:rPr>
                <w:b/>
                <w:bCs/>
              </w:rPr>
              <w:t xml:space="preserve"> heeft om zijn eigen wet- en regelgeving op te stellen. </w:t>
            </w:r>
          </w:p>
          <w:p w:rsidRPr="00061843" w:rsidR="006D14F9" w:rsidRDefault="00F94AB5" w14:paraId="12723FB5" w14:textId="38A5B82A">
            <w:pPr>
              <w:rPr>
                <w:b/>
                <w:bCs/>
              </w:rPr>
            </w:pPr>
            <w:r w:rsidRPr="00061843">
              <w:rPr>
                <w:b/>
                <w:bCs/>
              </w:rPr>
              <w:t>Handel zou al snel onmogelijk worden als ieder land zijn eigen productiestandaarden oplegt aan importgoederen uit een ander WTO-land. Bovendien riskeert het eenzijdig opleggen van productiestandaarden aan import</w:t>
            </w:r>
            <w:r w:rsidRPr="00061843" w:rsidR="00DF47C9">
              <w:rPr>
                <w:b/>
                <w:bCs/>
              </w:rPr>
              <w:t>producten</w:t>
            </w:r>
            <w:r w:rsidRPr="00061843">
              <w:rPr>
                <w:b/>
                <w:bCs/>
              </w:rPr>
              <w:t xml:space="preserve"> dat een ander WTO-land een geschillenbeslechtingsprocedure bij de WTO start of tegenmaatregelen treft jegens Europese of Nederlandse export. </w:t>
            </w:r>
            <w:r w:rsidRPr="00061843" w:rsidR="00DF47C9">
              <w:rPr>
                <w:b/>
                <w:bCs/>
              </w:rPr>
              <w:t xml:space="preserve">Ook is het niet zo dat EU-productiestandaarden per definitie hoger of beter zijn dan die in derde landen. </w:t>
            </w:r>
            <w:r w:rsidRPr="00061843">
              <w:rPr>
                <w:b/>
                <w:bCs/>
              </w:rPr>
              <w:t xml:space="preserve">Vanwege voornoemde redenen </w:t>
            </w:r>
            <w:r w:rsidRPr="00061843" w:rsidR="00735D38">
              <w:rPr>
                <w:b/>
                <w:bCs/>
              </w:rPr>
              <w:t xml:space="preserve">is het belangrijk dat </w:t>
            </w:r>
            <w:r w:rsidRPr="00061843">
              <w:rPr>
                <w:b/>
                <w:bCs/>
              </w:rPr>
              <w:t xml:space="preserve">de EU </w:t>
            </w:r>
            <w:r w:rsidRPr="00061843" w:rsidR="00735D38">
              <w:rPr>
                <w:b/>
                <w:bCs/>
              </w:rPr>
              <w:t>t</w:t>
            </w:r>
            <w:r w:rsidRPr="00061843">
              <w:rPr>
                <w:b/>
                <w:bCs/>
              </w:rPr>
              <w:t>erughoudend en zorgvuldig om</w:t>
            </w:r>
            <w:r w:rsidRPr="00061843" w:rsidR="00735D38">
              <w:rPr>
                <w:b/>
                <w:bCs/>
              </w:rPr>
              <w:t xml:space="preserve">gaat </w:t>
            </w:r>
            <w:r w:rsidRPr="00061843">
              <w:rPr>
                <w:b/>
                <w:bCs/>
              </w:rPr>
              <w:t xml:space="preserve">met het </w:t>
            </w:r>
            <w:r w:rsidRPr="00061843" w:rsidR="00735D38">
              <w:rPr>
                <w:b/>
                <w:bCs/>
              </w:rPr>
              <w:t xml:space="preserve">eenzijdig </w:t>
            </w:r>
            <w:r w:rsidRPr="00061843">
              <w:rPr>
                <w:b/>
                <w:bCs/>
              </w:rPr>
              <w:t xml:space="preserve">opleggen van productie-eisen aan import uit derde landen. </w:t>
            </w:r>
            <w:r w:rsidRPr="00061843" w:rsidR="00AF3019">
              <w:rPr>
                <w:b/>
                <w:bCs/>
              </w:rPr>
              <w:t>Tegelijkertijd zet de EU in op bindende afspraken op het terrein van milieu, waaronder klimaat, en arbeid in de bilaterale handelsakkoorden die de EU aangaat met derde landen. Deze afspraken zijn wederkerig en gericht op het verhogen van standaarden</w:t>
            </w:r>
            <w:r w:rsidRPr="00061843">
              <w:rPr>
                <w:b/>
                <w:bCs/>
              </w:rPr>
              <w:t xml:space="preserve">. </w:t>
            </w:r>
          </w:p>
        </w:tc>
        <w:tc>
          <w:tcPr>
            <w:tcW w:w="850" w:type="dxa"/>
          </w:tcPr>
          <w:p w:rsidRPr="00B84E3B" w:rsidR="005D2945" w:rsidRDefault="005D2945" w14:paraId="4402AEBD" w14:textId="155D4C8E">
            <w:pPr>
              <w:jc w:val="right"/>
            </w:pPr>
          </w:p>
        </w:tc>
        <w:tc>
          <w:tcPr>
            <w:tcW w:w="992" w:type="dxa"/>
          </w:tcPr>
          <w:p w:rsidRPr="00B84E3B" w:rsidR="005D2945" w:rsidRDefault="005D2945" w14:paraId="35F6540A" w14:textId="77777777">
            <w:pPr>
              <w:jc w:val="right"/>
            </w:pPr>
          </w:p>
        </w:tc>
        <w:tc>
          <w:tcPr>
            <w:tcW w:w="567" w:type="dxa"/>
          </w:tcPr>
          <w:p w:rsidRPr="00B84E3B" w:rsidR="005D2945" w:rsidRDefault="001856D0" w14:paraId="4602D322" w14:textId="77777777">
            <w:pPr>
              <w:jc w:val="right"/>
            </w:pPr>
            <w:r w:rsidRPr="00B84E3B">
              <w:t xml:space="preserve"> </w:t>
            </w:r>
          </w:p>
        </w:tc>
      </w:tr>
      <w:tr w:rsidRPr="00B84E3B" w:rsidR="005D2945" w:rsidTr="00B84E3B" w14:paraId="28324F50" w14:textId="77777777">
        <w:tc>
          <w:tcPr>
            <w:tcW w:w="585" w:type="dxa"/>
          </w:tcPr>
          <w:p w:rsidRPr="00B84E3B" w:rsidR="005D2945" w:rsidRDefault="001856D0" w14:paraId="13E8B0F8" w14:textId="77777777">
            <w:r w:rsidRPr="00B84E3B">
              <w:t>30</w:t>
            </w:r>
          </w:p>
        </w:tc>
        <w:tc>
          <w:tcPr>
            <w:tcW w:w="6503" w:type="dxa"/>
          </w:tcPr>
          <w:p w:rsidRPr="00B84E3B" w:rsidR="003F0923" w:rsidP="1C9D7522" w:rsidRDefault="1C9D7522" w14:paraId="21C2B293" w14:textId="77777777">
            <w:r w:rsidRPr="00B84E3B">
              <w:t>Zou het uit oogpunt van strategische autonomie niet veel beter zijn dat de EU zoveel mogelijk zelfvoorzienend in voedsel en veevoer wordt? Erkent u dat de huidige WTO-regels dit onmogelijk maken?</w:t>
            </w:r>
          </w:p>
          <w:p w:rsidRPr="00B84E3B" w:rsidR="003F0923" w:rsidP="1C9D7522" w:rsidRDefault="003F0923" w14:paraId="454985C6" w14:textId="77777777"/>
          <w:p w:rsidRPr="00B84E3B" w:rsidR="003F0923" w:rsidP="1C9D7522" w:rsidRDefault="1C9D7522" w14:paraId="309DC4A3" w14:textId="6B644B54">
            <w:pPr>
              <w:rPr>
                <w:b/>
                <w:bCs/>
              </w:rPr>
            </w:pPr>
            <w:r w:rsidRPr="00B84E3B">
              <w:rPr>
                <w:b/>
                <w:bCs/>
              </w:rPr>
              <w:t>Antwoord</w:t>
            </w:r>
          </w:p>
          <w:p w:rsidRPr="00061843" w:rsidR="00735D38" w:rsidP="1C9D7522" w:rsidRDefault="1C9D7522" w14:paraId="6BD9D7BD" w14:textId="4B1ACF66">
            <w:pPr>
              <w:rPr>
                <w:b/>
                <w:bCs/>
              </w:rPr>
            </w:pPr>
            <w:r w:rsidRPr="00061843">
              <w:rPr>
                <w:b/>
                <w:bCs/>
              </w:rPr>
              <w:t xml:space="preserve">Nederland en de Europese Unie zijn voor een groot deel zelfvoorzienend op voedselgebied en tevens één van de grootste voedselexporteurs ter wereld. Hiermee wordt ook bijgedragen aan de voedselzekerheid elders. Nederland en de EU importeren voor een deel producten die niet in de EU </w:t>
            </w:r>
            <w:r w:rsidRPr="00061843">
              <w:rPr>
                <w:b/>
                <w:bCs/>
              </w:rPr>
              <w:lastRenderedPageBreak/>
              <w:t xml:space="preserve">geproduceerd kunnen worden (zoals tropische producten). Voor die productcategorieën waar Nederland en de EU nog (deels) op de import van voedsel of veevoer van elders zijn aangewezen, worden extra inspanningen ondernomen om de productie in de EU te stimuleren of de waardeketen te diversifiëren. Zo worden in de nieuwe GMO (Gemeenschappelijke Marktordening) voorstellen van de Commissie de samenwerking en marktontwikkeling bij de productie van eiwitgewassen in de EU gestimuleerd. Deze stimulansen passen prima onder de huidige WTO regels. </w:t>
            </w:r>
          </w:p>
          <w:p w:rsidRPr="00061843" w:rsidR="006D14F9" w:rsidP="1C9D7522" w:rsidRDefault="1C9D7522" w14:paraId="3E80775A" w14:textId="6F926F00">
            <w:pPr>
              <w:rPr>
                <w:b/>
                <w:bCs/>
              </w:rPr>
            </w:pPr>
            <w:r w:rsidRPr="00061843">
              <w:rPr>
                <w:b/>
                <w:bCs/>
              </w:rPr>
              <w:t>In bredere zin geldt dat WTO-regels een goede balans bieden tussen het voorkomen van handelsbelemmeringen om waardeketen te kunnen diversifiëren en mogelijkheden via o.a. tarieven voor landbouwproducten en vrijwaringsmechanismen om importmarkten te beschermen tegen (marktverstorende) importen</w:t>
            </w:r>
          </w:p>
          <w:p w:rsidRPr="00B84E3B" w:rsidR="006D14F9" w:rsidRDefault="006D14F9" w14:paraId="60D9DB0E" w14:textId="350E9998"/>
        </w:tc>
        <w:tc>
          <w:tcPr>
            <w:tcW w:w="850" w:type="dxa"/>
          </w:tcPr>
          <w:p w:rsidRPr="00B84E3B" w:rsidR="005D2945" w:rsidRDefault="005D2945" w14:paraId="20B5946F" w14:textId="374EAB25">
            <w:pPr>
              <w:jc w:val="right"/>
            </w:pPr>
          </w:p>
        </w:tc>
        <w:tc>
          <w:tcPr>
            <w:tcW w:w="992" w:type="dxa"/>
          </w:tcPr>
          <w:p w:rsidRPr="00B84E3B" w:rsidR="005D2945" w:rsidRDefault="005D2945" w14:paraId="710C32D3" w14:textId="77777777">
            <w:pPr>
              <w:jc w:val="right"/>
            </w:pPr>
          </w:p>
        </w:tc>
        <w:tc>
          <w:tcPr>
            <w:tcW w:w="567" w:type="dxa"/>
          </w:tcPr>
          <w:p w:rsidRPr="00B84E3B" w:rsidR="005D2945" w:rsidRDefault="001856D0" w14:paraId="7C06B3F2" w14:textId="77777777">
            <w:pPr>
              <w:jc w:val="right"/>
            </w:pPr>
            <w:r w:rsidRPr="00B84E3B">
              <w:t xml:space="preserve"> </w:t>
            </w:r>
          </w:p>
        </w:tc>
      </w:tr>
      <w:tr w:rsidRPr="00B84E3B" w:rsidR="005D2945" w:rsidTr="00B84E3B" w14:paraId="194B09BC" w14:textId="77777777">
        <w:tc>
          <w:tcPr>
            <w:tcW w:w="585" w:type="dxa"/>
          </w:tcPr>
          <w:p w:rsidRPr="00B84E3B" w:rsidR="005D2945" w:rsidRDefault="001856D0" w14:paraId="2D198868" w14:textId="77777777">
            <w:r w:rsidRPr="00B84E3B">
              <w:t>31</w:t>
            </w:r>
          </w:p>
        </w:tc>
        <w:tc>
          <w:tcPr>
            <w:tcW w:w="6503" w:type="dxa"/>
          </w:tcPr>
          <w:p w:rsidRPr="00B84E3B" w:rsidR="003F0923" w:rsidP="1C9D7522" w:rsidRDefault="001856D0" w14:paraId="60BC8502" w14:textId="79B2D23B">
            <w:r w:rsidRPr="00B84E3B">
              <w:t xml:space="preserve">Wat vindt u van het pleidooi van de internationale boerenbeweging La Via </w:t>
            </w:r>
            <w:proofErr w:type="spellStart"/>
            <w:r w:rsidRPr="00B84E3B">
              <w:t>Campesina</w:t>
            </w:r>
            <w:proofErr w:type="spellEnd"/>
            <w:r w:rsidRPr="00B84E3B">
              <w:t xml:space="preserve"> voor alternatieve multilaterale handelsregels binnen de landbouw gebaseerd op voedselsoevereiniteit?</w:t>
            </w:r>
            <w:r w:rsidRPr="00B84E3B" w:rsidR="009A609C">
              <w:rPr>
                <w:rStyle w:val="FootnoteReference"/>
              </w:rPr>
              <w:footnoteReference w:id="7"/>
            </w:r>
          </w:p>
          <w:p w:rsidRPr="00B84E3B" w:rsidR="003F0923" w:rsidP="1C9D7522" w:rsidRDefault="003F0923" w14:paraId="3B478461" w14:textId="77777777"/>
          <w:p w:rsidRPr="00B84E3B" w:rsidR="003F0923" w:rsidP="1C9D7522" w:rsidRDefault="003F0923" w14:paraId="41AE513C" w14:textId="4502E407">
            <w:pPr>
              <w:tabs>
                <w:tab w:val="left" w:pos="1808"/>
              </w:tabs>
              <w:rPr>
                <w:b/>
                <w:bCs/>
              </w:rPr>
            </w:pPr>
            <w:r w:rsidRPr="00B84E3B">
              <w:rPr>
                <w:b/>
                <w:bCs/>
              </w:rPr>
              <w:t>Antwoord</w:t>
            </w:r>
            <w:r w:rsidRPr="00B84E3B" w:rsidR="00C715DF">
              <w:rPr>
                <w:b/>
                <w:bCs/>
              </w:rPr>
              <w:tab/>
            </w:r>
          </w:p>
          <w:p w:rsidRPr="00061843" w:rsidR="00C715DF" w:rsidP="1C9D7522" w:rsidRDefault="1C9D7522" w14:paraId="7D3C1C10" w14:textId="5DF2F0D7">
            <w:pPr>
              <w:rPr>
                <w:b/>
                <w:bCs/>
              </w:rPr>
            </w:pPr>
            <w:r w:rsidRPr="00061843">
              <w:rPr>
                <w:b/>
                <w:bCs/>
              </w:rPr>
              <w:t xml:space="preserve">Nederland is een netto exporteur van landbouwproducten en de landbouwsector en de Nederlandse economie heeft de afgelopen decennia flink kunnen groeien door de toegenomen handel in landbouwproducten. Zo is de exportwaarde van de Nederlandse landbouw gegroeid van 82,6 miljard in 2016 naar 128,9 miljard in 2024. Daarnaast heeft de Nederlandse consument door deze handel toegang gekregen tot een breed scala van voedselproducten tegen betaalbare prijzen. Het voorstel van de internationale boerenbeweging La Via </w:t>
            </w:r>
            <w:proofErr w:type="spellStart"/>
            <w:r w:rsidRPr="00061843">
              <w:rPr>
                <w:b/>
                <w:bCs/>
              </w:rPr>
              <w:t>Campesina</w:t>
            </w:r>
            <w:proofErr w:type="spellEnd"/>
            <w:r w:rsidRPr="00061843">
              <w:rPr>
                <w:b/>
                <w:bCs/>
              </w:rPr>
              <w:t xml:space="preserve"> voor alternatieve multilaterale handelsregels binnen de landbouw gebaseerd op voedselsoevereiniteit zou deze voordelen teniet doen.</w:t>
            </w:r>
          </w:p>
          <w:p w:rsidRPr="00B84E3B" w:rsidR="00C715DF" w:rsidRDefault="00C715DF" w14:paraId="4792B72D" w14:textId="3CE2A579"/>
        </w:tc>
        <w:tc>
          <w:tcPr>
            <w:tcW w:w="850" w:type="dxa"/>
          </w:tcPr>
          <w:p w:rsidRPr="00B84E3B" w:rsidR="005D2945" w:rsidRDefault="005D2945" w14:paraId="628A186E" w14:textId="60086FD3">
            <w:pPr>
              <w:jc w:val="right"/>
            </w:pPr>
          </w:p>
        </w:tc>
        <w:tc>
          <w:tcPr>
            <w:tcW w:w="992" w:type="dxa"/>
          </w:tcPr>
          <w:p w:rsidRPr="00B84E3B" w:rsidR="005D2945" w:rsidRDefault="005D2945" w14:paraId="66D8210E" w14:textId="77777777">
            <w:pPr>
              <w:jc w:val="right"/>
            </w:pPr>
          </w:p>
        </w:tc>
        <w:tc>
          <w:tcPr>
            <w:tcW w:w="567" w:type="dxa"/>
          </w:tcPr>
          <w:p w:rsidRPr="00B84E3B" w:rsidR="005D2945" w:rsidRDefault="001856D0" w14:paraId="0C7901E9" w14:textId="77777777">
            <w:pPr>
              <w:jc w:val="right"/>
            </w:pPr>
            <w:r w:rsidRPr="00B84E3B">
              <w:t xml:space="preserve"> </w:t>
            </w:r>
          </w:p>
        </w:tc>
      </w:tr>
      <w:tr w:rsidRPr="00B84E3B" w:rsidR="005D2945" w:rsidTr="00B84E3B" w14:paraId="7C181C64" w14:textId="77777777">
        <w:tc>
          <w:tcPr>
            <w:tcW w:w="585" w:type="dxa"/>
          </w:tcPr>
          <w:p w:rsidRPr="00B84E3B" w:rsidR="005D2945" w:rsidRDefault="001856D0" w14:paraId="6EC12CB6" w14:textId="77777777">
            <w:r w:rsidRPr="00B84E3B">
              <w:t>32</w:t>
            </w:r>
          </w:p>
        </w:tc>
        <w:tc>
          <w:tcPr>
            <w:tcW w:w="6503" w:type="dxa"/>
          </w:tcPr>
          <w:p w:rsidRPr="00B84E3B" w:rsidR="003F0923" w:rsidP="003F0923" w:rsidRDefault="001856D0" w14:paraId="60786C1B" w14:textId="77777777">
            <w:r w:rsidRPr="00B84E3B">
              <w:t>Erkent u dat deze andere multilaterale handelsregels een voorwaarde zijn, om over te kunnen gaan aan hernieuwde marktregulering binnen het Gemeenschappelijke Landbouwbeleid (GLB) vanaf 2027? Zoals bekend is dit GLB namelijk vanaf 1992 afgestemd op WTO-regels die vanaf 1995 in werking zijn getreden.</w:t>
            </w:r>
          </w:p>
          <w:p w:rsidRPr="00B84E3B" w:rsidR="003F0923" w:rsidP="003F0923" w:rsidRDefault="003F0923" w14:paraId="06D81F2E" w14:textId="77777777"/>
          <w:p w:rsidRPr="00B84E3B" w:rsidR="003F0923" w:rsidP="003F0923" w:rsidRDefault="003F0923" w14:paraId="2C30D33F" w14:textId="386D8EE6">
            <w:pPr>
              <w:rPr>
                <w:b/>
                <w:bCs/>
              </w:rPr>
            </w:pPr>
            <w:r w:rsidRPr="00B84E3B">
              <w:rPr>
                <w:b/>
                <w:bCs/>
              </w:rPr>
              <w:t>Antwoord</w:t>
            </w:r>
          </w:p>
          <w:p w:rsidRPr="00061843" w:rsidR="00C715DF" w:rsidRDefault="00934CE3" w14:paraId="5F76AADB" w14:textId="3854FD66">
            <w:pPr>
              <w:rPr>
                <w:b/>
                <w:bCs/>
              </w:rPr>
            </w:pPr>
            <w:r w:rsidRPr="00061843">
              <w:rPr>
                <w:b/>
                <w:bCs/>
              </w:rPr>
              <w:t xml:space="preserve">Zoals aangegeven in </w:t>
            </w:r>
            <w:r w:rsidRPr="00061843" w:rsidR="00735D38">
              <w:rPr>
                <w:b/>
                <w:bCs/>
              </w:rPr>
              <w:t>de</w:t>
            </w:r>
            <w:r w:rsidRPr="00061843">
              <w:rPr>
                <w:b/>
                <w:bCs/>
              </w:rPr>
              <w:t xml:space="preserve"> kamerbrief over de inzet op het nieuwe Gemeenschappelijk Landbouw Beleid (GBL) post 2027</w:t>
            </w:r>
            <w:r w:rsidRPr="00061843" w:rsidR="00765937">
              <w:rPr>
                <w:b/>
                <w:bCs/>
              </w:rPr>
              <w:t xml:space="preserve"> </w:t>
            </w:r>
            <w:r w:rsidRPr="00061843" w:rsidR="00765937">
              <w:rPr>
                <w:rStyle w:val="FootnoteReference"/>
                <w:b/>
                <w:bCs/>
              </w:rPr>
              <w:footnoteReference w:id="8"/>
            </w:r>
            <w:r w:rsidRPr="00061843">
              <w:rPr>
                <w:b/>
                <w:bCs/>
              </w:rPr>
              <w:t xml:space="preserve">, zet het kabinet in op een marktgericht </w:t>
            </w:r>
            <w:r w:rsidRPr="00061843" w:rsidR="00335912">
              <w:rPr>
                <w:b/>
                <w:bCs/>
              </w:rPr>
              <w:t>GLB</w:t>
            </w:r>
            <w:r w:rsidRPr="00061843">
              <w:rPr>
                <w:b/>
                <w:bCs/>
              </w:rPr>
              <w:t xml:space="preserve"> voor een weerbare agrarische sector. Daarmee richt het GLB zich primair op boeren die hun inkomen uit de markt halen, waarbij het GLB ondersteuning biedt voor verdere ontwikkeling of beloning van diensten die niet goed via de markt worden vergoed.  Het kabinet is van mening dat dit </w:t>
            </w:r>
            <w:r w:rsidRPr="00061843" w:rsidR="00335912">
              <w:rPr>
                <w:b/>
                <w:bCs/>
              </w:rPr>
              <w:t xml:space="preserve">zeer goed </w:t>
            </w:r>
            <w:r w:rsidRPr="00061843">
              <w:rPr>
                <w:b/>
                <w:bCs/>
              </w:rPr>
              <w:t xml:space="preserve">mogelijk is binnen de huidige multilaterale handelsregels. </w:t>
            </w:r>
          </w:p>
          <w:p w:rsidRPr="00B84E3B" w:rsidR="00C715DF" w:rsidRDefault="00C715DF" w14:paraId="03DD43E6" w14:textId="63282688"/>
        </w:tc>
        <w:tc>
          <w:tcPr>
            <w:tcW w:w="850" w:type="dxa"/>
          </w:tcPr>
          <w:p w:rsidRPr="00B84E3B" w:rsidR="005D2945" w:rsidRDefault="005D2945" w14:paraId="5A8272BE" w14:textId="3EB6D322">
            <w:pPr>
              <w:jc w:val="right"/>
            </w:pPr>
          </w:p>
        </w:tc>
        <w:tc>
          <w:tcPr>
            <w:tcW w:w="992" w:type="dxa"/>
          </w:tcPr>
          <w:p w:rsidRPr="00B84E3B" w:rsidR="005D2945" w:rsidRDefault="005D2945" w14:paraId="5978D8F6" w14:textId="0EA1FB5B">
            <w:pPr>
              <w:jc w:val="right"/>
            </w:pPr>
          </w:p>
        </w:tc>
        <w:tc>
          <w:tcPr>
            <w:tcW w:w="567" w:type="dxa"/>
          </w:tcPr>
          <w:p w:rsidRPr="00B84E3B" w:rsidR="005D2945" w:rsidRDefault="001856D0" w14:paraId="0C282B77" w14:textId="77777777">
            <w:pPr>
              <w:jc w:val="right"/>
            </w:pPr>
            <w:r w:rsidRPr="00B84E3B">
              <w:t xml:space="preserve"> </w:t>
            </w:r>
          </w:p>
        </w:tc>
      </w:tr>
      <w:tr w:rsidRPr="00B84E3B" w:rsidR="005D2945" w:rsidTr="00B84E3B" w14:paraId="34DE78F8" w14:textId="77777777">
        <w:tc>
          <w:tcPr>
            <w:tcW w:w="585" w:type="dxa"/>
          </w:tcPr>
          <w:p w:rsidRPr="00B84E3B" w:rsidR="005D2945" w:rsidRDefault="001856D0" w14:paraId="44060FF4" w14:textId="77777777">
            <w:r w:rsidRPr="00B84E3B">
              <w:t>33</w:t>
            </w:r>
          </w:p>
        </w:tc>
        <w:tc>
          <w:tcPr>
            <w:tcW w:w="6503" w:type="dxa"/>
          </w:tcPr>
          <w:p w:rsidRPr="00B84E3B" w:rsidR="003F0923" w:rsidP="003F0923" w:rsidRDefault="001856D0" w14:paraId="69AB3D26" w14:textId="77777777">
            <w:bookmarkStart w:name="_Hlk216187947" w:id="4"/>
            <w:r w:rsidRPr="00B84E3B">
              <w:t xml:space="preserve">Erkent u dat de huidige landbouwsubsidies </w:t>
            </w:r>
            <w:proofErr w:type="spellStart"/>
            <w:r w:rsidRPr="00B84E3B">
              <w:t>handelsverstorend</w:t>
            </w:r>
            <w:proofErr w:type="spellEnd"/>
            <w:r w:rsidRPr="00B84E3B">
              <w:t xml:space="preserve"> zijn, omdat ze leiden tot verkoop onder de kostprijs op de wereldmarkt? Erkent u dat de voorgestelde GLB-hervorming kan leiden tot het voorkomen van deze dumping in het mondiale Zuiden, en een kleiner beslag op natuurlijke hulpbronnen aldaar voor de EU-markt?</w:t>
            </w:r>
          </w:p>
          <w:bookmarkEnd w:id="4"/>
          <w:p w:rsidRPr="00B84E3B" w:rsidR="003F0923" w:rsidP="003F0923" w:rsidRDefault="003F0923" w14:paraId="6955CE0B" w14:textId="77777777"/>
          <w:p w:rsidRPr="00B84E3B" w:rsidR="003F0923" w:rsidP="003F0923" w:rsidRDefault="003F0923" w14:paraId="1BCE63C6" w14:textId="622D96B1">
            <w:pPr>
              <w:rPr>
                <w:b/>
                <w:bCs/>
              </w:rPr>
            </w:pPr>
            <w:r w:rsidRPr="00B84E3B">
              <w:rPr>
                <w:b/>
                <w:bCs/>
              </w:rPr>
              <w:lastRenderedPageBreak/>
              <w:t>Antwoord</w:t>
            </w:r>
          </w:p>
          <w:p w:rsidRPr="00061843" w:rsidR="003528F1" w:rsidP="003528F1" w:rsidRDefault="003528F1" w14:paraId="77E84FA5" w14:textId="454E7082">
            <w:pPr>
              <w:rPr>
                <w:b/>
                <w:bCs/>
              </w:rPr>
            </w:pPr>
            <w:r w:rsidRPr="00061843">
              <w:rPr>
                <w:b/>
                <w:bCs/>
              </w:rPr>
              <w:t>Het</w:t>
            </w:r>
            <w:r w:rsidRPr="00061843" w:rsidR="007A46B1">
              <w:rPr>
                <w:b/>
                <w:bCs/>
              </w:rPr>
              <w:t xml:space="preserve"> GLB is de afgelopen decennia hervormd, waarbij het EU-beleid zich daarbij </w:t>
            </w:r>
            <w:r w:rsidRPr="00061843">
              <w:rPr>
                <w:b/>
                <w:bCs/>
              </w:rPr>
              <w:t xml:space="preserve">heeft </w:t>
            </w:r>
            <w:r w:rsidRPr="00061843" w:rsidR="007A46B1">
              <w:rPr>
                <w:b/>
                <w:bCs/>
              </w:rPr>
              <w:t xml:space="preserve">geëvalueerd van een systeem gericht op productieverhoging- en prijsbescherming tot een systeem van inkomensondersteuning </w:t>
            </w:r>
            <w:r w:rsidRPr="00061843">
              <w:rPr>
                <w:b/>
                <w:bCs/>
              </w:rPr>
              <w:t xml:space="preserve">voor de boer </w:t>
            </w:r>
            <w:r w:rsidRPr="00061843" w:rsidR="007A46B1">
              <w:rPr>
                <w:b/>
                <w:bCs/>
              </w:rPr>
              <w:t>en betaling voor maatschappelijke diensten. Reden voor deze omslag is dat het vroegere systeem van hoge, gegarandeerde steunprijzen in de landbouw in combinatie met aankoopgarantie door de EU leidde tot grote productieoverschotten</w:t>
            </w:r>
            <w:r w:rsidRPr="00061843">
              <w:rPr>
                <w:b/>
                <w:bCs/>
              </w:rPr>
              <w:t xml:space="preserve"> (melk- en wijnplassen, boterbergen),</w:t>
            </w:r>
            <w:r w:rsidRPr="00061843" w:rsidR="007A46B1">
              <w:rPr>
                <w:b/>
                <w:bCs/>
              </w:rPr>
              <w:t xml:space="preserve"> die </w:t>
            </w:r>
            <w:r w:rsidRPr="00061843">
              <w:rPr>
                <w:b/>
                <w:bCs/>
              </w:rPr>
              <w:t xml:space="preserve">met </w:t>
            </w:r>
            <w:r w:rsidRPr="00061843" w:rsidR="007A46B1">
              <w:rPr>
                <w:b/>
                <w:bCs/>
              </w:rPr>
              <w:t xml:space="preserve">subsidies op de wereldmarkt </w:t>
            </w:r>
            <w:r w:rsidRPr="00061843">
              <w:rPr>
                <w:b/>
                <w:bCs/>
              </w:rPr>
              <w:t>werde</w:t>
            </w:r>
            <w:r w:rsidRPr="00061843" w:rsidR="00FC4D05">
              <w:rPr>
                <w:b/>
                <w:bCs/>
              </w:rPr>
              <w:t>n</w:t>
            </w:r>
            <w:r w:rsidRPr="00061843">
              <w:rPr>
                <w:b/>
                <w:bCs/>
              </w:rPr>
              <w:t xml:space="preserve"> </w:t>
            </w:r>
            <w:r w:rsidRPr="00061843" w:rsidR="007A46B1">
              <w:rPr>
                <w:b/>
                <w:bCs/>
              </w:rPr>
              <w:t>afgezet</w:t>
            </w:r>
            <w:r w:rsidRPr="00061843">
              <w:rPr>
                <w:b/>
                <w:bCs/>
              </w:rPr>
              <w:t>. Dit leidde</w:t>
            </w:r>
            <w:r w:rsidRPr="00061843" w:rsidR="006C42DE">
              <w:rPr>
                <w:b/>
                <w:bCs/>
              </w:rPr>
              <w:t xml:space="preserve"> </w:t>
            </w:r>
            <w:r w:rsidRPr="00061843">
              <w:rPr>
                <w:b/>
                <w:bCs/>
              </w:rPr>
              <w:t>tevens</w:t>
            </w:r>
            <w:r w:rsidRPr="00061843" w:rsidR="007A46B1">
              <w:rPr>
                <w:b/>
                <w:bCs/>
              </w:rPr>
              <w:t xml:space="preserve"> tot grote nadelige effecten voor boeren in derde landen, inclusief ontwikkelingslanden. </w:t>
            </w:r>
          </w:p>
          <w:p w:rsidRPr="00FE2A49" w:rsidR="005D2945" w:rsidRDefault="003528F1" w14:paraId="41B96E70" w14:textId="6D3F07FC">
            <w:pPr>
              <w:rPr>
                <w:b/>
                <w:bCs/>
              </w:rPr>
            </w:pPr>
            <w:r w:rsidRPr="00061843">
              <w:rPr>
                <w:b/>
                <w:bCs/>
              </w:rPr>
              <w:t xml:space="preserve">Er wordt momenteel nog onderhandeld over het GLB na 2027 en het kabinet acht het derhalve voorbarig om uitspraken te doen over de impact. Uw kamer is geïnformeerd over de inzet van het kabinet door de minister </w:t>
            </w:r>
            <w:r w:rsidRPr="00FE2A49">
              <w:rPr>
                <w:b/>
                <w:bCs/>
              </w:rPr>
              <w:t>van LVVN.</w:t>
            </w:r>
            <w:r w:rsidRPr="00FE2A49" w:rsidR="00765937">
              <w:rPr>
                <w:rStyle w:val="FootnoteReference"/>
                <w:b/>
                <w:bCs/>
              </w:rPr>
              <w:footnoteReference w:id="9"/>
            </w:r>
          </w:p>
          <w:p w:rsidR="00AC3A8C" w:rsidP="00AC3A8C" w:rsidRDefault="00AC3A8C" w14:paraId="06E07519" w14:textId="6FFA2B74">
            <w:pPr>
              <w:rPr>
                <w:b/>
                <w:bCs/>
                <w:vertAlign w:val="superscript"/>
              </w:rPr>
            </w:pPr>
            <w:r w:rsidRPr="00FE2A49">
              <w:rPr>
                <w:b/>
                <w:bCs/>
              </w:rPr>
              <w:t>Zoals reeds aangegeven in het fiche over het voorstel nieuw gemeenschappelijk landbouwbeleid na 2027 (MFK), moet het GLB bijdragen aan een concurrerende en weerbare agrarische sector door het stimuleren van hoge kwaliteit productie en efficiënt gebruik van (natuurlijke)hulpbronnen. Tegelijk moet het generatievernieuwing en daarmee voedselzekerheid voor de lange termijn garanderen.</w:t>
            </w:r>
            <w:r w:rsidRPr="00FE2A49">
              <w:rPr>
                <w:rStyle w:val="FootnoteReference"/>
                <w:b/>
                <w:bCs/>
              </w:rPr>
              <w:footnoteReference w:id="10"/>
            </w:r>
          </w:p>
          <w:p w:rsidRPr="00B84E3B" w:rsidR="00C715DF" w:rsidRDefault="00C715DF" w14:paraId="379EE593" w14:textId="2E03B4B6"/>
        </w:tc>
        <w:tc>
          <w:tcPr>
            <w:tcW w:w="850" w:type="dxa"/>
          </w:tcPr>
          <w:p w:rsidRPr="00B84E3B" w:rsidR="005D2945" w:rsidRDefault="005D2945" w14:paraId="65D9FB63" w14:textId="06CEA542">
            <w:pPr>
              <w:jc w:val="right"/>
            </w:pPr>
          </w:p>
        </w:tc>
        <w:tc>
          <w:tcPr>
            <w:tcW w:w="992" w:type="dxa"/>
          </w:tcPr>
          <w:p w:rsidRPr="00B84E3B" w:rsidR="005D2945" w:rsidRDefault="005D2945" w14:paraId="768DEDA3" w14:textId="77777777">
            <w:pPr>
              <w:jc w:val="right"/>
            </w:pPr>
          </w:p>
        </w:tc>
        <w:tc>
          <w:tcPr>
            <w:tcW w:w="567" w:type="dxa"/>
          </w:tcPr>
          <w:p w:rsidRPr="00B84E3B" w:rsidR="005D2945" w:rsidRDefault="001856D0" w14:paraId="3DE27CE7" w14:textId="77777777">
            <w:pPr>
              <w:jc w:val="right"/>
            </w:pPr>
            <w:r w:rsidRPr="00B84E3B">
              <w:t xml:space="preserve"> </w:t>
            </w:r>
          </w:p>
        </w:tc>
      </w:tr>
      <w:tr w:rsidRPr="00B84E3B" w:rsidR="005D2945" w:rsidTr="00B84E3B" w14:paraId="70B96FF2" w14:textId="77777777">
        <w:tc>
          <w:tcPr>
            <w:tcW w:w="585" w:type="dxa"/>
          </w:tcPr>
          <w:p w:rsidRPr="00B84E3B" w:rsidR="005D2945" w:rsidRDefault="001856D0" w14:paraId="55D38DC5" w14:textId="77777777">
            <w:r w:rsidRPr="00B84E3B">
              <w:t>34</w:t>
            </w:r>
          </w:p>
        </w:tc>
        <w:tc>
          <w:tcPr>
            <w:tcW w:w="6503" w:type="dxa"/>
          </w:tcPr>
          <w:p w:rsidRPr="00B84E3B" w:rsidR="003F0923" w:rsidP="003F0923" w:rsidRDefault="001856D0" w14:paraId="5807DF8F" w14:textId="77777777">
            <w:r w:rsidRPr="00B84E3B">
              <w:t>Erkent u dat deze hervorming leidt tot een veel effectievere inzet van het GLB-budget, omdat het niet langer wordt besteed aan het compenseren van boeren voor te lage prijzen, maar (vooral) aan betere betaling van hun groene diensten aan de maatschappij?</w:t>
            </w:r>
          </w:p>
          <w:p w:rsidRPr="00B84E3B" w:rsidR="003F0923" w:rsidP="003F0923" w:rsidRDefault="003F0923" w14:paraId="41185E7F" w14:textId="77777777"/>
          <w:p w:rsidRPr="00B84E3B" w:rsidR="003F0923" w:rsidP="003F0923" w:rsidRDefault="003F0923" w14:paraId="5EEDF70A" w14:textId="79650E85">
            <w:pPr>
              <w:rPr>
                <w:b/>
                <w:bCs/>
              </w:rPr>
            </w:pPr>
            <w:r w:rsidRPr="00B84E3B">
              <w:rPr>
                <w:b/>
                <w:bCs/>
              </w:rPr>
              <w:t>Antwoord</w:t>
            </w:r>
          </w:p>
          <w:p w:rsidRPr="00061843" w:rsidR="00934CE3" w:rsidP="00934CE3" w:rsidRDefault="00934CE3" w14:paraId="4F3A2D1E" w14:textId="3BF571B5">
            <w:pPr>
              <w:rPr>
                <w:b/>
                <w:bCs/>
              </w:rPr>
            </w:pPr>
            <w:r w:rsidRPr="00061843">
              <w:rPr>
                <w:b/>
                <w:bCs/>
              </w:rPr>
              <w:t>Er wordt momenteel nog onderhandel</w:t>
            </w:r>
            <w:r w:rsidRPr="00061843" w:rsidR="00244724">
              <w:rPr>
                <w:b/>
                <w:bCs/>
              </w:rPr>
              <w:t>d</w:t>
            </w:r>
            <w:r w:rsidRPr="00061843">
              <w:rPr>
                <w:b/>
                <w:bCs/>
              </w:rPr>
              <w:t xml:space="preserve"> over het GLB na 2027 en het kabinet acht het derhalve voorbarig om uitspraken te doen over de impact. Uw kamer is geïnformeerd over de inzet van het kabinet door de minister van LVVN.</w:t>
            </w:r>
            <w:r w:rsidRPr="00061843">
              <w:rPr>
                <w:rStyle w:val="FootnoteReference"/>
                <w:b/>
                <w:bCs/>
              </w:rPr>
              <w:footnoteReference w:id="11"/>
            </w:r>
          </w:p>
          <w:p w:rsidRPr="00B84E3B" w:rsidR="00C715DF" w:rsidRDefault="00C715DF" w14:paraId="2FF2A9F1" w14:textId="7FB7744C"/>
        </w:tc>
        <w:tc>
          <w:tcPr>
            <w:tcW w:w="850" w:type="dxa"/>
          </w:tcPr>
          <w:p w:rsidRPr="00B84E3B" w:rsidR="005D2945" w:rsidRDefault="005D2945" w14:paraId="0B6E4132" w14:textId="40A689A7">
            <w:pPr>
              <w:jc w:val="right"/>
            </w:pPr>
          </w:p>
        </w:tc>
        <w:tc>
          <w:tcPr>
            <w:tcW w:w="992" w:type="dxa"/>
          </w:tcPr>
          <w:p w:rsidRPr="00B84E3B" w:rsidR="005D2945" w:rsidRDefault="005D2945" w14:paraId="1FC7C8F3" w14:textId="77777777">
            <w:pPr>
              <w:jc w:val="right"/>
            </w:pPr>
          </w:p>
        </w:tc>
        <w:tc>
          <w:tcPr>
            <w:tcW w:w="567" w:type="dxa"/>
          </w:tcPr>
          <w:p w:rsidRPr="00B84E3B" w:rsidR="005D2945" w:rsidRDefault="001856D0" w14:paraId="4E74C514" w14:textId="77777777">
            <w:pPr>
              <w:jc w:val="right"/>
            </w:pPr>
            <w:r w:rsidRPr="00B84E3B">
              <w:t xml:space="preserve"> </w:t>
            </w:r>
          </w:p>
        </w:tc>
      </w:tr>
      <w:tr w:rsidRPr="00B84E3B" w:rsidR="005D2945" w:rsidTr="00B84E3B" w14:paraId="787DE0ED" w14:textId="77777777">
        <w:tc>
          <w:tcPr>
            <w:tcW w:w="585" w:type="dxa"/>
          </w:tcPr>
          <w:p w:rsidRPr="00B84E3B" w:rsidR="005D2945" w:rsidRDefault="001856D0" w14:paraId="15089565" w14:textId="77777777">
            <w:r w:rsidRPr="00B84E3B">
              <w:t>35</w:t>
            </w:r>
          </w:p>
        </w:tc>
        <w:tc>
          <w:tcPr>
            <w:tcW w:w="6503" w:type="dxa"/>
          </w:tcPr>
          <w:p w:rsidRPr="00B84E3B" w:rsidR="003F0923" w:rsidP="003F0923" w:rsidRDefault="001856D0" w14:paraId="15F8E6E0" w14:textId="77777777">
            <w:r w:rsidRPr="00B84E3B">
              <w:t>Op dit moment is de EU op gebied van plantaardig eiwit- en olie, verre van zelfvoorzienend,  dat komt mede door de oneerlijke concurrentie van soja en palmolie waar EU akkerbouwers niet tegen kunnen concurreren. Erkent u dat – hogere – importheffingen op soja en palmolie nodig zijn om de Europese teelt van deze gewassen te stimuleren? Erkent u dat de enige manier is om te komen tot echte kringlooplandbouw binnen de EU, en een effectieve aanpak van de stikstof- en fosfaatcrisis?</w:t>
            </w:r>
          </w:p>
          <w:p w:rsidRPr="00B84E3B" w:rsidR="003F0923" w:rsidP="003F0923" w:rsidRDefault="003F0923" w14:paraId="08BDE5A9" w14:textId="77777777"/>
          <w:p w:rsidRPr="00B84E3B" w:rsidR="003F0923" w:rsidP="003F0923" w:rsidRDefault="003F0923" w14:paraId="78204667" w14:textId="4523908C">
            <w:pPr>
              <w:rPr>
                <w:b/>
                <w:bCs/>
              </w:rPr>
            </w:pPr>
            <w:r w:rsidRPr="00B84E3B">
              <w:rPr>
                <w:b/>
                <w:bCs/>
              </w:rPr>
              <w:t>Antwoord</w:t>
            </w:r>
          </w:p>
          <w:p w:rsidRPr="00061843" w:rsidR="00934CE3" w:rsidP="00934CE3" w:rsidRDefault="00934CE3" w14:paraId="62C69AF6" w14:textId="5FB9567B">
            <w:pPr>
              <w:rPr>
                <w:b/>
                <w:bCs/>
              </w:rPr>
            </w:pPr>
            <w:r w:rsidRPr="00061843">
              <w:rPr>
                <w:b/>
                <w:bCs/>
              </w:rPr>
              <w:t xml:space="preserve">Zoals aangegeven in de nationale </w:t>
            </w:r>
            <w:r w:rsidRPr="00061843" w:rsidR="00335912">
              <w:rPr>
                <w:b/>
                <w:bCs/>
              </w:rPr>
              <w:t>eiwitstrategie</w:t>
            </w:r>
            <w:r w:rsidRPr="00061843" w:rsidR="00765937">
              <w:rPr>
                <w:rStyle w:val="FootnoteReference"/>
                <w:b/>
                <w:bCs/>
              </w:rPr>
              <w:footnoteReference w:id="12"/>
            </w:r>
            <w:r w:rsidRPr="00061843">
              <w:rPr>
                <w:b/>
                <w:bCs/>
              </w:rPr>
              <w:t xml:space="preserve"> is het </w:t>
            </w:r>
            <w:r w:rsidRPr="00061843" w:rsidR="00FC4D05">
              <w:rPr>
                <w:b/>
                <w:bCs/>
              </w:rPr>
              <w:t>verhogen</w:t>
            </w:r>
            <w:r w:rsidRPr="00061843">
              <w:rPr>
                <w:b/>
                <w:bCs/>
              </w:rPr>
              <w:t xml:space="preserve"> van tariefmuren aan de EU-grenzen binnen deze kaders geen realistische optie. Wel bestaat de mogelijkheid om het niveau van eisen (duurzaamheid, footprint, gewasbeschermingsmiddelen, </w:t>
            </w:r>
            <w:proofErr w:type="spellStart"/>
            <w:r w:rsidRPr="00061843">
              <w:rPr>
                <w:b/>
                <w:bCs/>
              </w:rPr>
              <w:t>etc</w:t>
            </w:r>
            <w:proofErr w:type="spellEnd"/>
            <w:r w:rsidRPr="00061843">
              <w:rPr>
                <w:b/>
                <w:bCs/>
              </w:rPr>
              <w:t xml:space="preserve">) aan importgrondstoffen aan te scherpen en in evenwicht te brengen met de minimale eisen aan grondstoffen voor veevoeders en humane consumptie in de EU en Nederland. Hiermee wordt het </w:t>
            </w:r>
            <w:r w:rsidRPr="00061843" w:rsidR="00FC4D05">
              <w:rPr>
                <w:b/>
                <w:bCs/>
              </w:rPr>
              <w:t>gelijk speelveld</w:t>
            </w:r>
            <w:r w:rsidRPr="00061843">
              <w:rPr>
                <w:b/>
                <w:bCs/>
              </w:rPr>
              <w:t xml:space="preserve"> voor de teelt van eiwitrijke gewassen in de EU versterkt ten opzichte van landen buiten de EU. </w:t>
            </w:r>
            <w:r w:rsidRPr="00061843" w:rsidR="00335912">
              <w:rPr>
                <w:b/>
                <w:bCs/>
              </w:rPr>
              <w:t xml:space="preserve">Voorts worden in de nieuwe GMO (Gemeenschappelijke Marktordening) voorstellen van de Commissie samenwerking en marktontwikkeling bij de </w:t>
            </w:r>
            <w:r w:rsidRPr="00061843" w:rsidR="00335912">
              <w:rPr>
                <w:b/>
                <w:bCs/>
              </w:rPr>
              <w:lastRenderedPageBreak/>
              <w:t xml:space="preserve">productie van eiwitgewassen in de EU gestimuleerd, wat bijdraagt aan de verdere ontwikkeling van deze sector in de EU. </w:t>
            </w:r>
            <w:r w:rsidRPr="00061843" w:rsidR="006C42DE">
              <w:rPr>
                <w:b/>
                <w:bCs/>
              </w:rPr>
              <w:t>U</w:t>
            </w:r>
            <w:r w:rsidRPr="00061843" w:rsidR="00335912">
              <w:rPr>
                <w:b/>
                <w:bCs/>
              </w:rPr>
              <w:t xml:space="preserve">w </w:t>
            </w:r>
            <w:r w:rsidRPr="00061843" w:rsidR="006C42DE">
              <w:rPr>
                <w:b/>
                <w:bCs/>
              </w:rPr>
              <w:t>K</w:t>
            </w:r>
            <w:r w:rsidRPr="00061843" w:rsidR="00335912">
              <w:rPr>
                <w:b/>
                <w:bCs/>
              </w:rPr>
              <w:t xml:space="preserve">amer </w:t>
            </w:r>
            <w:r w:rsidRPr="00061843" w:rsidR="006C42DE">
              <w:rPr>
                <w:b/>
                <w:bCs/>
              </w:rPr>
              <w:t>is</w:t>
            </w:r>
            <w:r w:rsidRPr="00061843" w:rsidR="00335912">
              <w:rPr>
                <w:b/>
                <w:bCs/>
              </w:rPr>
              <w:t xml:space="preserve"> geïnformeerd over de inzet </w:t>
            </w:r>
            <w:r w:rsidRPr="00061843" w:rsidR="006C42DE">
              <w:rPr>
                <w:b/>
                <w:bCs/>
              </w:rPr>
              <w:t xml:space="preserve">hierbij </w:t>
            </w:r>
            <w:r w:rsidRPr="00061843" w:rsidR="00335912">
              <w:rPr>
                <w:b/>
                <w:bCs/>
              </w:rPr>
              <w:t>van het kabinet door de minister van LVVN</w:t>
            </w:r>
            <w:r w:rsidRPr="00061843" w:rsidR="006C42DE">
              <w:rPr>
                <w:b/>
                <w:bCs/>
              </w:rPr>
              <w:t>.</w:t>
            </w:r>
            <w:r w:rsidRPr="00061843" w:rsidR="00765937">
              <w:rPr>
                <w:rStyle w:val="FootnoteReference"/>
                <w:b/>
                <w:bCs/>
              </w:rPr>
              <w:footnoteReference w:id="13"/>
            </w:r>
          </w:p>
          <w:p w:rsidRPr="00B84E3B" w:rsidR="00C715DF" w:rsidRDefault="00C715DF" w14:paraId="05580E8C" w14:textId="3792F6D9"/>
        </w:tc>
        <w:tc>
          <w:tcPr>
            <w:tcW w:w="850" w:type="dxa"/>
          </w:tcPr>
          <w:p w:rsidRPr="00B84E3B" w:rsidR="005D2945" w:rsidRDefault="005D2945" w14:paraId="1E32D5F2" w14:textId="4FFB99BE">
            <w:pPr>
              <w:jc w:val="right"/>
            </w:pPr>
          </w:p>
        </w:tc>
        <w:tc>
          <w:tcPr>
            <w:tcW w:w="992" w:type="dxa"/>
          </w:tcPr>
          <w:p w:rsidRPr="00B84E3B" w:rsidR="005D2945" w:rsidRDefault="005D2945" w14:paraId="1F466A86" w14:textId="77777777">
            <w:pPr>
              <w:jc w:val="right"/>
            </w:pPr>
          </w:p>
        </w:tc>
        <w:tc>
          <w:tcPr>
            <w:tcW w:w="567" w:type="dxa"/>
          </w:tcPr>
          <w:p w:rsidRPr="00B84E3B" w:rsidR="005D2945" w:rsidRDefault="001856D0" w14:paraId="6B7166B3" w14:textId="77777777">
            <w:pPr>
              <w:jc w:val="right"/>
            </w:pPr>
            <w:r w:rsidRPr="00B84E3B">
              <w:t xml:space="preserve"> </w:t>
            </w:r>
          </w:p>
        </w:tc>
      </w:tr>
      <w:tr w:rsidRPr="00B84E3B" w:rsidR="005D2945" w:rsidTr="00B84E3B" w14:paraId="217910AB" w14:textId="77777777">
        <w:tc>
          <w:tcPr>
            <w:tcW w:w="585" w:type="dxa"/>
          </w:tcPr>
          <w:p w:rsidRPr="00B84E3B" w:rsidR="005D2945" w:rsidRDefault="001856D0" w14:paraId="102AE6B3" w14:textId="77777777">
            <w:r w:rsidRPr="00B84E3B">
              <w:t>36</w:t>
            </w:r>
          </w:p>
        </w:tc>
        <w:tc>
          <w:tcPr>
            <w:tcW w:w="6503" w:type="dxa"/>
          </w:tcPr>
          <w:p w:rsidRPr="00B84E3B" w:rsidR="003F0923" w:rsidP="003F0923" w:rsidRDefault="001856D0" w14:paraId="0C1D4CC1" w14:textId="0F8B70FE">
            <w:r w:rsidRPr="00B84E3B">
              <w:t>Kunt u aangeven hoeveel mijnbouwproducten nodig zijn om in de komende decennia de geplande elektrificatie van het Europese wagenpark mogelijk te maken?  Kunt u aangeven waar deze benodigde mijnbouwproducten vandaan zouden kunnen komen? Erkent u dat de huidige mijnbouw al tot grote problemen voor de voorziening in basisbehoeften van de lokale bevolking leidt? En zo ja, dat deze extra toekomstige vraag eigenlijk niet fysiek haalbaar is? Erkent u dat de EU eigenlijk zou moeten overgaan naar drastische stimulering van openbaar vervoer, en zich moet beperken tot productie van elektrisch openbaar - en vrachtvervoersmiddelen?</w:t>
            </w:r>
          </w:p>
          <w:p w:rsidRPr="00B84E3B" w:rsidR="003F0923" w:rsidP="003F0923" w:rsidRDefault="003F0923" w14:paraId="5B16524A" w14:textId="77777777"/>
          <w:p w:rsidRPr="00B84E3B" w:rsidR="003F0923" w:rsidP="003F0923" w:rsidRDefault="003F0923" w14:paraId="025FDA58" w14:textId="77777777">
            <w:pPr>
              <w:rPr>
                <w:b/>
                <w:bCs/>
              </w:rPr>
            </w:pPr>
            <w:r w:rsidRPr="00B84E3B">
              <w:rPr>
                <w:b/>
                <w:bCs/>
              </w:rPr>
              <w:t>Antwoord</w:t>
            </w:r>
          </w:p>
          <w:p w:rsidRPr="00061843" w:rsidR="007975F0" w:rsidP="007975F0" w:rsidRDefault="007975F0" w14:paraId="1CBCDCE2" w14:textId="61CBB52D">
            <w:pPr>
              <w:rPr>
                <w:b/>
                <w:bCs/>
              </w:rPr>
            </w:pPr>
            <w:r w:rsidRPr="00061843">
              <w:rPr>
                <w:b/>
                <w:bCs/>
              </w:rPr>
              <w:t>Uit de Global EV outlook 2025 van de International Energy Agency (IEA) (</w:t>
            </w:r>
            <w:hyperlink w:history="1" r:id="rId12">
              <w:r w:rsidRPr="00061843">
                <w:rPr>
                  <w:rStyle w:val="Hyperlink"/>
                  <w:b/>
                  <w:bCs/>
                </w:rPr>
                <w:t>https://www.iea.org/reports/global-ev-outlook-2025</w:t>
              </w:r>
            </w:hyperlink>
            <w:r w:rsidRPr="00061843">
              <w:rPr>
                <w:b/>
                <w:bCs/>
              </w:rPr>
              <w:t>) blijkt dat het aantal wereldwijde Elektrische voertuigen (</w:t>
            </w:r>
            <w:proofErr w:type="spellStart"/>
            <w:r w:rsidRPr="00061843">
              <w:rPr>
                <w:b/>
                <w:bCs/>
              </w:rPr>
              <w:t>EV’s</w:t>
            </w:r>
            <w:proofErr w:type="spellEnd"/>
            <w:r w:rsidRPr="00061843">
              <w:rPr>
                <w:b/>
                <w:bCs/>
              </w:rPr>
              <w:t xml:space="preserve">) tegen 2030 verdrievoudigd zal zijn ten opzichte van nu. In Europa zouden </w:t>
            </w:r>
            <w:proofErr w:type="spellStart"/>
            <w:r w:rsidRPr="00061843">
              <w:rPr>
                <w:b/>
                <w:bCs/>
              </w:rPr>
              <w:t>EV’s</w:t>
            </w:r>
            <w:proofErr w:type="spellEnd"/>
            <w:r w:rsidRPr="00061843">
              <w:rPr>
                <w:b/>
                <w:bCs/>
              </w:rPr>
              <w:t xml:space="preserve"> tegen 2030 meer dan 4 % van de totale elektriciteitsvraag kunnen uitmaken. Hoewel daardoor de vraag naar belangrijke energiemineralen zoals lithium, nikkel, kobalt en grafiet sterk zal stijgen, zijn precieze cijfers voor het Europese wagenpark niet beschikbaar, omdat dit afhangt van aannames over het aantal </w:t>
            </w:r>
            <w:proofErr w:type="spellStart"/>
            <w:r w:rsidRPr="00061843">
              <w:rPr>
                <w:b/>
                <w:bCs/>
              </w:rPr>
              <w:t>EV’s</w:t>
            </w:r>
            <w:proofErr w:type="spellEnd"/>
            <w:r w:rsidRPr="00061843">
              <w:rPr>
                <w:b/>
                <w:bCs/>
              </w:rPr>
              <w:t xml:space="preserve"> in Europa, batterijchemie, mate van recyclage en andere factoren. </w:t>
            </w:r>
          </w:p>
          <w:p w:rsidRPr="00061843" w:rsidR="007975F0" w:rsidP="007975F0" w:rsidRDefault="007975F0" w14:paraId="147283CD" w14:textId="77777777">
            <w:pPr>
              <w:rPr>
                <w:b/>
                <w:bCs/>
              </w:rPr>
            </w:pPr>
            <w:r w:rsidRPr="00061843">
              <w:rPr>
                <w:b/>
                <w:bCs/>
              </w:rPr>
              <w:t xml:space="preserve">In de Nationale Grondstoffenstrategie erkent het kabinet zowel de mogelijke positieve als negatieve impact van mijnbouw voor onder andere de lokale bevolking. In lijn met de Nationale Grondstoffenstrategie en de EU Critical </w:t>
            </w:r>
            <w:proofErr w:type="spellStart"/>
            <w:r w:rsidRPr="00061843">
              <w:rPr>
                <w:b/>
                <w:bCs/>
              </w:rPr>
              <w:t>Raw</w:t>
            </w:r>
            <w:proofErr w:type="spellEnd"/>
            <w:r w:rsidRPr="00061843">
              <w:rPr>
                <w:b/>
                <w:bCs/>
              </w:rPr>
              <w:t xml:space="preserve"> </w:t>
            </w:r>
            <w:proofErr w:type="spellStart"/>
            <w:r w:rsidRPr="00061843">
              <w:rPr>
                <w:b/>
                <w:bCs/>
              </w:rPr>
              <w:t>Materials</w:t>
            </w:r>
            <w:proofErr w:type="spellEnd"/>
            <w:r w:rsidRPr="00061843">
              <w:rPr>
                <w:b/>
                <w:bCs/>
              </w:rPr>
              <w:t xml:space="preserve"> Act wordt actief ingezet op het verbeteren van de leveringszekerheid van kritieke grondstoffen, waarbij het verminderen van de negatieve impact op mens en milieu een randvoorwaarde is. Dit gebeurt onder andere via de opbouw van verwerkingscapaciteit, strategische voorraden, en recycling in Nederland, internationale partnerschappen, verduurzaming internationale grondstoffenketens en handelsbevordering. Daarnaast zet het kabinet met de Nationale Grondstoffen Strategie in op het verminderen van het gebruik van primaire kritieke grondstoffen door efficiënt materiaalontwerp, substitutie, levensduurverlening en hergebruik van producten en het verhogen van het aandeel gerecyclede kritieke grondstoffen.</w:t>
            </w:r>
          </w:p>
          <w:p w:rsidRPr="00061843" w:rsidR="007975F0" w:rsidP="007975F0" w:rsidRDefault="007975F0" w14:paraId="0836FDB5" w14:textId="0473B325">
            <w:pPr>
              <w:rPr>
                <w:b/>
                <w:bCs/>
              </w:rPr>
            </w:pPr>
            <w:r w:rsidRPr="00061843">
              <w:rPr>
                <w:b/>
                <w:bCs/>
              </w:rPr>
              <w:t xml:space="preserve">Door de beperkte Europese geologische reserves en verwerkingscapaciteit blijft Europa afhankelijk van grondstofrijke landen voor de verwerking van mijnbouwproducten en de productie van </w:t>
            </w:r>
            <w:proofErr w:type="spellStart"/>
            <w:r w:rsidRPr="00061843">
              <w:rPr>
                <w:b/>
                <w:bCs/>
              </w:rPr>
              <w:t>EV’s</w:t>
            </w:r>
            <w:proofErr w:type="spellEnd"/>
            <w:r w:rsidRPr="00061843">
              <w:rPr>
                <w:b/>
                <w:bCs/>
              </w:rPr>
              <w:t>.</w:t>
            </w:r>
          </w:p>
          <w:p w:rsidRPr="00061843" w:rsidR="007975F0" w:rsidP="007975F0" w:rsidRDefault="007975F0" w14:paraId="40AFBF01" w14:textId="77777777">
            <w:pPr>
              <w:rPr>
                <w:b/>
                <w:bCs/>
              </w:rPr>
            </w:pPr>
            <w:r w:rsidRPr="00061843">
              <w:rPr>
                <w:b/>
                <w:bCs/>
              </w:rPr>
              <w:t xml:space="preserve">Europa en Nederland zetten in op zowel stimulering van het openbaar vervoer en op verduurzaming van mobiliteit, bijvoorbeeld door financiering uit het EU </w:t>
            </w:r>
            <w:proofErr w:type="spellStart"/>
            <w:r w:rsidRPr="00061843">
              <w:rPr>
                <w:b/>
                <w:bCs/>
                <w:i/>
                <w:iCs/>
              </w:rPr>
              <w:t>Connecting</w:t>
            </w:r>
            <w:proofErr w:type="spellEnd"/>
            <w:r w:rsidRPr="00061843">
              <w:rPr>
                <w:b/>
                <w:bCs/>
                <w:i/>
                <w:iCs/>
              </w:rPr>
              <w:t xml:space="preserve"> Europe Fonds</w:t>
            </w:r>
            <w:r w:rsidRPr="00061843">
              <w:rPr>
                <w:b/>
                <w:bCs/>
              </w:rPr>
              <w:t xml:space="preserve">. Verder </w:t>
            </w:r>
            <w:proofErr w:type="spellStart"/>
            <w:r w:rsidRPr="00061843">
              <w:rPr>
                <w:b/>
                <w:bCs/>
              </w:rPr>
              <w:t>stimulert</w:t>
            </w:r>
            <w:proofErr w:type="spellEnd"/>
            <w:r w:rsidRPr="00061843">
              <w:rPr>
                <w:b/>
                <w:bCs/>
              </w:rPr>
              <w:t xml:space="preserve"> het kabinet de inzet van elektrisch aangedreven openbaar-vervoersmiddelen, met name bussen via het Bestuursakkoord Zero Emissie Busvervoer. </w:t>
            </w:r>
          </w:p>
          <w:p w:rsidRPr="00B84E3B" w:rsidR="00C715DF" w:rsidRDefault="00C715DF" w14:paraId="58E12B94" w14:textId="28F0B766"/>
        </w:tc>
        <w:tc>
          <w:tcPr>
            <w:tcW w:w="850" w:type="dxa"/>
          </w:tcPr>
          <w:p w:rsidRPr="00B84E3B" w:rsidR="005D2945" w:rsidRDefault="005D2945" w14:paraId="5151C2B4" w14:textId="0245F235">
            <w:pPr>
              <w:jc w:val="right"/>
            </w:pPr>
          </w:p>
        </w:tc>
        <w:tc>
          <w:tcPr>
            <w:tcW w:w="992" w:type="dxa"/>
          </w:tcPr>
          <w:p w:rsidRPr="00B84E3B" w:rsidR="005D2945" w:rsidRDefault="005D2945" w14:paraId="48A7497C" w14:textId="77777777">
            <w:pPr>
              <w:jc w:val="right"/>
            </w:pPr>
          </w:p>
        </w:tc>
        <w:tc>
          <w:tcPr>
            <w:tcW w:w="567" w:type="dxa"/>
          </w:tcPr>
          <w:p w:rsidRPr="00B84E3B" w:rsidR="005D2945" w:rsidRDefault="001856D0" w14:paraId="54BAE892" w14:textId="77777777">
            <w:pPr>
              <w:jc w:val="right"/>
            </w:pPr>
            <w:r w:rsidRPr="00B84E3B">
              <w:t xml:space="preserve"> </w:t>
            </w:r>
          </w:p>
        </w:tc>
      </w:tr>
      <w:tr w:rsidRPr="00B84E3B" w:rsidR="005D2945" w:rsidTr="00B84E3B" w14:paraId="04CA3CA4" w14:textId="77777777">
        <w:tc>
          <w:tcPr>
            <w:tcW w:w="585" w:type="dxa"/>
          </w:tcPr>
          <w:p w:rsidRPr="00B84E3B" w:rsidR="005D2945" w:rsidRDefault="001856D0" w14:paraId="3C812B9D" w14:textId="77777777">
            <w:r w:rsidRPr="00B84E3B">
              <w:t>37</w:t>
            </w:r>
          </w:p>
        </w:tc>
        <w:tc>
          <w:tcPr>
            <w:tcW w:w="6503" w:type="dxa"/>
          </w:tcPr>
          <w:p w:rsidRPr="00B84E3B" w:rsidR="003F0923" w:rsidP="003F0923" w:rsidRDefault="001856D0" w14:paraId="14F24AFE" w14:textId="77777777">
            <w:r w:rsidRPr="00B84E3B">
              <w:t>In de beoordeling van handelsverdragen als EU-Chili, EU-Indonesië en EU-</w:t>
            </w:r>
            <w:proofErr w:type="spellStart"/>
            <w:r w:rsidRPr="00B84E3B">
              <w:t>Mercosur</w:t>
            </w:r>
            <w:proofErr w:type="spellEnd"/>
            <w:r w:rsidRPr="00B84E3B">
              <w:t xml:space="preserve"> wordt vaak gesproken over het belang van de toegang tot kritische grondstoffen. Erkent u dat mijnbouw van deze grondstoffen tot zeer ernstige problemen voor de voorziening in basisbehoeftes van de lokale bevolking leidt, mede door het schenden van land- en waterrechten?</w:t>
            </w:r>
          </w:p>
          <w:p w:rsidRPr="00B84E3B" w:rsidR="003F0923" w:rsidP="003F0923" w:rsidRDefault="003F0923" w14:paraId="2E33B5C9" w14:textId="77777777"/>
          <w:p w:rsidR="00FE2A49" w:rsidP="003F0923" w:rsidRDefault="00FE2A49" w14:paraId="63C7F64F" w14:textId="77777777">
            <w:pPr>
              <w:rPr>
                <w:b/>
                <w:bCs/>
              </w:rPr>
            </w:pPr>
          </w:p>
          <w:p w:rsidRPr="00B84E3B" w:rsidR="003F0923" w:rsidP="003F0923" w:rsidRDefault="003F0923" w14:paraId="10D1ACC0" w14:textId="6E08D45D">
            <w:pPr>
              <w:rPr>
                <w:b/>
                <w:bCs/>
              </w:rPr>
            </w:pPr>
            <w:r w:rsidRPr="00B84E3B">
              <w:rPr>
                <w:b/>
                <w:bCs/>
              </w:rPr>
              <w:lastRenderedPageBreak/>
              <w:t>Antwoord</w:t>
            </w:r>
          </w:p>
          <w:p w:rsidRPr="00061843" w:rsidR="00B3075F" w:rsidP="00B3075F" w:rsidRDefault="00B3075F" w14:paraId="6A4C0358" w14:textId="2F7D4894">
            <w:pPr>
              <w:rPr>
                <w:b/>
              </w:rPr>
            </w:pPr>
            <w:r w:rsidRPr="00061843">
              <w:rPr>
                <w:b/>
              </w:rPr>
              <w:t xml:space="preserve">In de Nationale Grondstoffenstrategie erkent het kabinet de mogelijke impact van mijnbouw op mens en milieu, waaronder druk op land- en waterrechten van lokale gemeenschappen. Dit sluit aan bij de Critical </w:t>
            </w:r>
            <w:proofErr w:type="spellStart"/>
            <w:r w:rsidRPr="00061843">
              <w:rPr>
                <w:b/>
              </w:rPr>
              <w:t>Raw</w:t>
            </w:r>
            <w:proofErr w:type="spellEnd"/>
            <w:r w:rsidRPr="00061843">
              <w:rPr>
                <w:b/>
              </w:rPr>
              <w:t xml:space="preserve"> </w:t>
            </w:r>
            <w:proofErr w:type="spellStart"/>
            <w:r w:rsidRPr="00061843">
              <w:rPr>
                <w:b/>
              </w:rPr>
              <w:t>Materials</w:t>
            </w:r>
            <w:proofErr w:type="spellEnd"/>
            <w:r w:rsidRPr="00061843">
              <w:rPr>
                <w:b/>
              </w:rPr>
              <w:t xml:space="preserve"> Act (CRMA), die hier ook op ingaat.</w:t>
            </w:r>
            <w:r w:rsidR="00FE2A49">
              <w:rPr>
                <w:rStyle w:val="FootnoteReference"/>
                <w:b/>
              </w:rPr>
              <w:footnoteReference w:id="14"/>
            </w:r>
            <w:r w:rsidRPr="00061843">
              <w:rPr>
                <w:b/>
              </w:rPr>
              <w:t xml:space="preserve"> Zo moeten strategische projecten onder de CRMA uitgevoerd worden met onder andere respect voor milieu, mensenrechten en lokale gemeenschappen. </w:t>
            </w:r>
          </w:p>
          <w:p w:rsidR="00C715DF" w:rsidP="00061843" w:rsidRDefault="00B3075F" w14:paraId="3AFC1CB0" w14:textId="184334DC">
            <w:pPr>
              <w:rPr>
                <w:b/>
                <w:i/>
                <w:iCs/>
              </w:rPr>
            </w:pPr>
            <w:r w:rsidRPr="00061843">
              <w:rPr>
                <w:b/>
              </w:rPr>
              <w:t xml:space="preserve">Daarnaast komt de EU in handelsakkoorden met Chili en de </w:t>
            </w:r>
            <w:proofErr w:type="spellStart"/>
            <w:r w:rsidRPr="00061843">
              <w:rPr>
                <w:b/>
              </w:rPr>
              <w:t>Mercosur</w:t>
            </w:r>
            <w:proofErr w:type="spellEnd"/>
            <w:r w:rsidRPr="00061843">
              <w:rPr>
                <w:b/>
              </w:rPr>
              <w:t xml:space="preserve"> landen naast verbeterde markttoegang tot kritieke grondstoffen ook overeen dat verdragspartijen zullen samenwerken op het gebied van verantwoorde mijnbouw en duurzame productie. Het akkoord met Chili bevat afspraken over de milieueffecten bij nieuwe projecten.</w:t>
            </w:r>
            <w:r w:rsidR="00FE2A49">
              <w:rPr>
                <w:rStyle w:val="FootnoteReference"/>
                <w:b/>
              </w:rPr>
              <w:footnoteReference w:id="15"/>
            </w:r>
            <w:r w:rsidRPr="00061843">
              <w:rPr>
                <w:b/>
              </w:rPr>
              <w:t xml:space="preserve"> In het akkoord met de </w:t>
            </w:r>
            <w:proofErr w:type="spellStart"/>
            <w:r w:rsidRPr="00061843">
              <w:rPr>
                <w:b/>
              </w:rPr>
              <w:t>Mercosurlande</w:t>
            </w:r>
            <w:r w:rsidR="00FE2A49">
              <w:rPr>
                <w:b/>
              </w:rPr>
              <w:t>n</w:t>
            </w:r>
            <w:proofErr w:type="spellEnd"/>
            <w:r w:rsidRPr="00061843">
              <w:rPr>
                <w:b/>
              </w:rPr>
              <w:t xml:space="preserve"> zijn in het hoofdstuk over handel en duurzame ontwikkeling duurzaamheidsafspraken overeengekomen die effect hebben op de mijnbouwsector en kritieke grondstoffen </w:t>
            </w:r>
            <w:proofErr w:type="spellStart"/>
            <w:r w:rsidRPr="00061843">
              <w:rPr>
                <w:b/>
              </w:rPr>
              <w:t>waardeketens</w:t>
            </w:r>
            <w:proofErr w:type="spellEnd"/>
            <w:r w:rsidRPr="00061843">
              <w:rPr>
                <w:b/>
              </w:rPr>
              <w:t>.</w:t>
            </w:r>
            <w:r w:rsidR="00FE2A49">
              <w:rPr>
                <w:rStyle w:val="FootnoteReference"/>
                <w:b/>
              </w:rPr>
              <w:footnoteReference w:id="16"/>
            </w:r>
            <w:r w:rsidRPr="00061843">
              <w:rPr>
                <w:b/>
              </w:rPr>
              <w:t xml:space="preserve"> Zo ziet het akkoord toe op de naleving van IMVO-kaders en informatie-uitwisseling en samenwerking op internationaal maatschappelijk verantwoord ondernemen in grondstoffenketens. Ook is overeengekomen de toepassing van de OESO-richtlijnen voor duurzame </w:t>
            </w:r>
            <w:proofErr w:type="spellStart"/>
            <w:r w:rsidRPr="00061843">
              <w:rPr>
                <w:b/>
              </w:rPr>
              <w:t>waardeketens</w:t>
            </w:r>
            <w:proofErr w:type="spellEnd"/>
            <w:r w:rsidRPr="00061843">
              <w:rPr>
                <w:b/>
              </w:rPr>
              <w:t xml:space="preserve"> van mineralen uit conflict- en hoog risicogebieden te bevorderen. </w:t>
            </w:r>
          </w:p>
          <w:p w:rsidRPr="00061843" w:rsidR="00061843" w:rsidP="00061843" w:rsidRDefault="00061843" w14:paraId="4273086B" w14:textId="713C6892">
            <w:pPr>
              <w:rPr>
                <w:b/>
                <w:i/>
                <w:iCs/>
              </w:rPr>
            </w:pPr>
          </w:p>
        </w:tc>
        <w:tc>
          <w:tcPr>
            <w:tcW w:w="850" w:type="dxa"/>
          </w:tcPr>
          <w:p w:rsidRPr="00B84E3B" w:rsidR="005D2945" w:rsidRDefault="005D2945" w14:paraId="5216B74E" w14:textId="5069891C">
            <w:pPr>
              <w:jc w:val="right"/>
            </w:pPr>
          </w:p>
        </w:tc>
        <w:tc>
          <w:tcPr>
            <w:tcW w:w="992" w:type="dxa"/>
          </w:tcPr>
          <w:p w:rsidRPr="00B84E3B" w:rsidR="005D2945" w:rsidRDefault="005D2945" w14:paraId="4C82FB49" w14:textId="77777777">
            <w:pPr>
              <w:jc w:val="right"/>
            </w:pPr>
          </w:p>
        </w:tc>
        <w:tc>
          <w:tcPr>
            <w:tcW w:w="567" w:type="dxa"/>
          </w:tcPr>
          <w:p w:rsidRPr="00B84E3B" w:rsidR="005D2945" w:rsidRDefault="001856D0" w14:paraId="57EEF217" w14:textId="77777777">
            <w:pPr>
              <w:jc w:val="right"/>
            </w:pPr>
            <w:r w:rsidRPr="00B84E3B">
              <w:t xml:space="preserve"> </w:t>
            </w:r>
          </w:p>
        </w:tc>
      </w:tr>
      <w:tr w:rsidRPr="00B84E3B" w:rsidR="005D2945" w:rsidTr="00B84E3B" w14:paraId="488D8069" w14:textId="77777777">
        <w:tc>
          <w:tcPr>
            <w:tcW w:w="585" w:type="dxa"/>
          </w:tcPr>
          <w:p w:rsidRPr="00B84E3B" w:rsidR="005D2945" w:rsidRDefault="001856D0" w14:paraId="5D8522B6" w14:textId="77777777">
            <w:r w:rsidRPr="00B84E3B">
              <w:t>38</w:t>
            </w:r>
          </w:p>
        </w:tc>
        <w:tc>
          <w:tcPr>
            <w:tcW w:w="6503" w:type="dxa"/>
          </w:tcPr>
          <w:p w:rsidRPr="00FE2A49" w:rsidR="003F0923" w:rsidP="003F0923" w:rsidRDefault="001856D0" w14:paraId="75B883BD" w14:textId="77777777">
            <w:r w:rsidRPr="00FE2A49">
              <w:t xml:space="preserve">Erkent u dat Nederlands beleid niet mag bijdragen aan landroof, zoals volgens het UNDROP-verdrag, </w:t>
            </w:r>
            <w:proofErr w:type="spellStart"/>
            <w:r w:rsidRPr="00FE2A49">
              <w:t>the</w:t>
            </w:r>
            <w:proofErr w:type="spellEnd"/>
            <w:r w:rsidRPr="00FE2A49">
              <w:t xml:space="preserve"> United Nations </w:t>
            </w:r>
            <w:proofErr w:type="spellStart"/>
            <w:r w:rsidRPr="00FE2A49">
              <w:t>Declaration</w:t>
            </w:r>
            <w:proofErr w:type="spellEnd"/>
            <w:r w:rsidRPr="00FE2A49">
              <w:t xml:space="preserve"> of </w:t>
            </w:r>
            <w:proofErr w:type="spellStart"/>
            <w:r w:rsidRPr="00FE2A49">
              <w:t>Rights</w:t>
            </w:r>
            <w:proofErr w:type="spellEnd"/>
            <w:r w:rsidRPr="00FE2A49">
              <w:t xml:space="preserve"> of </w:t>
            </w:r>
            <w:proofErr w:type="spellStart"/>
            <w:r w:rsidRPr="00FE2A49">
              <w:t>Peasants</w:t>
            </w:r>
            <w:proofErr w:type="spellEnd"/>
            <w:r w:rsidRPr="00FE2A49">
              <w:t xml:space="preserve"> </w:t>
            </w:r>
            <w:proofErr w:type="spellStart"/>
            <w:r w:rsidRPr="00FE2A49">
              <w:t>and</w:t>
            </w:r>
            <w:proofErr w:type="spellEnd"/>
            <w:r w:rsidRPr="00FE2A49">
              <w:t xml:space="preserve"> </w:t>
            </w:r>
            <w:proofErr w:type="spellStart"/>
            <w:r w:rsidRPr="00FE2A49">
              <w:t>Other</w:t>
            </w:r>
            <w:proofErr w:type="spellEnd"/>
            <w:r w:rsidRPr="00FE2A49">
              <w:t xml:space="preserve"> People </w:t>
            </w:r>
            <w:proofErr w:type="spellStart"/>
            <w:r w:rsidRPr="00FE2A49">
              <w:t>Working</w:t>
            </w:r>
            <w:proofErr w:type="spellEnd"/>
            <w:r w:rsidRPr="00FE2A49">
              <w:t xml:space="preserve"> in </w:t>
            </w:r>
            <w:proofErr w:type="spellStart"/>
            <w:r w:rsidRPr="00FE2A49">
              <w:t>Rural</w:t>
            </w:r>
            <w:proofErr w:type="spellEnd"/>
            <w:r w:rsidRPr="00FE2A49">
              <w:t xml:space="preserve"> </w:t>
            </w:r>
            <w:proofErr w:type="spellStart"/>
            <w:r w:rsidRPr="00FE2A49">
              <w:t>Areas</w:t>
            </w:r>
            <w:proofErr w:type="spellEnd"/>
            <w:r w:rsidRPr="00FE2A49">
              <w:t>?</w:t>
            </w:r>
          </w:p>
          <w:p w:rsidRPr="00FE2A49" w:rsidR="003F0923" w:rsidP="003F0923" w:rsidRDefault="003F0923" w14:paraId="42A2E96A" w14:textId="77777777"/>
          <w:p w:rsidRPr="00FE2A49" w:rsidR="003F0923" w:rsidP="003F0923" w:rsidRDefault="003F0923" w14:paraId="7EE155CE" w14:textId="77777777">
            <w:pPr>
              <w:rPr>
                <w:b/>
                <w:bCs/>
              </w:rPr>
            </w:pPr>
            <w:r w:rsidRPr="00FE2A49">
              <w:rPr>
                <w:b/>
                <w:bCs/>
              </w:rPr>
              <w:t>Antwoord</w:t>
            </w:r>
          </w:p>
          <w:p w:rsidRPr="00FE2A49" w:rsidR="00B4318A" w:rsidP="00B4318A" w:rsidRDefault="00B4318A" w14:paraId="1C6E1FDA" w14:textId="1E33A258">
            <w:pPr>
              <w:rPr>
                <w:b/>
                <w:bCs/>
              </w:rPr>
            </w:pPr>
            <w:r w:rsidRPr="00FE2A49">
              <w:rPr>
                <w:b/>
                <w:bCs/>
              </w:rPr>
              <w:t xml:space="preserve">UNDROP is een verklaring van de Algemene Vergadering van de Verenigde Naties, die aangenomen is op 17 december 2018, en daarmee geen verdrag in formele zin. Nederland </w:t>
            </w:r>
            <w:r w:rsidRPr="00FE2A49" w:rsidR="004E4464">
              <w:rPr>
                <w:b/>
                <w:bCs/>
              </w:rPr>
              <w:t xml:space="preserve">zich </w:t>
            </w:r>
            <w:r w:rsidRPr="00FE2A49">
              <w:rPr>
                <w:b/>
                <w:bCs/>
              </w:rPr>
              <w:t xml:space="preserve">heeft </w:t>
            </w:r>
            <w:r w:rsidRPr="00FE2A49" w:rsidR="004E4464">
              <w:rPr>
                <w:b/>
                <w:bCs/>
              </w:rPr>
              <w:t xml:space="preserve">onthouden </w:t>
            </w:r>
            <w:r w:rsidRPr="00FE2A49">
              <w:rPr>
                <w:b/>
                <w:bCs/>
              </w:rPr>
              <w:t>van stemming over deze verklaring.</w:t>
            </w:r>
          </w:p>
          <w:p w:rsidRPr="00FE2A49" w:rsidR="00C715DF" w:rsidRDefault="00C715DF" w14:paraId="579196BA" w14:textId="4E94625D"/>
        </w:tc>
        <w:tc>
          <w:tcPr>
            <w:tcW w:w="850" w:type="dxa"/>
          </w:tcPr>
          <w:p w:rsidRPr="00B84E3B" w:rsidR="005D2945" w:rsidRDefault="005D2945" w14:paraId="07504C05" w14:textId="7BBDD74E">
            <w:pPr>
              <w:jc w:val="right"/>
            </w:pPr>
          </w:p>
        </w:tc>
        <w:tc>
          <w:tcPr>
            <w:tcW w:w="992" w:type="dxa"/>
          </w:tcPr>
          <w:p w:rsidRPr="00B84E3B" w:rsidR="005D2945" w:rsidRDefault="005D2945" w14:paraId="2E810541" w14:textId="77777777">
            <w:pPr>
              <w:jc w:val="right"/>
            </w:pPr>
          </w:p>
        </w:tc>
        <w:tc>
          <w:tcPr>
            <w:tcW w:w="567" w:type="dxa"/>
          </w:tcPr>
          <w:p w:rsidRPr="00B84E3B" w:rsidR="005D2945" w:rsidRDefault="001856D0" w14:paraId="26B35340" w14:textId="77777777">
            <w:pPr>
              <w:jc w:val="right"/>
            </w:pPr>
            <w:r w:rsidRPr="00B84E3B">
              <w:t xml:space="preserve"> </w:t>
            </w:r>
          </w:p>
        </w:tc>
      </w:tr>
      <w:tr w:rsidRPr="00B84E3B" w:rsidR="005D2945" w:rsidTr="00B84E3B" w14:paraId="3ADBB1E3" w14:textId="77777777">
        <w:tc>
          <w:tcPr>
            <w:tcW w:w="585" w:type="dxa"/>
          </w:tcPr>
          <w:p w:rsidRPr="00B84E3B" w:rsidR="005D2945" w:rsidRDefault="001856D0" w14:paraId="778424E4" w14:textId="77777777">
            <w:r w:rsidRPr="00B84E3B">
              <w:t>39</w:t>
            </w:r>
          </w:p>
        </w:tc>
        <w:tc>
          <w:tcPr>
            <w:tcW w:w="6503" w:type="dxa"/>
          </w:tcPr>
          <w:p w:rsidRPr="00FE2A49" w:rsidR="003F0923" w:rsidP="003F0923" w:rsidRDefault="001856D0" w14:paraId="61B3FD97" w14:textId="2F789AC5">
            <w:r w:rsidRPr="00FE2A49">
              <w:t xml:space="preserve">Erkent u dat de huidige Nederlandse en EU-import van veevoer, biobrandstoffen en </w:t>
            </w:r>
            <w:proofErr w:type="spellStart"/>
            <w:r w:rsidRPr="00FE2A49">
              <w:t>critical</w:t>
            </w:r>
            <w:proofErr w:type="spellEnd"/>
            <w:r w:rsidRPr="00FE2A49">
              <w:t xml:space="preserve"> </w:t>
            </w:r>
            <w:proofErr w:type="spellStart"/>
            <w:r w:rsidRPr="00FE2A49">
              <w:t>raw</w:t>
            </w:r>
            <w:proofErr w:type="spellEnd"/>
            <w:r w:rsidRPr="00FE2A49">
              <w:t xml:space="preserve"> </w:t>
            </w:r>
            <w:proofErr w:type="spellStart"/>
            <w:r w:rsidRPr="00FE2A49">
              <w:t>materials</w:t>
            </w:r>
            <w:proofErr w:type="spellEnd"/>
            <w:r w:rsidRPr="00FE2A49">
              <w:t xml:space="preserve"> leidt tot schending van UNDROP?</w:t>
            </w:r>
          </w:p>
          <w:p w:rsidRPr="00FE2A49" w:rsidR="003F0923" w:rsidP="003F0923" w:rsidRDefault="003F0923" w14:paraId="51146B1D" w14:textId="77777777"/>
          <w:p w:rsidRPr="00FE2A49" w:rsidR="003F0923" w:rsidP="003F0923" w:rsidRDefault="003F0923" w14:paraId="175E0889" w14:textId="77777777">
            <w:pPr>
              <w:rPr>
                <w:b/>
                <w:bCs/>
              </w:rPr>
            </w:pPr>
            <w:r w:rsidRPr="00FE2A49">
              <w:rPr>
                <w:b/>
                <w:bCs/>
              </w:rPr>
              <w:t>Antwoord</w:t>
            </w:r>
          </w:p>
          <w:p w:rsidRPr="00FE2A49" w:rsidR="00B4318A" w:rsidP="00B4318A" w:rsidRDefault="00B4318A" w14:paraId="48EBC767" w14:textId="590E7110">
            <w:pPr>
              <w:rPr>
                <w:b/>
                <w:bCs/>
              </w:rPr>
            </w:pPr>
            <w:r w:rsidRPr="00FE2A49">
              <w:rPr>
                <w:b/>
                <w:bCs/>
              </w:rPr>
              <w:t>Zoals aangegeven in beantwoording van vraag 38 is UNDROP een verklaring van de algemene vergadering van de Verenigde Naties, waarbij Nederland zich heeft onthouden</w:t>
            </w:r>
            <w:r w:rsidRPr="00FE2A49" w:rsidR="004E4464">
              <w:rPr>
                <w:b/>
                <w:bCs/>
              </w:rPr>
              <w:t xml:space="preserve"> van stemming over deze verklaring</w:t>
            </w:r>
            <w:r w:rsidRPr="00FE2A49">
              <w:rPr>
                <w:b/>
                <w:bCs/>
              </w:rPr>
              <w:t xml:space="preserve">. </w:t>
            </w:r>
          </w:p>
          <w:p w:rsidRPr="00FE2A49" w:rsidR="00C715DF" w:rsidRDefault="00C715DF" w14:paraId="23883C7C" w14:textId="2D8E7A7B"/>
        </w:tc>
        <w:tc>
          <w:tcPr>
            <w:tcW w:w="850" w:type="dxa"/>
          </w:tcPr>
          <w:p w:rsidRPr="00B84E3B" w:rsidR="005D2945" w:rsidRDefault="005D2945" w14:paraId="3C852C0D" w14:textId="3CF9BDE7">
            <w:pPr>
              <w:jc w:val="right"/>
            </w:pPr>
          </w:p>
        </w:tc>
        <w:tc>
          <w:tcPr>
            <w:tcW w:w="992" w:type="dxa"/>
          </w:tcPr>
          <w:p w:rsidRPr="00B84E3B" w:rsidR="005D2945" w:rsidRDefault="005D2945" w14:paraId="5BF7C1BE" w14:textId="77777777">
            <w:pPr>
              <w:jc w:val="right"/>
            </w:pPr>
          </w:p>
        </w:tc>
        <w:tc>
          <w:tcPr>
            <w:tcW w:w="567" w:type="dxa"/>
          </w:tcPr>
          <w:p w:rsidRPr="00B84E3B" w:rsidR="005D2945" w:rsidRDefault="001856D0" w14:paraId="4AD079C1" w14:textId="77777777">
            <w:pPr>
              <w:jc w:val="right"/>
            </w:pPr>
            <w:r w:rsidRPr="00B84E3B">
              <w:t xml:space="preserve"> </w:t>
            </w:r>
          </w:p>
        </w:tc>
      </w:tr>
      <w:tr w:rsidRPr="00B84E3B" w:rsidR="005D2945" w:rsidTr="00B84E3B" w14:paraId="5723B762" w14:textId="77777777">
        <w:tc>
          <w:tcPr>
            <w:tcW w:w="585" w:type="dxa"/>
          </w:tcPr>
          <w:p w:rsidRPr="00B84E3B" w:rsidR="005D2945" w:rsidRDefault="001856D0" w14:paraId="194423F7" w14:textId="77777777">
            <w:r w:rsidRPr="00B84E3B">
              <w:t>40</w:t>
            </w:r>
          </w:p>
        </w:tc>
        <w:tc>
          <w:tcPr>
            <w:tcW w:w="6503" w:type="dxa"/>
          </w:tcPr>
          <w:p w:rsidRPr="00B84E3B" w:rsidR="003F0923" w:rsidP="003F0923" w:rsidRDefault="001856D0" w14:paraId="23AF4227" w14:textId="2D56C6CF">
            <w:r w:rsidRPr="00B84E3B">
              <w:t xml:space="preserve">Hoe gaan Nederland en de EU ervoor zorgen dit verdrag te respecteren, zeker nu CSDDD wordt beperkt tot slechts de </w:t>
            </w:r>
            <w:r w:rsidRPr="00B84E3B" w:rsidR="009A609C">
              <w:t xml:space="preserve">laatste </w:t>
            </w:r>
            <w:r w:rsidRPr="00B84E3B">
              <w:t>schakel in de aanvoerketen?</w:t>
            </w:r>
          </w:p>
          <w:p w:rsidRPr="00B84E3B" w:rsidR="003F0923" w:rsidP="003F0923" w:rsidRDefault="003F0923" w14:paraId="15899A8D" w14:textId="77777777"/>
          <w:p w:rsidRPr="00B84E3B" w:rsidR="003F0923" w:rsidP="003F0923" w:rsidRDefault="003F0923" w14:paraId="5AFAD888" w14:textId="77777777">
            <w:pPr>
              <w:rPr>
                <w:b/>
                <w:bCs/>
              </w:rPr>
            </w:pPr>
            <w:r w:rsidRPr="00B84E3B">
              <w:rPr>
                <w:b/>
                <w:bCs/>
              </w:rPr>
              <w:t>Antwoord</w:t>
            </w:r>
          </w:p>
          <w:p w:rsidRPr="00061843" w:rsidR="005D2945" w:rsidRDefault="00484D00" w14:paraId="3917A754" w14:textId="75E69549">
            <w:pPr>
              <w:rPr>
                <w:b/>
                <w:bCs/>
              </w:rPr>
            </w:pPr>
            <w:r w:rsidRPr="00061843">
              <w:rPr>
                <w:b/>
                <w:bCs/>
              </w:rPr>
              <w:t xml:space="preserve">De Europese Commissie had in het kader van het Omnibus I-traject inderdaad voorgesteld </w:t>
            </w:r>
            <w:r w:rsidRPr="00061843" w:rsidR="00F10E8B">
              <w:rPr>
                <w:b/>
                <w:bCs/>
              </w:rPr>
              <w:t xml:space="preserve">in </w:t>
            </w:r>
            <w:r w:rsidRPr="00061843">
              <w:rPr>
                <w:b/>
                <w:bCs/>
              </w:rPr>
              <w:t xml:space="preserve">de CSDDD </w:t>
            </w:r>
            <w:r w:rsidRPr="00061843" w:rsidR="00F10E8B">
              <w:rPr>
                <w:b/>
                <w:bCs/>
              </w:rPr>
              <w:t xml:space="preserve">gepaste zorgvuldigheid </w:t>
            </w:r>
            <w:r w:rsidRPr="00061843">
              <w:rPr>
                <w:b/>
                <w:bCs/>
              </w:rPr>
              <w:t xml:space="preserve">te beperken tot </w:t>
            </w:r>
            <w:r w:rsidRPr="00061843" w:rsidR="00F10E8B">
              <w:rPr>
                <w:b/>
                <w:bCs/>
              </w:rPr>
              <w:t>directe zakenrelaties</w:t>
            </w:r>
            <w:r w:rsidRPr="00061843">
              <w:rPr>
                <w:b/>
                <w:bCs/>
              </w:rPr>
              <w:t xml:space="preserve">. In plaats daarvan heeft het kabinet ingezet op een </w:t>
            </w:r>
            <w:proofErr w:type="spellStart"/>
            <w:r w:rsidRPr="00061843">
              <w:rPr>
                <w:b/>
                <w:bCs/>
              </w:rPr>
              <w:t>risicogebaseerde</w:t>
            </w:r>
            <w:proofErr w:type="spellEnd"/>
            <w:r w:rsidRPr="00061843">
              <w:rPr>
                <w:b/>
                <w:bCs/>
              </w:rPr>
              <w:t xml:space="preserve"> benadering. Deze benadering </w:t>
            </w:r>
            <w:r w:rsidRPr="00061843" w:rsidR="00F10E8B">
              <w:rPr>
                <w:b/>
                <w:bCs/>
              </w:rPr>
              <w:t xml:space="preserve">maakt het voor bedrijven mogelijk om zich te richten op </w:t>
            </w:r>
            <w:r w:rsidRPr="00061843" w:rsidR="00656B6B">
              <w:rPr>
                <w:b/>
                <w:bCs/>
              </w:rPr>
              <w:t xml:space="preserve">situaties </w:t>
            </w:r>
            <w:r w:rsidRPr="00061843" w:rsidR="00F10E8B">
              <w:rPr>
                <w:b/>
                <w:bCs/>
              </w:rPr>
              <w:t xml:space="preserve">waar de </w:t>
            </w:r>
            <w:r w:rsidRPr="00061843">
              <w:rPr>
                <w:b/>
                <w:bCs/>
              </w:rPr>
              <w:t xml:space="preserve">risico’s </w:t>
            </w:r>
            <w:r w:rsidRPr="00061843" w:rsidR="00F10E8B">
              <w:rPr>
                <w:b/>
                <w:bCs/>
              </w:rPr>
              <w:t xml:space="preserve">het grootst zijn en </w:t>
            </w:r>
            <w:r w:rsidRPr="00061843" w:rsidR="00F10E8B">
              <w:rPr>
                <w:b/>
                <w:bCs/>
              </w:rPr>
              <w:lastRenderedPageBreak/>
              <w:t xml:space="preserve">dat is vaak verderop </w:t>
            </w:r>
            <w:r w:rsidRPr="00061843">
              <w:rPr>
                <w:b/>
                <w:bCs/>
              </w:rPr>
              <w:t>in de waardeketen</w:t>
            </w:r>
            <w:r w:rsidRPr="00061843" w:rsidR="00F10E8B">
              <w:rPr>
                <w:b/>
                <w:bCs/>
              </w:rPr>
              <w:t xml:space="preserve">. Deze gerichte aanpak, in combinatie met een beperking van informatie-uitvragen aan ketenpartners, vermindert </w:t>
            </w:r>
            <w:r w:rsidRPr="00061843" w:rsidR="00116F66">
              <w:rPr>
                <w:b/>
                <w:bCs/>
              </w:rPr>
              <w:t xml:space="preserve">ook </w:t>
            </w:r>
            <w:r w:rsidRPr="00061843" w:rsidR="00F10E8B">
              <w:rPr>
                <w:b/>
                <w:bCs/>
              </w:rPr>
              <w:t>de regeldruk voor bedrijven.</w:t>
            </w:r>
            <w:r w:rsidRPr="00061843">
              <w:rPr>
                <w:b/>
                <w:bCs/>
              </w:rPr>
              <w:t xml:space="preserve"> </w:t>
            </w:r>
            <w:r w:rsidRPr="00061843" w:rsidR="00656B6B">
              <w:rPr>
                <w:b/>
                <w:bCs/>
              </w:rPr>
              <w:t>In</w:t>
            </w:r>
            <w:r w:rsidRPr="00061843" w:rsidR="00B66434">
              <w:rPr>
                <w:b/>
                <w:bCs/>
              </w:rPr>
              <w:t xml:space="preserve"> het voorlopig politiek akkoord dat is gesloten</w:t>
            </w:r>
            <w:r w:rsidRPr="00061843" w:rsidR="006F6C28">
              <w:rPr>
                <w:b/>
                <w:bCs/>
              </w:rPr>
              <w:t xml:space="preserve"> op Omnibus I, </w:t>
            </w:r>
            <w:r w:rsidRPr="00061843" w:rsidR="00656B6B">
              <w:rPr>
                <w:b/>
                <w:bCs/>
              </w:rPr>
              <w:t xml:space="preserve">en </w:t>
            </w:r>
            <w:r w:rsidRPr="00061843" w:rsidR="006F6C28">
              <w:rPr>
                <w:b/>
                <w:bCs/>
              </w:rPr>
              <w:t xml:space="preserve">waarover uw Kamer </w:t>
            </w:r>
            <w:r w:rsidRPr="00061843" w:rsidR="00F10E8B">
              <w:rPr>
                <w:b/>
                <w:bCs/>
              </w:rPr>
              <w:t xml:space="preserve">middels brief (kenmerk BZ2523162) </w:t>
            </w:r>
            <w:r w:rsidRPr="00061843" w:rsidR="006F6C28">
              <w:rPr>
                <w:b/>
                <w:bCs/>
              </w:rPr>
              <w:t xml:space="preserve">separaat </w:t>
            </w:r>
            <w:r w:rsidRPr="00061843" w:rsidR="00F10E8B">
              <w:rPr>
                <w:b/>
                <w:bCs/>
              </w:rPr>
              <w:t>is</w:t>
            </w:r>
            <w:r w:rsidRPr="00061843" w:rsidR="006F6C28">
              <w:rPr>
                <w:b/>
                <w:bCs/>
              </w:rPr>
              <w:t xml:space="preserve"> geïnformeerd</w:t>
            </w:r>
            <w:r w:rsidRPr="00061843" w:rsidR="00656B6B">
              <w:rPr>
                <w:b/>
                <w:bCs/>
              </w:rPr>
              <w:t xml:space="preserve">, is deze </w:t>
            </w:r>
            <w:proofErr w:type="spellStart"/>
            <w:r w:rsidRPr="00061843" w:rsidR="00656B6B">
              <w:rPr>
                <w:b/>
                <w:bCs/>
              </w:rPr>
              <w:t>risicogebaseerde</w:t>
            </w:r>
            <w:proofErr w:type="spellEnd"/>
            <w:r w:rsidRPr="00061843" w:rsidR="00656B6B">
              <w:rPr>
                <w:b/>
                <w:bCs/>
              </w:rPr>
              <w:t xml:space="preserve"> benadering weer opgenomen. Daardoor zal, als deze aanpassing uiteindelijk blijft bestaan, de gepaste zorgvuldigheid in de CSDDD niet meer beperkt blij</w:t>
            </w:r>
            <w:r w:rsidRPr="00061843" w:rsidR="003A137E">
              <w:rPr>
                <w:b/>
                <w:bCs/>
              </w:rPr>
              <w:t>ven</w:t>
            </w:r>
            <w:r w:rsidRPr="00061843" w:rsidR="00656B6B">
              <w:rPr>
                <w:b/>
                <w:bCs/>
              </w:rPr>
              <w:t xml:space="preserve"> </w:t>
            </w:r>
            <w:r w:rsidRPr="00FE2A49" w:rsidR="00656B6B">
              <w:rPr>
                <w:b/>
                <w:bCs/>
              </w:rPr>
              <w:t>tot alleen directe zakenrelaties</w:t>
            </w:r>
            <w:r w:rsidRPr="00FE2A49" w:rsidR="00551048">
              <w:rPr>
                <w:b/>
                <w:bCs/>
              </w:rPr>
              <w:t xml:space="preserve">, maar </w:t>
            </w:r>
            <w:r w:rsidRPr="00FE2A49" w:rsidR="005E00F0">
              <w:rPr>
                <w:b/>
                <w:bCs/>
              </w:rPr>
              <w:t>van toepassing zijn op de gehele waardeketen. Bedrijven kunnen vervolgens prioriteren op basis van waar in de keten de risico’s het grootst zijn.</w:t>
            </w:r>
            <w:r w:rsidR="005E00F0">
              <w:rPr>
                <w:b/>
                <w:bCs/>
              </w:rPr>
              <w:t xml:space="preserve"> </w:t>
            </w:r>
          </w:p>
          <w:p w:rsidRPr="00B84E3B" w:rsidR="00C715DF" w:rsidRDefault="00C715DF" w14:paraId="66246DAE" w14:textId="64FDB77A"/>
        </w:tc>
        <w:tc>
          <w:tcPr>
            <w:tcW w:w="850" w:type="dxa"/>
          </w:tcPr>
          <w:p w:rsidRPr="00B84E3B" w:rsidR="005D2945" w:rsidRDefault="005D2945" w14:paraId="1E9099D5" w14:textId="53F7166A">
            <w:pPr>
              <w:jc w:val="right"/>
            </w:pPr>
          </w:p>
        </w:tc>
        <w:tc>
          <w:tcPr>
            <w:tcW w:w="992" w:type="dxa"/>
          </w:tcPr>
          <w:p w:rsidRPr="00B84E3B" w:rsidR="005D2945" w:rsidRDefault="005D2945" w14:paraId="2C6A5041" w14:textId="77777777">
            <w:pPr>
              <w:jc w:val="right"/>
            </w:pPr>
          </w:p>
        </w:tc>
        <w:tc>
          <w:tcPr>
            <w:tcW w:w="567" w:type="dxa"/>
          </w:tcPr>
          <w:p w:rsidRPr="00B84E3B" w:rsidR="005D2945" w:rsidRDefault="001856D0" w14:paraId="05959938" w14:textId="77777777">
            <w:pPr>
              <w:jc w:val="right"/>
            </w:pPr>
            <w:r w:rsidRPr="00B84E3B">
              <w:t xml:space="preserve"> </w:t>
            </w:r>
          </w:p>
        </w:tc>
      </w:tr>
      <w:tr w:rsidRPr="00B84E3B" w:rsidR="005D2945" w:rsidTr="00B84E3B" w14:paraId="1641758A" w14:textId="77777777">
        <w:tc>
          <w:tcPr>
            <w:tcW w:w="585" w:type="dxa"/>
          </w:tcPr>
          <w:p w:rsidRPr="00B84E3B" w:rsidR="005D2945" w:rsidRDefault="001856D0" w14:paraId="103F13BB" w14:textId="77777777">
            <w:r w:rsidRPr="00B84E3B">
              <w:t>41</w:t>
            </w:r>
          </w:p>
        </w:tc>
        <w:tc>
          <w:tcPr>
            <w:tcW w:w="6503" w:type="dxa"/>
          </w:tcPr>
          <w:p w:rsidRPr="00B84E3B" w:rsidR="003F0923" w:rsidP="003F0923" w:rsidRDefault="001856D0" w14:paraId="2D702865" w14:textId="77777777">
            <w:r w:rsidRPr="00B84E3B">
              <w:t xml:space="preserve">Kunt u in een tabel aangeven op welke budgetten de afgelopen drie jaar </w:t>
            </w:r>
            <w:proofErr w:type="spellStart"/>
            <w:r w:rsidRPr="00B84E3B">
              <w:t>onderuitputting</w:t>
            </w:r>
            <w:proofErr w:type="spellEnd"/>
            <w:r w:rsidRPr="00B84E3B">
              <w:t xml:space="preserve"> heeft plaatsgevonden?</w:t>
            </w:r>
          </w:p>
          <w:p w:rsidRPr="00B84E3B" w:rsidR="003F0923" w:rsidP="003F0923" w:rsidRDefault="003F0923" w14:paraId="42CA855B" w14:textId="77777777"/>
          <w:p w:rsidRPr="00B84E3B" w:rsidR="003F0923" w:rsidP="003F0923" w:rsidRDefault="003F0923" w14:paraId="6E6AC5A7" w14:textId="77777777">
            <w:pPr>
              <w:rPr>
                <w:b/>
                <w:bCs/>
              </w:rPr>
            </w:pPr>
            <w:r w:rsidRPr="00B84E3B">
              <w:rPr>
                <w:b/>
                <w:bCs/>
              </w:rPr>
              <w:t>Antwoord</w:t>
            </w:r>
          </w:p>
          <w:p w:rsidRPr="00061843" w:rsidR="005D2945" w:rsidRDefault="002403CB" w14:paraId="0B4764E5" w14:textId="09504485">
            <w:pPr>
              <w:rPr>
                <w:b/>
                <w:bCs/>
              </w:rPr>
            </w:pPr>
            <w:r w:rsidRPr="00061843">
              <w:rPr>
                <w:b/>
                <w:bCs/>
              </w:rPr>
              <w:t xml:space="preserve">De begroting van BHO kende geen </w:t>
            </w:r>
            <w:proofErr w:type="spellStart"/>
            <w:r w:rsidRPr="00061843">
              <w:rPr>
                <w:b/>
                <w:bCs/>
              </w:rPr>
              <w:t>onderuitputting</w:t>
            </w:r>
            <w:proofErr w:type="spellEnd"/>
            <w:r w:rsidRPr="00061843">
              <w:rPr>
                <w:b/>
                <w:bCs/>
              </w:rPr>
              <w:t xml:space="preserve"> in de afgelopen drie jaar. </w:t>
            </w:r>
            <w:r w:rsidRPr="00061843" w:rsidR="00940F06">
              <w:rPr>
                <w:b/>
                <w:bCs/>
              </w:rPr>
              <w:t xml:space="preserve">De BHO-begroting kent een verdeelartikel 5.4, waarop </w:t>
            </w:r>
            <w:proofErr w:type="spellStart"/>
            <w:r w:rsidRPr="00061843" w:rsidR="00940F06">
              <w:rPr>
                <w:b/>
                <w:bCs/>
              </w:rPr>
              <w:t>overprogrammering</w:t>
            </w:r>
            <w:proofErr w:type="spellEnd"/>
            <w:r w:rsidRPr="00061843" w:rsidR="00940F06">
              <w:rPr>
                <w:b/>
                <w:bCs/>
              </w:rPr>
              <w:t xml:space="preserve"> voor het ODA-budget wordt aangehouden. Eventueel resterende </w:t>
            </w:r>
            <w:proofErr w:type="spellStart"/>
            <w:r w:rsidRPr="00061843" w:rsidR="00940F06">
              <w:rPr>
                <w:b/>
                <w:bCs/>
              </w:rPr>
              <w:t>overprogrammering</w:t>
            </w:r>
            <w:proofErr w:type="spellEnd"/>
            <w:r w:rsidRPr="00061843" w:rsidR="00940F06">
              <w:rPr>
                <w:b/>
                <w:bCs/>
              </w:rPr>
              <w:t xml:space="preserve"> aan het einde van het jaar op artikel 5.4 wordt binnen de HGIS-systematiek opgevangen en in mindering gebracht op het ODA-budget. Dat is conform geldende systematiek. </w:t>
            </w:r>
          </w:p>
          <w:p w:rsidRPr="00B84E3B" w:rsidR="00C715DF" w:rsidRDefault="00C715DF" w14:paraId="5EE49A57" w14:textId="5C2F8518"/>
        </w:tc>
        <w:tc>
          <w:tcPr>
            <w:tcW w:w="850" w:type="dxa"/>
          </w:tcPr>
          <w:p w:rsidRPr="00B84E3B" w:rsidR="005D2945" w:rsidRDefault="005D2945" w14:paraId="0301D84C" w14:textId="4923D5FF">
            <w:pPr>
              <w:jc w:val="right"/>
            </w:pPr>
          </w:p>
        </w:tc>
        <w:tc>
          <w:tcPr>
            <w:tcW w:w="992" w:type="dxa"/>
          </w:tcPr>
          <w:p w:rsidRPr="00B84E3B" w:rsidR="005D2945" w:rsidRDefault="005D2945" w14:paraId="78D3832B" w14:textId="77777777">
            <w:pPr>
              <w:jc w:val="right"/>
            </w:pPr>
          </w:p>
        </w:tc>
        <w:tc>
          <w:tcPr>
            <w:tcW w:w="567" w:type="dxa"/>
          </w:tcPr>
          <w:p w:rsidRPr="00B84E3B" w:rsidR="005D2945" w:rsidRDefault="001856D0" w14:paraId="655C053A" w14:textId="77777777">
            <w:pPr>
              <w:jc w:val="right"/>
            </w:pPr>
            <w:r w:rsidRPr="00B84E3B">
              <w:t xml:space="preserve"> </w:t>
            </w:r>
          </w:p>
        </w:tc>
      </w:tr>
      <w:tr w:rsidRPr="00B84E3B" w:rsidR="005D2945" w:rsidTr="00B84E3B" w14:paraId="501A7F1F" w14:textId="77777777">
        <w:tc>
          <w:tcPr>
            <w:tcW w:w="585" w:type="dxa"/>
          </w:tcPr>
          <w:p w:rsidRPr="00B84E3B" w:rsidR="005D2945" w:rsidRDefault="001856D0" w14:paraId="6846DF16" w14:textId="77777777">
            <w:r w:rsidRPr="00B84E3B">
              <w:t>42</w:t>
            </w:r>
          </w:p>
        </w:tc>
        <w:tc>
          <w:tcPr>
            <w:tcW w:w="6503" w:type="dxa"/>
          </w:tcPr>
          <w:p w:rsidRPr="00B84E3B" w:rsidR="003F0923" w:rsidP="003F0923" w:rsidRDefault="001856D0" w14:paraId="1C0B847D" w14:textId="77777777">
            <w:r w:rsidRPr="00B84E3B">
              <w:t xml:space="preserve">Op welke specifieke projecten zal </w:t>
            </w:r>
            <w:r w:rsidRPr="00B84E3B" w:rsidR="00A769AB">
              <w:t>de €</w:t>
            </w:r>
            <w:r w:rsidRPr="00B84E3B">
              <w:t>10 miljoen extra voor weerbaarheid tegen klimaatextremen in de Nijldelta zich richten?</w:t>
            </w:r>
          </w:p>
          <w:p w:rsidRPr="00B84E3B" w:rsidR="003F0923" w:rsidP="003F0923" w:rsidRDefault="003F0923" w14:paraId="00E67ACB" w14:textId="77777777"/>
          <w:p w:rsidRPr="00B84E3B" w:rsidR="003F0923" w:rsidP="003F0923" w:rsidRDefault="003F0923" w14:paraId="250166E2" w14:textId="77777777">
            <w:pPr>
              <w:rPr>
                <w:b/>
                <w:bCs/>
              </w:rPr>
            </w:pPr>
            <w:r w:rsidRPr="00B84E3B">
              <w:rPr>
                <w:b/>
                <w:bCs/>
              </w:rPr>
              <w:t>Antwoord</w:t>
            </w:r>
          </w:p>
          <w:p w:rsidRPr="00061843" w:rsidR="005D2945" w:rsidRDefault="00026103" w14:paraId="71D022D0" w14:textId="0350F5DF">
            <w:pPr>
              <w:rPr>
                <w:b/>
                <w:bCs/>
              </w:rPr>
            </w:pPr>
            <w:r w:rsidRPr="00061843">
              <w:rPr>
                <w:b/>
                <w:bCs/>
              </w:rPr>
              <w:t>EUR 5 mln.</w:t>
            </w:r>
            <w:r w:rsidRPr="00061843" w:rsidR="0058237A">
              <w:rPr>
                <w:b/>
                <w:bCs/>
              </w:rPr>
              <w:t xml:space="preserve"> werd</w:t>
            </w:r>
            <w:r w:rsidRPr="00061843">
              <w:rPr>
                <w:b/>
                <w:bCs/>
              </w:rPr>
              <w:t xml:space="preserve"> toegekend aan het programma </w:t>
            </w:r>
            <w:r w:rsidRPr="00061843">
              <w:rPr>
                <w:b/>
                <w:bCs/>
                <w:i/>
              </w:rPr>
              <w:t xml:space="preserve">Water at </w:t>
            </w:r>
            <w:proofErr w:type="spellStart"/>
            <w:r w:rsidRPr="00061843">
              <w:rPr>
                <w:b/>
                <w:bCs/>
                <w:i/>
              </w:rPr>
              <w:t>the</w:t>
            </w:r>
            <w:proofErr w:type="spellEnd"/>
            <w:r w:rsidRPr="00061843">
              <w:rPr>
                <w:b/>
                <w:bCs/>
                <w:i/>
              </w:rPr>
              <w:t xml:space="preserve"> </w:t>
            </w:r>
            <w:proofErr w:type="spellStart"/>
            <w:r w:rsidRPr="00061843">
              <w:rPr>
                <w:b/>
                <w:bCs/>
                <w:i/>
              </w:rPr>
              <w:t>Heart</w:t>
            </w:r>
            <w:proofErr w:type="spellEnd"/>
            <w:r w:rsidRPr="00061843">
              <w:rPr>
                <w:b/>
                <w:bCs/>
                <w:i/>
              </w:rPr>
              <w:t xml:space="preserve"> of </w:t>
            </w:r>
            <w:proofErr w:type="spellStart"/>
            <w:r w:rsidRPr="00061843">
              <w:rPr>
                <w:b/>
                <w:bCs/>
                <w:i/>
              </w:rPr>
              <w:t>Climate</w:t>
            </w:r>
            <w:proofErr w:type="spellEnd"/>
            <w:r w:rsidRPr="00061843">
              <w:rPr>
                <w:b/>
                <w:bCs/>
                <w:i/>
              </w:rPr>
              <w:t xml:space="preserve"> Action </w:t>
            </w:r>
            <w:r w:rsidRPr="00061843" w:rsidR="00CB1994">
              <w:rPr>
                <w:b/>
                <w:bCs/>
                <w:i/>
              </w:rPr>
              <w:t>(</w:t>
            </w:r>
            <w:r w:rsidRPr="00061843">
              <w:rPr>
                <w:b/>
                <w:bCs/>
                <w:i/>
              </w:rPr>
              <w:t>WHCA)</w:t>
            </w:r>
            <w:r w:rsidRPr="00061843">
              <w:rPr>
                <w:b/>
                <w:bCs/>
              </w:rPr>
              <w:t>. Dit programma is een consortium geleid door het Nederlandse Rode Kruis</w:t>
            </w:r>
            <w:r w:rsidRPr="00061843" w:rsidR="001B6AD6">
              <w:rPr>
                <w:b/>
                <w:bCs/>
              </w:rPr>
              <w:t>,</w:t>
            </w:r>
            <w:r w:rsidRPr="00061843">
              <w:rPr>
                <w:b/>
                <w:bCs/>
              </w:rPr>
              <w:t xml:space="preserve"> dat </w:t>
            </w:r>
            <w:r w:rsidRPr="00061843" w:rsidR="001B6AD6">
              <w:rPr>
                <w:b/>
                <w:bCs/>
              </w:rPr>
              <w:t xml:space="preserve">samen </w:t>
            </w:r>
            <w:r w:rsidRPr="00061843" w:rsidR="00CB1994">
              <w:rPr>
                <w:b/>
                <w:bCs/>
              </w:rPr>
              <w:t xml:space="preserve">met </w:t>
            </w:r>
            <w:r w:rsidRPr="00061843" w:rsidR="001B6AD6">
              <w:rPr>
                <w:b/>
                <w:bCs/>
              </w:rPr>
              <w:t>overheidsinstanties</w:t>
            </w:r>
            <w:r w:rsidRPr="00061843" w:rsidR="00CB1994">
              <w:rPr>
                <w:b/>
                <w:bCs/>
              </w:rPr>
              <w:t xml:space="preserve"> en de lokale rodekruisverenigingen in </w:t>
            </w:r>
            <w:r w:rsidRPr="00061843">
              <w:rPr>
                <w:b/>
                <w:bCs/>
              </w:rPr>
              <w:t xml:space="preserve">Rwanda, Oeganda, Soedan, </w:t>
            </w:r>
            <w:r w:rsidRPr="00061843" w:rsidR="001B6AD6">
              <w:rPr>
                <w:b/>
                <w:bCs/>
              </w:rPr>
              <w:t>Zuid-Soedan</w:t>
            </w:r>
            <w:r w:rsidRPr="00061843">
              <w:rPr>
                <w:b/>
                <w:bCs/>
              </w:rPr>
              <w:t xml:space="preserve"> en </w:t>
            </w:r>
            <w:r w:rsidRPr="00061843" w:rsidR="001B6AD6">
              <w:rPr>
                <w:b/>
                <w:bCs/>
              </w:rPr>
              <w:t>Ethiopië</w:t>
            </w:r>
            <w:r w:rsidRPr="00061843" w:rsidR="00CB1994">
              <w:rPr>
                <w:b/>
                <w:bCs/>
              </w:rPr>
              <w:t xml:space="preserve"> weerbaarheid </w:t>
            </w:r>
            <w:r w:rsidRPr="00061843" w:rsidR="001B6AD6">
              <w:rPr>
                <w:b/>
                <w:bCs/>
              </w:rPr>
              <w:t xml:space="preserve">van mensen </w:t>
            </w:r>
            <w:r w:rsidRPr="00061843" w:rsidR="00CB1994">
              <w:rPr>
                <w:b/>
                <w:bCs/>
              </w:rPr>
              <w:t>tegen klimaat</w:t>
            </w:r>
            <w:r w:rsidRPr="00061843" w:rsidR="001B6AD6">
              <w:rPr>
                <w:b/>
                <w:bCs/>
              </w:rPr>
              <w:softHyphen/>
            </w:r>
            <w:r w:rsidRPr="00061843" w:rsidR="00CB1994">
              <w:rPr>
                <w:b/>
                <w:bCs/>
              </w:rPr>
              <w:t xml:space="preserve">extremen </w:t>
            </w:r>
            <w:r w:rsidRPr="00061843" w:rsidR="001B6AD6">
              <w:rPr>
                <w:b/>
                <w:bCs/>
              </w:rPr>
              <w:t>verbetert.</w:t>
            </w:r>
            <w:r w:rsidRPr="00061843" w:rsidR="00CB1994">
              <w:rPr>
                <w:b/>
                <w:bCs/>
              </w:rPr>
              <w:t xml:space="preserve"> </w:t>
            </w:r>
            <w:r w:rsidRPr="00061843" w:rsidR="0059444C">
              <w:rPr>
                <w:b/>
                <w:bCs/>
              </w:rPr>
              <w:t xml:space="preserve">Daarnaast is EUR 5 mln. toegekend aan het programma </w:t>
            </w:r>
            <w:proofErr w:type="spellStart"/>
            <w:r w:rsidRPr="00061843" w:rsidR="0059444C">
              <w:rPr>
                <w:b/>
                <w:bCs/>
                <w:i/>
                <w:iCs/>
              </w:rPr>
              <w:t>Getpro</w:t>
            </w:r>
            <w:proofErr w:type="spellEnd"/>
            <w:r w:rsidRPr="00061843" w:rsidR="0059444C">
              <w:rPr>
                <w:b/>
                <w:bCs/>
              </w:rPr>
              <w:t xml:space="preserve"> van het Duitse ontwikkelingsagentschap GIZ voor mobilisatie van private klimaatfinanciering voor o.a. groene waterstof. </w:t>
            </w:r>
          </w:p>
          <w:p w:rsidRPr="00B84E3B" w:rsidR="00C715DF" w:rsidRDefault="00C715DF" w14:paraId="01E9326D" w14:textId="02BC63F4"/>
        </w:tc>
        <w:tc>
          <w:tcPr>
            <w:tcW w:w="850" w:type="dxa"/>
          </w:tcPr>
          <w:p w:rsidRPr="00B84E3B" w:rsidR="005D2945" w:rsidRDefault="005D2945" w14:paraId="6A40347F" w14:textId="7ED56A47">
            <w:pPr>
              <w:jc w:val="right"/>
            </w:pPr>
          </w:p>
        </w:tc>
        <w:tc>
          <w:tcPr>
            <w:tcW w:w="992" w:type="dxa"/>
          </w:tcPr>
          <w:p w:rsidRPr="00B84E3B" w:rsidR="005D2945" w:rsidRDefault="001856D0" w14:paraId="3C2ACF1F" w14:textId="77777777">
            <w:pPr>
              <w:jc w:val="right"/>
            </w:pPr>
            <w:r w:rsidRPr="00B84E3B">
              <w:t>5</w:t>
            </w:r>
          </w:p>
        </w:tc>
        <w:tc>
          <w:tcPr>
            <w:tcW w:w="567" w:type="dxa"/>
          </w:tcPr>
          <w:p w:rsidRPr="00B84E3B" w:rsidR="005D2945" w:rsidRDefault="001856D0" w14:paraId="5158A0B7" w14:textId="77777777">
            <w:pPr>
              <w:jc w:val="right"/>
            </w:pPr>
            <w:r w:rsidRPr="00B84E3B">
              <w:t xml:space="preserve"> </w:t>
            </w:r>
          </w:p>
        </w:tc>
      </w:tr>
      <w:tr w:rsidRPr="00B84E3B" w:rsidR="005D2945" w:rsidTr="00B84E3B" w14:paraId="15FDD91F" w14:textId="77777777">
        <w:tc>
          <w:tcPr>
            <w:tcW w:w="585" w:type="dxa"/>
          </w:tcPr>
          <w:p w:rsidRPr="00B84E3B" w:rsidR="005D2945" w:rsidRDefault="001856D0" w14:paraId="238B9EA8" w14:textId="77777777">
            <w:r w:rsidRPr="00B84E3B">
              <w:t>43</w:t>
            </w:r>
          </w:p>
        </w:tc>
        <w:tc>
          <w:tcPr>
            <w:tcW w:w="6503" w:type="dxa"/>
          </w:tcPr>
          <w:p w:rsidRPr="00B84E3B" w:rsidR="003F0923" w:rsidP="003F0923" w:rsidRDefault="001856D0" w14:paraId="191F7E38" w14:textId="39321474">
            <w:r w:rsidRPr="00B84E3B">
              <w:t xml:space="preserve">Kunt u nader toelichten waarom de gerealiseerde uitgaven van </w:t>
            </w:r>
            <w:proofErr w:type="spellStart"/>
            <w:r w:rsidRPr="00B84E3B">
              <w:t>Invest</w:t>
            </w:r>
            <w:proofErr w:type="spellEnd"/>
            <w:r w:rsidRPr="00B84E3B">
              <w:t xml:space="preserve"> International en RVO in hetzelfde boekjaar verwerkt dienen te worden en waarom deze werkwijze niet al bij de begroting was voorzien? Op welke wijze wordt dit nu meerjarig in de begroting opgenomen?</w:t>
            </w:r>
          </w:p>
          <w:p w:rsidRPr="00B84E3B" w:rsidR="003F0923" w:rsidP="003F0923" w:rsidRDefault="003F0923" w14:paraId="6839F9EA" w14:textId="77777777"/>
          <w:p w:rsidRPr="00B84E3B" w:rsidR="003F0923" w:rsidP="003F0923" w:rsidRDefault="003F0923" w14:paraId="13358277" w14:textId="77777777">
            <w:pPr>
              <w:rPr>
                <w:b/>
                <w:bCs/>
              </w:rPr>
            </w:pPr>
            <w:r w:rsidRPr="00B84E3B">
              <w:rPr>
                <w:b/>
                <w:bCs/>
              </w:rPr>
              <w:t>Antwoord</w:t>
            </w:r>
          </w:p>
          <w:p w:rsidRPr="00061843" w:rsidR="00B2781F" w:rsidRDefault="00B2781F" w14:paraId="0971CFEA" w14:textId="6B7131B5">
            <w:pPr>
              <w:rPr>
                <w:b/>
                <w:bCs/>
              </w:rPr>
            </w:pPr>
            <w:r w:rsidRPr="00061843">
              <w:rPr>
                <w:b/>
                <w:bCs/>
              </w:rPr>
              <w:t xml:space="preserve">Door voortschrijdend inzicht in de administratieve verwerking van regelingen die onder mandaat van de bewindspersoon worden uitgevoerd, is het sinds 2025 de werkwijze de gerealiseerde </w:t>
            </w:r>
            <w:r w:rsidRPr="00061843" w:rsidR="00D12688">
              <w:rPr>
                <w:b/>
                <w:bCs/>
              </w:rPr>
              <w:t>BHO-</w:t>
            </w:r>
            <w:r w:rsidRPr="00061843">
              <w:rPr>
                <w:b/>
                <w:bCs/>
              </w:rPr>
              <w:t xml:space="preserve">uitgaven van </w:t>
            </w:r>
            <w:proofErr w:type="spellStart"/>
            <w:r w:rsidRPr="00061843">
              <w:rPr>
                <w:b/>
                <w:bCs/>
              </w:rPr>
              <w:t>Invest</w:t>
            </w:r>
            <w:proofErr w:type="spellEnd"/>
            <w:r w:rsidRPr="00061843">
              <w:rPr>
                <w:b/>
                <w:bCs/>
              </w:rPr>
              <w:t xml:space="preserve"> International en RVO </w:t>
            </w:r>
            <w:r w:rsidRPr="00061843" w:rsidR="00D12688">
              <w:rPr>
                <w:b/>
                <w:bCs/>
              </w:rPr>
              <w:t xml:space="preserve">volledig </w:t>
            </w:r>
            <w:r w:rsidRPr="00061843">
              <w:rPr>
                <w:b/>
                <w:bCs/>
              </w:rPr>
              <w:t xml:space="preserve">in hetzelfde boekjaar te verwerken als ze </w:t>
            </w:r>
            <w:r w:rsidRPr="00061843" w:rsidR="00D12688">
              <w:rPr>
                <w:b/>
                <w:bCs/>
              </w:rPr>
              <w:t xml:space="preserve">door RVO en </w:t>
            </w:r>
            <w:proofErr w:type="spellStart"/>
            <w:r w:rsidRPr="00061843" w:rsidR="00D12688">
              <w:rPr>
                <w:b/>
                <w:bCs/>
              </w:rPr>
              <w:t>Invest</w:t>
            </w:r>
            <w:proofErr w:type="spellEnd"/>
            <w:r w:rsidRPr="00061843" w:rsidR="00D12688">
              <w:rPr>
                <w:b/>
                <w:bCs/>
              </w:rPr>
              <w:t xml:space="preserve"> International </w:t>
            </w:r>
            <w:proofErr w:type="spellStart"/>
            <w:r w:rsidRPr="00061843">
              <w:rPr>
                <w:b/>
                <w:bCs/>
              </w:rPr>
              <w:t>j</w:t>
            </w:r>
            <w:r w:rsidRPr="00061843" w:rsidR="00D12688">
              <w:rPr>
                <w:b/>
                <w:bCs/>
              </w:rPr>
              <w:t>worde</w:t>
            </w:r>
            <w:r w:rsidRPr="00061843">
              <w:rPr>
                <w:b/>
                <w:bCs/>
              </w:rPr>
              <w:t>n</w:t>
            </w:r>
            <w:proofErr w:type="spellEnd"/>
            <w:r w:rsidRPr="00061843">
              <w:rPr>
                <w:b/>
                <w:bCs/>
              </w:rPr>
              <w:t xml:space="preserve"> gerealiseerd.</w:t>
            </w:r>
            <w:r w:rsidRPr="00061843" w:rsidR="00D12688">
              <w:rPr>
                <w:b/>
                <w:bCs/>
              </w:rPr>
              <w:t xml:space="preserve"> Voorheen werd met voorschotten gewerkt, waardoor er in de verwerking rond de jaargrenzen nog een timingsverschil optrad</w:t>
            </w:r>
            <w:r w:rsidRPr="00061843">
              <w:rPr>
                <w:b/>
                <w:bCs/>
              </w:rPr>
              <w:t>.</w:t>
            </w:r>
          </w:p>
          <w:p w:rsidRPr="00061843" w:rsidR="00E937B4" w:rsidRDefault="00917915" w14:paraId="6723F0A1" w14:textId="0A40AD3B">
            <w:pPr>
              <w:rPr>
                <w:b/>
                <w:bCs/>
              </w:rPr>
            </w:pPr>
            <w:r w:rsidRPr="00061843">
              <w:rPr>
                <w:b/>
                <w:bCs/>
              </w:rPr>
              <w:t>De 2</w:t>
            </w:r>
            <w:r w:rsidRPr="00061843">
              <w:rPr>
                <w:b/>
                <w:bCs/>
                <w:vertAlign w:val="superscript"/>
              </w:rPr>
              <w:t>e</w:t>
            </w:r>
            <w:r w:rsidRPr="00061843">
              <w:rPr>
                <w:b/>
                <w:bCs/>
              </w:rPr>
              <w:t xml:space="preserve"> suppletoire begroting is een enkeljarige begrotingswet die ziet op het lopende jaar. Er wordt geen meerjarige budgettaire verwerking doorgevoerd.</w:t>
            </w:r>
          </w:p>
          <w:p w:rsidRPr="00B84E3B" w:rsidR="00C715DF" w:rsidRDefault="00C715DF" w14:paraId="3E525711" w14:textId="16D87C0B"/>
        </w:tc>
        <w:tc>
          <w:tcPr>
            <w:tcW w:w="850" w:type="dxa"/>
          </w:tcPr>
          <w:p w:rsidRPr="00B84E3B" w:rsidR="005D2945" w:rsidRDefault="005D2945" w14:paraId="77E2FE50" w14:textId="5C5B3368">
            <w:pPr>
              <w:jc w:val="right"/>
            </w:pPr>
          </w:p>
        </w:tc>
        <w:tc>
          <w:tcPr>
            <w:tcW w:w="992" w:type="dxa"/>
          </w:tcPr>
          <w:p w:rsidRPr="00B84E3B" w:rsidR="005D2945" w:rsidRDefault="001856D0" w14:paraId="5A434CC8" w14:textId="77777777">
            <w:pPr>
              <w:jc w:val="right"/>
            </w:pPr>
            <w:r w:rsidRPr="00B84E3B">
              <w:t>5</w:t>
            </w:r>
          </w:p>
        </w:tc>
        <w:tc>
          <w:tcPr>
            <w:tcW w:w="567" w:type="dxa"/>
          </w:tcPr>
          <w:p w:rsidRPr="00B84E3B" w:rsidR="005D2945" w:rsidRDefault="001856D0" w14:paraId="62E56919" w14:textId="77777777">
            <w:pPr>
              <w:jc w:val="right"/>
            </w:pPr>
            <w:r w:rsidRPr="00B84E3B">
              <w:t xml:space="preserve"> </w:t>
            </w:r>
          </w:p>
        </w:tc>
      </w:tr>
      <w:tr w:rsidRPr="00B84E3B" w:rsidR="005D2945" w:rsidTr="00B84E3B" w14:paraId="3DF2CC5C" w14:textId="77777777">
        <w:tc>
          <w:tcPr>
            <w:tcW w:w="585" w:type="dxa"/>
          </w:tcPr>
          <w:p w:rsidRPr="00B84E3B" w:rsidR="005D2945" w:rsidRDefault="001856D0" w14:paraId="467F4976" w14:textId="77777777">
            <w:r w:rsidRPr="00B84E3B">
              <w:t>44</w:t>
            </w:r>
          </w:p>
        </w:tc>
        <w:tc>
          <w:tcPr>
            <w:tcW w:w="6503" w:type="dxa"/>
          </w:tcPr>
          <w:p w:rsidRPr="00B84E3B" w:rsidR="003F0923" w:rsidP="003F0923" w:rsidRDefault="001856D0" w14:paraId="157A1CBE" w14:textId="77777777">
            <w:r w:rsidRPr="00B84E3B">
              <w:t xml:space="preserve">Kunt u specificeren welk deel van de € 89,5 miljoen aan extra uitgaven binnen art. 1.3. voortkomt uit (1) nieuwe beleidsmatige keuzes en welk deel uit (2) </w:t>
            </w:r>
            <w:r w:rsidRPr="00B84E3B">
              <w:lastRenderedPageBreak/>
              <w:t xml:space="preserve">boekhoudkundige verrekeningen met </w:t>
            </w:r>
            <w:proofErr w:type="spellStart"/>
            <w:r w:rsidRPr="00B84E3B">
              <w:t>Invest</w:t>
            </w:r>
            <w:proofErr w:type="spellEnd"/>
            <w:r w:rsidRPr="00B84E3B">
              <w:t xml:space="preserve"> International en RVO binnen het lopende boekjaar?</w:t>
            </w:r>
          </w:p>
          <w:p w:rsidR="003F0923" w:rsidP="003F0923" w:rsidRDefault="003F0923" w14:paraId="08AD6085" w14:textId="77777777"/>
          <w:p w:rsidRPr="00B84E3B" w:rsidR="00061843" w:rsidP="003F0923" w:rsidRDefault="00061843" w14:paraId="5A35ABED" w14:textId="77777777"/>
          <w:p w:rsidRPr="00B84E3B" w:rsidR="003F0923" w:rsidP="003F0923" w:rsidRDefault="003F0923" w14:paraId="7E5C8A55" w14:textId="77777777">
            <w:pPr>
              <w:rPr>
                <w:b/>
                <w:bCs/>
              </w:rPr>
            </w:pPr>
            <w:r w:rsidRPr="00B84E3B">
              <w:rPr>
                <w:b/>
                <w:bCs/>
              </w:rPr>
              <w:t>Antwoord</w:t>
            </w:r>
          </w:p>
          <w:p w:rsidRPr="00061843" w:rsidR="00F64FB7" w:rsidP="00F64FB7" w:rsidRDefault="00F64FB7" w14:paraId="23D20FA8" w14:textId="3EB04012">
            <w:pPr>
              <w:rPr>
                <w:b/>
                <w:bCs/>
              </w:rPr>
            </w:pPr>
            <w:r w:rsidRPr="00061843">
              <w:rPr>
                <w:b/>
                <w:bCs/>
              </w:rPr>
              <w:t xml:space="preserve">De extra uitgaven binnen </w:t>
            </w:r>
            <w:r w:rsidR="00061843">
              <w:rPr>
                <w:b/>
                <w:bCs/>
              </w:rPr>
              <w:t>a</w:t>
            </w:r>
            <w:r w:rsidRPr="00061843">
              <w:rPr>
                <w:b/>
                <w:bCs/>
              </w:rPr>
              <w:t xml:space="preserve">rt. 1.3 komen niet voort uit nieuwe beleidsmatige keuzes. De extra </w:t>
            </w:r>
            <w:r w:rsidRPr="00061843" w:rsidR="000D74AD">
              <w:rPr>
                <w:b/>
                <w:bCs/>
              </w:rPr>
              <w:t>kas</w:t>
            </w:r>
            <w:r w:rsidRPr="00061843">
              <w:rPr>
                <w:b/>
                <w:bCs/>
              </w:rPr>
              <w:t xml:space="preserve">uitgaven komen voor ongeveer de helft voort uit </w:t>
            </w:r>
            <w:r w:rsidRPr="00061843" w:rsidR="0042306A">
              <w:rPr>
                <w:b/>
                <w:bCs/>
              </w:rPr>
              <w:t xml:space="preserve">de realisatie van </w:t>
            </w:r>
            <w:r w:rsidRPr="00061843">
              <w:rPr>
                <w:b/>
                <w:bCs/>
              </w:rPr>
              <w:t xml:space="preserve">aangegane verplichtingen uit voorgaande jaren en voor de andere helft uit de boekhoudkundige verrekeningen met </w:t>
            </w:r>
            <w:proofErr w:type="spellStart"/>
            <w:r w:rsidRPr="00061843">
              <w:rPr>
                <w:b/>
                <w:bCs/>
              </w:rPr>
              <w:t>Invest</w:t>
            </w:r>
            <w:proofErr w:type="spellEnd"/>
            <w:r w:rsidRPr="00061843">
              <w:rPr>
                <w:b/>
                <w:bCs/>
              </w:rPr>
              <w:t xml:space="preserve"> International en RVO.</w:t>
            </w:r>
            <w:r w:rsidRPr="00061843" w:rsidR="0042306A">
              <w:rPr>
                <w:b/>
                <w:bCs/>
              </w:rPr>
              <w:t xml:space="preserve"> Er worden geen nieuwe beleidsmatige keuzes gemaakt.</w:t>
            </w:r>
          </w:p>
          <w:p w:rsidRPr="00B84E3B" w:rsidR="00C715DF" w:rsidRDefault="00C715DF" w14:paraId="1C320D7C" w14:textId="024420E9"/>
        </w:tc>
        <w:tc>
          <w:tcPr>
            <w:tcW w:w="850" w:type="dxa"/>
          </w:tcPr>
          <w:p w:rsidRPr="00B84E3B" w:rsidR="005D2945" w:rsidRDefault="005D2945" w14:paraId="473C0AD0" w14:textId="31D0024F">
            <w:pPr>
              <w:jc w:val="right"/>
            </w:pPr>
          </w:p>
        </w:tc>
        <w:tc>
          <w:tcPr>
            <w:tcW w:w="992" w:type="dxa"/>
          </w:tcPr>
          <w:p w:rsidRPr="00B84E3B" w:rsidR="005D2945" w:rsidRDefault="001856D0" w14:paraId="6577B350" w14:textId="77777777">
            <w:pPr>
              <w:jc w:val="right"/>
            </w:pPr>
            <w:r w:rsidRPr="00B84E3B">
              <w:t>8</w:t>
            </w:r>
          </w:p>
        </w:tc>
        <w:tc>
          <w:tcPr>
            <w:tcW w:w="567" w:type="dxa"/>
          </w:tcPr>
          <w:p w:rsidRPr="00B84E3B" w:rsidR="005D2945" w:rsidRDefault="001856D0" w14:paraId="3C26F787" w14:textId="77777777">
            <w:pPr>
              <w:jc w:val="right"/>
            </w:pPr>
            <w:r w:rsidRPr="00B84E3B">
              <w:t xml:space="preserve"> </w:t>
            </w:r>
          </w:p>
        </w:tc>
      </w:tr>
      <w:tr w:rsidRPr="00B84E3B" w:rsidR="005D2945" w:rsidTr="00B84E3B" w14:paraId="02C4EA3F" w14:textId="77777777">
        <w:tc>
          <w:tcPr>
            <w:tcW w:w="585" w:type="dxa"/>
          </w:tcPr>
          <w:p w:rsidRPr="00B84E3B" w:rsidR="005D2945" w:rsidRDefault="001856D0" w14:paraId="2696C8DB" w14:textId="77777777">
            <w:r w:rsidRPr="00B84E3B">
              <w:t>45</w:t>
            </w:r>
          </w:p>
        </w:tc>
        <w:tc>
          <w:tcPr>
            <w:tcW w:w="6503" w:type="dxa"/>
          </w:tcPr>
          <w:p w:rsidRPr="00B84E3B" w:rsidR="003F0923" w:rsidP="003F0923" w:rsidRDefault="001856D0" w14:paraId="41197BCC" w14:textId="77777777">
            <w:r w:rsidRPr="00B84E3B">
              <w:t xml:space="preserve">Kan </w:t>
            </w:r>
            <w:r w:rsidRPr="00B84E3B" w:rsidR="00A769AB">
              <w:t xml:space="preserve">het kabinet </w:t>
            </w:r>
            <w:r w:rsidRPr="00B84E3B">
              <w:t>aangeven wat de oorspronkelijke bestemming was van artikelonderdeel 5.2 (Diverse ondersteunende activiteiten)? Betrof dit artikelonderdeel primair een buffer voor wisselkoersfluctuaties, of waren aan deze post ook andere beleidsmatige of programmatische doelen gekoppeld?</w:t>
            </w:r>
          </w:p>
          <w:p w:rsidRPr="00B84E3B" w:rsidR="003F0923" w:rsidP="003F0923" w:rsidRDefault="003F0923" w14:paraId="09AF13AF" w14:textId="77777777"/>
          <w:p w:rsidRPr="00B84E3B" w:rsidR="003F0923" w:rsidP="003F0923" w:rsidRDefault="003F0923" w14:paraId="1C92DA7F" w14:textId="77777777">
            <w:pPr>
              <w:rPr>
                <w:b/>
                <w:bCs/>
              </w:rPr>
            </w:pPr>
            <w:r w:rsidRPr="00B84E3B">
              <w:rPr>
                <w:b/>
                <w:bCs/>
              </w:rPr>
              <w:t>Antwoord</w:t>
            </w:r>
          </w:p>
          <w:p w:rsidRPr="00061843" w:rsidR="005D2945" w:rsidP="001A271B" w:rsidRDefault="006427B3" w14:paraId="53A93582" w14:textId="3F05111A">
            <w:pPr>
              <w:rPr>
                <w:b/>
                <w:bCs/>
              </w:rPr>
            </w:pPr>
            <w:r w:rsidRPr="00061843">
              <w:rPr>
                <w:b/>
                <w:bCs/>
              </w:rPr>
              <w:t xml:space="preserve">Op artikelonderdeel 5.2 worden diverse ondersteunende activiteiten geraamd. Op dit artikelonderdeel worden ook uitgaven en/of ontvangsten als gevolg van </w:t>
            </w:r>
            <w:r w:rsidRPr="00061843" w:rsidR="002A1C47">
              <w:rPr>
                <w:b/>
                <w:bCs/>
              </w:rPr>
              <w:t xml:space="preserve">het </w:t>
            </w:r>
            <w:r w:rsidRPr="00061843">
              <w:rPr>
                <w:b/>
                <w:bCs/>
              </w:rPr>
              <w:t xml:space="preserve">fluctueren </w:t>
            </w:r>
            <w:r w:rsidRPr="00061843" w:rsidR="002A1C47">
              <w:rPr>
                <w:b/>
                <w:bCs/>
              </w:rPr>
              <w:t xml:space="preserve">van </w:t>
            </w:r>
            <w:r w:rsidRPr="00061843">
              <w:rPr>
                <w:b/>
                <w:bCs/>
              </w:rPr>
              <w:t>wisselkoers</w:t>
            </w:r>
            <w:r w:rsidRPr="00061843" w:rsidR="002A1C47">
              <w:rPr>
                <w:b/>
                <w:bCs/>
              </w:rPr>
              <w:t>en</w:t>
            </w:r>
            <w:r w:rsidRPr="00061843">
              <w:rPr>
                <w:b/>
                <w:bCs/>
              </w:rPr>
              <w:t xml:space="preserve"> verantwoord. </w:t>
            </w:r>
            <w:r w:rsidRPr="00061843" w:rsidR="001A271B">
              <w:rPr>
                <w:b/>
                <w:bCs/>
              </w:rPr>
              <w:t>Bij de 1</w:t>
            </w:r>
            <w:r w:rsidRPr="00061843" w:rsidR="001A271B">
              <w:rPr>
                <w:b/>
                <w:bCs/>
                <w:vertAlign w:val="superscript"/>
              </w:rPr>
              <w:t>e</w:t>
            </w:r>
            <w:r w:rsidRPr="00061843" w:rsidR="001A271B">
              <w:rPr>
                <w:b/>
                <w:bCs/>
              </w:rPr>
              <w:t xml:space="preserve"> suppletoire begroting 2025 is het uitgavenbudget in 2025 op dit artikelonderdeel verhoogd met EUR 52 miljoen in 2025. </w:t>
            </w:r>
            <w:r w:rsidRPr="00061843" w:rsidR="006423AC">
              <w:rPr>
                <w:b/>
                <w:bCs/>
              </w:rPr>
              <w:t>Dit betrof een reservering voor</w:t>
            </w:r>
            <w:r w:rsidRPr="00061843" w:rsidR="001A271B">
              <w:rPr>
                <w:b/>
                <w:bCs/>
              </w:rPr>
              <w:t xml:space="preserve"> de wisselkoers </w:t>
            </w:r>
            <w:r w:rsidRPr="00061843" w:rsidR="006423AC">
              <w:rPr>
                <w:b/>
                <w:bCs/>
              </w:rPr>
              <w:t>voor</w:t>
            </w:r>
            <w:r w:rsidRPr="00061843" w:rsidR="001A271B">
              <w:rPr>
                <w:b/>
                <w:bCs/>
              </w:rPr>
              <w:t xml:space="preserve"> betalingen in buitenlandse valuta </w:t>
            </w:r>
            <w:r w:rsidRPr="00061843" w:rsidR="006423AC">
              <w:rPr>
                <w:b/>
                <w:bCs/>
              </w:rPr>
              <w:t xml:space="preserve">die </w:t>
            </w:r>
            <w:r w:rsidRPr="00061843" w:rsidR="001A271B">
              <w:rPr>
                <w:b/>
                <w:bCs/>
              </w:rPr>
              <w:t>een tegenvaller liet zien op de gehanteerde peildatum. In de 1</w:t>
            </w:r>
            <w:r w:rsidRPr="00061843" w:rsidR="001A271B">
              <w:rPr>
                <w:b/>
                <w:bCs/>
                <w:vertAlign w:val="superscript"/>
              </w:rPr>
              <w:t>e</w:t>
            </w:r>
            <w:r w:rsidRPr="00061843" w:rsidR="001A271B">
              <w:rPr>
                <w:b/>
                <w:bCs/>
              </w:rPr>
              <w:t xml:space="preserve"> suppletoire begroting 2025 is tevens aangegeven dat de wisselkoers conform </w:t>
            </w:r>
            <w:proofErr w:type="spellStart"/>
            <w:r w:rsidRPr="00061843" w:rsidR="001A271B">
              <w:rPr>
                <w:b/>
                <w:bCs/>
              </w:rPr>
              <w:t>gebruikelĳke</w:t>
            </w:r>
            <w:proofErr w:type="spellEnd"/>
            <w:r w:rsidRPr="00061843" w:rsidR="001A271B">
              <w:rPr>
                <w:b/>
                <w:bCs/>
              </w:rPr>
              <w:t xml:space="preserve"> systematiek zou worden afgerekend aan het einde van het jaar</w:t>
            </w:r>
            <w:r w:rsidRPr="00061843" w:rsidR="006423AC">
              <w:rPr>
                <w:b/>
                <w:bCs/>
              </w:rPr>
              <w:t>.</w:t>
            </w:r>
            <w:r w:rsidRPr="00061843" w:rsidR="001A271B">
              <w:rPr>
                <w:b/>
                <w:bCs/>
              </w:rPr>
              <w:t xml:space="preserve"> </w:t>
            </w:r>
            <w:r w:rsidRPr="00061843" w:rsidR="0079305A">
              <w:rPr>
                <w:b/>
                <w:bCs/>
              </w:rPr>
              <w:t>Bij de 2</w:t>
            </w:r>
            <w:r w:rsidRPr="00061843" w:rsidR="0079305A">
              <w:rPr>
                <w:b/>
                <w:bCs/>
                <w:vertAlign w:val="superscript"/>
              </w:rPr>
              <w:t>e</w:t>
            </w:r>
            <w:r w:rsidRPr="00061843" w:rsidR="0079305A">
              <w:rPr>
                <w:b/>
                <w:bCs/>
              </w:rPr>
              <w:t xml:space="preserve"> suppletoire begroting </w:t>
            </w:r>
            <w:r w:rsidRPr="00061843" w:rsidR="00523C7C">
              <w:rPr>
                <w:b/>
                <w:bCs/>
              </w:rPr>
              <w:t>zijn de verwachte wisselkoersfluctuaties afgenomen</w:t>
            </w:r>
            <w:r w:rsidRPr="00061843" w:rsidR="001A271B">
              <w:rPr>
                <w:b/>
                <w:bCs/>
              </w:rPr>
              <w:t>.</w:t>
            </w:r>
            <w:r w:rsidRPr="00061843" w:rsidR="00523C7C">
              <w:rPr>
                <w:b/>
                <w:bCs/>
              </w:rPr>
              <w:t xml:space="preserve"> De inschatting is hiermee dat een deel van de bij 1</w:t>
            </w:r>
            <w:r w:rsidRPr="00061843" w:rsidR="00523C7C">
              <w:rPr>
                <w:b/>
                <w:bCs/>
                <w:vertAlign w:val="superscript"/>
              </w:rPr>
              <w:t>e</w:t>
            </w:r>
            <w:r w:rsidRPr="00061843" w:rsidR="00523C7C">
              <w:rPr>
                <w:b/>
                <w:bCs/>
              </w:rPr>
              <w:t xml:space="preserve"> suppletoire begroting 2025 gealloceerde EUR 52</w:t>
            </w:r>
            <w:r w:rsidRPr="00061843" w:rsidR="001A271B">
              <w:rPr>
                <w:b/>
                <w:bCs/>
              </w:rPr>
              <w:t xml:space="preserve"> </w:t>
            </w:r>
            <w:r w:rsidRPr="00061843" w:rsidR="00523C7C">
              <w:rPr>
                <w:b/>
                <w:bCs/>
              </w:rPr>
              <w:t xml:space="preserve">miljoen niet langer benodigd is voor het opvangen van </w:t>
            </w:r>
            <w:r w:rsidRPr="00FE2A49" w:rsidR="00523C7C">
              <w:rPr>
                <w:b/>
                <w:bCs/>
              </w:rPr>
              <w:t xml:space="preserve">wisselkoersfluctuaties. </w:t>
            </w:r>
            <w:r w:rsidRPr="00FE2A49" w:rsidR="001A271B">
              <w:rPr>
                <w:b/>
                <w:bCs/>
              </w:rPr>
              <w:t xml:space="preserve">Daardoor kan een deel van de EUR 52 miljoen worden </w:t>
            </w:r>
            <w:proofErr w:type="spellStart"/>
            <w:r w:rsidRPr="00FE2A49" w:rsidR="001A271B">
              <w:rPr>
                <w:b/>
                <w:bCs/>
              </w:rPr>
              <w:t>geheralloceerd</w:t>
            </w:r>
            <w:proofErr w:type="spellEnd"/>
            <w:r w:rsidRPr="00FE2A49" w:rsidR="001A271B">
              <w:rPr>
                <w:b/>
                <w:bCs/>
              </w:rPr>
              <w:t xml:space="preserve"> binnen de BHO-begroting. </w:t>
            </w:r>
            <w:r w:rsidRPr="00FE2A49" w:rsidR="00551048">
              <w:rPr>
                <w:b/>
                <w:bCs/>
              </w:rPr>
              <w:t>Deze middelen zijn ingezet ter dekking van hogere uitgaven op artikel 1.3 op reeds aangegane verplichtingen voor programma’s op het gebied van handel en economie voor ontwikkeling.</w:t>
            </w:r>
            <w:r w:rsidR="00551048">
              <w:rPr>
                <w:b/>
                <w:bCs/>
              </w:rPr>
              <w:t xml:space="preserve"> </w:t>
            </w:r>
          </w:p>
          <w:p w:rsidRPr="00B84E3B" w:rsidR="00C715DF" w:rsidRDefault="00C715DF" w14:paraId="01A42E76" w14:textId="2FA71E9B"/>
        </w:tc>
        <w:tc>
          <w:tcPr>
            <w:tcW w:w="850" w:type="dxa"/>
          </w:tcPr>
          <w:p w:rsidRPr="00B84E3B" w:rsidR="005D2945" w:rsidRDefault="005D2945" w14:paraId="1297217D" w14:textId="13F56F43">
            <w:pPr>
              <w:jc w:val="right"/>
            </w:pPr>
          </w:p>
        </w:tc>
        <w:tc>
          <w:tcPr>
            <w:tcW w:w="992" w:type="dxa"/>
          </w:tcPr>
          <w:p w:rsidRPr="00B84E3B" w:rsidR="005D2945" w:rsidRDefault="001856D0" w14:paraId="4AEC69DD" w14:textId="77777777">
            <w:pPr>
              <w:jc w:val="right"/>
            </w:pPr>
            <w:r w:rsidRPr="00B84E3B">
              <w:t>16</w:t>
            </w:r>
          </w:p>
        </w:tc>
        <w:tc>
          <w:tcPr>
            <w:tcW w:w="567" w:type="dxa"/>
          </w:tcPr>
          <w:p w:rsidRPr="00B84E3B" w:rsidR="005D2945" w:rsidRDefault="001856D0" w14:paraId="6AA62421" w14:textId="77777777">
            <w:pPr>
              <w:jc w:val="right"/>
            </w:pPr>
            <w:r w:rsidRPr="00B84E3B">
              <w:t xml:space="preserve"> </w:t>
            </w:r>
          </w:p>
        </w:tc>
      </w:tr>
      <w:tr w:rsidRPr="00B84E3B" w:rsidR="005D2945" w:rsidTr="00B84E3B" w14:paraId="68D5A7AA" w14:textId="77777777">
        <w:tc>
          <w:tcPr>
            <w:tcW w:w="585" w:type="dxa"/>
          </w:tcPr>
          <w:p w:rsidRPr="00B84E3B" w:rsidR="005D2945" w:rsidRDefault="001856D0" w14:paraId="575B27B6" w14:textId="77777777">
            <w:r w:rsidRPr="00B84E3B">
              <w:t>46</w:t>
            </w:r>
          </w:p>
        </w:tc>
        <w:tc>
          <w:tcPr>
            <w:tcW w:w="6503" w:type="dxa"/>
          </w:tcPr>
          <w:p w:rsidRPr="00B84E3B" w:rsidR="003F0923" w:rsidP="003F0923" w:rsidRDefault="001856D0" w14:paraId="2E0536AE" w14:textId="77777777">
            <w:r w:rsidRPr="00B84E3B">
              <w:t>Is het kabinet voornemens de Kamer net als voorgaande jaren te informeren via een brief over de kabinetsbrede financiële inzet voor Oekraïne voor het opvolgende begrotingsjaar? Zo ja, wanneer kan de Kamer deze brief verwachten?</w:t>
            </w:r>
          </w:p>
          <w:p w:rsidRPr="00B84E3B" w:rsidR="003F0923" w:rsidP="003F0923" w:rsidRDefault="003F0923" w14:paraId="190F794B" w14:textId="77777777"/>
          <w:p w:rsidRPr="00B84E3B" w:rsidR="003F0923" w:rsidP="003F0923" w:rsidRDefault="003F0923" w14:paraId="01AD020D" w14:textId="77777777">
            <w:pPr>
              <w:rPr>
                <w:b/>
                <w:bCs/>
              </w:rPr>
            </w:pPr>
            <w:r w:rsidRPr="00B84E3B">
              <w:rPr>
                <w:b/>
                <w:bCs/>
              </w:rPr>
              <w:t>Antwoord</w:t>
            </w:r>
          </w:p>
          <w:p w:rsidRPr="00061843" w:rsidR="00B3075F" w:rsidP="00B3075F" w:rsidRDefault="00B3075F" w14:paraId="77B1EF06" w14:textId="4E9BFC28">
            <w:pPr>
              <w:rPr>
                <w:b/>
                <w:bCs/>
              </w:rPr>
            </w:pPr>
            <w:r w:rsidRPr="00061843">
              <w:rPr>
                <w:b/>
                <w:bCs/>
              </w:rPr>
              <w:t>In de Miljoenennota 2026 is een totaaloverzicht van de geraamde uitgaven aan Oekraïne voor de jaren 2025-2030 opgenomen in paragraaf 2.7.1 Oekraïne. Dit overzicht met financiële inzet maakt onderscheid tussen internationale steun (militair en niet-militair), binnenlandse regelingen (zoals opvang, zorg en onderwijs) en leveringszekerheid.</w:t>
            </w:r>
            <w:r w:rsidRPr="00061843" w:rsidR="00C24F5D">
              <w:rPr>
                <w:b/>
                <w:bCs/>
              </w:rPr>
              <w:t xml:space="preserve"> Dit overzicht wordt regulier in begrotingsstukken geactualiseerd. </w:t>
            </w:r>
            <w:r w:rsidRPr="00061843">
              <w:rPr>
                <w:b/>
                <w:bCs/>
              </w:rPr>
              <w:t xml:space="preserve">Het eerstvolgende moment voor meerjarige actualisatie (2026-2031) is bij Voorjaarsnota 2026. </w:t>
            </w:r>
          </w:p>
          <w:p w:rsidRPr="00061843" w:rsidR="00B3075F" w:rsidP="00B3075F" w:rsidRDefault="00B3075F" w14:paraId="002BB93D" w14:textId="77777777">
            <w:pPr>
              <w:rPr>
                <w:b/>
                <w:bCs/>
              </w:rPr>
            </w:pPr>
          </w:p>
          <w:p w:rsidRPr="00061843" w:rsidR="00B3075F" w:rsidP="00B3075F" w:rsidRDefault="00B3075F" w14:paraId="286DF69C" w14:textId="567C7531">
            <w:pPr>
              <w:rPr>
                <w:b/>
                <w:bCs/>
              </w:rPr>
            </w:pPr>
            <w:r w:rsidRPr="00061843">
              <w:rPr>
                <w:b/>
                <w:bCs/>
              </w:rPr>
              <w:t xml:space="preserve">Naast het totaaloverzicht voor financiële steun dat bij elke begrotingsnota wordt bijgevoegd, wordt uw Kamer </w:t>
            </w:r>
            <w:r w:rsidRPr="00FE2A49">
              <w:rPr>
                <w:b/>
                <w:bCs/>
              </w:rPr>
              <w:t>periodiek geïnformeerd door de Minister van Defensie</w:t>
            </w:r>
            <w:r w:rsidRPr="00FE2A49" w:rsidR="00551048">
              <w:rPr>
                <w:b/>
                <w:bCs/>
              </w:rPr>
              <w:t>,</w:t>
            </w:r>
            <w:r w:rsidRPr="00FE2A49">
              <w:rPr>
                <w:b/>
                <w:bCs/>
              </w:rPr>
              <w:t xml:space="preserve"> de Minister van Buitenlandse Zaken</w:t>
            </w:r>
            <w:r w:rsidRPr="00FE2A49" w:rsidR="00551048">
              <w:rPr>
                <w:b/>
                <w:bCs/>
              </w:rPr>
              <w:t xml:space="preserve"> en de Staatssecretaris Buitenlandse Handel en Ontwikkeling</w:t>
            </w:r>
            <w:r w:rsidRPr="00FE2A49" w:rsidR="00620105">
              <w:rPr>
                <w:b/>
                <w:bCs/>
              </w:rPr>
              <w:t>s</w:t>
            </w:r>
            <w:r w:rsidRPr="00FE2A49" w:rsidR="00551048">
              <w:rPr>
                <w:b/>
                <w:bCs/>
              </w:rPr>
              <w:t>hulp</w:t>
            </w:r>
            <w:r w:rsidRPr="00FE2A49">
              <w:rPr>
                <w:b/>
                <w:bCs/>
              </w:rPr>
              <w:t>, over</w:t>
            </w:r>
            <w:r w:rsidRPr="00061843">
              <w:rPr>
                <w:b/>
                <w:bCs/>
              </w:rPr>
              <w:t xml:space="preserve"> respectievelijk de stand van zaken van Nederlandse militaire steun </w:t>
            </w:r>
            <w:r w:rsidRPr="00061843">
              <w:rPr>
                <w:b/>
                <w:bCs/>
              </w:rPr>
              <w:lastRenderedPageBreak/>
              <w:t>(Kamerstuk 22054-463) als de invulling van niet-militaire steun (Kamerstuk 36045-239).</w:t>
            </w:r>
          </w:p>
          <w:p w:rsidRPr="00B84E3B" w:rsidR="00C715DF" w:rsidRDefault="00C715DF" w14:paraId="5F0F4D21" w14:textId="6E246E72"/>
        </w:tc>
        <w:tc>
          <w:tcPr>
            <w:tcW w:w="850" w:type="dxa"/>
          </w:tcPr>
          <w:p w:rsidRPr="009D0370" w:rsidR="005D2945" w:rsidRDefault="005D2945" w14:paraId="690EDDED" w14:textId="49BA19A8">
            <w:pPr>
              <w:jc w:val="right"/>
            </w:pPr>
          </w:p>
        </w:tc>
        <w:tc>
          <w:tcPr>
            <w:tcW w:w="992" w:type="dxa"/>
          </w:tcPr>
          <w:p w:rsidRPr="00B84E3B" w:rsidR="005D2945" w:rsidRDefault="000609AF" w14:paraId="7A64BF5C" w14:textId="7F5950AC">
            <w:pPr>
              <w:jc w:val="right"/>
            </w:pPr>
            <w:r w:rsidRPr="009D0370">
              <w:t xml:space="preserve"> </w:t>
            </w:r>
            <w:r w:rsidRPr="00B84E3B" w:rsidR="001856D0">
              <w:t>17</w:t>
            </w:r>
          </w:p>
        </w:tc>
        <w:tc>
          <w:tcPr>
            <w:tcW w:w="567" w:type="dxa"/>
          </w:tcPr>
          <w:p w:rsidRPr="00B84E3B" w:rsidR="005D2945" w:rsidRDefault="001856D0" w14:paraId="060E2CB4" w14:textId="77777777">
            <w:pPr>
              <w:jc w:val="right"/>
            </w:pPr>
            <w:r w:rsidRPr="00B84E3B">
              <w:t xml:space="preserve"> </w:t>
            </w:r>
          </w:p>
        </w:tc>
      </w:tr>
      <w:tr w:rsidRPr="00B84E3B" w:rsidR="005D2945" w:rsidTr="00B84E3B" w14:paraId="73EEE373" w14:textId="77777777">
        <w:tc>
          <w:tcPr>
            <w:tcW w:w="585" w:type="dxa"/>
          </w:tcPr>
          <w:p w:rsidRPr="00B84E3B" w:rsidR="005D2945" w:rsidRDefault="001856D0" w14:paraId="678E2063" w14:textId="77777777">
            <w:r w:rsidRPr="00B84E3B">
              <w:t>47</w:t>
            </w:r>
          </w:p>
        </w:tc>
        <w:tc>
          <w:tcPr>
            <w:tcW w:w="6503" w:type="dxa"/>
          </w:tcPr>
          <w:p w:rsidRPr="00B84E3B" w:rsidR="003F0923" w:rsidP="003F0923" w:rsidRDefault="001856D0" w14:paraId="222DDACE" w14:textId="77777777">
            <w:r w:rsidRPr="00B84E3B">
              <w:t xml:space="preserve">Hoe verklaart </w:t>
            </w:r>
            <w:r w:rsidRPr="00B84E3B" w:rsidR="00A769AB">
              <w:t>u</w:t>
            </w:r>
            <w:r w:rsidRPr="00B84E3B">
              <w:t xml:space="preserve"> de lagere toerekening voor de opvang van eerstejaarsasielzoekers door de lagere asielraming (</w:t>
            </w:r>
            <w:r w:rsidRPr="00B84E3B" w:rsidR="00A769AB">
              <w:t>€</w:t>
            </w:r>
            <w:r w:rsidRPr="00B84E3B">
              <w:t>116 miljoen euro?</w:t>
            </w:r>
          </w:p>
          <w:p w:rsidRPr="00B84E3B" w:rsidR="00061843" w:rsidP="003F0923" w:rsidRDefault="00061843" w14:paraId="59F88C7F" w14:textId="77777777"/>
          <w:p w:rsidRPr="00B84E3B" w:rsidR="003F0923" w:rsidP="003F0923" w:rsidRDefault="003F0923" w14:paraId="4779C383" w14:textId="77777777">
            <w:pPr>
              <w:rPr>
                <w:b/>
                <w:bCs/>
              </w:rPr>
            </w:pPr>
            <w:r w:rsidRPr="00B84E3B">
              <w:rPr>
                <w:b/>
                <w:bCs/>
              </w:rPr>
              <w:t>Antwoord</w:t>
            </w:r>
          </w:p>
          <w:p w:rsidRPr="00061843" w:rsidR="005D2945" w:rsidRDefault="005C6133" w14:paraId="051C726A" w14:textId="55AF089F">
            <w:pPr>
              <w:rPr>
                <w:b/>
                <w:bCs/>
              </w:rPr>
            </w:pPr>
            <w:r w:rsidRPr="00061843">
              <w:rPr>
                <w:b/>
                <w:bCs/>
              </w:rPr>
              <w:t>Een deel van de uitgaven aan eerstejaars opvang van asielzoekers in Nederland mag volgens de richtlijnen van de OECD-DAC worden toegerekend aan het ODA-budget. Als de ramingen hoger of lager blijken dan waarmee rekening wordt gehouden, leidt dit tot mee- of tegenvallers binnen het ODA-budget. Deze worden verrekend met artikel 5.4 op de BHO-begroting.</w:t>
            </w:r>
          </w:p>
          <w:p w:rsidRPr="00061843" w:rsidR="00F70A68" w:rsidRDefault="00F70A68" w14:paraId="62B60CE1" w14:textId="4BDC6CE4">
            <w:pPr>
              <w:rPr>
                <w:b/>
                <w:bCs/>
              </w:rPr>
            </w:pPr>
            <w:r w:rsidRPr="00061843">
              <w:rPr>
                <w:b/>
                <w:bCs/>
              </w:rPr>
              <w:t xml:space="preserve">Doordat de </w:t>
            </w:r>
            <w:r w:rsidRPr="00061843" w:rsidR="0052153C">
              <w:rPr>
                <w:b/>
                <w:bCs/>
              </w:rPr>
              <w:t xml:space="preserve">bezetting </w:t>
            </w:r>
            <w:r w:rsidRPr="00061843">
              <w:rPr>
                <w:b/>
                <w:bCs/>
              </w:rPr>
              <w:t xml:space="preserve">van </w:t>
            </w:r>
            <w:r w:rsidRPr="00061843" w:rsidR="0052153C">
              <w:rPr>
                <w:b/>
                <w:bCs/>
              </w:rPr>
              <w:t xml:space="preserve">het COA </w:t>
            </w:r>
            <w:r w:rsidRPr="00061843">
              <w:rPr>
                <w:b/>
                <w:bCs/>
              </w:rPr>
              <w:t xml:space="preserve">in de </w:t>
            </w:r>
            <w:proofErr w:type="spellStart"/>
            <w:r w:rsidRPr="00061843">
              <w:rPr>
                <w:b/>
                <w:bCs/>
              </w:rPr>
              <w:t>Meerjar</w:t>
            </w:r>
            <w:r w:rsidRPr="00061843" w:rsidR="0052153C">
              <w:rPr>
                <w:b/>
                <w:bCs/>
              </w:rPr>
              <w:t>en</w:t>
            </w:r>
            <w:proofErr w:type="spellEnd"/>
            <w:r w:rsidRPr="00061843">
              <w:rPr>
                <w:b/>
                <w:bCs/>
              </w:rPr>
              <w:t xml:space="preserve"> Productie Prognose (MPP) voor 2025 lager geraamd wordt dan eerder verwacht, daalt de toerekening aan het ODA-budget </w:t>
            </w:r>
            <w:r w:rsidRPr="00061843" w:rsidR="006E2FB9">
              <w:rPr>
                <w:b/>
                <w:bCs/>
              </w:rPr>
              <w:t xml:space="preserve">in 2025 </w:t>
            </w:r>
            <w:r w:rsidRPr="00061843">
              <w:rPr>
                <w:b/>
                <w:bCs/>
              </w:rPr>
              <w:t>met EUR 116 miljoen.</w:t>
            </w:r>
          </w:p>
          <w:p w:rsidRPr="00B84E3B" w:rsidR="00C715DF" w:rsidRDefault="00C715DF" w14:paraId="527D6AED" w14:textId="133F133A"/>
        </w:tc>
        <w:tc>
          <w:tcPr>
            <w:tcW w:w="850" w:type="dxa"/>
          </w:tcPr>
          <w:p w:rsidRPr="00B84E3B" w:rsidR="005D2945" w:rsidRDefault="005D2945" w14:paraId="307BF4B1" w14:textId="03772457">
            <w:pPr>
              <w:jc w:val="right"/>
            </w:pPr>
          </w:p>
        </w:tc>
        <w:tc>
          <w:tcPr>
            <w:tcW w:w="992" w:type="dxa"/>
          </w:tcPr>
          <w:p w:rsidRPr="00B84E3B" w:rsidR="005D2945" w:rsidRDefault="001856D0" w14:paraId="1E67080A" w14:textId="77777777">
            <w:pPr>
              <w:jc w:val="right"/>
            </w:pPr>
            <w:r w:rsidRPr="00B84E3B">
              <w:t>17</w:t>
            </w:r>
          </w:p>
        </w:tc>
        <w:tc>
          <w:tcPr>
            <w:tcW w:w="567" w:type="dxa"/>
          </w:tcPr>
          <w:p w:rsidRPr="00B84E3B" w:rsidR="005D2945" w:rsidRDefault="001856D0" w14:paraId="71AC2406" w14:textId="77777777">
            <w:pPr>
              <w:jc w:val="right"/>
            </w:pPr>
            <w:r w:rsidRPr="00B84E3B">
              <w:t xml:space="preserve"> </w:t>
            </w:r>
          </w:p>
        </w:tc>
      </w:tr>
      <w:tr w:rsidRPr="00B84E3B" w:rsidR="005D2945" w:rsidTr="00B84E3B" w14:paraId="06BC86D5" w14:textId="77777777">
        <w:tc>
          <w:tcPr>
            <w:tcW w:w="585" w:type="dxa"/>
          </w:tcPr>
          <w:p w:rsidRPr="00B84E3B" w:rsidR="005D2945" w:rsidRDefault="001856D0" w14:paraId="2E98BAEC" w14:textId="77777777">
            <w:r w:rsidRPr="00B84E3B">
              <w:t>48</w:t>
            </w:r>
          </w:p>
        </w:tc>
        <w:tc>
          <w:tcPr>
            <w:tcW w:w="6503" w:type="dxa"/>
          </w:tcPr>
          <w:p w:rsidRPr="00B84E3B" w:rsidR="003F0923" w:rsidP="003F0923" w:rsidRDefault="00317F26" w14:paraId="46A0AFF2" w14:textId="77777777">
            <w:r w:rsidRPr="00B84E3B">
              <w:t xml:space="preserve">Betreffende de €85 miljoen die is </w:t>
            </w:r>
            <w:r w:rsidRPr="00B84E3B" w:rsidR="001856D0">
              <w:t>gereserveerd voor opvang in de regio</w:t>
            </w:r>
            <w:r w:rsidRPr="00B84E3B">
              <w:t>, k</w:t>
            </w:r>
            <w:r w:rsidRPr="00B84E3B" w:rsidR="001856D0">
              <w:t xml:space="preserve">lopt het dat dit geld beleidsmatig is gereserveerd voor migratiepartnerschappen? Is een deel van dit geld ook bedoeld voor het concreet uitwerken van de </w:t>
            </w:r>
            <w:proofErr w:type="spellStart"/>
            <w:r w:rsidRPr="00B84E3B" w:rsidR="001856D0">
              <w:t>transithub</w:t>
            </w:r>
            <w:proofErr w:type="spellEnd"/>
            <w:r w:rsidRPr="00B84E3B" w:rsidR="001856D0">
              <w:t xml:space="preserve"> in Oeganda?</w:t>
            </w:r>
          </w:p>
          <w:p w:rsidRPr="00B84E3B" w:rsidR="003F0923" w:rsidP="003F0923" w:rsidRDefault="003F0923" w14:paraId="1D8AB7CC" w14:textId="77777777"/>
          <w:p w:rsidRPr="00B84E3B" w:rsidR="003F0923" w:rsidP="003F0923" w:rsidRDefault="003F0923" w14:paraId="6DB9E1A0" w14:textId="77777777">
            <w:pPr>
              <w:rPr>
                <w:b/>
                <w:bCs/>
              </w:rPr>
            </w:pPr>
            <w:r w:rsidRPr="00B84E3B">
              <w:rPr>
                <w:b/>
                <w:bCs/>
              </w:rPr>
              <w:t>Antwoord</w:t>
            </w:r>
          </w:p>
          <w:p w:rsidRPr="00061843" w:rsidR="00177566" w:rsidP="00177566" w:rsidRDefault="00177566" w14:paraId="29ED5F91" w14:textId="71173C51">
            <w:pPr>
              <w:rPr>
                <w:b/>
                <w:bCs/>
              </w:rPr>
            </w:pPr>
            <w:r w:rsidRPr="00061843">
              <w:rPr>
                <w:b/>
                <w:bCs/>
              </w:rPr>
              <w:t xml:space="preserve">Van het totale budget van EUR 385 miljoen voor Artikel 4.2, dat zowel het beleidsterrein Opvang in de Regio als Migratiesamenwerking betreft, is in 2026 EUR 85 miljoen beleidsmatig gereserveerd, maar nog niet gecommitteerd, voor verschillende programmeringsdoelen. Daaronder valt ook mogelijke financiering van de uitwerking van de migratiesamenwerking met Oeganda, voor zover deze uitgaven voldoen aan de OESO-DAC criteria voor de besteding van ODA middelen. </w:t>
            </w:r>
          </w:p>
          <w:p w:rsidRPr="00B84E3B" w:rsidR="00C715DF" w:rsidRDefault="00C715DF" w14:paraId="3447CB39" w14:textId="630E1226"/>
        </w:tc>
        <w:tc>
          <w:tcPr>
            <w:tcW w:w="850" w:type="dxa"/>
          </w:tcPr>
          <w:p w:rsidRPr="00B84E3B" w:rsidR="005D2945" w:rsidRDefault="005D2945" w14:paraId="414C1B3B" w14:textId="0CB9DD13">
            <w:pPr>
              <w:jc w:val="right"/>
            </w:pPr>
          </w:p>
        </w:tc>
        <w:tc>
          <w:tcPr>
            <w:tcW w:w="992" w:type="dxa"/>
          </w:tcPr>
          <w:p w:rsidRPr="00B84E3B" w:rsidR="005D2945" w:rsidRDefault="001856D0" w14:paraId="1FBD71E4" w14:textId="77777777">
            <w:pPr>
              <w:jc w:val="right"/>
            </w:pPr>
            <w:r w:rsidRPr="00B84E3B">
              <w:t>19</w:t>
            </w:r>
          </w:p>
        </w:tc>
        <w:tc>
          <w:tcPr>
            <w:tcW w:w="567" w:type="dxa"/>
          </w:tcPr>
          <w:p w:rsidRPr="00B84E3B" w:rsidR="005D2945" w:rsidRDefault="001856D0" w14:paraId="41C6E7EF" w14:textId="77777777">
            <w:pPr>
              <w:jc w:val="right"/>
            </w:pPr>
            <w:r w:rsidRPr="00B84E3B">
              <w:t xml:space="preserve"> </w:t>
            </w:r>
          </w:p>
        </w:tc>
      </w:tr>
      <w:tr w:rsidRPr="00B84E3B" w:rsidR="005D2945" w:rsidTr="00B84E3B" w14:paraId="151D2744" w14:textId="77777777">
        <w:tc>
          <w:tcPr>
            <w:tcW w:w="585" w:type="dxa"/>
          </w:tcPr>
          <w:p w:rsidRPr="00B84E3B" w:rsidR="005D2945" w:rsidRDefault="001856D0" w14:paraId="098D460A" w14:textId="77777777">
            <w:r w:rsidRPr="00B84E3B">
              <w:t>49</w:t>
            </w:r>
          </w:p>
        </w:tc>
        <w:tc>
          <w:tcPr>
            <w:tcW w:w="6503" w:type="dxa"/>
          </w:tcPr>
          <w:p w:rsidRPr="00B84E3B" w:rsidR="003F0923" w:rsidP="003F0923" w:rsidRDefault="001856D0" w14:paraId="3511EA81" w14:textId="77777777">
            <w:r w:rsidRPr="00B84E3B">
              <w:t>Welke inzet en maatregelen zijn voorzien om bij te dragen aan het internationaal afgesproken doel om in 2035 wereldwijd 300 miljard dollar per jaar aan klimaatfinanciering te mobiliseren?</w:t>
            </w:r>
          </w:p>
          <w:p w:rsidRPr="00B84E3B" w:rsidR="003F0923" w:rsidP="003F0923" w:rsidRDefault="003F0923" w14:paraId="0B5E37D3" w14:textId="77777777"/>
          <w:p w:rsidRPr="00061843" w:rsidR="005D2945" w:rsidRDefault="003F0923" w14:paraId="792FF9B2" w14:textId="29415302">
            <w:pPr>
              <w:rPr>
                <w:b/>
                <w:bCs/>
              </w:rPr>
            </w:pPr>
            <w:r w:rsidRPr="00061843">
              <w:rPr>
                <w:b/>
                <w:bCs/>
              </w:rPr>
              <w:t>Antwoord</w:t>
            </w:r>
          </w:p>
          <w:p w:rsidRPr="00061843" w:rsidR="00C715DF" w:rsidRDefault="0083045A" w14:paraId="32A809F4" w14:textId="779D3F6F">
            <w:pPr>
              <w:rPr>
                <w:b/>
                <w:bCs/>
              </w:rPr>
            </w:pPr>
            <w:r w:rsidRPr="00061843">
              <w:rPr>
                <w:b/>
                <w:bCs/>
              </w:rPr>
              <w:t xml:space="preserve">Nederland blijft </w:t>
            </w:r>
            <w:r w:rsidRPr="00061843" w:rsidR="00301365">
              <w:rPr>
                <w:b/>
                <w:bCs/>
              </w:rPr>
              <w:t xml:space="preserve">zich inzetten om </w:t>
            </w:r>
            <w:r w:rsidRPr="00061843">
              <w:rPr>
                <w:b/>
                <w:bCs/>
              </w:rPr>
              <w:t xml:space="preserve">zijn aandeel </w:t>
            </w:r>
            <w:r w:rsidRPr="00061843" w:rsidR="00301365">
              <w:rPr>
                <w:b/>
                <w:bCs/>
              </w:rPr>
              <w:t xml:space="preserve">te </w:t>
            </w:r>
            <w:r w:rsidRPr="00061843">
              <w:rPr>
                <w:b/>
                <w:bCs/>
              </w:rPr>
              <w:t xml:space="preserve">leveren aan internationale klimaatfinanciering. Dit doen we onder andere </w:t>
            </w:r>
            <w:r w:rsidRPr="00061843" w:rsidR="00C51C7D">
              <w:rPr>
                <w:b/>
                <w:bCs/>
              </w:rPr>
              <w:t>door de inzet op thema’s waar extra middelen voor beschikbaar komen, zoals watermanagement</w:t>
            </w:r>
            <w:r w:rsidRPr="00061843">
              <w:rPr>
                <w:b/>
                <w:bCs/>
              </w:rPr>
              <w:t xml:space="preserve"> en voedselzekerheid</w:t>
            </w:r>
            <w:r w:rsidRPr="00061843" w:rsidR="00C51C7D">
              <w:rPr>
                <w:b/>
                <w:bCs/>
              </w:rPr>
              <w:t xml:space="preserve">, sterker te richten op het tegengaan van negatieve gevolgen van klimaatverandering. </w:t>
            </w:r>
            <w:r w:rsidRPr="00061843">
              <w:rPr>
                <w:b/>
                <w:bCs/>
              </w:rPr>
              <w:t xml:space="preserve"> Daarnaast w</w:t>
            </w:r>
            <w:r w:rsidRPr="00061843" w:rsidR="0059444C">
              <w:rPr>
                <w:b/>
                <w:bCs/>
              </w:rPr>
              <w:t>il Nederland meer private financiering mobiliseren voor klimaatprojecten in ontwikkelingslanden. N</w:t>
            </w:r>
            <w:r w:rsidRPr="00061843">
              <w:rPr>
                <w:b/>
                <w:bCs/>
              </w:rPr>
              <w:t>aar verwachting</w:t>
            </w:r>
            <w:r w:rsidRPr="00061843" w:rsidR="0059444C">
              <w:rPr>
                <w:b/>
                <w:bCs/>
              </w:rPr>
              <w:t xml:space="preserve"> </w:t>
            </w:r>
            <w:r w:rsidRPr="00061843">
              <w:rPr>
                <w:b/>
                <w:bCs/>
              </w:rPr>
              <w:t xml:space="preserve">groeit </w:t>
            </w:r>
            <w:r w:rsidRPr="00061843" w:rsidR="0059444C">
              <w:rPr>
                <w:b/>
                <w:bCs/>
              </w:rPr>
              <w:t>daarnaast</w:t>
            </w:r>
            <w:r w:rsidRPr="00061843">
              <w:rPr>
                <w:b/>
                <w:bCs/>
              </w:rPr>
              <w:t xml:space="preserve"> het volume aan klimaatfinanciering van multilaterale ontwikkelingsbanken en stijgt hiermee ook de aan Nederland toe te rekenen klimaatfinanciering vanuit deze banken.   </w:t>
            </w:r>
          </w:p>
          <w:p w:rsidRPr="00B84E3B" w:rsidR="00C715DF" w:rsidRDefault="00C715DF" w14:paraId="0BC4AB01" w14:textId="7FC4302E"/>
        </w:tc>
        <w:tc>
          <w:tcPr>
            <w:tcW w:w="850" w:type="dxa"/>
          </w:tcPr>
          <w:p w:rsidRPr="00B84E3B" w:rsidR="005D2945" w:rsidRDefault="005D2945" w14:paraId="12E0EFC7" w14:textId="5162CF9C">
            <w:pPr>
              <w:jc w:val="right"/>
            </w:pPr>
          </w:p>
        </w:tc>
        <w:tc>
          <w:tcPr>
            <w:tcW w:w="992" w:type="dxa"/>
          </w:tcPr>
          <w:p w:rsidRPr="00B84E3B" w:rsidR="005D2945" w:rsidRDefault="001856D0" w14:paraId="5A5B516D" w14:textId="77777777">
            <w:pPr>
              <w:jc w:val="right"/>
            </w:pPr>
            <w:r w:rsidRPr="00B84E3B">
              <w:t>39</w:t>
            </w:r>
          </w:p>
        </w:tc>
        <w:tc>
          <w:tcPr>
            <w:tcW w:w="567" w:type="dxa"/>
          </w:tcPr>
          <w:p w:rsidRPr="00B84E3B" w:rsidR="005D2945" w:rsidRDefault="001856D0" w14:paraId="7C4F9BE9" w14:textId="77777777">
            <w:pPr>
              <w:jc w:val="right"/>
            </w:pPr>
            <w:r w:rsidRPr="00B84E3B">
              <w:t xml:space="preserve"> </w:t>
            </w:r>
          </w:p>
        </w:tc>
      </w:tr>
      <w:tr w:rsidRPr="00B84E3B" w:rsidR="005D2945" w:rsidTr="00B84E3B" w14:paraId="00B71B0B" w14:textId="77777777">
        <w:tc>
          <w:tcPr>
            <w:tcW w:w="585" w:type="dxa"/>
          </w:tcPr>
          <w:p w:rsidRPr="00B84E3B" w:rsidR="005D2945" w:rsidRDefault="001856D0" w14:paraId="1A782BA7" w14:textId="77777777">
            <w:r w:rsidRPr="00B84E3B">
              <w:t>50</w:t>
            </w:r>
          </w:p>
        </w:tc>
        <w:tc>
          <w:tcPr>
            <w:tcW w:w="6503" w:type="dxa"/>
          </w:tcPr>
          <w:p w:rsidRPr="00B84E3B" w:rsidR="003F0923" w:rsidP="003F0923" w:rsidRDefault="001856D0" w14:paraId="72BE9260" w14:textId="77777777">
            <w:r w:rsidRPr="00B84E3B">
              <w:t>Welke ramingen hanteert het kabinet voor een Nederlands aandeel in internationale klimaatfinanciering, uitgaande van indicatoren zoals bbp, bevolkingsgrootte en historische emissies sinds 1990?</w:t>
            </w:r>
          </w:p>
          <w:p w:rsidRPr="00B84E3B" w:rsidR="003F0923" w:rsidP="003F0923" w:rsidRDefault="003F0923" w14:paraId="140269B5" w14:textId="77777777"/>
          <w:p w:rsidRPr="00B84E3B" w:rsidR="003F0923" w:rsidP="003F0923" w:rsidRDefault="003F0923" w14:paraId="3B9E0FE8" w14:textId="1BF90D81">
            <w:pPr>
              <w:rPr>
                <w:b/>
                <w:bCs/>
              </w:rPr>
            </w:pPr>
            <w:r w:rsidRPr="00B84E3B">
              <w:rPr>
                <w:b/>
                <w:bCs/>
              </w:rPr>
              <w:t>Antwoord</w:t>
            </w:r>
          </w:p>
          <w:p w:rsidRPr="00061843" w:rsidR="005A700F" w:rsidRDefault="00C51C7D" w14:paraId="228877D1" w14:textId="2F621F25">
            <w:pPr>
              <w:rPr>
                <w:b/>
                <w:bCs/>
              </w:rPr>
            </w:pPr>
            <w:r w:rsidRPr="00061843">
              <w:rPr>
                <w:b/>
                <w:bCs/>
              </w:rPr>
              <w:t xml:space="preserve">Er is geen internationaal overeengekomen groeipad en verdeelsleutel tussen landen voor het klimaatfinancieringsdoel van 300 miljard dollar per 2035. </w:t>
            </w:r>
            <w:r w:rsidRPr="00061843">
              <w:rPr>
                <w:b/>
                <w:bCs/>
              </w:rPr>
              <w:lastRenderedPageBreak/>
              <w:t>Nederland h</w:t>
            </w:r>
            <w:r w:rsidRPr="00061843" w:rsidR="00301365">
              <w:rPr>
                <w:b/>
                <w:bCs/>
              </w:rPr>
              <w:t>anteert daarom</w:t>
            </w:r>
            <w:r w:rsidRPr="00061843">
              <w:rPr>
                <w:b/>
                <w:bCs/>
              </w:rPr>
              <w:t xml:space="preserve"> geen </w:t>
            </w:r>
            <w:r w:rsidRPr="00061843" w:rsidR="1E0D9715">
              <w:rPr>
                <w:b/>
                <w:bCs/>
              </w:rPr>
              <w:t>raming op basis van indicatoren</w:t>
            </w:r>
            <w:r w:rsidRPr="00061843">
              <w:rPr>
                <w:b/>
                <w:bCs/>
              </w:rPr>
              <w:t xml:space="preserve"> voor de </w:t>
            </w:r>
            <w:r w:rsidRPr="00061843" w:rsidR="00732675">
              <w:rPr>
                <w:b/>
                <w:bCs/>
              </w:rPr>
              <w:t>invulling van</w:t>
            </w:r>
            <w:r w:rsidRPr="00061843" w:rsidR="00301365">
              <w:rPr>
                <w:b/>
                <w:bCs/>
              </w:rPr>
              <w:t xml:space="preserve"> Nederlandse</w:t>
            </w:r>
            <w:r w:rsidRPr="00061843" w:rsidR="00732675">
              <w:rPr>
                <w:b/>
                <w:bCs/>
              </w:rPr>
              <w:t xml:space="preserve"> klimaatfinanciering. </w:t>
            </w:r>
          </w:p>
          <w:p w:rsidRPr="00B84E3B" w:rsidR="00C715DF" w:rsidRDefault="00C715DF" w14:paraId="0F2F783E" w14:textId="739BB7DB"/>
        </w:tc>
        <w:tc>
          <w:tcPr>
            <w:tcW w:w="850" w:type="dxa"/>
          </w:tcPr>
          <w:p w:rsidRPr="00B84E3B" w:rsidR="005D2945" w:rsidRDefault="005D2945" w14:paraId="2B249C72" w14:textId="56C365DE">
            <w:pPr>
              <w:jc w:val="right"/>
            </w:pPr>
          </w:p>
        </w:tc>
        <w:tc>
          <w:tcPr>
            <w:tcW w:w="992" w:type="dxa"/>
          </w:tcPr>
          <w:p w:rsidRPr="00B84E3B" w:rsidR="005D2945" w:rsidRDefault="001856D0" w14:paraId="3692848D" w14:textId="77777777">
            <w:pPr>
              <w:jc w:val="right"/>
            </w:pPr>
            <w:r w:rsidRPr="00B84E3B">
              <w:t>39</w:t>
            </w:r>
          </w:p>
        </w:tc>
        <w:tc>
          <w:tcPr>
            <w:tcW w:w="567" w:type="dxa"/>
          </w:tcPr>
          <w:p w:rsidRPr="00B84E3B" w:rsidR="005D2945" w:rsidRDefault="001856D0" w14:paraId="2DF3E579" w14:textId="77777777">
            <w:pPr>
              <w:jc w:val="right"/>
            </w:pPr>
            <w:r w:rsidRPr="00B84E3B">
              <w:t xml:space="preserve"> </w:t>
            </w:r>
          </w:p>
        </w:tc>
      </w:tr>
      <w:tr w:rsidRPr="00B84E3B" w:rsidR="005D2945" w:rsidTr="00B84E3B" w14:paraId="558DF985" w14:textId="77777777">
        <w:tc>
          <w:tcPr>
            <w:tcW w:w="585" w:type="dxa"/>
          </w:tcPr>
          <w:p w:rsidRPr="00B84E3B" w:rsidR="005D2945" w:rsidRDefault="001856D0" w14:paraId="0B951E6F" w14:textId="77777777">
            <w:r w:rsidRPr="00B84E3B">
              <w:t>51</w:t>
            </w:r>
          </w:p>
        </w:tc>
        <w:tc>
          <w:tcPr>
            <w:tcW w:w="6503" w:type="dxa"/>
          </w:tcPr>
          <w:p w:rsidRPr="00B84E3B" w:rsidR="003F0923" w:rsidP="003F0923" w:rsidRDefault="001856D0" w14:paraId="3F0FB7A6" w14:textId="77777777">
            <w:r w:rsidRPr="00B84E3B">
              <w:t>Welke inzet en maatregelen zijn voorzien om bij te dragen aan het internationaal afgesproken doel om in 2030 wereldwijd 200 miljard dollar per jaar aan biodiversiteitsfinanciering te mobiliseren?</w:t>
            </w:r>
          </w:p>
          <w:p w:rsidRPr="00B84E3B" w:rsidR="003F0923" w:rsidP="003F0923" w:rsidRDefault="003F0923" w14:paraId="59052CD3" w14:textId="77777777"/>
          <w:p w:rsidRPr="00B84E3B" w:rsidR="003F0923" w:rsidP="003F0923" w:rsidRDefault="003F0923" w14:paraId="36958C78" w14:textId="77777777">
            <w:pPr>
              <w:rPr>
                <w:b/>
                <w:bCs/>
              </w:rPr>
            </w:pPr>
            <w:r w:rsidRPr="00B84E3B">
              <w:rPr>
                <w:b/>
                <w:bCs/>
              </w:rPr>
              <w:t>Antwoord</w:t>
            </w:r>
          </w:p>
          <w:p w:rsidRPr="00061843" w:rsidR="006A4E8B" w:rsidRDefault="006A4E8B" w14:paraId="3E44B29C" w14:textId="2D5ABA33">
            <w:pPr>
              <w:rPr>
                <w:b/>
                <w:bCs/>
              </w:rPr>
            </w:pPr>
            <w:r w:rsidRPr="00061843">
              <w:rPr>
                <w:b/>
                <w:bCs/>
              </w:rPr>
              <w:t xml:space="preserve">Het op 25 maart jl. met uw Kamer gedeelde Nationaal Biodiversiteit Strategie </w:t>
            </w:r>
            <w:r w:rsidRPr="00061843" w:rsidR="00C71AD3">
              <w:rPr>
                <w:b/>
                <w:bCs/>
              </w:rPr>
              <w:t xml:space="preserve">&amp; </w:t>
            </w:r>
            <w:r w:rsidRPr="00061843">
              <w:rPr>
                <w:b/>
                <w:bCs/>
              </w:rPr>
              <w:t xml:space="preserve">Actieplan </w:t>
            </w:r>
            <w:r w:rsidRPr="00061843" w:rsidR="00E8156E">
              <w:rPr>
                <w:b/>
                <w:bCs/>
              </w:rPr>
              <w:t xml:space="preserve">(Kamerstukken 26407, nr. 155) </w:t>
            </w:r>
            <w:r w:rsidRPr="00061843">
              <w:rPr>
                <w:b/>
                <w:bCs/>
              </w:rPr>
              <w:t xml:space="preserve">beschrijft de Nederlandse bijdrage aan de 23 actiedoelen </w:t>
            </w:r>
            <w:r w:rsidRPr="00061843" w:rsidR="00E8156E">
              <w:rPr>
                <w:b/>
                <w:bCs/>
              </w:rPr>
              <w:t xml:space="preserve">van </w:t>
            </w:r>
            <w:r w:rsidRPr="00061843">
              <w:rPr>
                <w:b/>
                <w:bCs/>
              </w:rPr>
              <w:t xml:space="preserve">het </w:t>
            </w:r>
            <w:r w:rsidRPr="00061843">
              <w:rPr>
                <w:b/>
                <w:bCs/>
                <w:i/>
                <w:iCs/>
              </w:rPr>
              <w:t xml:space="preserve">Global </w:t>
            </w:r>
            <w:proofErr w:type="spellStart"/>
            <w:r w:rsidRPr="00061843">
              <w:rPr>
                <w:b/>
                <w:bCs/>
                <w:i/>
                <w:iCs/>
              </w:rPr>
              <w:t>Biodiversity</w:t>
            </w:r>
            <w:proofErr w:type="spellEnd"/>
            <w:r w:rsidRPr="00061843">
              <w:rPr>
                <w:b/>
                <w:bCs/>
                <w:i/>
                <w:iCs/>
              </w:rPr>
              <w:t xml:space="preserve"> Framework</w:t>
            </w:r>
            <w:r w:rsidRPr="00061843">
              <w:rPr>
                <w:b/>
                <w:bCs/>
              </w:rPr>
              <w:t xml:space="preserve">, inclusief </w:t>
            </w:r>
            <w:r w:rsidRPr="00061843" w:rsidR="00E8156E">
              <w:rPr>
                <w:b/>
                <w:bCs/>
              </w:rPr>
              <w:t xml:space="preserve">het doel om in 2030 jaarlijks 200 miljard dollar aan financiering uit alle bronnen voor biodiversiteit te mobiliseren. </w:t>
            </w:r>
          </w:p>
          <w:p w:rsidRPr="00B84E3B" w:rsidR="00C715DF" w:rsidRDefault="00C715DF" w14:paraId="72BD4CF5" w14:textId="7C99502F"/>
        </w:tc>
        <w:tc>
          <w:tcPr>
            <w:tcW w:w="850" w:type="dxa"/>
          </w:tcPr>
          <w:p w:rsidRPr="00B84E3B" w:rsidR="005D2945" w:rsidRDefault="005D2945" w14:paraId="633E4707" w14:textId="2127D975">
            <w:pPr>
              <w:jc w:val="right"/>
            </w:pPr>
          </w:p>
        </w:tc>
        <w:tc>
          <w:tcPr>
            <w:tcW w:w="992" w:type="dxa"/>
          </w:tcPr>
          <w:p w:rsidRPr="00B84E3B" w:rsidR="005D2945" w:rsidRDefault="001856D0" w14:paraId="6737CF0D" w14:textId="77777777">
            <w:pPr>
              <w:jc w:val="right"/>
            </w:pPr>
            <w:r w:rsidRPr="00B84E3B">
              <w:t>39</w:t>
            </w:r>
          </w:p>
        </w:tc>
        <w:tc>
          <w:tcPr>
            <w:tcW w:w="567" w:type="dxa"/>
          </w:tcPr>
          <w:p w:rsidRPr="00B84E3B" w:rsidR="005D2945" w:rsidRDefault="001856D0" w14:paraId="630F1B0F" w14:textId="77777777">
            <w:pPr>
              <w:jc w:val="right"/>
            </w:pPr>
            <w:r w:rsidRPr="00B84E3B">
              <w:t xml:space="preserve"> </w:t>
            </w:r>
          </w:p>
        </w:tc>
      </w:tr>
      <w:tr w:rsidRPr="00B84E3B" w:rsidR="005D2945" w:rsidTr="00B84E3B" w14:paraId="0E817B00" w14:textId="77777777">
        <w:tc>
          <w:tcPr>
            <w:tcW w:w="585" w:type="dxa"/>
          </w:tcPr>
          <w:p w:rsidRPr="00B84E3B" w:rsidR="005D2945" w:rsidRDefault="001856D0" w14:paraId="42AA52CF" w14:textId="77777777">
            <w:r w:rsidRPr="00B84E3B">
              <w:t>52</w:t>
            </w:r>
          </w:p>
        </w:tc>
        <w:tc>
          <w:tcPr>
            <w:tcW w:w="6503" w:type="dxa"/>
          </w:tcPr>
          <w:p w:rsidRPr="00B84E3B" w:rsidR="003F0923" w:rsidP="003F0923" w:rsidRDefault="001856D0" w14:paraId="403466D1" w14:textId="77777777">
            <w:r w:rsidRPr="00B84E3B">
              <w:t>Welke berekeningen of methodieken gebruikt het kabinet om een mogelijk Nederlands aandeel in internationale biodiversiteitsfinanciering te bepalen, bijvoorbeeld op basis van bbp, bevolkingsgrootte en relevante indicatoren van grensoverschrijdende milieudruk?</w:t>
            </w:r>
          </w:p>
          <w:p w:rsidRPr="00B84E3B" w:rsidR="003F0923" w:rsidP="003F0923" w:rsidRDefault="003F0923" w14:paraId="355932F3" w14:textId="77777777"/>
          <w:p w:rsidRPr="00B84E3B" w:rsidR="003F0923" w:rsidP="003F0923" w:rsidRDefault="003F0923" w14:paraId="3A0451A5" w14:textId="77777777">
            <w:pPr>
              <w:rPr>
                <w:b/>
                <w:bCs/>
              </w:rPr>
            </w:pPr>
            <w:r w:rsidRPr="00B84E3B">
              <w:rPr>
                <w:b/>
                <w:bCs/>
              </w:rPr>
              <w:t>Antwoord</w:t>
            </w:r>
          </w:p>
          <w:p w:rsidRPr="00061843" w:rsidR="002D435F" w:rsidP="002D435F" w:rsidRDefault="002D435F" w14:paraId="5EB602AE" w14:textId="5307C0AD">
            <w:pPr>
              <w:rPr>
                <w:b/>
                <w:bCs/>
              </w:rPr>
            </w:pPr>
            <w:r w:rsidRPr="00061843">
              <w:rPr>
                <w:b/>
                <w:bCs/>
              </w:rPr>
              <w:t xml:space="preserve">Evenals voor klimaat geldt dat er voor biodiversiteit </w:t>
            </w:r>
            <w:r w:rsidRPr="00061843" w:rsidR="0006491D">
              <w:rPr>
                <w:b/>
                <w:bCs/>
              </w:rPr>
              <w:t xml:space="preserve">tussen landen </w:t>
            </w:r>
            <w:r w:rsidRPr="00061843">
              <w:rPr>
                <w:b/>
                <w:bCs/>
              </w:rPr>
              <w:t xml:space="preserve">geen internationaal overeengekomen verdeelsleutel bestaat voor de collectieve financieringsdoelen uit het </w:t>
            </w:r>
            <w:r w:rsidRPr="00061843">
              <w:rPr>
                <w:b/>
                <w:bCs/>
                <w:i/>
              </w:rPr>
              <w:t xml:space="preserve">Global </w:t>
            </w:r>
            <w:proofErr w:type="spellStart"/>
            <w:r w:rsidRPr="00061843">
              <w:rPr>
                <w:b/>
                <w:bCs/>
                <w:i/>
              </w:rPr>
              <w:t>Biodiversity</w:t>
            </w:r>
            <w:proofErr w:type="spellEnd"/>
            <w:r w:rsidRPr="00061843">
              <w:rPr>
                <w:b/>
                <w:bCs/>
                <w:i/>
              </w:rPr>
              <w:t xml:space="preserve"> Framework</w:t>
            </w:r>
            <w:r w:rsidRPr="00061843" w:rsidR="0006491D">
              <w:rPr>
                <w:b/>
                <w:bCs/>
              </w:rPr>
              <w:t xml:space="preserve">. </w:t>
            </w:r>
          </w:p>
          <w:p w:rsidRPr="00B84E3B" w:rsidR="00C715DF" w:rsidRDefault="00C715DF" w14:paraId="1B37B3D5" w14:textId="4D9E93F5"/>
        </w:tc>
        <w:tc>
          <w:tcPr>
            <w:tcW w:w="850" w:type="dxa"/>
          </w:tcPr>
          <w:p w:rsidRPr="00B84E3B" w:rsidR="005D2945" w:rsidRDefault="005D2945" w14:paraId="42FAA3AF" w14:textId="10CE0EE3">
            <w:pPr>
              <w:jc w:val="right"/>
            </w:pPr>
          </w:p>
        </w:tc>
        <w:tc>
          <w:tcPr>
            <w:tcW w:w="992" w:type="dxa"/>
          </w:tcPr>
          <w:p w:rsidRPr="00B84E3B" w:rsidR="005D2945" w:rsidRDefault="001856D0" w14:paraId="246637FC" w14:textId="77777777">
            <w:pPr>
              <w:jc w:val="right"/>
            </w:pPr>
            <w:r w:rsidRPr="00B84E3B">
              <w:t>39</w:t>
            </w:r>
          </w:p>
        </w:tc>
        <w:tc>
          <w:tcPr>
            <w:tcW w:w="567" w:type="dxa"/>
          </w:tcPr>
          <w:p w:rsidRPr="00B84E3B" w:rsidR="005D2945" w:rsidRDefault="001856D0" w14:paraId="007E75FF" w14:textId="77777777">
            <w:pPr>
              <w:jc w:val="right"/>
            </w:pPr>
            <w:r w:rsidRPr="00B84E3B">
              <w:t xml:space="preserve"> </w:t>
            </w:r>
          </w:p>
        </w:tc>
      </w:tr>
      <w:tr w:rsidRPr="00B84E3B" w:rsidR="005D2945" w:rsidTr="00B84E3B" w14:paraId="662F51ED" w14:textId="77777777">
        <w:tc>
          <w:tcPr>
            <w:tcW w:w="585" w:type="dxa"/>
          </w:tcPr>
          <w:p w:rsidRPr="00B84E3B" w:rsidR="005D2945" w:rsidRDefault="001856D0" w14:paraId="18586DCB" w14:textId="77777777">
            <w:r w:rsidRPr="00B84E3B">
              <w:t>53</w:t>
            </w:r>
          </w:p>
        </w:tc>
        <w:tc>
          <w:tcPr>
            <w:tcW w:w="6503" w:type="dxa"/>
          </w:tcPr>
          <w:p w:rsidRPr="00B84E3B" w:rsidR="003F0923" w:rsidP="003F0923" w:rsidRDefault="001856D0" w14:paraId="3677F9FA" w14:textId="77777777">
            <w:r w:rsidRPr="00B84E3B">
              <w:t xml:space="preserve">Op welke wijze wordt uitvoering gegeven aan de tijdens COP30 gedane toezeggingen en internationale bosinzet, waaronder de bijdrage aan het </w:t>
            </w:r>
            <w:proofErr w:type="spellStart"/>
            <w:r w:rsidRPr="00B84E3B">
              <w:t>Tropical</w:t>
            </w:r>
            <w:proofErr w:type="spellEnd"/>
            <w:r w:rsidRPr="00B84E3B">
              <w:t xml:space="preserve"> </w:t>
            </w:r>
            <w:proofErr w:type="spellStart"/>
            <w:r w:rsidRPr="00B84E3B">
              <w:t>Forest</w:t>
            </w:r>
            <w:proofErr w:type="spellEnd"/>
            <w:r w:rsidRPr="00B84E3B">
              <w:t xml:space="preserve"> </w:t>
            </w:r>
            <w:proofErr w:type="spellStart"/>
            <w:r w:rsidRPr="00B84E3B">
              <w:t>Forever</w:t>
            </w:r>
            <w:proofErr w:type="spellEnd"/>
            <w:r w:rsidRPr="00B84E3B">
              <w:t xml:space="preserve"> Facility, in het licht van de daling van artikel 2.3 in het komende jaar?</w:t>
            </w:r>
          </w:p>
          <w:p w:rsidRPr="00B84E3B" w:rsidR="003F0923" w:rsidP="003F0923" w:rsidRDefault="003F0923" w14:paraId="33BDC523" w14:textId="77777777"/>
          <w:p w:rsidRPr="00B84E3B" w:rsidR="003F0923" w:rsidP="003F0923" w:rsidRDefault="003F0923" w14:paraId="124096FA" w14:textId="77777777">
            <w:pPr>
              <w:rPr>
                <w:b/>
                <w:bCs/>
              </w:rPr>
            </w:pPr>
            <w:r w:rsidRPr="00B84E3B">
              <w:rPr>
                <w:b/>
                <w:bCs/>
              </w:rPr>
              <w:t>Antwoord</w:t>
            </w:r>
          </w:p>
          <w:p w:rsidRPr="00061843" w:rsidR="0006491D" w:rsidP="008854B3" w:rsidRDefault="0006491D" w14:paraId="07B5869F" w14:textId="36D9B781">
            <w:pPr>
              <w:rPr>
                <w:b/>
                <w:bCs/>
              </w:rPr>
            </w:pPr>
            <w:r w:rsidRPr="00061843">
              <w:rPr>
                <w:b/>
                <w:bCs/>
              </w:rPr>
              <w:t>De op COP30 aangekondigde bijdrage</w:t>
            </w:r>
            <w:r w:rsidRPr="00061843" w:rsidR="00EF016C">
              <w:rPr>
                <w:b/>
                <w:bCs/>
              </w:rPr>
              <w:t>n</w:t>
            </w:r>
            <w:r w:rsidRPr="00061843">
              <w:rPr>
                <w:b/>
                <w:bCs/>
              </w:rPr>
              <w:t xml:space="preserve"> </w:t>
            </w:r>
            <w:r w:rsidRPr="00061843" w:rsidR="000377C1">
              <w:rPr>
                <w:b/>
                <w:bCs/>
              </w:rPr>
              <w:t>aan</w:t>
            </w:r>
            <w:r w:rsidRPr="00061843">
              <w:rPr>
                <w:b/>
                <w:bCs/>
              </w:rPr>
              <w:t xml:space="preserve"> de opstartkosten van de </w:t>
            </w:r>
            <w:proofErr w:type="spellStart"/>
            <w:r w:rsidRPr="00061843">
              <w:rPr>
                <w:b/>
                <w:bCs/>
                <w:i/>
              </w:rPr>
              <w:t>Tropical</w:t>
            </w:r>
            <w:proofErr w:type="spellEnd"/>
            <w:r w:rsidRPr="00061843">
              <w:rPr>
                <w:b/>
                <w:bCs/>
                <w:i/>
              </w:rPr>
              <w:t xml:space="preserve"> </w:t>
            </w:r>
            <w:proofErr w:type="spellStart"/>
            <w:r w:rsidRPr="00061843">
              <w:rPr>
                <w:b/>
                <w:bCs/>
                <w:i/>
              </w:rPr>
              <w:t>Forest</w:t>
            </w:r>
            <w:proofErr w:type="spellEnd"/>
            <w:r w:rsidRPr="00061843">
              <w:rPr>
                <w:b/>
                <w:bCs/>
                <w:i/>
              </w:rPr>
              <w:t xml:space="preserve"> </w:t>
            </w:r>
            <w:proofErr w:type="spellStart"/>
            <w:r w:rsidRPr="00061843">
              <w:rPr>
                <w:b/>
                <w:bCs/>
                <w:i/>
              </w:rPr>
              <w:t>Forever</w:t>
            </w:r>
            <w:proofErr w:type="spellEnd"/>
            <w:r w:rsidRPr="00061843">
              <w:rPr>
                <w:b/>
                <w:bCs/>
                <w:i/>
              </w:rPr>
              <w:t xml:space="preserve"> Facility (TFFF)</w:t>
            </w:r>
            <w:r w:rsidRPr="00061843">
              <w:rPr>
                <w:b/>
                <w:bCs/>
              </w:rPr>
              <w:t xml:space="preserve"> </w:t>
            </w:r>
            <w:r w:rsidRPr="00061843" w:rsidR="00EF016C">
              <w:rPr>
                <w:b/>
                <w:bCs/>
              </w:rPr>
              <w:t xml:space="preserve">en </w:t>
            </w:r>
            <w:r w:rsidRPr="00FE2A49" w:rsidR="00EF016C">
              <w:rPr>
                <w:b/>
                <w:bCs/>
              </w:rPr>
              <w:t xml:space="preserve">een bestaand programma gericht op het </w:t>
            </w:r>
            <w:r w:rsidRPr="00FE2A49" w:rsidR="000377C1">
              <w:rPr>
                <w:b/>
                <w:bCs/>
              </w:rPr>
              <w:t>voorkomen</w:t>
            </w:r>
            <w:r w:rsidRPr="00FE2A49" w:rsidR="00EF016C">
              <w:rPr>
                <w:b/>
                <w:bCs/>
              </w:rPr>
              <w:t xml:space="preserve"> van bosbranden </w:t>
            </w:r>
            <w:r w:rsidRPr="00FE2A49">
              <w:rPr>
                <w:b/>
                <w:bCs/>
              </w:rPr>
              <w:t>kom</w:t>
            </w:r>
            <w:r w:rsidRPr="00FE2A49" w:rsidR="00EF016C">
              <w:rPr>
                <w:b/>
                <w:bCs/>
              </w:rPr>
              <w:t>en</w:t>
            </w:r>
            <w:r w:rsidRPr="00FE2A49">
              <w:rPr>
                <w:b/>
                <w:bCs/>
              </w:rPr>
              <w:t xml:space="preserve"> uit de bestaande budgettaire ruimte van artikel 2.3 binnen de </w:t>
            </w:r>
            <w:r w:rsidRPr="00FE2A49" w:rsidR="00620105">
              <w:rPr>
                <w:b/>
                <w:bCs/>
              </w:rPr>
              <w:t>BHO-</w:t>
            </w:r>
            <w:r w:rsidRPr="00FE2A49">
              <w:rPr>
                <w:b/>
                <w:bCs/>
              </w:rPr>
              <w:t xml:space="preserve">begroting voor 2025. </w:t>
            </w:r>
            <w:r w:rsidRPr="00FE2A49" w:rsidR="008854B3">
              <w:rPr>
                <w:b/>
                <w:bCs/>
              </w:rPr>
              <w:t>Ook de drie bossen</w:t>
            </w:r>
            <w:r w:rsidRPr="00FE2A49" w:rsidR="00C4679E">
              <w:rPr>
                <w:b/>
                <w:bCs/>
              </w:rPr>
              <w:t xml:space="preserve"> </w:t>
            </w:r>
            <w:r w:rsidRPr="00FE2A49" w:rsidR="008854B3">
              <w:rPr>
                <w:b/>
                <w:bCs/>
              </w:rPr>
              <w:t>gerelateerde verklaringen waar Nederland</w:t>
            </w:r>
            <w:r w:rsidRPr="00061843" w:rsidR="008854B3">
              <w:rPr>
                <w:b/>
                <w:bCs/>
              </w:rPr>
              <w:t xml:space="preserve"> tijdens COP30 bij is aangesloten (de ‘</w:t>
            </w:r>
            <w:r w:rsidRPr="00061843" w:rsidR="008854B3">
              <w:rPr>
                <w:b/>
                <w:bCs/>
                <w:i/>
              </w:rPr>
              <w:t xml:space="preserve">Call </w:t>
            </w:r>
            <w:proofErr w:type="spellStart"/>
            <w:r w:rsidRPr="00061843" w:rsidR="008854B3">
              <w:rPr>
                <w:b/>
                <w:bCs/>
                <w:i/>
              </w:rPr>
              <w:t>to</w:t>
            </w:r>
            <w:proofErr w:type="spellEnd"/>
            <w:r w:rsidRPr="00061843" w:rsidR="008854B3">
              <w:rPr>
                <w:b/>
                <w:bCs/>
                <w:i/>
              </w:rPr>
              <w:t xml:space="preserve"> Action on </w:t>
            </w:r>
            <w:proofErr w:type="spellStart"/>
            <w:r w:rsidRPr="00061843" w:rsidR="008854B3">
              <w:rPr>
                <w:b/>
                <w:bCs/>
                <w:i/>
              </w:rPr>
              <w:t>Wildfire</w:t>
            </w:r>
            <w:proofErr w:type="spellEnd"/>
            <w:r w:rsidRPr="00061843" w:rsidR="008854B3">
              <w:rPr>
                <w:b/>
                <w:bCs/>
                <w:i/>
              </w:rPr>
              <w:t xml:space="preserve"> Managemen</w:t>
            </w:r>
            <w:r w:rsidRPr="00061843" w:rsidR="008854B3">
              <w:rPr>
                <w:b/>
                <w:bCs/>
              </w:rPr>
              <w:t>t’, de ‘</w:t>
            </w:r>
            <w:proofErr w:type="spellStart"/>
            <w:r w:rsidRPr="00061843" w:rsidR="008854B3">
              <w:rPr>
                <w:b/>
                <w:bCs/>
                <w:i/>
              </w:rPr>
              <w:t>Forest</w:t>
            </w:r>
            <w:proofErr w:type="spellEnd"/>
            <w:r w:rsidRPr="00061843" w:rsidR="008854B3">
              <w:rPr>
                <w:b/>
                <w:bCs/>
                <w:i/>
              </w:rPr>
              <w:t xml:space="preserve"> </w:t>
            </w:r>
            <w:proofErr w:type="spellStart"/>
            <w:r w:rsidRPr="00061843" w:rsidR="008854B3">
              <w:rPr>
                <w:b/>
                <w:bCs/>
                <w:i/>
              </w:rPr>
              <w:t>Tenure</w:t>
            </w:r>
            <w:proofErr w:type="spellEnd"/>
            <w:r w:rsidRPr="00061843" w:rsidR="008854B3">
              <w:rPr>
                <w:b/>
                <w:bCs/>
                <w:i/>
              </w:rPr>
              <w:t xml:space="preserve"> </w:t>
            </w:r>
            <w:proofErr w:type="spellStart"/>
            <w:r w:rsidRPr="00061843" w:rsidR="008854B3">
              <w:rPr>
                <w:b/>
                <w:bCs/>
                <w:i/>
              </w:rPr>
              <w:t>Pledge</w:t>
            </w:r>
            <w:proofErr w:type="spellEnd"/>
            <w:r w:rsidRPr="00061843" w:rsidR="008854B3">
              <w:rPr>
                <w:b/>
                <w:bCs/>
                <w:i/>
              </w:rPr>
              <w:t>’</w:t>
            </w:r>
            <w:r w:rsidRPr="00061843" w:rsidR="008854B3">
              <w:rPr>
                <w:b/>
                <w:bCs/>
              </w:rPr>
              <w:t xml:space="preserve"> en de ‘</w:t>
            </w:r>
            <w:proofErr w:type="spellStart"/>
            <w:r w:rsidRPr="00061843" w:rsidR="008854B3">
              <w:rPr>
                <w:b/>
                <w:bCs/>
                <w:i/>
              </w:rPr>
              <w:t>Intergovernmental</w:t>
            </w:r>
            <w:proofErr w:type="spellEnd"/>
            <w:r w:rsidRPr="00061843" w:rsidR="008854B3">
              <w:rPr>
                <w:b/>
                <w:bCs/>
                <w:i/>
              </w:rPr>
              <w:t xml:space="preserve"> Land </w:t>
            </w:r>
            <w:proofErr w:type="spellStart"/>
            <w:r w:rsidRPr="00061843" w:rsidR="008854B3">
              <w:rPr>
                <w:b/>
                <w:bCs/>
                <w:i/>
              </w:rPr>
              <w:t>Tenure</w:t>
            </w:r>
            <w:proofErr w:type="spellEnd"/>
            <w:r w:rsidRPr="00061843" w:rsidR="008854B3">
              <w:rPr>
                <w:b/>
                <w:bCs/>
                <w:i/>
              </w:rPr>
              <w:t xml:space="preserve"> Commitment’</w:t>
            </w:r>
            <w:r w:rsidRPr="00061843" w:rsidR="008854B3">
              <w:rPr>
                <w:b/>
                <w:bCs/>
              </w:rPr>
              <w:t xml:space="preserve">) vallen binnen </w:t>
            </w:r>
            <w:r w:rsidRPr="00061843" w:rsidR="00C4679E">
              <w:rPr>
                <w:b/>
                <w:bCs/>
              </w:rPr>
              <w:t xml:space="preserve">de </w:t>
            </w:r>
            <w:r w:rsidRPr="00061843" w:rsidR="008854B3">
              <w:rPr>
                <w:b/>
                <w:bCs/>
              </w:rPr>
              <w:t xml:space="preserve">bestaande </w:t>
            </w:r>
            <w:r w:rsidRPr="00061843" w:rsidR="00C4679E">
              <w:rPr>
                <w:b/>
                <w:bCs/>
              </w:rPr>
              <w:t>programmering</w:t>
            </w:r>
            <w:r w:rsidRPr="00061843" w:rsidR="008854B3">
              <w:rPr>
                <w:b/>
                <w:bCs/>
              </w:rPr>
              <w:t xml:space="preserve"> en vereisen geen aanvullende financiële </w:t>
            </w:r>
            <w:proofErr w:type="spellStart"/>
            <w:r w:rsidRPr="00061843" w:rsidR="008854B3">
              <w:rPr>
                <w:b/>
                <w:bCs/>
              </w:rPr>
              <w:t>committeringen</w:t>
            </w:r>
            <w:proofErr w:type="spellEnd"/>
            <w:r w:rsidRPr="00061843" w:rsidR="008854B3">
              <w:rPr>
                <w:b/>
                <w:bCs/>
              </w:rPr>
              <w:t xml:space="preserve">. </w:t>
            </w:r>
          </w:p>
          <w:p w:rsidRPr="00B84E3B" w:rsidR="00C715DF" w:rsidRDefault="00C715DF" w14:paraId="1378CBF8" w14:textId="1E804D3B"/>
        </w:tc>
        <w:tc>
          <w:tcPr>
            <w:tcW w:w="850" w:type="dxa"/>
          </w:tcPr>
          <w:p w:rsidRPr="00B84E3B" w:rsidR="005D2945" w:rsidRDefault="005D2945" w14:paraId="1C35A24E" w14:textId="4C1DC27A">
            <w:pPr>
              <w:jc w:val="right"/>
            </w:pPr>
          </w:p>
        </w:tc>
        <w:tc>
          <w:tcPr>
            <w:tcW w:w="992" w:type="dxa"/>
          </w:tcPr>
          <w:p w:rsidRPr="00B84E3B" w:rsidR="005D2945" w:rsidRDefault="001856D0" w14:paraId="50A044D1" w14:textId="77777777">
            <w:pPr>
              <w:jc w:val="right"/>
            </w:pPr>
            <w:r w:rsidRPr="00B84E3B">
              <w:t>42</w:t>
            </w:r>
          </w:p>
        </w:tc>
        <w:tc>
          <w:tcPr>
            <w:tcW w:w="567" w:type="dxa"/>
          </w:tcPr>
          <w:p w:rsidRPr="00B84E3B" w:rsidR="005D2945" w:rsidRDefault="001856D0" w14:paraId="2F7CEA25" w14:textId="77777777">
            <w:pPr>
              <w:jc w:val="right"/>
            </w:pPr>
            <w:r w:rsidRPr="00B84E3B">
              <w:t xml:space="preserve"> </w:t>
            </w:r>
          </w:p>
        </w:tc>
      </w:tr>
      <w:tr w:rsidRPr="00B84E3B" w:rsidR="005D2945" w:rsidTr="00B84E3B" w14:paraId="2CACB242" w14:textId="77777777">
        <w:tc>
          <w:tcPr>
            <w:tcW w:w="585" w:type="dxa"/>
          </w:tcPr>
          <w:p w:rsidRPr="00B84E3B" w:rsidR="005D2945" w:rsidRDefault="001856D0" w14:paraId="4066CBB0" w14:textId="77777777">
            <w:r w:rsidRPr="00B84E3B">
              <w:t>54</w:t>
            </w:r>
          </w:p>
        </w:tc>
        <w:tc>
          <w:tcPr>
            <w:tcW w:w="6503" w:type="dxa"/>
          </w:tcPr>
          <w:p w:rsidRPr="00B84E3B" w:rsidR="003F0923" w:rsidP="003F0923" w:rsidRDefault="001856D0" w14:paraId="5A82EE7B" w14:textId="77777777">
            <w:r w:rsidRPr="00B84E3B">
              <w:t>Welke analyses of inschattingen zijn er beschikbaar over de mogelijke ecologische gevolgen van het niet realiseren van de beoogde verdubbeling van de financiële bijdrage aan het tegengaan van ontbossing in de drie tropische regenwoudregio’s?</w:t>
            </w:r>
          </w:p>
          <w:p w:rsidRPr="00B84E3B" w:rsidR="003F0923" w:rsidP="003F0923" w:rsidRDefault="003F0923" w14:paraId="6C03C916" w14:textId="77777777"/>
          <w:p w:rsidRPr="00B84E3B" w:rsidR="003F0923" w:rsidP="003F0923" w:rsidRDefault="003F0923" w14:paraId="68463A1D" w14:textId="77777777">
            <w:pPr>
              <w:rPr>
                <w:b/>
                <w:bCs/>
              </w:rPr>
            </w:pPr>
            <w:r w:rsidRPr="00B84E3B">
              <w:rPr>
                <w:b/>
                <w:bCs/>
              </w:rPr>
              <w:t>Antwoord</w:t>
            </w:r>
          </w:p>
          <w:p w:rsidRPr="00061843" w:rsidR="00C4679E" w:rsidRDefault="00674376" w14:paraId="448D68E4" w14:textId="6832CF37">
            <w:pPr>
              <w:rPr>
                <w:b/>
                <w:bCs/>
              </w:rPr>
            </w:pPr>
            <w:r w:rsidRPr="00061843">
              <w:rPr>
                <w:b/>
                <w:bCs/>
              </w:rPr>
              <w:t>H</w:t>
            </w:r>
            <w:r w:rsidRPr="00061843" w:rsidR="00E00813">
              <w:rPr>
                <w:b/>
                <w:bCs/>
              </w:rPr>
              <w:t xml:space="preserve">et </w:t>
            </w:r>
            <w:r w:rsidRPr="00061843" w:rsidR="00E00813">
              <w:rPr>
                <w:b/>
                <w:bCs/>
                <w:i/>
                <w:iCs/>
              </w:rPr>
              <w:t xml:space="preserve">UN Environment </w:t>
            </w:r>
            <w:proofErr w:type="spellStart"/>
            <w:r w:rsidRPr="00061843" w:rsidR="00E00813">
              <w:rPr>
                <w:b/>
                <w:bCs/>
                <w:i/>
                <w:iCs/>
              </w:rPr>
              <w:t>Programme</w:t>
            </w:r>
            <w:proofErr w:type="spellEnd"/>
            <w:r w:rsidRPr="00061843" w:rsidR="00E00813">
              <w:rPr>
                <w:b/>
                <w:bCs/>
              </w:rPr>
              <w:t xml:space="preserve"> (UNEP) </w:t>
            </w:r>
            <w:r w:rsidRPr="00061843">
              <w:rPr>
                <w:b/>
                <w:bCs/>
              </w:rPr>
              <w:t xml:space="preserve">stelt </w:t>
            </w:r>
            <w:r w:rsidRPr="00061843" w:rsidR="00E00813">
              <w:rPr>
                <w:b/>
                <w:bCs/>
              </w:rPr>
              <w:t xml:space="preserve">in haar </w:t>
            </w:r>
            <w:r w:rsidRPr="00061843" w:rsidR="00E00813">
              <w:rPr>
                <w:b/>
                <w:bCs/>
                <w:i/>
                <w:iCs/>
              </w:rPr>
              <w:t xml:space="preserve">State of Finance </w:t>
            </w:r>
            <w:proofErr w:type="spellStart"/>
            <w:r w:rsidRPr="00061843" w:rsidR="00E00813">
              <w:rPr>
                <w:b/>
                <w:bCs/>
                <w:i/>
                <w:iCs/>
              </w:rPr>
              <w:t>for</w:t>
            </w:r>
            <w:proofErr w:type="spellEnd"/>
            <w:r w:rsidRPr="00061843" w:rsidR="00E00813">
              <w:rPr>
                <w:b/>
                <w:bCs/>
                <w:i/>
                <w:iCs/>
              </w:rPr>
              <w:t xml:space="preserve"> </w:t>
            </w:r>
            <w:proofErr w:type="spellStart"/>
            <w:r w:rsidRPr="00061843" w:rsidR="00E00813">
              <w:rPr>
                <w:b/>
                <w:bCs/>
                <w:i/>
                <w:iCs/>
              </w:rPr>
              <w:t>Forests</w:t>
            </w:r>
            <w:proofErr w:type="spellEnd"/>
            <w:r w:rsidRPr="00061843" w:rsidR="00E00813">
              <w:rPr>
                <w:b/>
                <w:bCs/>
              </w:rPr>
              <w:t xml:space="preserve"> rapport uit oktober 2025 dat er </w:t>
            </w:r>
            <w:r w:rsidRPr="00061843" w:rsidR="00C4679E">
              <w:rPr>
                <w:b/>
                <w:bCs/>
              </w:rPr>
              <w:t xml:space="preserve">voor de financiering van bossen een bedrag </w:t>
            </w:r>
            <w:r w:rsidRPr="00061843" w:rsidR="001364F7">
              <w:rPr>
                <w:b/>
                <w:bCs/>
              </w:rPr>
              <w:t>oplopend tot 216 miljard dollar in 2030</w:t>
            </w:r>
            <w:r w:rsidRPr="00061843" w:rsidR="00C4679E">
              <w:rPr>
                <w:b/>
                <w:bCs/>
              </w:rPr>
              <w:t xml:space="preserve"> nodig is</w:t>
            </w:r>
            <w:r w:rsidRPr="00061843" w:rsidR="00E00813">
              <w:rPr>
                <w:b/>
                <w:bCs/>
              </w:rPr>
              <w:t xml:space="preserve">. </w:t>
            </w:r>
            <w:r w:rsidRPr="00061843" w:rsidR="00C4679E">
              <w:rPr>
                <w:b/>
                <w:bCs/>
              </w:rPr>
              <w:t xml:space="preserve">De ecologische gevolgen van het loslaten van de verdubbelingsdoelstelling voor Nederlandse bossenfinanciering zijn niet in kaart gebracht. Binnen het beschikbare budget op artikel 2.3 is het nog steeds wel mogelijk om bij te dragen aan dit thema. Recent deed Nederland dat door zijn bijdrage aan de ontwikkeling van het </w:t>
            </w:r>
            <w:proofErr w:type="spellStart"/>
            <w:r w:rsidRPr="00061843" w:rsidR="00C4679E">
              <w:rPr>
                <w:b/>
                <w:bCs/>
                <w:i/>
                <w:iCs/>
              </w:rPr>
              <w:t>Tropical</w:t>
            </w:r>
            <w:proofErr w:type="spellEnd"/>
            <w:r w:rsidRPr="00061843" w:rsidR="00C4679E">
              <w:rPr>
                <w:b/>
                <w:bCs/>
                <w:i/>
                <w:iCs/>
              </w:rPr>
              <w:t xml:space="preserve"> </w:t>
            </w:r>
            <w:proofErr w:type="spellStart"/>
            <w:r w:rsidRPr="00061843" w:rsidR="00C4679E">
              <w:rPr>
                <w:b/>
                <w:bCs/>
                <w:i/>
                <w:iCs/>
              </w:rPr>
              <w:t>Forest</w:t>
            </w:r>
            <w:proofErr w:type="spellEnd"/>
            <w:r w:rsidRPr="00061843" w:rsidR="00C4679E">
              <w:rPr>
                <w:b/>
                <w:bCs/>
                <w:i/>
                <w:iCs/>
              </w:rPr>
              <w:t xml:space="preserve"> </w:t>
            </w:r>
            <w:proofErr w:type="spellStart"/>
            <w:r w:rsidRPr="00FE2A49" w:rsidR="00C4679E">
              <w:rPr>
                <w:b/>
                <w:bCs/>
                <w:i/>
                <w:iCs/>
              </w:rPr>
              <w:t>Forever</w:t>
            </w:r>
            <w:proofErr w:type="spellEnd"/>
            <w:r w:rsidRPr="00FE2A49" w:rsidR="00C4679E">
              <w:rPr>
                <w:b/>
                <w:bCs/>
                <w:i/>
                <w:iCs/>
              </w:rPr>
              <w:t xml:space="preserve"> F</w:t>
            </w:r>
            <w:r w:rsidRPr="00FE2A49" w:rsidR="00B4318A">
              <w:rPr>
                <w:b/>
                <w:bCs/>
                <w:i/>
                <w:iCs/>
              </w:rPr>
              <w:t>acility</w:t>
            </w:r>
            <w:r w:rsidRPr="00FE2A49" w:rsidR="00C4679E">
              <w:rPr>
                <w:b/>
                <w:bCs/>
                <w:i/>
                <w:iCs/>
              </w:rPr>
              <w:t>.</w:t>
            </w:r>
            <w:r w:rsidRPr="00061843" w:rsidR="00C4679E">
              <w:rPr>
                <w:b/>
                <w:bCs/>
              </w:rPr>
              <w:t xml:space="preserve"> </w:t>
            </w:r>
          </w:p>
          <w:p w:rsidRPr="00B84E3B" w:rsidR="00C715DF" w:rsidRDefault="00C715DF" w14:paraId="42A0E991" w14:textId="42D321DE"/>
        </w:tc>
        <w:tc>
          <w:tcPr>
            <w:tcW w:w="850" w:type="dxa"/>
          </w:tcPr>
          <w:p w:rsidRPr="00B84E3B" w:rsidR="005D2945" w:rsidRDefault="005D2945" w14:paraId="322D3638" w14:textId="2CBA9C03">
            <w:pPr>
              <w:jc w:val="right"/>
            </w:pPr>
          </w:p>
        </w:tc>
        <w:tc>
          <w:tcPr>
            <w:tcW w:w="992" w:type="dxa"/>
          </w:tcPr>
          <w:p w:rsidRPr="00B84E3B" w:rsidR="005D2945" w:rsidRDefault="001856D0" w14:paraId="0B85D452" w14:textId="77777777">
            <w:pPr>
              <w:jc w:val="right"/>
            </w:pPr>
            <w:r w:rsidRPr="00B84E3B">
              <w:t>42</w:t>
            </w:r>
          </w:p>
        </w:tc>
        <w:tc>
          <w:tcPr>
            <w:tcW w:w="567" w:type="dxa"/>
          </w:tcPr>
          <w:p w:rsidRPr="00B84E3B" w:rsidR="005D2945" w:rsidRDefault="001856D0" w14:paraId="282EF654" w14:textId="77777777">
            <w:pPr>
              <w:jc w:val="right"/>
            </w:pPr>
            <w:r w:rsidRPr="00B84E3B">
              <w:t xml:space="preserve"> </w:t>
            </w:r>
          </w:p>
        </w:tc>
      </w:tr>
      <w:tr w:rsidRPr="00B84E3B" w:rsidR="005D2945" w:rsidTr="00B84E3B" w14:paraId="64D745B0" w14:textId="77777777">
        <w:tc>
          <w:tcPr>
            <w:tcW w:w="585" w:type="dxa"/>
          </w:tcPr>
          <w:p w:rsidRPr="00B84E3B" w:rsidR="005D2945" w:rsidRDefault="001856D0" w14:paraId="783F5B39" w14:textId="77777777">
            <w:r w:rsidRPr="00B84E3B">
              <w:t>55</w:t>
            </w:r>
          </w:p>
        </w:tc>
        <w:tc>
          <w:tcPr>
            <w:tcW w:w="6503" w:type="dxa"/>
          </w:tcPr>
          <w:p w:rsidRPr="00B84E3B" w:rsidR="003F0923" w:rsidP="003F0923" w:rsidRDefault="001856D0" w14:paraId="0095B0AF" w14:textId="77777777">
            <w:r w:rsidRPr="00B84E3B">
              <w:t>Welke analyses zijn er beschikbaar over de risico’s van mogelijke ecologische kantelpunten in tropische regenwoudregio’s, en hoe worden deze meegenomen in de beoordeling van de financiële inzet op het tegengaan van ontbossing bij het uitblijven van de beoogde verdubbeling?</w:t>
            </w:r>
          </w:p>
          <w:p w:rsidRPr="00B84E3B" w:rsidR="00061843" w:rsidP="003F0923" w:rsidRDefault="00061843" w14:paraId="597CCAFA" w14:textId="77777777"/>
          <w:p w:rsidRPr="00B84E3B" w:rsidR="003F0923" w:rsidP="003F0923" w:rsidRDefault="003F0923" w14:paraId="0570E913" w14:textId="77777777">
            <w:pPr>
              <w:rPr>
                <w:b/>
                <w:bCs/>
              </w:rPr>
            </w:pPr>
            <w:r w:rsidRPr="00B84E3B">
              <w:rPr>
                <w:b/>
                <w:bCs/>
              </w:rPr>
              <w:t>Antwoord</w:t>
            </w:r>
          </w:p>
          <w:p w:rsidRPr="00061843" w:rsidR="00C715DF" w:rsidRDefault="00E00813" w14:paraId="3DDB0C7B" w14:textId="3889C8EB">
            <w:pPr>
              <w:rPr>
                <w:b/>
                <w:bCs/>
              </w:rPr>
            </w:pPr>
            <w:r w:rsidRPr="00061843">
              <w:rPr>
                <w:b/>
                <w:bCs/>
              </w:rPr>
              <w:t xml:space="preserve">Er zijn </w:t>
            </w:r>
            <w:r w:rsidRPr="00061843" w:rsidR="001364F7">
              <w:rPr>
                <w:b/>
                <w:bCs/>
              </w:rPr>
              <w:t>meerdere</w:t>
            </w:r>
            <w:r w:rsidRPr="00061843">
              <w:rPr>
                <w:b/>
                <w:bCs/>
              </w:rPr>
              <w:t xml:space="preserve"> analyses beschikbaar over de risico’s op kantelpunten in tropische regenwoudregio’s.</w:t>
            </w:r>
            <w:r w:rsidRPr="00061843" w:rsidR="00873747">
              <w:rPr>
                <w:b/>
                <w:bCs/>
              </w:rPr>
              <w:t xml:space="preserve"> Zo verscheen v.w.b. de Amazone </w:t>
            </w:r>
            <w:r w:rsidRPr="00061843" w:rsidR="007C54B8">
              <w:rPr>
                <w:b/>
                <w:bCs/>
              </w:rPr>
              <w:t>hierover</w:t>
            </w:r>
            <w:r w:rsidRPr="00061843" w:rsidR="00873747">
              <w:rPr>
                <w:b/>
                <w:bCs/>
              </w:rPr>
              <w:t xml:space="preserve"> in 2024 nog een gezaghebbend</w:t>
            </w:r>
            <w:r w:rsidR="00061843">
              <w:rPr>
                <w:b/>
                <w:bCs/>
              </w:rPr>
              <w:t>e</w:t>
            </w:r>
            <w:r w:rsidRPr="00061843" w:rsidR="00873747">
              <w:rPr>
                <w:b/>
                <w:bCs/>
              </w:rPr>
              <w:t xml:space="preserve"> analyse in het wetenschappelijk tijdschrift Nature (</w:t>
            </w:r>
            <w:hyperlink r:id="rId13">
              <w:r w:rsidRPr="00061843" w:rsidR="6F5B464E">
                <w:rPr>
                  <w:rStyle w:val="Hyperlink"/>
                  <w:b/>
                  <w:bCs/>
                </w:rPr>
                <w:t xml:space="preserve">Critical </w:t>
              </w:r>
              <w:proofErr w:type="spellStart"/>
              <w:r w:rsidRPr="00061843" w:rsidR="6F5B464E">
                <w:rPr>
                  <w:rStyle w:val="Hyperlink"/>
                  <w:b/>
                  <w:bCs/>
                </w:rPr>
                <w:t>transitions</w:t>
              </w:r>
              <w:proofErr w:type="spellEnd"/>
              <w:r w:rsidRPr="00061843" w:rsidR="6F5B464E">
                <w:rPr>
                  <w:rStyle w:val="Hyperlink"/>
                  <w:b/>
                  <w:bCs/>
                </w:rPr>
                <w:t xml:space="preserve"> in </w:t>
              </w:r>
              <w:proofErr w:type="spellStart"/>
              <w:r w:rsidRPr="00061843" w:rsidR="6F5B464E">
                <w:rPr>
                  <w:rStyle w:val="Hyperlink"/>
                  <w:b/>
                  <w:bCs/>
                </w:rPr>
                <w:t>the</w:t>
              </w:r>
              <w:proofErr w:type="spellEnd"/>
              <w:r w:rsidRPr="00061843" w:rsidR="6F5B464E">
                <w:rPr>
                  <w:rStyle w:val="Hyperlink"/>
                  <w:b/>
                  <w:bCs/>
                </w:rPr>
                <w:t xml:space="preserve"> Amazon </w:t>
              </w:r>
              <w:proofErr w:type="spellStart"/>
              <w:r w:rsidRPr="00061843" w:rsidR="6F5B464E">
                <w:rPr>
                  <w:rStyle w:val="Hyperlink"/>
                  <w:b/>
                  <w:bCs/>
                </w:rPr>
                <w:t>forest</w:t>
              </w:r>
              <w:proofErr w:type="spellEnd"/>
              <w:r w:rsidRPr="00061843" w:rsidR="6F5B464E">
                <w:rPr>
                  <w:rStyle w:val="Hyperlink"/>
                  <w:b/>
                  <w:bCs/>
                </w:rPr>
                <w:t xml:space="preserve"> system | Nature</w:t>
              </w:r>
            </w:hyperlink>
            <w:r w:rsidRPr="00061843" w:rsidR="6F5B464E">
              <w:rPr>
                <w:b/>
                <w:bCs/>
              </w:rPr>
              <w:t>).</w:t>
            </w:r>
            <w:r w:rsidRPr="00061843" w:rsidR="00873747">
              <w:rPr>
                <w:b/>
                <w:bCs/>
              </w:rPr>
              <w:t xml:space="preserve"> </w:t>
            </w:r>
            <w:r w:rsidRPr="00061843" w:rsidR="00350118">
              <w:rPr>
                <w:b/>
                <w:bCs/>
              </w:rPr>
              <w:t xml:space="preserve">Nederland ondersteunt de internationale inzet om deze ontwikkeling tegen te gaan. Waar mogelijk zal dit worden gedaan uit het klimaatbudget op artikel 2.3. In de brede financiële afweging bij de allocatie van teruglopende budgetten is besloten dat een verdubbeling van het budget niet mogelijk is. </w:t>
            </w:r>
          </w:p>
          <w:p w:rsidRPr="00B84E3B" w:rsidR="00C715DF" w:rsidRDefault="00C715DF" w14:paraId="319BA453" w14:textId="56F2B800"/>
        </w:tc>
        <w:tc>
          <w:tcPr>
            <w:tcW w:w="850" w:type="dxa"/>
          </w:tcPr>
          <w:p w:rsidRPr="00B84E3B" w:rsidR="005D2945" w:rsidRDefault="005D2945" w14:paraId="3AFBDF7E" w14:textId="0DFFE2D4">
            <w:pPr>
              <w:jc w:val="right"/>
            </w:pPr>
          </w:p>
        </w:tc>
        <w:tc>
          <w:tcPr>
            <w:tcW w:w="992" w:type="dxa"/>
          </w:tcPr>
          <w:p w:rsidRPr="00B84E3B" w:rsidR="005D2945" w:rsidRDefault="001856D0" w14:paraId="6BB9A85B" w14:textId="77777777">
            <w:pPr>
              <w:jc w:val="right"/>
            </w:pPr>
            <w:r w:rsidRPr="00B84E3B">
              <w:t>42</w:t>
            </w:r>
          </w:p>
        </w:tc>
        <w:tc>
          <w:tcPr>
            <w:tcW w:w="567" w:type="dxa"/>
          </w:tcPr>
          <w:p w:rsidRPr="00B84E3B" w:rsidR="005D2945" w:rsidRDefault="001856D0" w14:paraId="4C7CA51E" w14:textId="77777777">
            <w:pPr>
              <w:jc w:val="right"/>
            </w:pPr>
            <w:r w:rsidRPr="00B84E3B">
              <w:t xml:space="preserve"> </w:t>
            </w:r>
          </w:p>
        </w:tc>
      </w:tr>
      <w:tr w:rsidR="005D2945" w:rsidTr="00B84E3B" w14:paraId="6596234E" w14:textId="77777777">
        <w:tc>
          <w:tcPr>
            <w:tcW w:w="585" w:type="dxa"/>
          </w:tcPr>
          <w:p w:rsidRPr="00B84E3B" w:rsidR="005D2945" w:rsidRDefault="001856D0" w14:paraId="31997051" w14:textId="77777777">
            <w:r w:rsidRPr="00B84E3B">
              <w:t>56</w:t>
            </w:r>
          </w:p>
        </w:tc>
        <w:tc>
          <w:tcPr>
            <w:tcW w:w="6503" w:type="dxa"/>
          </w:tcPr>
          <w:p w:rsidRPr="00B84E3B" w:rsidR="003F0923" w:rsidP="003F0923" w:rsidRDefault="001856D0" w14:paraId="38CBE59C" w14:textId="77777777">
            <w:r w:rsidRPr="00B84E3B">
              <w:t xml:space="preserve">Welke factoren liggen ten grondslag aan de daling van de Nederlandse bijdrage aan het UN Environment </w:t>
            </w:r>
            <w:proofErr w:type="spellStart"/>
            <w:r w:rsidRPr="00B84E3B">
              <w:t>Programme</w:t>
            </w:r>
            <w:proofErr w:type="spellEnd"/>
            <w:r w:rsidRPr="00B84E3B">
              <w:t xml:space="preserve"> (UNEP) vanaf 2026 en wat betekent dit voor de omvang en inzet van de Nederlandse financiering binnen UNEP-programma’s?</w:t>
            </w:r>
          </w:p>
          <w:p w:rsidRPr="00B84E3B" w:rsidR="003F0923" w:rsidP="003F0923" w:rsidRDefault="003F0923" w14:paraId="01347688" w14:textId="77777777"/>
          <w:p w:rsidRPr="00B84E3B" w:rsidR="003F0923" w:rsidP="003F0923" w:rsidRDefault="003F0923" w14:paraId="54B3DF40" w14:textId="77777777">
            <w:pPr>
              <w:rPr>
                <w:b/>
                <w:bCs/>
              </w:rPr>
            </w:pPr>
            <w:r w:rsidRPr="00B84E3B">
              <w:rPr>
                <w:b/>
                <w:bCs/>
              </w:rPr>
              <w:t>Antwoord</w:t>
            </w:r>
          </w:p>
          <w:p w:rsidRPr="00061843" w:rsidR="00C64CD9" w:rsidP="00C64CD9" w:rsidRDefault="00C64CD9" w14:paraId="6B3490A1" w14:textId="18EDAEF3">
            <w:pPr>
              <w:rPr>
                <w:b/>
                <w:bCs/>
                <w:lang w:eastAsia="en-US"/>
              </w:rPr>
            </w:pPr>
            <w:r w:rsidRPr="00061843">
              <w:rPr>
                <w:b/>
                <w:bCs/>
                <w:lang w:eastAsia="en-US"/>
              </w:rPr>
              <w:t xml:space="preserve">Nederland draagt onder artikel 2.3 </w:t>
            </w:r>
            <w:proofErr w:type="spellStart"/>
            <w:r w:rsidRPr="00061843">
              <w:rPr>
                <w:b/>
                <w:bCs/>
                <w:lang w:eastAsia="en-US"/>
              </w:rPr>
              <w:t>bĳ</w:t>
            </w:r>
            <w:proofErr w:type="spellEnd"/>
            <w:r w:rsidRPr="00061843">
              <w:rPr>
                <w:b/>
                <w:bCs/>
                <w:lang w:eastAsia="en-US"/>
              </w:rPr>
              <w:t xml:space="preserve"> </w:t>
            </w:r>
            <w:r w:rsidRPr="00061843">
              <w:rPr>
                <w:b/>
                <w:bCs/>
                <w:color w:val="000000" w:themeColor="text1"/>
                <w:lang w:eastAsia="en-US"/>
              </w:rPr>
              <w:t xml:space="preserve">aan </w:t>
            </w:r>
            <w:r w:rsidRPr="00061843">
              <w:rPr>
                <w:b/>
                <w:bCs/>
                <w:lang w:eastAsia="en-US"/>
              </w:rPr>
              <w:t xml:space="preserve">het </w:t>
            </w:r>
            <w:r w:rsidRPr="00061843">
              <w:rPr>
                <w:b/>
                <w:bCs/>
                <w:i/>
                <w:lang w:eastAsia="en-US"/>
              </w:rPr>
              <w:t xml:space="preserve">Environment Fund </w:t>
            </w:r>
            <w:r w:rsidRPr="00061843">
              <w:rPr>
                <w:b/>
                <w:bCs/>
                <w:lang w:eastAsia="en-US"/>
              </w:rPr>
              <w:t>van het</w:t>
            </w:r>
            <w:r w:rsidRPr="00061843">
              <w:rPr>
                <w:b/>
                <w:bCs/>
                <w:i/>
                <w:lang w:eastAsia="en-US"/>
              </w:rPr>
              <w:t xml:space="preserve"> UN Environment </w:t>
            </w:r>
            <w:proofErr w:type="spellStart"/>
            <w:r w:rsidRPr="00061843">
              <w:rPr>
                <w:b/>
                <w:bCs/>
                <w:i/>
                <w:lang w:eastAsia="en-US"/>
              </w:rPr>
              <w:t>Programme</w:t>
            </w:r>
            <w:proofErr w:type="spellEnd"/>
            <w:r w:rsidRPr="00061843">
              <w:rPr>
                <w:b/>
                <w:bCs/>
                <w:i/>
                <w:lang w:eastAsia="en-US"/>
              </w:rPr>
              <w:t xml:space="preserve"> (UNEP)</w:t>
            </w:r>
            <w:r w:rsidRPr="00061843">
              <w:rPr>
                <w:b/>
                <w:bCs/>
                <w:lang w:eastAsia="en-US"/>
              </w:rPr>
              <w:t xml:space="preserve">. Voor de periode 2023-2025 betrof de bijdrage </w:t>
            </w:r>
            <w:r w:rsidRPr="00061843" w:rsidR="1E0D9715">
              <w:rPr>
                <w:b/>
                <w:bCs/>
                <w:lang w:eastAsia="en-US"/>
              </w:rPr>
              <w:t xml:space="preserve">EUR </w:t>
            </w:r>
            <w:r w:rsidRPr="00061843" w:rsidR="00D53706">
              <w:rPr>
                <w:b/>
                <w:bCs/>
                <w:lang w:eastAsia="en-US"/>
              </w:rPr>
              <w:t>8,6</w:t>
            </w:r>
            <w:r w:rsidRPr="00061843">
              <w:rPr>
                <w:b/>
                <w:bCs/>
                <w:lang w:eastAsia="en-US"/>
              </w:rPr>
              <w:t xml:space="preserve"> mln</w:t>
            </w:r>
            <w:r w:rsidRPr="00061843" w:rsidR="00350118">
              <w:rPr>
                <w:b/>
                <w:bCs/>
                <w:lang w:eastAsia="en-US"/>
              </w:rPr>
              <w:t>.</w:t>
            </w:r>
            <w:r w:rsidRPr="00061843">
              <w:rPr>
                <w:b/>
                <w:bCs/>
                <w:lang w:eastAsia="en-US"/>
              </w:rPr>
              <w:t xml:space="preserve"> per jaar. Met het oog op de bezuinigen is deze bijdrage aan </w:t>
            </w:r>
            <w:r w:rsidRPr="00061843" w:rsidR="0037445A">
              <w:rPr>
                <w:b/>
                <w:bCs/>
                <w:lang w:eastAsia="en-US"/>
              </w:rPr>
              <w:t xml:space="preserve">het </w:t>
            </w:r>
            <w:r w:rsidRPr="00061843" w:rsidR="0037445A">
              <w:rPr>
                <w:b/>
                <w:bCs/>
                <w:i/>
                <w:iCs/>
                <w:lang w:eastAsia="en-US"/>
              </w:rPr>
              <w:t>Environment Fund</w:t>
            </w:r>
            <w:r w:rsidRPr="00061843" w:rsidR="0037445A">
              <w:rPr>
                <w:b/>
                <w:bCs/>
                <w:lang w:eastAsia="en-US"/>
              </w:rPr>
              <w:t xml:space="preserve"> van</w:t>
            </w:r>
            <w:r w:rsidRPr="00061843">
              <w:rPr>
                <w:b/>
                <w:bCs/>
                <w:lang w:eastAsia="en-US"/>
              </w:rPr>
              <w:t xml:space="preserve"> UNEP naar beneden </w:t>
            </w:r>
            <w:r w:rsidRPr="00061843" w:rsidR="00FB0C93">
              <w:rPr>
                <w:b/>
                <w:bCs/>
                <w:lang w:eastAsia="en-US"/>
              </w:rPr>
              <w:t>bijgesteld</w:t>
            </w:r>
            <w:r w:rsidRPr="00061843">
              <w:rPr>
                <w:b/>
                <w:bCs/>
                <w:lang w:eastAsia="en-US"/>
              </w:rPr>
              <w:t xml:space="preserve"> voor de periode 2026-</w:t>
            </w:r>
            <w:r w:rsidRPr="00061843" w:rsidR="003B30FD">
              <w:rPr>
                <w:b/>
                <w:bCs/>
                <w:lang w:eastAsia="en-US"/>
              </w:rPr>
              <w:t>2029</w:t>
            </w:r>
            <w:r w:rsidRPr="00061843">
              <w:rPr>
                <w:b/>
                <w:bCs/>
                <w:lang w:eastAsia="en-US"/>
              </w:rPr>
              <w:t xml:space="preserve">. </w:t>
            </w:r>
            <w:r w:rsidRPr="00061843" w:rsidR="0037445A">
              <w:rPr>
                <w:b/>
                <w:bCs/>
                <w:color w:val="000000" w:themeColor="text1"/>
                <w:lang w:eastAsia="en-US"/>
              </w:rPr>
              <w:t>Dit</w:t>
            </w:r>
            <w:r w:rsidRPr="00061843">
              <w:rPr>
                <w:b/>
                <w:bCs/>
                <w:color w:val="000000" w:themeColor="text1"/>
                <w:lang w:eastAsia="en-US"/>
              </w:rPr>
              <w:t xml:space="preserve"> betekent dat UNEP voor de</w:t>
            </w:r>
            <w:r w:rsidRPr="00061843" w:rsidR="00094177">
              <w:rPr>
                <w:b/>
                <w:bCs/>
                <w:color w:val="000000" w:themeColor="text1"/>
                <w:lang w:eastAsia="en-US"/>
              </w:rPr>
              <w:t>ze</w:t>
            </w:r>
            <w:r w:rsidRPr="00061843">
              <w:rPr>
                <w:b/>
                <w:bCs/>
                <w:color w:val="000000" w:themeColor="text1"/>
                <w:lang w:eastAsia="en-US"/>
              </w:rPr>
              <w:t xml:space="preserve"> periode minder kernfinanciering ontvangt vanuit Nederland. </w:t>
            </w:r>
            <w:r w:rsidRPr="00061843" w:rsidR="0019056F">
              <w:rPr>
                <w:b/>
                <w:bCs/>
                <w:color w:val="000000" w:themeColor="text1"/>
                <w:lang w:eastAsia="en-US"/>
              </w:rPr>
              <w:t>De exacte cijfers komen uw Kamer toe middels de publicatie van de Voorjaarsnota.</w:t>
            </w:r>
          </w:p>
          <w:p w:rsidRPr="00B84E3B" w:rsidR="00C715DF" w:rsidRDefault="00C715DF" w14:paraId="6676A52C" w14:textId="772F1DDF"/>
        </w:tc>
        <w:tc>
          <w:tcPr>
            <w:tcW w:w="850" w:type="dxa"/>
          </w:tcPr>
          <w:p w:rsidRPr="00B84E3B" w:rsidR="005D2945" w:rsidRDefault="005D2945" w14:paraId="70AB6957" w14:textId="2CAD9A49">
            <w:pPr>
              <w:jc w:val="right"/>
            </w:pPr>
          </w:p>
        </w:tc>
        <w:tc>
          <w:tcPr>
            <w:tcW w:w="992" w:type="dxa"/>
          </w:tcPr>
          <w:p w:rsidR="005D2945" w:rsidRDefault="001856D0" w14:paraId="7AF51F12" w14:textId="77777777">
            <w:pPr>
              <w:jc w:val="right"/>
            </w:pPr>
            <w:r w:rsidRPr="00B84E3B">
              <w:t>49</w:t>
            </w:r>
          </w:p>
        </w:tc>
        <w:tc>
          <w:tcPr>
            <w:tcW w:w="567" w:type="dxa"/>
          </w:tcPr>
          <w:p w:rsidR="005D2945" w:rsidRDefault="001856D0" w14:paraId="28B5E81B" w14:textId="77777777">
            <w:pPr>
              <w:jc w:val="right"/>
            </w:pPr>
            <w:r>
              <w:t xml:space="preserve"> </w:t>
            </w:r>
          </w:p>
        </w:tc>
      </w:tr>
    </w:tbl>
    <w:p w:rsidR="005D2945" w:rsidRDefault="005D2945" w14:paraId="4BD55CD3" w14:textId="77777777"/>
    <w:sectPr w:rsidR="005D2945" w:rsidSect="00212664">
      <w:headerReference w:type="even" r:id="rId14"/>
      <w:headerReference w:type="default" r:id="rId15"/>
      <w:footerReference w:type="even" r:id="rId16"/>
      <w:footerReference w:type="default" r:id="rId17"/>
      <w:headerReference w:type="first" r:id="rId18"/>
      <w:footerReference w:type="first" r:id="rId19"/>
      <w:pgSz w:w="11900"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6E08" w14:textId="77777777" w:rsidR="00EE6D8D" w:rsidRDefault="00EE6D8D">
      <w:pPr>
        <w:spacing w:before="0" w:after="0"/>
      </w:pPr>
      <w:r>
        <w:separator/>
      </w:r>
    </w:p>
  </w:endnote>
  <w:endnote w:type="continuationSeparator" w:id="0">
    <w:p w14:paraId="139F6137" w14:textId="77777777" w:rsidR="00EE6D8D" w:rsidRDefault="00EE6D8D">
      <w:pPr>
        <w:spacing w:before="0" w:after="0"/>
      </w:pPr>
      <w:r>
        <w:continuationSeparator/>
      </w:r>
    </w:p>
  </w:endnote>
  <w:endnote w:type="continuationNotice" w:id="1">
    <w:p w14:paraId="01F1F124" w14:textId="77777777" w:rsidR="00EE6D8D" w:rsidRDefault="00EE6D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92EB" w14:textId="77777777" w:rsidR="005D2945" w:rsidRDefault="005D2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32B" w14:textId="77777777" w:rsidR="005D2945" w:rsidRDefault="001856D0">
    <w:pPr>
      <w:pStyle w:val="Footer"/>
    </w:pPr>
    <w:r>
      <w:t xml:space="preserve">Totaallijst feitelijke vragen Wijziging van de begrotingsstaat voor Buitenlandse Handel en Ontwikkelingshulp (XVII) voor het jaar 2025 (wijziging samenhangende met de Najaarsnota) (36850-XVII-1)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8A3D" w14:textId="77777777" w:rsidR="005D2945" w:rsidRDefault="005D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8C2A" w14:textId="77777777" w:rsidR="00EE6D8D" w:rsidRDefault="00EE6D8D">
      <w:pPr>
        <w:spacing w:before="0" w:after="0"/>
      </w:pPr>
      <w:r>
        <w:separator/>
      </w:r>
    </w:p>
  </w:footnote>
  <w:footnote w:type="continuationSeparator" w:id="0">
    <w:p w14:paraId="146E3C63" w14:textId="77777777" w:rsidR="00EE6D8D" w:rsidRDefault="00EE6D8D">
      <w:pPr>
        <w:spacing w:before="0" w:after="0"/>
      </w:pPr>
      <w:r>
        <w:continuationSeparator/>
      </w:r>
    </w:p>
  </w:footnote>
  <w:footnote w:type="continuationNotice" w:id="1">
    <w:p w14:paraId="3D084DCF" w14:textId="77777777" w:rsidR="00EE6D8D" w:rsidRDefault="00EE6D8D">
      <w:pPr>
        <w:spacing w:before="0" w:after="0"/>
      </w:pPr>
    </w:p>
  </w:footnote>
  <w:footnote w:id="2">
    <w:p w14:paraId="0D4E6918" w14:textId="677B8CB7" w:rsidR="00B84E3B" w:rsidRPr="00842060" w:rsidRDefault="00B84E3B">
      <w:pPr>
        <w:pStyle w:val="FootnoteText"/>
        <w:rPr>
          <w:lang w:val="en-US"/>
        </w:rPr>
      </w:pPr>
      <w:r w:rsidRPr="00FE2A49">
        <w:rPr>
          <w:rStyle w:val="FootnoteReference"/>
          <w:sz w:val="18"/>
          <w:szCs w:val="18"/>
        </w:rPr>
        <w:footnoteRef/>
      </w:r>
      <w:r w:rsidRPr="00FE2A49">
        <w:rPr>
          <w:sz w:val="18"/>
          <w:szCs w:val="18"/>
          <w:lang w:val="en-US"/>
        </w:rPr>
        <w:t xml:space="preserve"> Kamerstuk nr. 21501-02</w:t>
      </w:r>
      <w:r w:rsidR="00FE2A49">
        <w:rPr>
          <w:sz w:val="18"/>
          <w:szCs w:val="18"/>
          <w:lang w:val="en-US"/>
        </w:rPr>
        <w:t xml:space="preserve"> nr. </w:t>
      </w:r>
      <w:r w:rsidRPr="00FE2A49">
        <w:rPr>
          <w:sz w:val="18"/>
          <w:szCs w:val="18"/>
          <w:lang w:val="en-US"/>
        </w:rPr>
        <w:t>3127</w:t>
      </w:r>
    </w:p>
  </w:footnote>
  <w:footnote w:id="3">
    <w:p w14:paraId="21367615" w14:textId="202EC227" w:rsidR="00AC3A8C" w:rsidRPr="00AC3A8C" w:rsidRDefault="00AC3A8C">
      <w:pPr>
        <w:pStyle w:val="FootnoteText"/>
        <w:rPr>
          <w:lang w:val="en-US"/>
        </w:rPr>
      </w:pPr>
      <w:r w:rsidRPr="00FE2A49">
        <w:rPr>
          <w:rStyle w:val="FootnoteReference"/>
        </w:rPr>
        <w:footnoteRef/>
      </w:r>
      <w:r w:rsidRPr="00FE2A49">
        <w:rPr>
          <w:lang w:val="en-US"/>
        </w:rPr>
        <w:t xml:space="preserve">  </w:t>
      </w:r>
      <w:hyperlink r:id="rId1" w:history="1">
        <w:r w:rsidRPr="00FE2A49">
          <w:rPr>
            <w:rStyle w:val="Hyperlink"/>
            <w:rFonts w:eastAsiaTheme="majorEastAsia"/>
            <w:sz w:val="16"/>
            <w:szCs w:val="16"/>
            <w:lang w:val="en-US"/>
          </w:rPr>
          <w:t>Commission announces reinforcement of controls on products imported into the EU</w:t>
        </w:r>
      </w:hyperlink>
    </w:p>
  </w:footnote>
  <w:footnote w:id="4">
    <w:p w14:paraId="32B895A3" w14:textId="5FE57B65" w:rsidR="00B3075F" w:rsidRPr="00FE2A49" w:rsidRDefault="00B3075F" w:rsidP="00B3075F">
      <w:pPr>
        <w:pStyle w:val="FootnoteText"/>
        <w:rPr>
          <w:sz w:val="18"/>
          <w:szCs w:val="18"/>
          <w:lang w:val="en-US"/>
        </w:rPr>
      </w:pPr>
      <w:r w:rsidRPr="00FE2A49">
        <w:rPr>
          <w:rStyle w:val="FootnoteReference"/>
          <w:rFonts w:eastAsiaTheme="majorEastAsia"/>
          <w:sz w:val="18"/>
          <w:szCs w:val="18"/>
        </w:rPr>
        <w:footnoteRef/>
      </w:r>
      <w:r w:rsidRPr="00FE2A49">
        <w:rPr>
          <w:sz w:val="18"/>
          <w:szCs w:val="18"/>
          <w:lang w:val="en-US"/>
        </w:rPr>
        <w:t xml:space="preserve"> </w:t>
      </w:r>
      <w:hyperlink r:id="rId2" w:history="1">
        <w:r w:rsidR="00061843" w:rsidRPr="00FE2A49">
          <w:rPr>
            <w:rStyle w:val="Hyperlink"/>
            <w:rFonts w:eastAsiaTheme="majorEastAsia"/>
            <w:sz w:val="18"/>
            <w:szCs w:val="18"/>
            <w:lang w:val="en-US"/>
          </w:rPr>
          <w:t>https://ec.europa.eu/commission/presscorner/detail/en/ip_25_2979</w:t>
        </w:r>
      </w:hyperlink>
      <w:r w:rsidR="00061843" w:rsidRPr="00FE2A49">
        <w:rPr>
          <w:sz w:val="18"/>
          <w:szCs w:val="18"/>
          <w:lang w:val="en-US"/>
        </w:rPr>
        <w:t xml:space="preserve"> </w:t>
      </w:r>
    </w:p>
  </w:footnote>
  <w:footnote w:id="5">
    <w:p w14:paraId="02794CDC" w14:textId="43837868" w:rsidR="00B3075F" w:rsidRPr="006B4178" w:rsidRDefault="00B3075F" w:rsidP="00B3075F">
      <w:pPr>
        <w:pStyle w:val="FootnoteText"/>
      </w:pPr>
      <w:r w:rsidRPr="00FE2A49">
        <w:rPr>
          <w:rStyle w:val="FootnoteReference"/>
          <w:rFonts w:eastAsiaTheme="majorEastAsia"/>
          <w:sz w:val="18"/>
          <w:szCs w:val="18"/>
        </w:rPr>
        <w:footnoteRef/>
      </w:r>
      <w:r w:rsidRPr="00FE2A49">
        <w:rPr>
          <w:sz w:val="18"/>
          <w:szCs w:val="18"/>
        </w:rPr>
        <w:t xml:space="preserve"> Kamerstuk</w:t>
      </w:r>
      <w:r w:rsidR="00FE2A49">
        <w:rPr>
          <w:sz w:val="18"/>
          <w:szCs w:val="18"/>
        </w:rPr>
        <w:t xml:space="preserve"> </w:t>
      </w:r>
      <w:r w:rsidRPr="00FE2A49">
        <w:rPr>
          <w:sz w:val="18"/>
          <w:szCs w:val="18"/>
        </w:rPr>
        <w:t>31 985, nr. 107</w:t>
      </w:r>
    </w:p>
  </w:footnote>
  <w:footnote w:id="6">
    <w:p w14:paraId="07632D90" w14:textId="3A1F8C56" w:rsidR="00F94AB5" w:rsidRPr="00FE2A49" w:rsidRDefault="00F94AB5">
      <w:pPr>
        <w:pStyle w:val="FootnoteText"/>
        <w:rPr>
          <w:b/>
        </w:rPr>
      </w:pPr>
      <w:r w:rsidRPr="00FE2A49">
        <w:rPr>
          <w:rStyle w:val="FootnoteReference"/>
          <w:b/>
          <w:bCs/>
          <w:sz w:val="18"/>
          <w:szCs w:val="18"/>
        </w:rPr>
        <w:footnoteRef/>
      </w:r>
      <w:r w:rsidRPr="00FE2A49">
        <w:rPr>
          <w:b/>
          <w:bCs/>
          <w:sz w:val="18"/>
          <w:szCs w:val="18"/>
        </w:rPr>
        <w:t xml:space="preserve"> </w:t>
      </w:r>
      <w:r w:rsidRPr="00FE2A49">
        <w:rPr>
          <w:sz w:val="18"/>
          <w:szCs w:val="18"/>
        </w:rPr>
        <w:t>Kamerstuk</w:t>
      </w:r>
      <w:r w:rsidR="00FE2A49">
        <w:rPr>
          <w:sz w:val="18"/>
          <w:szCs w:val="18"/>
        </w:rPr>
        <w:t xml:space="preserve"> </w:t>
      </w:r>
      <w:r w:rsidRPr="00FE2A49">
        <w:rPr>
          <w:sz w:val="18"/>
          <w:szCs w:val="18"/>
        </w:rPr>
        <w:t>36</w:t>
      </w:r>
      <w:r w:rsidR="00FE2A49">
        <w:rPr>
          <w:sz w:val="18"/>
          <w:szCs w:val="18"/>
        </w:rPr>
        <w:t xml:space="preserve"> </w:t>
      </w:r>
      <w:r w:rsidRPr="00FE2A49">
        <w:rPr>
          <w:sz w:val="18"/>
          <w:szCs w:val="18"/>
        </w:rPr>
        <w:t>518, nr. 14.</w:t>
      </w:r>
      <w:r w:rsidRPr="00FE2A49">
        <w:rPr>
          <w:b/>
          <w:bCs/>
          <w:sz w:val="18"/>
          <w:szCs w:val="18"/>
        </w:rPr>
        <w:t xml:space="preserve"> </w:t>
      </w:r>
    </w:p>
  </w:footnote>
  <w:footnote w:id="7">
    <w:p w14:paraId="26C4F69B" w14:textId="54634192" w:rsidR="009A609C" w:rsidRPr="00FE2A49" w:rsidRDefault="009A609C">
      <w:pPr>
        <w:pStyle w:val="FootnoteText"/>
        <w:rPr>
          <w:sz w:val="18"/>
          <w:szCs w:val="18"/>
        </w:rPr>
      </w:pPr>
      <w:r w:rsidRPr="00FE2A49">
        <w:rPr>
          <w:rStyle w:val="FootnoteReference"/>
          <w:sz w:val="18"/>
          <w:szCs w:val="18"/>
        </w:rPr>
        <w:footnoteRef/>
      </w:r>
      <w:r w:rsidRPr="00FE2A49">
        <w:rPr>
          <w:sz w:val="18"/>
          <w:szCs w:val="18"/>
        </w:rPr>
        <w:t xml:space="preserve"> </w:t>
      </w:r>
      <w:hyperlink r:id="rId3" w:history="1">
        <w:r w:rsidRPr="00FE2A49">
          <w:rPr>
            <w:rStyle w:val="Hyperlink"/>
            <w:sz w:val="18"/>
            <w:szCs w:val="18"/>
          </w:rPr>
          <w:t>https://viacampesina.org/en/2025/09/a-new-global-trade-framework-based-on-food-sovereignty-is-urgent-and-necessary-la-via-campesina/</w:t>
        </w:r>
      </w:hyperlink>
      <w:r w:rsidRPr="00FE2A49">
        <w:rPr>
          <w:sz w:val="18"/>
          <w:szCs w:val="18"/>
        </w:rPr>
        <w:t xml:space="preserve">) </w:t>
      </w:r>
    </w:p>
  </w:footnote>
  <w:footnote w:id="8">
    <w:p w14:paraId="22737477" w14:textId="65CFDD10" w:rsidR="00765937" w:rsidRDefault="00765937" w:rsidP="00765937">
      <w:pPr>
        <w:pStyle w:val="FootnoteText"/>
      </w:pPr>
      <w:r w:rsidRPr="00FE2A49">
        <w:rPr>
          <w:rStyle w:val="FootnoteReference"/>
          <w:sz w:val="18"/>
          <w:szCs w:val="18"/>
        </w:rPr>
        <w:footnoteRef/>
      </w:r>
      <w:r w:rsidRPr="00FE2A49">
        <w:rPr>
          <w:sz w:val="18"/>
          <w:szCs w:val="18"/>
        </w:rPr>
        <w:t xml:space="preserve"> Kamerstuk 21 501-32 </w:t>
      </w:r>
      <w:r w:rsidR="00FE2A49" w:rsidRPr="00FE2A49">
        <w:rPr>
          <w:sz w:val="18"/>
          <w:szCs w:val="18"/>
        </w:rPr>
        <w:t>n</w:t>
      </w:r>
      <w:r w:rsidRPr="00FE2A49">
        <w:rPr>
          <w:sz w:val="18"/>
          <w:szCs w:val="18"/>
        </w:rPr>
        <w:t>r. 1736</w:t>
      </w:r>
    </w:p>
  </w:footnote>
  <w:footnote w:id="9">
    <w:p w14:paraId="4B2B0E2E" w14:textId="0160A70D" w:rsidR="00765937" w:rsidRPr="00FE2A49" w:rsidRDefault="00765937" w:rsidP="00765937">
      <w:pPr>
        <w:pStyle w:val="FootnoteText"/>
        <w:rPr>
          <w:sz w:val="18"/>
          <w:szCs w:val="18"/>
        </w:rPr>
      </w:pPr>
      <w:r w:rsidRPr="00FE2A49">
        <w:rPr>
          <w:rStyle w:val="FootnoteReference"/>
          <w:sz w:val="18"/>
          <w:szCs w:val="18"/>
        </w:rPr>
        <w:footnoteRef/>
      </w:r>
      <w:r w:rsidRPr="00FE2A49">
        <w:rPr>
          <w:sz w:val="18"/>
          <w:szCs w:val="18"/>
        </w:rPr>
        <w:t xml:space="preserve"> Kamerstuk 21 501-32 </w:t>
      </w:r>
      <w:r w:rsidR="00FE2A49">
        <w:rPr>
          <w:sz w:val="18"/>
          <w:szCs w:val="18"/>
        </w:rPr>
        <w:t>n</w:t>
      </w:r>
      <w:r w:rsidRPr="00FE2A49">
        <w:rPr>
          <w:sz w:val="18"/>
          <w:szCs w:val="18"/>
        </w:rPr>
        <w:t>r. 1736</w:t>
      </w:r>
    </w:p>
  </w:footnote>
  <w:footnote w:id="10">
    <w:p w14:paraId="6B61FA5F" w14:textId="27890890" w:rsidR="00AC3A8C" w:rsidRPr="00FE2A49" w:rsidRDefault="00AC3A8C">
      <w:pPr>
        <w:pStyle w:val="FootnoteText"/>
        <w:rPr>
          <w:sz w:val="18"/>
          <w:szCs w:val="18"/>
        </w:rPr>
      </w:pPr>
      <w:r w:rsidRPr="00FE2A49">
        <w:rPr>
          <w:rStyle w:val="FootnoteReference"/>
          <w:sz w:val="18"/>
          <w:szCs w:val="18"/>
        </w:rPr>
        <w:footnoteRef/>
      </w:r>
      <w:r w:rsidRPr="00FE2A49">
        <w:rPr>
          <w:sz w:val="18"/>
          <w:szCs w:val="18"/>
        </w:rPr>
        <w:t xml:space="preserve"> Kamerstuk 22</w:t>
      </w:r>
      <w:r w:rsidR="00E44576" w:rsidRPr="00FE2A49">
        <w:rPr>
          <w:sz w:val="18"/>
          <w:szCs w:val="18"/>
        </w:rPr>
        <w:t xml:space="preserve"> </w:t>
      </w:r>
      <w:r w:rsidRPr="00FE2A49">
        <w:rPr>
          <w:sz w:val="18"/>
          <w:szCs w:val="18"/>
        </w:rPr>
        <w:t xml:space="preserve">112 – </w:t>
      </w:r>
      <w:r w:rsidR="00FE2A49">
        <w:rPr>
          <w:sz w:val="18"/>
          <w:szCs w:val="18"/>
        </w:rPr>
        <w:t>n</w:t>
      </w:r>
      <w:r w:rsidRPr="00FE2A49">
        <w:rPr>
          <w:sz w:val="18"/>
          <w:szCs w:val="18"/>
        </w:rPr>
        <w:t>r.</w:t>
      </w:r>
      <w:r w:rsidR="004E4464" w:rsidRPr="00FE2A49">
        <w:rPr>
          <w:sz w:val="18"/>
          <w:szCs w:val="18"/>
        </w:rPr>
        <w:t xml:space="preserve"> </w:t>
      </w:r>
      <w:r w:rsidRPr="00FE2A49">
        <w:rPr>
          <w:sz w:val="18"/>
          <w:szCs w:val="18"/>
        </w:rPr>
        <w:t>4147</w:t>
      </w:r>
    </w:p>
  </w:footnote>
  <w:footnote w:id="11">
    <w:p w14:paraId="05E1B9D5" w14:textId="3B93DF73" w:rsidR="00934CE3" w:rsidRPr="00FE2A49" w:rsidRDefault="00934CE3" w:rsidP="00934CE3">
      <w:pPr>
        <w:pStyle w:val="FootnoteText"/>
        <w:rPr>
          <w:sz w:val="18"/>
          <w:szCs w:val="18"/>
        </w:rPr>
      </w:pPr>
      <w:r w:rsidRPr="00FE2A49">
        <w:rPr>
          <w:rStyle w:val="FootnoteReference"/>
          <w:sz w:val="18"/>
          <w:szCs w:val="18"/>
        </w:rPr>
        <w:footnoteRef/>
      </w:r>
      <w:r w:rsidRPr="00FE2A49">
        <w:rPr>
          <w:sz w:val="18"/>
          <w:szCs w:val="18"/>
        </w:rPr>
        <w:t xml:space="preserve"> Kamerstuk 21 501-32 </w:t>
      </w:r>
      <w:r w:rsidR="00FE2A49">
        <w:rPr>
          <w:sz w:val="18"/>
          <w:szCs w:val="18"/>
        </w:rPr>
        <w:t>n</w:t>
      </w:r>
      <w:r w:rsidRPr="00FE2A49">
        <w:rPr>
          <w:sz w:val="18"/>
          <w:szCs w:val="18"/>
        </w:rPr>
        <w:t>r. 1736</w:t>
      </w:r>
    </w:p>
  </w:footnote>
  <w:footnote w:id="12">
    <w:p w14:paraId="6DA7E208" w14:textId="17E5F92C" w:rsidR="00765937" w:rsidRPr="00765937" w:rsidRDefault="00765937">
      <w:pPr>
        <w:pStyle w:val="FootnoteText"/>
      </w:pPr>
      <w:r w:rsidRPr="00FE2A49">
        <w:rPr>
          <w:rStyle w:val="FootnoteReference"/>
          <w:sz w:val="18"/>
          <w:szCs w:val="18"/>
        </w:rPr>
        <w:footnoteRef/>
      </w:r>
      <w:r w:rsidRPr="00FE2A49">
        <w:rPr>
          <w:sz w:val="18"/>
          <w:szCs w:val="18"/>
        </w:rPr>
        <w:t xml:space="preserve"> </w:t>
      </w:r>
      <w:r w:rsidR="00FE2A49">
        <w:rPr>
          <w:sz w:val="18"/>
          <w:szCs w:val="18"/>
        </w:rPr>
        <w:t xml:space="preserve">Kamerstuk </w:t>
      </w:r>
      <w:r w:rsidRPr="00FE2A49">
        <w:rPr>
          <w:sz w:val="18"/>
          <w:szCs w:val="18"/>
        </w:rPr>
        <w:t>35</w:t>
      </w:r>
      <w:r w:rsidR="00FE2A49">
        <w:rPr>
          <w:sz w:val="18"/>
          <w:szCs w:val="18"/>
        </w:rPr>
        <w:t xml:space="preserve"> </w:t>
      </w:r>
      <w:r w:rsidRPr="00FE2A49">
        <w:rPr>
          <w:sz w:val="18"/>
          <w:szCs w:val="18"/>
        </w:rPr>
        <w:t>570-XIV</w:t>
      </w:r>
      <w:r w:rsidR="00FE2A49">
        <w:rPr>
          <w:sz w:val="18"/>
          <w:szCs w:val="18"/>
        </w:rPr>
        <w:t xml:space="preserve"> nr. </w:t>
      </w:r>
      <w:r w:rsidRPr="00FE2A49">
        <w:rPr>
          <w:sz w:val="18"/>
          <w:szCs w:val="18"/>
        </w:rPr>
        <w:t>70</w:t>
      </w:r>
    </w:p>
  </w:footnote>
  <w:footnote w:id="13">
    <w:p w14:paraId="017D5D0E" w14:textId="230410E5" w:rsidR="00765937" w:rsidRDefault="00765937" w:rsidP="00765937">
      <w:pPr>
        <w:pStyle w:val="FootnoteText"/>
      </w:pPr>
      <w:r w:rsidRPr="00FE2A49">
        <w:rPr>
          <w:rStyle w:val="FootnoteReference"/>
          <w:sz w:val="18"/>
          <w:szCs w:val="18"/>
        </w:rPr>
        <w:footnoteRef/>
      </w:r>
      <w:r w:rsidRPr="00FE2A49">
        <w:rPr>
          <w:sz w:val="18"/>
          <w:szCs w:val="18"/>
        </w:rPr>
        <w:t xml:space="preserve"> Kamerstuk 21 501-32 </w:t>
      </w:r>
      <w:r w:rsidR="00FE2A49">
        <w:rPr>
          <w:sz w:val="18"/>
          <w:szCs w:val="18"/>
        </w:rPr>
        <w:t>n</w:t>
      </w:r>
      <w:r w:rsidRPr="00FE2A49">
        <w:rPr>
          <w:sz w:val="18"/>
          <w:szCs w:val="18"/>
        </w:rPr>
        <w:t>r. 1736</w:t>
      </w:r>
    </w:p>
  </w:footnote>
  <w:footnote w:id="14">
    <w:p w14:paraId="74563299" w14:textId="3B35A6CF" w:rsidR="00FE2A49" w:rsidRPr="00FE2A49" w:rsidRDefault="00FE2A49">
      <w:pPr>
        <w:pStyle w:val="FootnoteText"/>
      </w:pPr>
      <w:r>
        <w:rPr>
          <w:rStyle w:val="FootnoteReference"/>
        </w:rPr>
        <w:footnoteRef/>
      </w:r>
      <w:r w:rsidRPr="00FE2A49">
        <w:t xml:space="preserve"> </w:t>
      </w:r>
      <w:r w:rsidRPr="00FE2A49">
        <w:t>Verordening (EU) 2024/1252 van het Europees Parlement en de Raad van 11 april 2024, artikel 35, p.8</w:t>
      </w:r>
    </w:p>
  </w:footnote>
  <w:footnote w:id="15">
    <w:p w14:paraId="4823E8CA" w14:textId="2CF0FF32" w:rsidR="00FE2A49" w:rsidRPr="00FE2A49" w:rsidRDefault="00FE2A49">
      <w:pPr>
        <w:pStyle w:val="FootnoteText"/>
        <w:rPr>
          <w:lang w:val="en-US"/>
        </w:rPr>
      </w:pPr>
      <w:r>
        <w:rPr>
          <w:rStyle w:val="FootnoteReference"/>
        </w:rPr>
        <w:footnoteRef/>
      </w:r>
      <w:r w:rsidRPr="00FE2A49">
        <w:rPr>
          <w:lang w:val="en-US"/>
        </w:rPr>
        <w:t xml:space="preserve"> </w:t>
      </w:r>
      <w:proofErr w:type="spellStart"/>
      <w:r w:rsidRPr="00FE2A49">
        <w:rPr>
          <w:lang w:val="en-US"/>
        </w:rPr>
        <w:t>Kamerstuk</w:t>
      </w:r>
      <w:proofErr w:type="spellEnd"/>
      <w:r w:rsidRPr="00FE2A49">
        <w:rPr>
          <w:lang w:val="en-US"/>
        </w:rPr>
        <w:t xml:space="preserve"> 21</w:t>
      </w:r>
      <w:r w:rsidRPr="00FE2A49">
        <w:rPr>
          <w:lang w:val="en-US"/>
        </w:rPr>
        <w:t xml:space="preserve"> </w:t>
      </w:r>
      <w:r w:rsidRPr="00FE2A49">
        <w:rPr>
          <w:lang w:val="en-US"/>
        </w:rPr>
        <w:t xml:space="preserve">501-02 nr. 2715 </w:t>
      </w:r>
      <w:proofErr w:type="spellStart"/>
      <w:r w:rsidRPr="00FE2A49">
        <w:rPr>
          <w:lang w:val="en-US"/>
        </w:rPr>
        <w:t>Kamerbrief</w:t>
      </w:r>
      <w:proofErr w:type="spellEnd"/>
      <w:r w:rsidRPr="00FE2A49">
        <w:rPr>
          <w:lang w:val="en-US"/>
        </w:rPr>
        <w:t xml:space="preserve"> over </w:t>
      </w:r>
      <w:proofErr w:type="spellStart"/>
      <w:r w:rsidRPr="00FE2A49">
        <w:rPr>
          <w:lang w:val="en-US"/>
        </w:rPr>
        <w:t>kabinetsappreciatie</w:t>
      </w:r>
      <w:proofErr w:type="spellEnd"/>
      <w:r w:rsidRPr="00FE2A49">
        <w:rPr>
          <w:lang w:val="en-US"/>
        </w:rPr>
        <w:t xml:space="preserve"> Advanced Framework Agreement </w:t>
      </w:r>
      <w:proofErr w:type="spellStart"/>
      <w:r w:rsidRPr="00FE2A49">
        <w:rPr>
          <w:lang w:val="en-US"/>
        </w:rPr>
        <w:t>en</w:t>
      </w:r>
      <w:proofErr w:type="spellEnd"/>
      <w:r w:rsidRPr="00FE2A49">
        <w:rPr>
          <w:lang w:val="en-US"/>
        </w:rPr>
        <w:t xml:space="preserve"> Interim Agreement on Trade EU-Chili</w:t>
      </w:r>
    </w:p>
  </w:footnote>
  <w:footnote w:id="16">
    <w:p w14:paraId="654F8FB2" w14:textId="2A62D779" w:rsidR="00FE2A49" w:rsidRPr="00FE2A49" w:rsidRDefault="00FE2A49">
      <w:pPr>
        <w:pStyle w:val="FootnoteText"/>
      </w:pPr>
      <w:r>
        <w:rPr>
          <w:rStyle w:val="FootnoteReference"/>
        </w:rPr>
        <w:footnoteRef/>
      </w:r>
      <w:r>
        <w:t xml:space="preserve"> </w:t>
      </w:r>
      <w:r w:rsidRPr="00FE2A49">
        <w:t>Kamerstuk 31 985 nr. 107 Kabinetsappreciatie EU-</w:t>
      </w:r>
      <w:proofErr w:type="spellStart"/>
      <w:r w:rsidRPr="00FE2A49">
        <w:t>Mercosur</w:t>
      </w:r>
      <w:proofErr w:type="spellEnd"/>
      <w:r w:rsidRPr="00FE2A49">
        <w:t xml:space="preserve"> akkoord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93CD" w14:textId="77777777" w:rsidR="005D2945" w:rsidRDefault="005D2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5B79" w14:textId="77777777" w:rsidR="005D2945" w:rsidRDefault="005D2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BDCC" w14:textId="77777777" w:rsidR="005D2945" w:rsidRDefault="005D2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DA6"/>
    <w:multiLevelType w:val="hybridMultilevel"/>
    <w:tmpl w:val="14E268BC"/>
    <w:lvl w:ilvl="0" w:tplc="4A040D44">
      <w:start w:val="1"/>
      <w:numFmt w:val="decimal"/>
      <w:lvlText w:val="%1."/>
      <w:lvlJc w:val="left"/>
      <w:pPr>
        <w:ind w:left="720" w:hanging="360"/>
      </w:pPr>
    </w:lvl>
    <w:lvl w:ilvl="1" w:tplc="4BAA0EDC">
      <w:start w:val="1"/>
      <w:numFmt w:val="lowerLetter"/>
      <w:lvlText w:val="%2."/>
      <w:lvlJc w:val="left"/>
      <w:pPr>
        <w:ind w:left="1440" w:hanging="360"/>
      </w:pPr>
    </w:lvl>
    <w:lvl w:ilvl="2" w:tplc="930E0F0A">
      <w:start w:val="1"/>
      <w:numFmt w:val="lowerRoman"/>
      <w:lvlText w:val="%3."/>
      <w:lvlJc w:val="right"/>
      <w:pPr>
        <w:ind w:left="2160" w:hanging="180"/>
      </w:pPr>
    </w:lvl>
    <w:lvl w:ilvl="3" w:tplc="2E247744">
      <w:start w:val="1"/>
      <w:numFmt w:val="decimal"/>
      <w:lvlText w:val="%4."/>
      <w:lvlJc w:val="left"/>
      <w:pPr>
        <w:ind w:left="2880" w:hanging="360"/>
      </w:pPr>
    </w:lvl>
    <w:lvl w:ilvl="4" w:tplc="DABE5C3C">
      <w:start w:val="1"/>
      <w:numFmt w:val="lowerLetter"/>
      <w:lvlText w:val="%5."/>
      <w:lvlJc w:val="left"/>
      <w:pPr>
        <w:ind w:left="3600" w:hanging="360"/>
      </w:pPr>
    </w:lvl>
    <w:lvl w:ilvl="5" w:tplc="E60E2DCA">
      <w:start w:val="1"/>
      <w:numFmt w:val="lowerRoman"/>
      <w:lvlText w:val="%6."/>
      <w:lvlJc w:val="right"/>
      <w:pPr>
        <w:ind w:left="4320" w:hanging="180"/>
      </w:pPr>
    </w:lvl>
    <w:lvl w:ilvl="6" w:tplc="29C4C526">
      <w:start w:val="1"/>
      <w:numFmt w:val="decimal"/>
      <w:lvlText w:val="%7."/>
      <w:lvlJc w:val="left"/>
      <w:pPr>
        <w:ind w:left="5040" w:hanging="360"/>
      </w:pPr>
    </w:lvl>
    <w:lvl w:ilvl="7" w:tplc="E93C331A">
      <w:start w:val="1"/>
      <w:numFmt w:val="lowerLetter"/>
      <w:lvlText w:val="%8."/>
      <w:lvlJc w:val="left"/>
      <w:pPr>
        <w:ind w:left="5760" w:hanging="360"/>
      </w:pPr>
    </w:lvl>
    <w:lvl w:ilvl="8" w:tplc="C6D44F20">
      <w:start w:val="1"/>
      <w:numFmt w:val="lowerRoman"/>
      <w:lvlText w:val="%9."/>
      <w:lvlJc w:val="right"/>
      <w:pPr>
        <w:ind w:left="6480" w:hanging="180"/>
      </w:pPr>
    </w:lvl>
  </w:abstractNum>
  <w:abstractNum w:abstractNumId="1" w15:restartNumberingAfterBreak="0">
    <w:nsid w:val="20312456"/>
    <w:multiLevelType w:val="hybridMultilevel"/>
    <w:tmpl w:val="7BE6CD52"/>
    <w:lvl w:ilvl="0" w:tplc="3A762B78">
      <w:start w:val="1"/>
      <w:numFmt w:val="decimal"/>
      <w:lvlText w:val="%1."/>
      <w:lvlJc w:val="left"/>
      <w:pPr>
        <w:ind w:left="720" w:hanging="360"/>
      </w:pPr>
    </w:lvl>
    <w:lvl w:ilvl="1" w:tplc="EF9E0B2C">
      <w:start w:val="1"/>
      <w:numFmt w:val="lowerLetter"/>
      <w:lvlText w:val="%2."/>
      <w:lvlJc w:val="left"/>
      <w:pPr>
        <w:ind w:left="1440" w:hanging="360"/>
      </w:pPr>
    </w:lvl>
    <w:lvl w:ilvl="2" w:tplc="DDDA9F34">
      <w:start w:val="1"/>
      <w:numFmt w:val="lowerRoman"/>
      <w:lvlText w:val="%3."/>
      <w:lvlJc w:val="right"/>
      <w:pPr>
        <w:ind w:left="2160" w:hanging="180"/>
      </w:pPr>
    </w:lvl>
    <w:lvl w:ilvl="3" w:tplc="36D6018A">
      <w:start w:val="1"/>
      <w:numFmt w:val="decimal"/>
      <w:lvlText w:val="%4."/>
      <w:lvlJc w:val="left"/>
      <w:pPr>
        <w:ind w:left="2880" w:hanging="360"/>
      </w:pPr>
    </w:lvl>
    <w:lvl w:ilvl="4" w:tplc="831A0724">
      <w:start w:val="1"/>
      <w:numFmt w:val="lowerLetter"/>
      <w:lvlText w:val="%5."/>
      <w:lvlJc w:val="left"/>
      <w:pPr>
        <w:ind w:left="3600" w:hanging="360"/>
      </w:pPr>
    </w:lvl>
    <w:lvl w:ilvl="5" w:tplc="53B25138">
      <w:start w:val="1"/>
      <w:numFmt w:val="lowerRoman"/>
      <w:lvlText w:val="%6."/>
      <w:lvlJc w:val="right"/>
      <w:pPr>
        <w:ind w:left="4320" w:hanging="180"/>
      </w:pPr>
    </w:lvl>
    <w:lvl w:ilvl="6" w:tplc="3F948BAC">
      <w:start w:val="1"/>
      <w:numFmt w:val="decimal"/>
      <w:lvlText w:val="%7."/>
      <w:lvlJc w:val="left"/>
      <w:pPr>
        <w:ind w:left="5040" w:hanging="360"/>
      </w:pPr>
    </w:lvl>
    <w:lvl w:ilvl="7" w:tplc="C1AC8878">
      <w:start w:val="1"/>
      <w:numFmt w:val="lowerLetter"/>
      <w:lvlText w:val="%8."/>
      <w:lvlJc w:val="left"/>
      <w:pPr>
        <w:ind w:left="5760" w:hanging="360"/>
      </w:pPr>
    </w:lvl>
    <w:lvl w:ilvl="8" w:tplc="ED4400CA">
      <w:start w:val="1"/>
      <w:numFmt w:val="lowerRoman"/>
      <w:lvlText w:val="%9."/>
      <w:lvlJc w:val="right"/>
      <w:pPr>
        <w:ind w:left="6480" w:hanging="180"/>
      </w:pPr>
    </w:lvl>
  </w:abstractNum>
  <w:abstractNum w:abstractNumId="2" w15:restartNumberingAfterBreak="0">
    <w:nsid w:val="22793855"/>
    <w:multiLevelType w:val="hybridMultilevel"/>
    <w:tmpl w:val="C8B43A5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7C73B8"/>
    <w:multiLevelType w:val="hybridMultilevel"/>
    <w:tmpl w:val="6784A67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352D4F"/>
    <w:multiLevelType w:val="hybridMultilevel"/>
    <w:tmpl w:val="DDC2E66A"/>
    <w:lvl w:ilvl="0" w:tplc="F14EBE3A">
      <w:start w:val="1"/>
      <w:numFmt w:val="bullet"/>
      <w:lvlText w:val=""/>
      <w:lvlJc w:val="left"/>
      <w:pPr>
        <w:ind w:left="720" w:hanging="360"/>
      </w:pPr>
      <w:rPr>
        <w:rFonts w:ascii="Symbol" w:hAnsi="Symbol" w:hint="default"/>
      </w:rPr>
    </w:lvl>
    <w:lvl w:ilvl="1" w:tplc="486CBBEA">
      <w:start w:val="1"/>
      <w:numFmt w:val="bullet"/>
      <w:lvlText w:val="o"/>
      <w:lvlJc w:val="left"/>
      <w:pPr>
        <w:ind w:left="1440" w:hanging="360"/>
      </w:pPr>
      <w:rPr>
        <w:rFonts w:ascii="Courier New" w:hAnsi="Courier New" w:hint="default"/>
      </w:rPr>
    </w:lvl>
    <w:lvl w:ilvl="2" w:tplc="A48E545E">
      <w:start w:val="1"/>
      <w:numFmt w:val="bullet"/>
      <w:lvlText w:val=""/>
      <w:lvlJc w:val="left"/>
      <w:pPr>
        <w:ind w:left="2160" w:hanging="360"/>
      </w:pPr>
      <w:rPr>
        <w:rFonts w:ascii="Wingdings" w:hAnsi="Wingdings" w:hint="default"/>
      </w:rPr>
    </w:lvl>
    <w:lvl w:ilvl="3" w:tplc="1A70933A">
      <w:start w:val="1"/>
      <w:numFmt w:val="bullet"/>
      <w:lvlText w:val=""/>
      <w:lvlJc w:val="left"/>
      <w:pPr>
        <w:ind w:left="2880" w:hanging="360"/>
      </w:pPr>
      <w:rPr>
        <w:rFonts w:ascii="Symbol" w:hAnsi="Symbol" w:hint="default"/>
      </w:rPr>
    </w:lvl>
    <w:lvl w:ilvl="4" w:tplc="8A845538">
      <w:start w:val="1"/>
      <w:numFmt w:val="bullet"/>
      <w:lvlText w:val="o"/>
      <w:lvlJc w:val="left"/>
      <w:pPr>
        <w:ind w:left="3600" w:hanging="360"/>
      </w:pPr>
      <w:rPr>
        <w:rFonts w:ascii="Courier New" w:hAnsi="Courier New" w:hint="default"/>
      </w:rPr>
    </w:lvl>
    <w:lvl w:ilvl="5" w:tplc="A7DC530A">
      <w:start w:val="1"/>
      <w:numFmt w:val="bullet"/>
      <w:lvlText w:val=""/>
      <w:lvlJc w:val="left"/>
      <w:pPr>
        <w:ind w:left="4320" w:hanging="360"/>
      </w:pPr>
      <w:rPr>
        <w:rFonts w:ascii="Wingdings" w:hAnsi="Wingdings" w:hint="default"/>
      </w:rPr>
    </w:lvl>
    <w:lvl w:ilvl="6" w:tplc="2FF2A1D0">
      <w:start w:val="1"/>
      <w:numFmt w:val="bullet"/>
      <w:lvlText w:val=""/>
      <w:lvlJc w:val="left"/>
      <w:pPr>
        <w:ind w:left="5040" w:hanging="360"/>
      </w:pPr>
      <w:rPr>
        <w:rFonts w:ascii="Symbol" w:hAnsi="Symbol" w:hint="default"/>
      </w:rPr>
    </w:lvl>
    <w:lvl w:ilvl="7" w:tplc="1D7C7898">
      <w:start w:val="1"/>
      <w:numFmt w:val="bullet"/>
      <w:lvlText w:val="o"/>
      <w:lvlJc w:val="left"/>
      <w:pPr>
        <w:ind w:left="5760" w:hanging="360"/>
      </w:pPr>
      <w:rPr>
        <w:rFonts w:ascii="Courier New" w:hAnsi="Courier New" w:hint="default"/>
      </w:rPr>
    </w:lvl>
    <w:lvl w:ilvl="8" w:tplc="E6FC04E4">
      <w:start w:val="1"/>
      <w:numFmt w:val="bullet"/>
      <w:lvlText w:val=""/>
      <w:lvlJc w:val="left"/>
      <w:pPr>
        <w:ind w:left="6480" w:hanging="360"/>
      </w:pPr>
      <w:rPr>
        <w:rFonts w:ascii="Wingdings" w:hAnsi="Wingdings" w:hint="default"/>
      </w:rPr>
    </w:lvl>
  </w:abstractNum>
  <w:abstractNum w:abstractNumId="5" w15:restartNumberingAfterBreak="0">
    <w:nsid w:val="37127929"/>
    <w:multiLevelType w:val="hybridMultilevel"/>
    <w:tmpl w:val="DE585648"/>
    <w:lvl w:ilvl="0" w:tplc="81FAF244">
      <w:start w:val="1"/>
      <w:numFmt w:val="bullet"/>
      <w:lvlText w:val=""/>
      <w:lvlJc w:val="left"/>
      <w:pPr>
        <w:ind w:left="720" w:hanging="360"/>
      </w:pPr>
      <w:rPr>
        <w:rFonts w:ascii="Symbol" w:hAnsi="Symbol" w:hint="default"/>
      </w:rPr>
    </w:lvl>
    <w:lvl w:ilvl="1" w:tplc="B7748904">
      <w:start w:val="1"/>
      <w:numFmt w:val="bullet"/>
      <w:lvlText w:val="o"/>
      <w:lvlJc w:val="left"/>
      <w:pPr>
        <w:ind w:left="1440" w:hanging="360"/>
      </w:pPr>
      <w:rPr>
        <w:rFonts w:ascii="Courier New" w:hAnsi="Courier New" w:hint="default"/>
      </w:rPr>
    </w:lvl>
    <w:lvl w:ilvl="2" w:tplc="D6A03AB8">
      <w:start w:val="1"/>
      <w:numFmt w:val="bullet"/>
      <w:lvlText w:val=""/>
      <w:lvlJc w:val="left"/>
      <w:pPr>
        <w:ind w:left="2160" w:hanging="360"/>
      </w:pPr>
      <w:rPr>
        <w:rFonts w:ascii="Wingdings" w:hAnsi="Wingdings" w:hint="default"/>
      </w:rPr>
    </w:lvl>
    <w:lvl w:ilvl="3" w:tplc="298E929A">
      <w:start w:val="1"/>
      <w:numFmt w:val="bullet"/>
      <w:lvlText w:val=""/>
      <w:lvlJc w:val="left"/>
      <w:pPr>
        <w:ind w:left="2880" w:hanging="360"/>
      </w:pPr>
      <w:rPr>
        <w:rFonts w:ascii="Symbol" w:hAnsi="Symbol" w:hint="default"/>
      </w:rPr>
    </w:lvl>
    <w:lvl w:ilvl="4" w:tplc="A62204F0">
      <w:start w:val="1"/>
      <w:numFmt w:val="bullet"/>
      <w:lvlText w:val="o"/>
      <w:lvlJc w:val="left"/>
      <w:pPr>
        <w:ind w:left="3600" w:hanging="360"/>
      </w:pPr>
      <w:rPr>
        <w:rFonts w:ascii="Courier New" w:hAnsi="Courier New" w:hint="default"/>
      </w:rPr>
    </w:lvl>
    <w:lvl w:ilvl="5" w:tplc="C6147F56">
      <w:start w:val="1"/>
      <w:numFmt w:val="bullet"/>
      <w:lvlText w:val=""/>
      <w:lvlJc w:val="left"/>
      <w:pPr>
        <w:ind w:left="4320" w:hanging="360"/>
      </w:pPr>
      <w:rPr>
        <w:rFonts w:ascii="Wingdings" w:hAnsi="Wingdings" w:hint="default"/>
      </w:rPr>
    </w:lvl>
    <w:lvl w:ilvl="6" w:tplc="7C2AFE84">
      <w:start w:val="1"/>
      <w:numFmt w:val="bullet"/>
      <w:lvlText w:val=""/>
      <w:lvlJc w:val="left"/>
      <w:pPr>
        <w:ind w:left="5040" w:hanging="360"/>
      </w:pPr>
      <w:rPr>
        <w:rFonts w:ascii="Symbol" w:hAnsi="Symbol" w:hint="default"/>
      </w:rPr>
    </w:lvl>
    <w:lvl w:ilvl="7" w:tplc="CD1A1804">
      <w:start w:val="1"/>
      <w:numFmt w:val="bullet"/>
      <w:lvlText w:val="o"/>
      <w:lvlJc w:val="left"/>
      <w:pPr>
        <w:ind w:left="5760" w:hanging="360"/>
      </w:pPr>
      <w:rPr>
        <w:rFonts w:ascii="Courier New" w:hAnsi="Courier New" w:hint="default"/>
      </w:rPr>
    </w:lvl>
    <w:lvl w:ilvl="8" w:tplc="A406F71A">
      <w:start w:val="1"/>
      <w:numFmt w:val="bullet"/>
      <w:lvlText w:val=""/>
      <w:lvlJc w:val="left"/>
      <w:pPr>
        <w:ind w:left="6480" w:hanging="360"/>
      </w:pPr>
      <w:rPr>
        <w:rFonts w:ascii="Wingdings" w:hAnsi="Wingdings" w:hint="default"/>
      </w:rPr>
    </w:lvl>
  </w:abstractNum>
  <w:abstractNum w:abstractNumId="6" w15:restartNumberingAfterBreak="0">
    <w:nsid w:val="3A9C2999"/>
    <w:multiLevelType w:val="hybridMultilevel"/>
    <w:tmpl w:val="17A43BD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E32185"/>
    <w:multiLevelType w:val="hybridMultilevel"/>
    <w:tmpl w:val="34AE468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B85772"/>
    <w:multiLevelType w:val="hybridMultilevel"/>
    <w:tmpl w:val="0644B750"/>
    <w:lvl w:ilvl="0" w:tplc="1BA86FC4">
      <w:start w:val="1"/>
      <w:numFmt w:val="decimal"/>
      <w:lvlText w:val="%1."/>
      <w:lvlJc w:val="left"/>
      <w:pPr>
        <w:ind w:left="720" w:hanging="360"/>
      </w:pPr>
    </w:lvl>
    <w:lvl w:ilvl="1" w:tplc="3466782C">
      <w:start w:val="1"/>
      <w:numFmt w:val="lowerLetter"/>
      <w:lvlText w:val="%2."/>
      <w:lvlJc w:val="left"/>
      <w:pPr>
        <w:ind w:left="1440" w:hanging="360"/>
      </w:pPr>
    </w:lvl>
    <w:lvl w:ilvl="2" w:tplc="CB6683AE">
      <w:start w:val="1"/>
      <w:numFmt w:val="lowerRoman"/>
      <w:lvlText w:val="%3."/>
      <w:lvlJc w:val="right"/>
      <w:pPr>
        <w:ind w:left="2160" w:hanging="180"/>
      </w:pPr>
    </w:lvl>
    <w:lvl w:ilvl="3" w:tplc="50D2F40E">
      <w:start w:val="1"/>
      <w:numFmt w:val="decimal"/>
      <w:lvlText w:val="%4."/>
      <w:lvlJc w:val="left"/>
      <w:pPr>
        <w:ind w:left="2880" w:hanging="360"/>
      </w:pPr>
    </w:lvl>
    <w:lvl w:ilvl="4" w:tplc="50F06E8A">
      <w:start w:val="1"/>
      <w:numFmt w:val="lowerLetter"/>
      <w:lvlText w:val="%5."/>
      <w:lvlJc w:val="left"/>
      <w:pPr>
        <w:ind w:left="3600" w:hanging="360"/>
      </w:pPr>
    </w:lvl>
    <w:lvl w:ilvl="5" w:tplc="3546127A">
      <w:start w:val="1"/>
      <w:numFmt w:val="lowerRoman"/>
      <w:lvlText w:val="%6."/>
      <w:lvlJc w:val="right"/>
      <w:pPr>
        <w:ind w:left="4320" w:hanging="180"/>
      </w:pPr>
    </w:lvl>
    <w:lvl w:ilvl="6" w:tplc="584277DC">
      <w:start w:val="1"/>
      <w:numFmt w:val="decimal"/>
      <w:lvlText w:val="%7."/>
      <w:lvlJc w:val="left"/>
      <w:pPr>
        <w:ind w:left="5040" w:hanging="360"/>
      </w:pPr>
    </w:lvl>
    <w:lvl w:ilvl="7" w:tplc="C9124890">
      <w:start w:val="1"/>
      <w:numFmt w:val="lowerLetter"/>
      <w:lvlText w:val="%8."/>
      <w:lvlJc w:val="left"/>
      <w:pPr>
        <w:ind w:left="5760" w:hanging="360"/>
      </w:pPr>
    </w:lvl>
    <w:lvl w:ilvl="8" w:tplc="30407DA8">
      <w:start w:val="1"/>
      <w:numFmt w:val="lowerRoman"/>
      <w:lvlText w:val="%9."/>
      <w:lvlJc w:val="right"/>
      <w:pPr>
        <w:ind w:left="6480" w:hanging="180"/>
      </w:pPr>
    </w:lvl>
  </w:abstractNum>
  <w:abstractNum w:abstractNumId="9" w15:restartNumberingAfterBreak="0">
    <w:nsid w:val="41FE7556"/>
    <w:multiLevelType w:val="hybridMultilevel"/>
    <w:tmpl w:val="4768C36C"/>
    <w:lvl w:ilvl="0" w:tplc="AE2429AA">
      <w:start w:val="1"/>
      <w:numFmt w:val="decimal"/>
      <w:lvlText w:val="%1."/>
      <w:lvlJc w:val="left"/>
      <w:pPr>
        <w:ind w:left="720" w:hanging="360"/>
      </w:pPr>
    </w:lvl>
    <w:lvl w:ilvl="1" w:tplc="C8866BCE">
      <w:start w:val="1"/>
      <w:numFmt w:val="lowerLetter"/>
      <w:lvlText w:val="%2."/>
      <w:lvlJc w:val="left"/>
      <w:pPr>
        <w:ind w:left="1440" w:hanging="360"/>
      </w:pPr>
    </w:lvl>
    <w:lvl w:ilvl="2" w:tplc="5478DFB8">
      <w:start w:val="1"/>
      <w:numFmt w:val="lowerRoman"/>
      <w:lvlText w:val="%3."/>
      <w:lvlJc w:val="right"/>
      <w:pPr>
        <w:ind w:left="2160" w:hanging="180"/>
      </w:pPr>
    </w:lvl>
    <w:lvl w:ilvl="3" w:tplc="36EAFE3E">
      <w:start w:val="1"/>
      <w:numFmt w:val="decimal"/>
      <w:lvlText w:val="%4."/>
      <w:lvlJc w:val="left"/>
      <w:pPr>
        <w:ind w:left="2880" w:hanging="360"/>
      </w:pPr>
    </w:lvl>
    <w:lvl w:ilvl="4" w:tplc="40F4205E">
      <w:start w:val="1"/>
      <w:numFmt w:val="lowerLetter"/>
      <w:lvlText w:val="%5."/>
      <w:lvlJc w:val="left"/>
      <w:pPr>
        <w:ind w:left="3600" w:hanging="360"/>
      </w:pPr>
    </w:lvl>
    <w:lvl w:ilvl="5" w:tplc="3B0E10B0">
      <w:start w:val="1"/>
      <w:numFmt w:val="lowerRoman"/>
      <w:lvlText w:val="%6."/>
      <w:lvlJc w:val="right"/>
      <w:pPr>
        <w:ind w:left="4320" w:hanging="180"/>
      </w:pPr>
    </w:lvl>
    <w:lvl w:ilvl="6" w:tplc="A0E4CFD0">
      <w:start w:val="1"/>
      <w:numFmt w:val="decimal"/>
      <w:lvlText w:val="%7."/>
      <w:lvlJc w:val="left"/>
      <w:pPr>
        <w:ind w:left="5040" w:hanging="360"/>
      </w:pPr>
    </w:lvl>
    <w:lvl w:ilvl="7" w:tplc="1E085A5C">
      <w:start w:val="1"/>
      <w:numFmt w:val="lowerLetter"/>
      <w:lvlText w:val="%8."/>
      <w:lvlJc w:val="left"/>
      <w:pPr>
        <w:ind w:left="5760" w:hanging="360"/>
      </w:pPr>
    </w:lvl>
    <w:lvl w:ilvl="8" w:tplc="EF6A3FF2">
      <w:start w:val="1"/>
      <w:numFmt w:val="lowerRoman"/>
      <w:lvlText w:val="%9."/>
      <w:lvlJc w:val="right"/>
      <w:pPr>
        <w:ind w:left="6480" w:hanging="180"/>
      </w:pPr>
    </w:lvl>
  </w:abstractNum>
  <w:abstractNum w:abstractNumId="10" w15:restartNumberingAfterBreak="0">
    <w:nsid w:val="42644ACF"/>
    <w:multiLevelType w:val="hybridMultilevel"/>
    <w:tmpl w:val="3FB221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111C6E"/>
    <w:multiLevelType w:val="hybridMultilevel"/>
    <w:tmpl w:val="D7A6A3C0"/>
    <w:lvl w:ilvl="0" w:tplc="ACF0220A">
      <w:start w:val="1"/>
      <w:numFmt w:val="bullet"/>
      <w:lvlText w:val=""/>
      <w:lvlJc w:val="left"/>
      <w:pPr>
        <w:ind w:left="720" w:hanging="360"/>
      </w:pPr>
      <w:rPr>
        <w:rFonts w:ascii="Symbol" w:hAnsi="Symbol" w:hint="default"/>
      </w:rPr>
    </w:lvl>
    <w:lvl w:ilvl="1" w:tplc="2446DDF0">
      <w:start w:val="1"/>
      <w:numFmt w:val="bullet"/>
      <w:lvlText w:val="o"/>
      <w:lvlJc w:val="left"/>
      <w:pPr>
        <w:ind w:left="1440" w:hanging="360"/>
      </w:pPr>
      <w:rPr>
        <w:rFonts w:ascii="Courier New" w:hAnsi="Courier New" w:hint="default"/>
      </w:rPr>
    </w:lvl>
    <w:lvl w:ilvl="2" w:tplc="FA02BDF0">
      <w:start w:val="1"/>
      <w:numFmt w:val="bullet"/>
      <w:lvlText w:val=""/>
      <w:lvlJc w:val="left"/>
      <w:pPr>
        <w:ind w:left="2160" w:hanging="360"/>
      </w:pPr>
      <w:rPr>
        <w:rFonts w:ascii="Wingdings" w:hAnsi="Wingdings" w:hint="default"/>
      </w:rPr>
    </w:lvl>
    <w:lvl w:ilvl="3" w:tplc="2084E346">
      <w:start w:val="1"/>
      <w:numFmt w:val="bullet"/>
      <w:lvlText w:val=""/>
      <w:lvlJc w:val="left"/>
      <w:pPr>
        <w:ind w:left="2880" w:hanging="360"/>
      </w:pPr>
      <w:rPr>
        <w:rFonts w:ascii="Symbol" w:hAnsi="Symbol" w:hint="default"/>
      </w:rPr>
    </w:lvl>
    <w:lvl w:ilvl="4" w:tplc="93F257C4">
      <w:start w:val="1"/>
      <w:numFmt w:val="bullet"/>
      <w:lvlText w:val="o"/>
      <w:lvlJc w:val="left"/>
      <w:pPr>
        <w:ind w:left="3600" w:hanging="360"/>
      </w:pPr>
      <w:rPr>
        <w:rFonts w:ascii="Courier New" w:hAnsi="Courier New" w:hint="default"/>
      </w:rPr>
    </w:lvl>
    <w:lvl w:ilvl="5" w:tplc="7082C444">
      <w:start w:val="1"/>
      <w:numFmt w:val="bullet"/>
      <w:lvlText w:val=""/>
      <w:lvlJc w:val="left"/>
      <w:pPr>
        <w:ind w:left="4320" w:hanging="360"/>
      </w:pPr>
      <w:rPr>
        <w:rFonts w:ascii="Wingdings" w:hAnsi="Wingdings" w:hint="default"/>
      </w:rPr>
    </w:lvl>
    <w:lvl w:ilvl="6" w:tplc="EA045DA6">
      <w:start w:val="1"/>
      <w:numFmt w:val="bullet"/>
      <w:lvlText w:val=""/>
      <w:lvlJc w:val="left"/>
      <w:pPr>
        <w:ind w:left="5040" w:hanging="360"/>
      </w:pPr>
      <w:rPr>
        <w:rFonts w:ascii="Symbol" w:hAnsi="Symbol" w:hint="default"/>
      </w:rPr>
    </w:lvl>
    <w:lvl w:ilvl="7" w:tplc="3CFCFC1C">
      <w:start w:val="1"/>
      <w:numFmt w:val="bullet"/>
      <w:lvlText w:val="o"/>
      <w:lvlJc w:val="left"/>
      <w:pPr>
        <w:ind w:left="5760" w:hanging="360"/>
      </w:pPr>
      <w:rPr>
        <w:rFonts w:ascii="Courier New" w:hAnsi="Courier New" w:hint="default"/>
      </w:rPr>
    </w:lvl>
    <w:lvl w:ilvl="8" w:tplc="7410F598">
      <w:start w:val="1"/>
      <w:numFmt w:val="bullet"/>
      <w:lvlText w:val=""/>
      <w:lvlJc w:val="left"/>
      <w:pPr>
        <w:ind w:left="6480" w:hanging="360"/>
      </w:pPr>
      <w:rPr>
        <w:rFonts w:ascii="Wingdings" w:hAnsi="Wingdings" w:hint="default"/>
      </w:rPr>
    </w:lvl>
  </w:abstractNum>
  <w:abstractNum w:abstractNumId="12" w15:restartNumberingAfterBreak="0">
    <w:nsid w:val="61721F2D"/>
    <w:multiLevelType w:val="hybridMultilevel"/>
    <w:tmpl w:val="5E7297D4"/>
    <w:lvl w:ilvl="0" w:tplc="4D5E9D68">
      <w:start w:val="1"/>
      <w:numFmt w:val="decimal"/>
      <w:lvlText w:val="%1."/>
      <w:lvlJc w:val="left"/>
      <w:pPr>
        <w:ind w:left="720" w:hanging="360"/>
      </w:pPr>
    </w:lvl>
    <w:lvl w:ilvl="1" w:tplc="2E0AA36E">
      <w:start w:val="1"/>
      <w:numFmt w:val="lowerLetter"/>
      <w:lvlText w:val="%2."/>
      <w:lvlJc w:val="left"/>
      <w:pPr>
        <w:ind w:left="1440" w:hanging="360"/>
      </w:pPr>
    </w:lvl>
    <w:lvl w:ilvl="2" w:tplc="434E8740">
      <w:start w:val="1"/>
      <w:numFmt w:val="lowerRoman"/>
      <w:lvlText w:val="%3."/>
      <w:lvlJc w:val="right"/>
      <w:pPr>
        <w:ind w:left="2160" w:hanging="180"/>
      </w:pPr>
    </w:lvl>
    <w:lvl w:ilvl="3" w:tplc="06CE4BB0">
      <w:start w:val="1"/>
      <w:numFmt w:val="decimal"/>
      <w:lvlText w:val="%4."/>
      <w:lvlJc w:val="left"/>
      <w:pPr>
        <w:ind w:left="2880" w:hanging="360"/>
      </w:pPr>
    </w:lvl>
    <w:lvl w:ilvl="4" w:tplc="23827A30">
      <w:start w:val="1"/>
      <w:numFmt w:val="lowerLetter"/>
      <w:lvlText w:val="%5."/>
      <w:lvlJc w:val="left"/>
      <w:pPr>
        <w:ind w:left="3600" w:hanging="360"/>
      </w:pPr>
    </w:lvl>
    <w:lvl w:ilvl="5" w:tplc="27F09222">
      <w:start w:val="1"/>
      <w:numFmt w:val="lowerRoman"/>
      <w:lvlText w:val="%6."/>
      <w:lvlJc w:val="right"/>
      <w:pPr>
        <w:ind w:left="4320" w:hanging="180"/>
      </w:pPr>
    </w:lvl>
    <w:lvl w:ilvl="6" w:tplc="B06CBE04">
      <w:start w:val="1"/>
      <w:numFmt w:val="decimal"/>
      <w:lvlText w:val="%7."/>
      <w:lvlJc w:val="left"/>
      <w:pPr>
        <w:ind w:left="5040" w:hanging="360"/>
      </w:pPr>
    </w:lvl>
    <w:lvl w:ilvl="7" w:tplc="2FC04648">
      <w:start w:val="1"/>
      <w:numFmt w:val="lowerLetter"/>
      <w:lvlText w:val="%8."/>
      <w:lvlJc w:val="left"/>
      <w:pPr>
        <w:ind w:left="5760" w:hanging="360"/>
      </w:pPr>
    </w:lvl>
    <w:lvl w:ilvl="8" w:tplc="C48E106A">
      <w:start w:val="1"/>
      <w:numFmt w:val="lowerRoman"/>
      <w:lvlText w:val="%9."/>
      <w:lvlJc w:val="right"/>
      <w:pPr>
        <w:ind w:left="6480" w:hanging="180"/>
      </w:pPr>
    </w:lvl>
  </w:abstractNum>
  <w:abstractNum w:abstractNumId="13" w15:restartNumberingAfterBreak="0">
    <w:nsid w:val="69721265"/>
    <w:multiLevelType w:val="hybridMultilevel"/>
    <w:tmpl w:val="C808721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F00F34"/>
    <w:multiLevelType w:val="hybridMultilevel"/>
    <w:tmpl w:val="E230E592"/>
    <w:lvl w:ilvl="0" w:tplc="976CA4E6">
      <w:start w:val="1"/>
      <w:numFmt w:val="bullet"/>
      <w:lvlText w:val=""/>
      <w:lvlJc w:val="left"/>
      <w:pPr>
        <w:ind w:left="720" w:hanging="360"/>
      </w:pPr>
      <w:rPr>
        <w:rFonts w:ascii="Symbol" w:hAnsi="Symbol" w:hint="default"/>
      </w:rPr>
    </w:lvl>
    <w:lvl w:ilvl="1" w:tplc="8A905C7E">
      <w:start w:val="1"/>
      <w:numFmt w:val="bullet"/>
      <w:lvlText w:val="o"/>
      <w:lvlJc w:val="left"/>
      <w:pPr>
        <w:ind w:left="1440" w:hanging="360"/>
      </w:pPr>
      <w:rPr>
        <w:rFonts w:ascii="Courier New" w:hAnsi="Courier New" w:hint="default"/>
      </w:rPr>
    </w:lvl>
    <w:lvl w:ilvl="2" w:tplc="E21864AC">
      <w:start w:val="1"/>
      <w:numFmt w:val="bullet"/>
      <w:lvlText w:val=""/>
      <w:lvlJc w:val="left"/>
      <w:pPr>
        <w:ind w:left="2160" w:hanging="360"/>
      </w:pPr>
      <w:rPr>
        <w:rFonts w:ascii="Wingdings" w:hAnsi="Wingdings" w:hint="default"/>
      </w:rPr>
    </w:lvl>
    <w:lvl w:ilvl="3" w:tplc="AC804788">
      <w:start w:val="1"/>
      <w:numFmt w:val="bullet"/>
      <w:lvlText w:val=""/>
      <w:lvlJc w:val="left"/>
      <w:pPr>
        <w:ind w:left="2880" w:hanging="360"/>
      </w:pPr>
      <w:rPr>
        <w:rFonts w:ascii="Symbol" w:hAnsi="Symbol" w:hint="default"/>
      </w:rPr>
    </w:lvl>
    <w:lvl w:ilvl="4" w:tplc="85FC93A2">
      <w:start w:val="1"/>
      <w:numFmt w:val="bullet"/>
      <w:lvlText w:val="o"/>
      <w:lvlJc w:val="left"/>
      <w:pPr>
        <w:ind w:left="3600" w:hanging="360"/>
      </w:pPr>
      <w:rPr>
        <w:rFonts w:ascii="Courier New" w:hAnsi="Courier New" w:hint="default"/>
      </w:rPr>
    </w:lvl>
    <w:lvl w:ilvl="5" w:tplc="55341714">
      <w:start w:val="1"/>
      <w:numFmt w:val="bullet"/>
      <w:lvlText w:val=""/>
      <w:lvlJc w:val="left"/>
      <w:pPr>
        <w:ind w:left="4320" w:hanging="360"/>
      </w:pPr>
      <w:rPr>
        <w:rFonts w:ascii="Wingdings" w:hAnsi="Wingdings" w:hint="default"/>
      </w:rPr>
    </w:lvl>
    <w:lvl w:ilvl="6" w:tplc="AE522346">
      <w:start w:val="1"/>
      <w:numFmt w:val="bullet"/>
      <w:lvlText w:val=""/>
      <w:lvlJc w:val="left"/>
      <w:pPr>
        <w:ind w:left="5040" w:hanging="360"/>
      </w:pPr>
      <w:rPr>
        <w:rFonts w:ascii="Symbol" w:hAnsi="Symbol" w:hint="default"/>
      </w:rPr>
    </w:lvl>
    <w:lvl w:ilvl="7" w:tplc="8BFEF174">
      <w:start w:val="1"/>
      <w:numFmt w:val="bullet"/>
      <w:lvlText w:val="o"/>
      <w:lvlJc w:val="left"/>
      <w:pPr>
        <w:ind w:left="5760" w:hanging="360"/>
      </w:pPr>
      <w:rPr>
        <w:rFonts w:ascii="Courier New" w:hAnsi="Courier New" w:hint="default"/>
      </w:rPr>
    </w:lvl>
    <w:lvl w:ilvl="8" w:tplc="A66021D8">
      <w:start w:val="1"/>
      <w:numFmt w:val="bullet"/>
      <w:lvlText w:val=""/>
      <w:lvlJc w:val="left"/>
      <w:pPr>
        <w:ind w:left="6480" w:hanging="360"/>
      </w:pPr>
      <w:rPr>
        <w:rFonts w:ascii="Wingdings" w:hAnsi="Wingdings" w:hint="default"/>
      </w:rPr>
    </w:lvl>
  </w:abstractNum>
  <w:abstractNum w:abstractNumId="15" w15:restartNumberingAfterBreak="0">
    <w:nsid w:val="7D1B52EF"/>
    <w:multiLevelType w:val="hybridMultilevel"/>
    <w:tmpl w:val="DF9E683A"/>
    <w:lvl w:ilvl="0" w:tplc="E57C5198">
      <w:start w:val="1"/>
      <w:numFmt w:val="decimal"/>
      <w:lvlText w:val="%1."/>
      <w:lvlJc w:val="left"/>
      <w:pPr>
        <w:ind w:left="720" w:hanging="360"/>
      </w:pPr>
    </w:lvl>
    <w:lvl w:ilvl="1" w:tplc="9624691A">
      <w:start w:val="1"/>
      <w:numFmt w:val="lowerLetter"/>
      <w:lvlText w:val="%2."/>
      <w:lvlJc w:val="left"/>
      <w:pPr>
        <w:ind w:left="1440" w:hanging="360"/>
      </w:pPr>
    </w:lvl>
    <w:lvl w:ilvl="2" w:tplc="9D28750E">
      <w:start w:val="1"/>
      <w:numFmt w:val="lowerRoman"/>
      <w:lvlText w:val="%3."/>
      <w:lvlJc w:val="right"/>
      <w:pPr>
        <w:ind w:left="2160" w:hanging="180"/>
      </w:pPr>
    </w:lvl>
    <w:lvl w:ilvl="3" w:tplc="0368EC74">
      <w:start w:val="1"/>
      <w:numFmt w:val="decimal"/>
      <w:lvlText w:val="%4."/>
      <w:lvlJc w:val="left"/>
      <w:pPr>
        <w:ind w:left="2880" w:hanging="360"/>
      </w:pPr>
    </w:lvl>
    <w:lvl w:ilvl="4" w:tplc="DC30E056">
      <w:start w:val="1"/>
      <w:numFmt w:val="lowerLetter"/>
      <w:lvlText w:val="%5."/>
      <w:lvlJc w:val="left"/>
      <w:pPr>
        <w:ind w:left="3600" w:hanging="360"/>
      </w:pPr>
    </w:lvl>
    <w:lvl w:ilvl="5" w:tplc="D888890A">
      <w:start w:val="1"/>
      <w:numFmt w:val="lowerRoman"/>
      <w:lvlText w:val="%6."/>
      <w:lvlJc w:val="right"/>
      <w:pPr>
        <w:ind w:left="4320" w:hanging="180"/>
      </w:pPr>
    </w:lvl>
    <w:lvl w:ilvl="6" w:tplc="BC1C2BE6">
      <w:start w:val="1"/>
      <w:numFmt w:val="decimal"/>
      <w:lvlText w:val="%7."/>
      <w:lvlJc w:val="left"/>
      <w:pPr>
        <w:ind w:left="5040" w:hanging="360"/>
      </w:pPr>
    </w:lvl>
    <w:lvl w:ilvl="7" w:tplc="63228234">
      <w:start w:val="1"/>
      <w:numFmt w:val="lowerLetter"/>
      <w:lvlText w:val="%8."/>
      <w:lvlJc w:val="left"/>
      <w:pPr>
        <w:ind w:left="5760" w:hanging="360"/>
      </w:pPr>
    </w:lvl>
    <w:lvl w:ilvl="8" w:tplc="78F4989C">
      <w:start w:val="1"/>
      <w:numFmt w:val="lowerRoman"/>
      <w:lvlText w:val="%9."/>
      <w:lvlJc w:val="right"/>
      <w:pPr>
        <w:ind w:left="6480" w:hanging="180"/>
      </w:pPr>
    </w:lvl>
  </w:abstractNum>
  <w:abstractNum w:abstractNumId="16" w15:restartNumberingAfterBreak="0">
    <w:nsid w:val="7FC462C1"/>
    <w:multiLevelType w:val="hybridMultilevel"/>
    <w:tmpl w:val="939A0C7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1032450">
    <w:abstractNumId w:val="2"/>
  </w:num>
  <w:num w:numId="2" w16cid:durableId="508177269">
    <w:abstractNumId w:val="13"/>
  </w:num>
  <w:num w:numId="3" w16cid:durableId="1406761056">
    <w:abstractNumId w:val="6"/>
  </w:num>
  <w:num w:numId="4" w16cid:durableId="1601067198">
    <w:abstractNumId w:val="7"/>
  </w:num>
  <w:num w:numId="5" w16cid:durableId="1699697059">
    <w:abstractNumId w:val="3"/>
  </w:num>
  <w:num w:numId="6" w16cid:durableId="1076636447">
    <w:abstractNumId w:val="16"/>
  </w:num>
  <w:num w:numId="7" w16cid:durableId="1007176743">
    <w:abstractNumId w:val="4"/>
  </w:num>
  <w:num w:numId="8" w16cid:durableId="708456546">
    <w:abstractNumId w:val="11"/>
  </w:num>
  <w:num w:numId="9" w16cid:durableId="178398680">
    <w:abstractNumId w:val="14"/>
  </w:num>
  <w:num w:numId="10" w16cid:durableId="1386298343">
    <w:abstractNumId w:val="10"/>
  </w:num>
  <w:num w:numId="11" w16cid:durableId="1640841838">
    <w:abstractNumId w:val="5"/>
  </w:num>
  <w:num w:numId="12" w16cid:durableId="1154685217">
    <w:abstractNumId w:val="9"/>
  </w:num>
  <w:num w:numId="13" w16cid:durableId="616369606">
    <w:abstractNumId w:val="12"/>
  </w:num>
  <w:num w:numId="14" w16cid:durableId="1929463632">
    <w:abstractNumId w:val="1"/>
  </w:num>
  <w:num w:numId="15" w16cid:durableId="922421857">
    <w:abstractNumId w:val="15"/>
  </w:num>
  <w:num w:numId="16" w16cid:durableId="1262295129">
    <w:abstractNumId w:val="0"/>
  </w:num>
  <w:num w:numId="17" w16cid:durableId="1532693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F3D"/>
    <w:rsid w:val="00001F64"/>
    <w:rsid w:val="00001FE8"/>
    <w:rsid w:val="00007407"/>
    <w:rsid w:val="00014369"/>
    <w:rsid w:val="00014B15"/>
    <w:rsid w:val="0001506C"/>
    <w:rsid w:val="00017EE7"/>
    <w:rsid w:val="0002015F"/>
    <w:rsid w:val="000219DF"/>
    <w:rsid w:val="00023504"/>
    <w:rsid w:val="00024160"/>
    <w:rsid w:val="00026103"/>
    <w:rsid w:val="000265DC"/>
    <w:rsid w:val="00026979"/>
    <w:rsid w:val="000306DC"/>
    <w:rsid w:val="0003427A"/>
    <w:rsid w:val="000354B1"/>
    <w:rsid w:val="0003682C"/>
    <w:rsid w:val="000377C1"/>
    <w:rsid w:val="00040C64"/>
    <w:rsid w:val="00040F71"/>
    <w:rsid w:val="00041C70"/>
    <w:rsid w:val="00042209"/>
    <w:rsid w:val="00043102"/>
    <w:rsid w:val="00047095"/>
    <w:rsid w:val="00052CAA"/>
    <w:rsid w:val="00053955"/>
    <w:rsid w:val="0005464C"/>
    <w:rsid w:val="00055666"/>
    <w:rsid w:val="00055817"/>
    <w:rsid w:val="000600C3"/>
    <w:rsid w:val="000609AF"/>
    <w:rsid w:val="000617BF"/>
    <w:rsid w:val="00061843"/>
    <w:rsid w:val="000625F4"/>
    <w:rsid w:val="00062F55"/>
    <w:rsid w:val="0006491D"/>
    <w:rsid w:val="000649DF"/>
    <w:rsid w:val="00066408"/>
    <w:rsid w:val="00067466"/>
    <w:rsid w:val="000679FB"/>
    <w:rsid w:val="00067DD3"/>
    <w:rsid w:val="00070B58"/>
    <w:rsid w:val="00075D4E"/>
    <w:rsid w:val="000761B2"/>
    <w:rsid w:val="000778C9"/>
    <w:rsid w:val="0008206E"/>
    <w:rsid w:val="0008293B"/>
    <w:rsid w:val="00082C1A"/>
    <w:rsid w:val="000834CB"/>
    <w:rsid w:val="00084E05"/>
    <w:rsid w:val="0008585B"/>
    <w:rsid w:val="0008647F"/>
    <w:rsid w:val="00086D87"/>
    <w:rsid w:val="000874D4"/>
    <w:rsid w:val="00094177"/>
    <w:rsid w:val="000947B0"/>
    <w:rsid w:val="000957B8"/>
    <w:rsid w:val="00095BC6"/>
    <w:rsid w:val="00096480"/>
    <w:rsid w:val="00096C9B"/>
    <w:rsid w:val="00096EFC"/>
    <w:rsid w:val="00096FC6"/>
    <w:rsid w:val="000A04FD"/>
    <w:rsid w:val="000A48B6"/>
    <w:rsid w:val="000A615A"/>
    <w:rsid w:val="000B0403"/>
    <w:rsid w:val="000B36B9"/>
    <w:rsid w:val="000B3933"/>
    <w:rsid w:val="000B40FC"/>
    <w:rsid w:val="000B55E4"/>
    <w:rsid w:val="000B6CE6"/>
    <w:rsid w:val="000B7C1F"/>
    <w:rsid w:val="000C0CDB"/>
    <w:rsid w:val="000C0EBD"/>
    <w:rsid w:val="000C2E64"/>
    <w:rsid w:val="000C34CC"/>
    <w:rsid w:val="000C6327"/>
    <w:rsid w:val="000D123D"/>
    <w:rsid w:val="000D2445"/>
    <w:rsid w:val="000D2989"/>
    <w:rsid w:val="000D2EAF"/>
    <w:rsid w:val="000D3AC1"/>
    <w:rsid w:val="000D74AD"/>
    <w:rsid w:val="000E0505"/>
    <w:rsid w:val="000E084C"/>
    <w:rsid w:val="000E0F91"/>
    <w:rsid w:val="000E5019"/>
    <w:rsid w:val="000E6302"/>
    <w:rsid w:val="000F3D1C"/>
    <w:rsid w:val="000F5FC6"/>
    <w:rsid w:val="001002A2"/>
    <w:rsid w:val="00101726"/>
    <w:rsid w:val="00101F05"/>
    <w:rsid w:val="00103A01"/>
    <w:rsid w:val="00103DD0"/>
    <w:rsid w:val="001051FE"/>
    <w:rsid w:val="00107AD9"/>
    <w:rsid w:val="00112205"/>
    <w:rsid w:val="0011638B"/>
    <w:rsid w:val="00116F66"/>
    <w:rsid w:val="0012457B"/>
    <w:rsid w:val="00126B9F"/>
    <w:rsid w:val="00127C72"/>
    <w:rsid w:val="001317C8"/>
    <w:rsid w:val="001364F7"/>
    <w:rsid w:val="00141E96"/>
    <w:rsid w:val="00142EC7"/>
    <w:rsid w:val="0014345B"/>
    <w:rsid w:val="00145541"/>
    <w:rsid w:val="00150F67"/>
    <w:rsid w:val="00153FB6"/>
    <w:rsid w:val="00154D4B"/>
    <w:rsid w:val="00160F51"/>
    <w:rsid w:val="00161596"/>
    <w:rsid w:val="001641C6"/>
    <w:rsid w:val="0016503B"/>
    <w:rsid w:val="00165A31"/>
    <w:rsid w:val="0016639F"/>
    <w:rsid w:val="00167B0A"/>
    <w:rsid w:val="00167B9A"/>
    <w:rsid w:val="0017262C"/>
    <w:rsid w:val="00173816"/>
    <w:rsid w:val="001750E6"/>
    <w:rsid w:val="00176AA3"/>
    <w:rsid w:val="00176B21"/>
    <w:rsid w:val="00177566"/>
    <w:rsid w:val="001779C4"/>
    <w:rsid w:val="00180EF9"/>
    <w:rsid w:val="00182550"/>
    <w:rsid w:val="001832A1"/>
    <w:rsid w:val="00183FE7"/>
    <w:rsid w:val="00184E64"/>
    <w:rsid w:val="00184F69"/>
    <w:rsid w:val="001856D0"/>
    <w:rsid w:val="0018632B"/>
    <w:rsid w:val="00186BB0"/>
    <w:rsid w:val="001877A5"/>
    <w:rsid w:val="001877AA"/>
    <w:rsid w:val="00187C62"/>
    <w:rsid w:val="0019056F"/>
    <w:rsid w:val="00190C46"/>
    <w:rsid w:val="00193E56"/>
    <w:rsid w:val="001955FF"/>
    <w:rsid w:val="00195C11"/>
    <w:rsid w:val="00197205"/>
    <w:rsid w:val="001A1906"/>
    <w:rsid w:val="001A271B"/>
    <w:rsid w:val="001A3309"/>
    <w:rsid w:val="001A47AF"/>
    <w:rsid w:val="001A56AB"/>
    <w:rsid w:val="001B41D0"/>
    <w:rsid w:val="001B5513"/>
    <w:rsid w:val="001B6A1C"/>
    <w:rsid w:val="001B6AD6"/>
    <w:rsid w:val="001C1EBE"/>
    <w:rsid w:val="001C2D8E"/>
    <w:rsid w:val="001C38EC"/>
    <w:rsid w:val="001C43BC"/>
    <w:rsid w:val="001C557E"/>
    <w:rsid w:val="001C5A54"/>
    <w:rsid w:val="001C5B22"/>
    <w:rsid w:val="001C6D96"/>
    <w:rsid w:val="001D0813"/>
    <w:rsid w:val="001D3B12"/>
    <w:rsid w:val="001D4996"/>
    <w:rsid w:val="001D63F6"/>
    <w:rsid w:val="001D7191"/>
    <w:rsid w:val="001E1E50"/>
    <w:rsid w:val="001E3182"/>
    <w:rsid w:val="001E328A"/>
    <w:rsid w:val="001E6AF4"/>
    <w:rsid w:val="001F5A37"/>
    <w:rsid w:val="0020074B"/>
    <w:rsid w:val="00201F97"/>
    <w:rsid w:val="00202822"/>
    <w:rsid w:val="002035D5"/>
    <w:rsid w:val="00204230"/>
    <w:rsid w:val="002101DC"/>
    <w:rsid w:val="002123FB"/>
    <w:rsid w:val="00212664"/>
    <w:rsid w:val="002143CF"/>
    <w:rsid w:val="00215054"/>
    <w:rsid w:val="002151A9"/>
    <w:rsid w:val="00215895"/>
    <w:rsid w:val="002168D6"/>
    <w:rsid w:val="00220CE7"/>
    <w:rsid w:val="00221A53"/>
    <w:rsid w:val="00223061"/>
    <w:rsid w:val="00223170"/>
    <w:rsid w:val="00223E11"/>
    <w:rsid w:val="002243E9"/>
    <w:rsid w:val="00226DC1"/>
    <w:rsid w:val="00231BF6"/>
    <w:rsid w:val="00232044"/>
    <w:rsid w:val="00237478"/>
    <w:rsid w:val="00237E4A"/>
    <w:rsid w:val="002403CB"/>
    <w:rsid w:val="002435BA"/>
    <w:rsid w:val="00244724"/>
    <w:rsid w:val="002449DE"/>
    <w:rsid w:val="00245E1D"/>
    <w:rsid w:val="0025008F"/>
    <w:rsid w:val="0025132E"/>
    <w:rsid w:val="00251785"/>
    <w:rsid w:val="002518C2"/>
    <w:rsid w:val="002523E6"/>
    <w:rsid w:val="00252E62"/>
    <w:rsid w:val="002536DD"/>
    <w:rsid w:val="00253C58"/>
    <w:rsid w:val="00257C87"/>
    <w:rsid w:val="00257CA3"/>
    <w:rsid w:val="00260799"/>
    <w:rsid w:val="002624BC"/>
    <w:rsid w:val="0026560E"/>
    <w:rsid w:val="00266D3C"/>
    <w:rsid w:val="00280C0D"/>
    <w:rsid w:val="00282924"/>
    <w:rsid w:val="002831B6"/>
    <w:rsid w:val="00286B01"/>
    <w:rsid w:val="00293440"/>
    <w:rsid w:val="002979BB"/>
    <w:rsid w:val="002A02EA"/>
    <w:rsid w:val="002A0B7F"/>
    <w:rsid w:val="002A1381"/>
    <w:rsid w:val="002A191B"/>
    <w:rsid w:val="002A1C47"/>
    <w:rsid w:val="002A4761"/>
    <w:rsid w:val="002A659C"/>
    <w:rsid w:val="002A7866"/>
    <w:rsid w:val="002B01F4"/>
    <w:rsid w:val="002B0CA1"/>
    <w:rsid w:val="002B5363"/>
    <w:rsid w:val="002C0E71"/>
    <w:rsid w:val="002C1FB7"/>
    <w:rsid w:val="002C2E95"/>
    <w:rsid w:val="002C4B9D"/>
    <w:rsid w:val="002C5A7C"/>
    <w:rsid w:val="002C7A83"/>
    <w:rsid w:val="002D00CB"/>
    <w:rsid w:val="002D07C5"/>
    <w:rsid w:val="002D0AC5"/>
    <w:rsid w:val="002D188C"/>
    <w:rsid w:val="002D3FB0"/>
    <w:rsid w:val="002D435F"/>
    <w:rsid w:val="002D4A8F"/>
    <w:rsid w:val="002D7D0B"/>
    <w:rsid w:val="002E019A"/>
    <w:rsid w:val="002E03E1"/>
    <w:rsid w:val="002E48A3"/>
    <w:rsid w:val="002E6866"/>
    <w:rsid w:val="002E6A25"/>
    <w:rsid w:val="002E6FAD"/>
    <w:rsid w:val="002F2410"/>
    <w:rsid w:val="002F2EB6"/>
    <w:rsid w:val="002F5354"/>
    <w:rsid w:val="002F5491"/>
    <w:rsid w:val="002F5AF5"/>
    <w:rsid w:val="002F7CFA"/>
    <w:rsid w:val="0030003B"/>
    <w:rsid w:val="003009B4"/>
    <w:rsid w:val="00301365"/>
    <w:rsid w:val="00306AD9"/>
    <w:rsid w:val="003129D1"/>
    <w:rsid w:val="0031694B"/>
    <w:rsid w:val="00316BD6"/>
    <w:rsid w:val="00317F26"/>
    <w:rsid w:val="00324DF3"/>
    <w:rsid w:val="00326046"/>
    <w:rsid w:val="0032629A"/>
    <w:rsid w:val="003265D3"/>
    <w:rsid w:val="003272C5"/>
    <w:rsid w:val="00330450"/>
    <w:rsid w:val="00330CD4"/>
    <w:rsid w:val="00331B7F"/>
    <w:rsid w:val="003333F5"/>
    <w:rsid w:val="00335912"/>
    <w:rsid w:val="003375E1"/>
    <w:rsid w:val="00337D92"/>
    <w:rsid w:val="00342A16"/>
    <w:rsid w:val="00342CB1"/>
    <w:rsid w:val="00343E2F"/>
    <w:rsid w:val="0034483D"/>
    <w:rsid w:val="0034652C"/>
    <w:rsid w:val="00346DEA"/>
    <w:rsid w:val="00350118"/>
    <w:rsid w:val="003528F1"/>
    <w:rsid w:val="00352D4E"/>
    <w:rsid w:val="003549ED"/>
    <w:rsid w:val="00354F76"/>
    <w:rsid w:val="00354FB1"/>
    <w:rsid w:val="0035597B"/>
    <w:rsid w:val="00355E0F"/>
    <w:rsid w:val="003572D9"/>
    <w:rsid w:val="003573A7"/>
    <w:rsid w:val="00365012"/>
    <w:rsid w:val="00366F79"/>
    <w:rsid w:val="0036775A"/>
    <w:rsid w:val="00367BFC"/>
    <w:rsid w:val="00367C4E"/>
    <w:rsid w:val="00367FD5"/>
    <w:rsid w:val="00370F3B"/>
    <w:rsid w:val="00371A41"/>
    <w:rsid w:val="0037321C"/>
    <w:rsid w:val="0037445A"/>
    <w:rsid w:val="00375070"/>
    <w:rsid w:val="00375241"/>
    <w:rsid w:val="00376778"/>
    <w:rsid w:val="00380565"/>
    <w:rsid w:val="0038152A"/>
    <w:rsid w:val="00381F8E"/>
    <w:rsid w:val="003823F0"/>
    <w:rsid w:val="00385EC3"/>
    <w:rsid w:val="00386EBD"/>
    <w:rsid w:val="00387212"/>
    <w:rsid w:val="0038737E"/>
    <w:rsid w:val="0039339E"/>
    <w:rsid w:val="00395141"/>
    <w:rsid w:val="003956AE"/>
    <w:rsid w:val="0039693A"/>
    <w:rsid w:val="003A0265"/>
    <w:rsid w:val="003A137E"/>
    <w:rsid w:val="003A1791"/>
    <w:rsid w:val="003A28ED"/>
    <w:rsid w:val="003A2ADF"/>
    <w:rsid w:val="003A5811"/>
    <w:rsid w:val="003B1DC6"/>
    <w:rsid w:val="003B30FD"/>
    <w:rsid w:val="003B4B5E"/>
    <w:rsid w:val="003B739B"/>
    <w:rsid w:val="003B7CDE"/>
    <w:rsid w:val="003C7569"/>
    <w:rsid w:val="003C7E4A"/>
    <w:rsid w:val="003D1804"/>
    <w:rsid w:val="003D1B31"/>
    <w:rsid w:val="003D22CE"/>
    <w:rsid w:val="003D239E"/>
    <w:rsid w:val="003D44DD"/>
    <w:rsid w:val="003D7C5F"/>
    <w:rsid w:val="003E1A47"/>
    <w:rsid w:val="003E25E2"/>
    <w:rsid w:val="003E2777"/>
    <w:rsid w:val="003E3FB2"/>
    <w:rsid w:val="003E72D6"/>
    <w:rsid w:val="003F0923"/>
    <w:rsid w:val="003F0B0A"/>
    <w:rsid w:val="003F107B"/>
    <w:rsid w:val="003F2BC6"/>
    <w:rsid w:val="003F3D8B"/>
    <w:rsid w:val="004007CF"/>
    <w:rsid w:val="00402043"/>
    <w:rsid w:val="00405D7A"/>
    <w:rsid w:val="00406252"/>
    <w:rsid w:val="00407C01"/>
    <w:rsid w:val="00407EBA"/>
    <w:rsid w:val="0041191C"/>
    <w:rsid w:val="0041274A"/>
    <w:rsid w:val="00414920"/>
    <w:rsid w:val="004173E0"/>
    <w:rsid w:val="00420E39"/>
    <w:rsid w:val="004211A0"/>
    <w:rsid w:val="004216C2"/>
    <w:rsid w:val="0042306A"/>
    <w:rsid w:val="004237C8"/>
    <w:rsid w:val="00424903"/>
    <w:rsid w:val="00424F3D"/>
    <w:rsid w:val="004266C4"/>
    <w:rsid w:val="004301CB"/>
    <w:rsid w:val="00430FD0"/>
    <w:rsid w:val="00434807"/>
    <w:rsid w:val="00434A8D"/>
    <w:rsid w:val="00437641"/>
    <w:rsid w:val="004410CB"/>
    <w:rsid w:val="00441676"/>
    <w:rsid w:val="0044215C"/>
    <w:rsid w:val="0044474F"/>
    <w:rsid w:val="00445066"/>
    <w:rsid w:val="004468D9"/>
    <w:rsid w:val="0045032E"/>
    <w:rsid w:val="00450F57"/>
    <w:rsid w:val="004523D8"/>
    <w:rsid w:val="00453AF4"/>
    <w:rsid w:val="00455277"/>
    <w:rsid w:val="00461470"/>
    <w:rsid w:val="0046500E"/>
    <w:rsid w:val="004656F4"/>
    <w:rsid w:val="00465F0B"/>
    <w:rsid w:val="004666E0"/>
    <w:rsid w:val="00466B3C"/>
    <w:rsid w:val="00470251"/>
    <w:rsid w:val="00470BCF"/>
    <w:rsid w:val="00474417"/>
    <w:rsid w:val="004761EB"/>
    <w:rsid w:val="00476C41"/>
    <w:rsid w:val="004779D8"/>
    <w:rsid w:val="004805C2"/>
    <w:rsid w:val="00480E66"/>
    <w:rsid w:val="00484D00"/>
    <w:rsid w:val="00486DF5"/>
    <w:rsid w:val="00487676"/>
    <w:rsid w:val="00487F44"/>
    <w:rsid w:val="00490AD1"/>
    <w:rsid w:val="00492290"/>
    <w:rsid w:val="00494DD5"/>
    <w:rsid w:val="00495BC6"/>
    <w:rsid w:val="00497E38"/>
    <w:rsid w:val="004A14EC"/>
    <w:rsid w:val="004A2BD5"/>
    <w:rsid w:val="004A42F0"/>
    <w:rsid w:val="004A6B1B"/>
    <w:rsid w:val="004A6EC1"/>
    <w:rsid w:val="004A7824"/>
    <w:rsid w:val="004B3246"/>
    <w:rsid w:val="004B3A9E"/>
    <w:rsid w:val="004B3FD5"/>
    <w:rsid w:val="004B404C"/>
    <w:rsid w:val="004B6F3B"/>
    <w:rsid w:val="004C3340"/>
    <w:rsid w:val="004C4BBD"/>
    <w:rsid w:val="004C5551"/>
    <w:rsid w:val="004C560D"/>
    <w:rsid w:val="004C57CF"/>
    <w:rsid w:val="004C5F31"/>
    <w:rsid w:val="004C7464"/>
    <w:rsid w:val="004C796F"/>
    <w:rsid w:val="004D122D"/>
    <w:rsid w:val="004D1A0F"/>
    <w:rsid w:val="004D2B0E"/>
    <w:rsid w:val="004D4458"/>
    <w:rsid w:val="004D551D"/>
    <w:rsid w:val="004D56E0"/>
    <w:rsid w:val="004E023E"/>
    <w:rsid w:val="004E3005"/>
    <w:rsid w:val="004E4464"/>
    <w:rsid w:val="004E5A15"/>
    <w:rsid w:val="004E6561"/>
    <w:rsid w:val="004F12F4"/>
    <w:rsid w:val="004F45F9"/>
    <w:rsid w:val="0050301F"/>
    <w:rsid w:val="005066DD"/>
    <w:rsid w:val="0051356E"/>
    <w:rsid w:val="0051583A"/>
    <w:rsid w:val="00520D1E"/>
    <w:rsid w:val="00521440"/>
    <w:rsid w:val="0052153C"/>
    <w:rsid w:val="00523C7C"/>
    <w:rsid w:val="00523E5C"/>
    <w:rsid w:val="005241AF"/>
    <w:rsid w:val="005302C2"/>
    <w:rsid w:val="0053142E"/>
    <w:rsid w:val="00531869"/>
    <w:rsid w:val="00534FED"/>
    <w:rsid w:val="00535526"/>
    <w:rsid w:val="00541A8E"/>
    <w:rsid w:val="0054437B"/>
    <w:rsid w:val="00546030"/>
    <w:rsid w:val="00547D08"/>
    <w:rsid w:val="00547E8B"/>
    <w:rsid w:val="005501E2"/>
    <w:rsid w:val="00551048"/>
    <w:rsid w:val="00552AAB"/>
    <w:rsid w:val="00553E0D"/>
    <w:rsid w:val="005543A7"/>
    <w:rsid w:val="005607B4"/>
    <w:rsid w:val="005639B7"/>
    <w:rsid w:val="005661FE"/>
    <w:rsid w:val="005718B1"/>
    <w:rsid w:val="005748B1"/>
    <w:rsid w:val="005762B4"/>
    <w:rsid w:val="00576747"/>
    <w:rsid w:val="005773D3"/>
    <w:rsid w:val="00577FB8"/>
    <w:rsid w:val="00581323"/>
    <w:rsid w:val="00581B2B"/>
    <w:rsid w:val="005822D2"/>
    <w:rsid w:val="0058237A"/>
    <w:rsid w:val="00584BAB"/>
    <w:rsid w:val="00586F89"/>
    <w:rsid w:val="00591D95"/>
    <w:rsid w:val="00591F70"/>
    <w:rsid w:val="0059444C"/>
    <w:rsid w:val="0059519F"/>
    <w:rsid w:val="00596813"/>
    <w:rsid w:val="005A48C5"/>
    <w:rsid w:val="005A5536"/>
    <w:rsid w:val="005A6467"/>
    <w:rsid w:val="005A700F"/>
    <w:rsid w:val="005A74FE"/>
    <w:rsid w:val="005A762E"/>
    <w:rsid w:val="005A7DB6"/>
    <w:rsid w:val="005B26D6"/>
    <w:rsid w:val="005B2D59"/>
    <w:rsid w:val="005B671B"/>
    <w:rsid w:val="005C1CC5"/>
    <w:rsid w:val="005C6133"/>
    <w:rsid w:val="005C6FB7"/>
    <w:rsid w:val="005D2945"/>
    <w:rsid w:val="005D422F"/>
    <w:rsid w:val="005D53BE"/>
    <w:rsid w:val="005D68EA"/>
    <w:rsid w:val="005D6F7D"/>
    <w:rsid w:val="005E00F0"/>
    <w:rsid w:val="005E0AED"/>
    <w:rsid w:val="005E1B4F"/>
    <w:rsid w:val="005E2AD3"/>
    <w:rsid w:val="005E4A81"/>
    <w:rsid w:val="005E4C69"/>
    <w:rsid w:val="005E53BB"/>
    <w:rsid w:val="005E55FF"/>
    <w:rsid w:val="005E5DFB"/>
    <w:rsid w:val="005E66F0"/>
    <w:rsid w:val="005F0004"/>
    <w:rsid w:val="005F0B9F"/>
    <w:rsid w:val="005F2156"/>
    <w:rsid w:val="005F2C03"/>
    <w:rsid w:val="005F4412"/>
    <w:rsid w:val="005F4CBB"/>
    <w:rsid w:val="005F4EE2"/>
    <w:rsid w:val="005F5708"/>
    <w:rsid w:val="006016F3"/>
    <w:rsid w:val="006020C0"/>
    <w:rsid w:val="0060434F"/>
    <w:rsid w:val="00604690"/>
    <w:rsid w:val="0060753B"/>
    <w:rsid w:val="006103DA"/>
    <w:rsid w:val="00611324"/>
    <w:rsid w:val="00611737"/>
    <w:rsid w:val="00612D5F"/>
    <w:rsid w:val="00613E11"/>
    <w:rsid w:val="0061621D"/>
    <w:rsid w:val="00616B78"/>
    <w:rsid w:val="00616EBA"/>
    <w:rsid w:val="00620105"/>
    <w:rsid w:val="006205C8"/>
    <w:rsid w:val="006216A6"/>
    <w:rsid w:val="006220C9"/>
    <w:rsid w:val="00627D7B"/>
    <w:rsid w:val="006321B5"/>
    <w:rsid w:val="00633773"/>
    <w:rsid w:val="00634751"/>
    <w:rsid w:val="006357A6"/>
    <w:rsid w:val="0063771F"/>
    <w:rsid w:val="00640853"/>
    <w:rsid w:val="006414F5"/>
    <w:rsid w:val="006416D4"/>
    <w:rsid w:val="0064179C"/>
    <w:rsid w:val="006423AC"/>
    <w:rsid w:val="006427B3"/>
    <w:rsid w:val="006432E2"/>
    <w:rsid w:val="00643803"/>
    <w:rsid w:val="00645E20"/>
    <w:rsid w:val="00656B6B"/>
    <w:rsid w:val="006619E0"/>
    <w:rsid w:val="00667FBF"/>
    <w:rsid w:val="00667FF3"/>
    <w:rsid w:val="00670241"/>
    <w:rsid w:val="006703E9"/>
    <w:rsid w:val="00670590"/>
    <w:rsid w:val="0067155C"/>
    <w:rsid w:val="00671C43"/>
    <w:rsid w:val="00673601"/>
    <w:rsid w:val="00674376"/>
    <w:rsid w:val="00674A58"/>
    <w:rsid w:val="006752D6"/>
    <w:rsid w:val="00676787"/>
    <w:rsid w:val="006773BB"/>
    <w:rsid w:val="00677A4E"/>
    <w:rsid w:val="00677F94"/>
    <w:rsid w:val="006800EC"/>
    <w:rsid w:val="006815E5"/>
    <w:rsid w:val="00681A1B"/>
    <w:rsid w:val="00681C03"/>
    <w:rsid w:val="0068352A"/>
    <w:rsid w:val="00694D87"/>
    <w:rsid w:val="00695D72"/>
    <w:rsid w:val="00696CD6"/>
    <w:rsid w:val="00697067"/>
    <w:rsid w:val="00697351"/>
    <w:rsid w:val="0069739D"/>
    <w:rsid w:val="00697599"/>
    <w:rsid w:val="006A03C8"/>
    <w:rsid w:val="006A0638"/>
    <w:rsid w:val="006A3950"/>
    <w:rsid w:val="006A39B5"/>
    <w:rsid w:val="006A4E8B"/>
    <w:rsid w:val="006A5226"/>
    <w:rsid w:val="006A5FD0"/>
    <w:rsid w:val="006A6069"/>
    <w:rsid w:val="006A61EA"/>
    <w:rsid w:val="006B2248"/>
    <w:rsid w:val="006B4178"/>
    <w:rsid w:val="006B5D36"/>
    <w:rsid w:val="006B77ED"/>
    <w:rsid w:val="006C11C8"/>
    <w:rsid w:val="006C42DE"/>
    <w:rsid w:val="006C6EF6"/>
    <w:rsid w:val="006C7F13"/>
    <w:rsid w:val="006D0698"/>
    <w:rsid w:val="006D14F9"/>
    <w:rsid w:val="006D2516"/>
    <w:rsid w:val="006D3B73"/>
    <w:rsid w:val="006D442D"/>
    <w:rsid w:val="006D5F32"/>
    <w:rsid w:val="006E0718"/>
    <w:rsid w:val="006E2853"/>
    <w:rsid w:val="006E2FB9"/>
    <w:rsid w:val="006E4549"/>
    <w:rsid w:val="006F2E30"/>
    <w:rsid w:val="006F2F3D"/>
    <w:rsid w:val="006F490C"/>
    <w:rsid w:val="006F4C7A"/>
    <w:rsid w:val="006F6C28"/>
    <w:rsid w:val="006F717F"/>
    <w:rsid w:val="0070349A"/>
    <w:rsid w:val="007059D2"/>
    <w:rsid w:val="007063EA"/>
    <w:rsid w:val="007138BF"/>
    <w:rsid w:val="00713EA5"/>
    <w:rsid w:val="0071656A"/>
    <w:rsid w:val="007175F2"/>
    <w:rsid w:val="00723F67"/>
    <w:rsid w:val="00724DB2"/>
    <w:rsid w:val="00726F26"/>
    <w:rsid w:val="0073181C"/>
    <w:rsid w:val="00732407"/>
    <w:rsid w:val="00732675"/>
    <w:rsid w:val="00735D38"/>
    <w:rsid w:val="00736E0F"/>
    <w:rsid w:val="00737AC9"/>
    <w:rsid w:val="00742268"/>
    <w:rsid w:val="0074275A"/>
    <w:rsid w:val="00742E89"/>
    <w:rsid w:val="007434D2"/>
    <w:rsid w:val="0074635F"/>
    <w:rsid w:val="00746B5D"/>
    <w:rsid w:val="0075034D"/>
    <w:rsid w:val="007543B7"/>
    <w:rsid w:val="00755388"/>
    <w:rsid w:val="0075547B"/>
    <w:rsid w:val="007567E3"/>
    <w:rsid w:val="00757D97"/>
    <w:rsid w:val="00765937"/>
    <w:rsid w:val="0076762C"/>
    <w:rsid w:val="00770BAD"/>
    <w:rsid w:val="00771BF9"/>
    <w:rsid w:val="00773D09"/>
    <w:rsid w:val="007771AA"/>
    <w:rsid w:val="00782B2F"/>
    <w:rsid w:val="00785626"/>
    <w:rsid w:val="00786F65"/>
    <w:rsid w:val="0079305A"/>
    <w:rsid w:val="00795302"/>
    <w:rsid w:val="007963AD"/>
    <w:rsid w:val="007971E8"/>
    <w:rsid w:val="007975B8"/>
    <w:rsid w:val="007975F0"/>
    <w:rsid w:val="007A0E93"/>
    <w:rsid w:val="007A2C74"/>
    <w:rsid w:val="007A46B1"/>
    <w:rsid w:val="007A4A04"/>
    <w:rsid w:val="007A517F"/>
    <w:rsid w:val="007A576C"/>
    <w:rsid w:val="007B432B"/>
    <w:rsid w:val="007B4464"/>
    <w:rsid w:val="007B4792"/>
    <w:rsid w:val="007B4851"/>
    <w:rsid w:val="007B7CFC"/>
    <w:rsid w:val="007C0913"/>
    <w:rsid w:val="007C1244"/>
    <w:rsid w:val="007C390D"/>
    <w:rsid w:val="007C3A05"/>
    <w:rsid w:val="007C4F3F"/>
    <w:rsid w:val="007C54B8"/>
    <w:rsid w:val="007C5784"/>
    <w:rsid w:val="007C5FE2"/>
    <w:rsid w:val="007D4FA6"/>
    <w:rsid w:val="007D61A4"/>
    <w:rsid w:val="007D644C"/>
    <w:rsid w:val="007E0068"/>
    <w:rsid w:val="007E136C"/>
    <w:rsid w:val="007E378D"/>
    <w:rsid w:val="007E4682"/>
    <w:rsid w:val="007E568C"/>
    <w:rsid w:val="007F3F76"/>
    <w:rsid w:val="007F683B"/>
    <w:rsid w:val="008002FF"/>
    <w:rsid w:val="00802660"/>
    <w:rsid w:val="00804377"/>
    <w:rsid w:val="00804C46"/>
    <w:rsid w:val="008066D5"/>
    <w:rsid w:val="00812B9E"/>
    <w:rsid w:val="00814879"/>
    <w:rsid w:val="008152CB"/>
    <w:rsid w:val="008173BD"/>
    <w:rsid w:val="008176B9"/>
    <w:rsid w:val="008228D0"/>
    <w:rsid w:val="00824547"/>
    <w:rsid w:val="00824729"/>
    <w:rsid w:val="0083045A"/>
    <w:rsid w:val="00831401"/>
    <w:rsid w:val="0083202F"/>
    <w:rsid w:val="0083246B"/>
    <w:rsid w:val="00833E2D"/>
    <w:rsid w:val="00837E74"/>
    <w:rsid w:val="0084016F"/>
    <w:rsid w:val="00842060"/>
    <w:rsid w:val="00843365"/>
    <w:rsid w:val="00844B67"/>
    <w:rsid w:val="00844EE6"/>
    <w:rsid w:val="00847DC9"/>
    <w:rsid w:val="008501D2"/>
    <w:rsid w:val="00853E01"/>
    <w:rsid w:val="0085506F"/>
    <w:rsid w:val="00863252"/>
    <w:rsid w:val="008642D6"/>
    <w:rsid w:val="008647A1"/>
    <w:rsid w:val="008708EF"/>
    <w:rsid w:val="008721BA"/>
    <w:rsid w:val="008725F7"/>
    <w:rsid w:val="00873747"/>
    <w:rsid w:val="00875348"/>
    <w:rsid w:val="008766A4"/>
    <w:rsid w:val="00876F0E"/>
    <w:rsid w:val="00877556"/>
    <w:rsid w:val="00877794"/>
    <w:rsid w:val="00877C84"/>
    <w:rsid w:val="008829FD"/>
    <w:rsid w:val="0088377E"/>
    <w:rsid w:val="008854B3"/>
    <w:rsid w:val="00886855"/>
    <w:rsid w:val="00886CDB"/>
    <w:rsid w:val="00887CDF"/>
    <w:rsid w:val="0089105E"/>
    <w:rsid w:val="008929D1"/>
    <w:rsid w:val="008945DE"/>
    <w:rsid w:val="00894624"/>
    <w:rsid w:val="00894E64"/>
    <w:rsid w:val="00895078"/>
    <w:rsid w:val="00895FBB"/>
    <w:rsid w:val="008A0510"/>
    <w:rsid w:val="008A06AC"/>
    <w:rsid w:val="008A1B80"/>
    <w:rsid w:val="008A29BF"/>
    <w:rsid w:val="008A2F99"/>
    <w:rsid w:val="008A33FE"/>
    <w:rsid w:val="008A3656"/>
    <w:rsid w:val="008A55CD"/>
    <w:rsid w:val="008B3BC2"/>
    <w:rsid w:val="008B4F79"/>
    <w:rsid w:val="008B71BF"/>
    <w:rsid w:val="008B76BB"/>
    <w:rsid w:val="008C1021"/>
    <w:rsid w:val="008C1671"/>
    <w:rsid w:val="008C6843"/>
    <w:rsid w:val="008D2E45"/>
    <w:rsid w:val="008D30ED"/>
    <w:rsid w:val="008D7214"/>
    <w:rsid w:val="008D7237"/>
    <w:rsid w:val="008E349F"/>
    <w:rsid w:val="008E440C"/>
    <w:rsid w:val="008E49BC"/>
    <w:rsid w:val="008E5CC5"/>
    <w:rsid w:val="008E75B5"/>
    <w:rsid w:val="008F0758"/>
    <w:rsid w:val="008F1412"/>
    <w:rsid w:val="00900420"/>
    <w:rsid w:val="00902919"/>
    <w:rsid w:val="00907025"/>
    <w:rsid w:val="00907D84"/>
    <w:rsid w:val="0091024B"/>
    <w:rsid w:val="009104BA"/>
    <w:rsid w:val="0091107B"/>
    <w:rsid w:val="009113C8"/>
    <w:rsid w:val="009133D2"/>
    <w:rsid w:val="00913986"/>
    <w:rsid w:val="00916A41"/>
    <w:rsid w:val="00916D31"/>
    <w:rsid w:val="00917113"/>
    <w:rsid w:val="00917915"/>
    <w:rsid w:val="009250CD"/>
    <w:rsid w:val="009257BF"/>
    <w:rsid w:val="00925E1C"/>
    <w:rsid w:val="00925F57"/>
    <w:rsid w:val="009276FA"/>
    <w:rsid w:val="00930CE9"/>
    <w:rsid w:val="00934CE3"/>
    <w:rsid w:val="00936012"/>
    <w:rsid w:val="009369D5"/>
    <w:rsid w:val="00936E58"/>
    <w:rsid w:val="00940F06"/>
    <w:rsid w:val="009430BE"/>
    <w:rsid w:val="00944B80"/>
    <w:rsid w:val="00945C46"/>
    <w:rsid w:val="00946D78"/>
    <w:rsid w:val="009473C7"/>
    <w:rsid w:val="0095386A"/>
    <w:rsid w:val="00954CC6"/>
    <w:rsid w:val="00955247"/>
    <w:rsid w:val="00955874"/>
    <w:rsid w:val="00955B1B"/>
    <w:rsid w:val="00956503"/>
    <w:rsid w:val="009567F3"/>
    <w:rsid w:val="00957A83"/>
    <w:rsid w:val="00960C49"/>
    <w:rsid w:val="009723A4"/>
    <w:rsid w:val="0097445E"/>
    <w:rsid w:val="0097515B"/>
    <w:rsid w:val="00976230"/>
    <w:rsid w:val="00976F09"/>
    <w:rsid w:val="00982139"/>
    <w:rsid w:val="00984DE8"/>
    <w:rsid w:val="0098619F"/>
    <w:rsid w:val="009864BB"/>
    <w:rsid w:val="009902AA"/>
    <w:rsid w:val="0099301B"/>
    <w:rsid w:val="0099523A"/>
    <w:rsid w:val="0099745F"/>
    <w:rsid w:val="009977D1"/>
    <w:rsid w:val="00997CF5"/>
    <w:rsid w:val="009A1EAA"/>
    <w:rsid w:val="009A1EE8"/>
    <w:rsid w:val="009A40DA"/>
    <w:rsid w:val="009A609C"/>
    <w:rsid w:val="009A6AF8"/>
    <w:rsid w:val="009B0739"/>
    <w:rsid w:val="009B073C"/>
    <w:rsid w:val="009B3A00"/>
    <w:rsid w:val="009B408A"/>
    <w:rsid w:val="009B7099"/>
    <w:rsid w:val="009C0B6B"/>
    <w:rsid w:val="009C288C"/>
    <w:rsid w:val="009C4597"/>
    <w:rsid w:val="009C6DCF"/>
    <w:rsid w:val="009D0370"/>
    <w:rsid w:val="009D13BC"/>
    <w:rsid w:val="009D169D"/>
    <w:rsid w:val="009D180C"/>
    <w:rsid w:val="009D199E"/>
    <w:rsid w:val="009D2A53"/>
    <w:rsid w:val="009D32BA"/>
    <w:rsid w:val="009D6229"/>
    <w:rsid w:val="009D6BC1"/>
    <w:rsid w:val="009E11D3"/>
    <w:rsid w:val="009E2AAB"/>
    <w:rsid w:val="009E2FED"/>
    <w:rsid w:val="009E309D"/>
    <w:rsid w:val="009E4C3F"/>
    <w:rsid w:val="009E5D0B"/>
    <w:rsid w:val="009E666A"/>
    <w:rsid w:val="009E6D65"/>
    <w:rsid w:val="009E7426"/>
    <w:rsid w:val="009F52A5"/>
    <w:rsid w:val="009F67FD"/>
    <w:rsid w:val="00A00460"/>
    <w:rsid w:val="00A00586"/>
    <w:rsid w:val="00A04290"/>
    <w:rsid w:val="00A04AA1"/>
    <w:rsid w:val="00A04E33"/>
    <w:rsid w:val="00A0769E"/>
    <w:rsid w:val="00A07EC4"/>
    <w:rsid w:val="00A10E5D"/>
    <w:rsid w:val="00A1674B"/>
    <w:rsid w:val="00A16A11"/>
    <w:rsid w:val="00A16C7E"/>
    <w:rsid w:val="00A204E6"/>
    <w:rsid w:val="00A20EB0"/>
    <w:rsid w:val="00A22203"/>
    <w:rsid w:val="00A24798"/>
    <w:rsid w:val="00A27C77"/>
    <w:rsid w:val="00A31D5C"/>
    <w:rsid w:val="00A337EF"/>
    <w:rsid w:val="00A35679"/>
    <w:rsid w:val="00A361EA"/>
    <w:rsid w:val="00A37643"/>
    <w:rsid w:val="00A4201C"/>
    <w:rsid w:val="00A42B49"/>
    <w:rsid w:val="00A43486"/>
    <w:rsid w:val="00A44AA7"/>
    <w:rsid w:val="00A46395"/>
    <w:rsid w:val="00A50F25"/>
    <w:rsid w:val="00A52D4A"/>
    <w:rsid w:val="00A54C9B"/>
    <w:rsid w:val="00A60A48"/>
    <w:rsid w:val="00A63A80"/>
    <w:rsid w:val="00A64F1E"/>
    <w:rsid w:val="00A65E0A"/>
    <w:rsid w:val="00A66878"/>
    <w:rsid w:val="00A70059"/>
    <w:rsid w:val="00A742DA"/>
    <w:rsid w:val="00A769AB"/>
    <w:rsid w:val="00A775B6"/>
    <w:rsid w:val="00A77C3E"/>
    <w:rsid w:val="00A82382"/>
    <w:rsid w:val="00A83481"/>
    <w:rsid w:val="00A926D9"/>
    <w:rsid w:val="00A93FD6"/>
    <w:rsid w:val="00A94C15"/>
    <w:rsid w:val="00A95081"/>
    <w:rsid w:val="00A9591B"/>
    <w:rsid w:val="00AA2262"/>
    <w:rsid w:val="00AA49CA"/>
    <w:rsid w:val="00AA5809"/>
    <w:rsid w:val="00AA6366"/>
    <w:rsid w:val="00AB2CFD"/>
    <w:rsid w:val="00AB31CD"/>
    <w:rsid w:val="00AB4047"/>
    <w:rsid w:val="00AC0BAE"/>
    <w:rsid w:val="00AC1BC2"/>
    <w:rsid w:val="00AC2D4C"/>
    <w:rsid w:val="00AC3A8C"/>
    <w:rsid w:val="00AC7685"/>
    <w:rsid w:val="00AD01EE"/>
    <w:rsid w:val="00AD04DB"/>
    <w:rsid w:val="00AD22A3"/>
    <w:rsid w:val="00AD27C9"/>
    <w:rsid w:val="00AD3596"/>
    <w:rsid w:val="00AD3FDF"/>
    <w:rsid w:val="00AD456F"/>
    <w:rsid w:val="00AD4C4B"/>
    <w:rsid w:val="00AD6138"/>
    <w:rsid w:val="00AE05CB"/>
    <w:rsid w:val="00AE3DA3"/>
    <w:rsid w:val="00AE6807"/>
    <w:rsid w:val="00AF1583"/>
    <w:rsid w:val="00AF3019"/>
    <w:rsid w:val="00AF3754"/>
    <w:rsid w:val="00AF3FE9"/>
    <w:rsid w:val="00AF56D5"/>
    <w:rsid w:val="00B02876"/>
    <w:rsid w:val="00B05BD3"/>
    <w:rsid w:val="00B078F3"/>
    <w:rsid w:val="00B11A4A"/>
    <w:rsid w:val="00B13A93"/>
    <w:rsid w:val="00B147B8"/>
    <w:rsid w:val="00B1599D"/>
    <w:rsid w:val="00B16113"/>
    <w:rsid w:val="00B1640B"/>
    <w:rsid w:val="00B17A63"/>
    <w:rsid w:val="00B207D4"/>
    <w:rsid w:val="00B21A1D"/>
    <w:rsid w:val="00B23810"/>
    <w:rsid w:val="00B25DA6"/>
    <w:rsid w:val="00B2781F"/>
    <w:rsid w:val="00B3075F"/>
    <w:rsid w:val="00B337FE"/>
    <w:rsid w:val="00B33A56"/>
    <w:rsid w:val="00B37AFF"/>
    <w:rsid w:val="00B429C7"/>
    <w:rsid w:val="00B4318A"/>
    <w:rsid w:val="00B46EF1"/>
    <w:rsid w:val="00B50897"/>
    <w:rsid w:val="00B5201F"/>
    <w:rsid w:val="00B528C6"/>
    <w:rsid w:val="00B610E9"/>
    <w:rsid w:val="00B61CC9"/>
    <w:rsid w:val="00B62424"/>
    <w:rsid w:val="00B64E96"/>
    <w:rsid w:val="00B65E4B"/>
    <w:rsid w:val="00B66434"/>
    <w:rsid w:val="00B66AB5"/>
    <w:rsid w:val="00B67C3B"/>
    <w:rsid w:val="00B709DF"/>
    <w:rsid w:val="00B70B61"/>
    <w:rsid w:val="00B712E5"/>
    <w:rsid w:val="00B72CB0"/>
    <w:rsid w:val="00B75615"/>
    <w:rsid w:val="00B83E0E"/>
    <w:rsid w:val="00B83E28"/>
    <w:rsid w:val="00B84E3B"/>
    <w:rsid w:val="00B907A9"/>
    <w:rsid w:val="00B9104D"/>
    <w:rsid w:val="00B915EC"/>
    <w:rsid w:val="00B9376C"/>
    <w:rsid w:val="00B97046"/>
    <w:rsid w:val="00B97A9D"/>
    <w:rsid w:val="00B97DD3"/>
    <w:rsid w:val="00BA55BC"/>
    <w:rsid w:val="00BA60F1"/>
    <w:rsid w:val="00BA699B"/>
    <w:rsid w:val="00BB27DD"/>
    <w:rsid w:val="00BB3993"/>
    <w:rsid w:val="00BB6574"/>
    <w:rsid w:val="00BB6677"/>
    <w:rsid w:val="00BB7AEB"/>
    <w:rsid w:val="00BC0373"/>
    <w:rsid w:val="00BC03AD"/>
    <w:rsid w:val="00BC0F41"/>
    <w:rsid w:val="00BC134C"/>
    <w:rsid w:val="00BC3A84"/>
    <w:rsid w:val="00BC3DB1"/>
    <w:rsid w:val="00BC51C5"/>
    <w:rsid w:val="00BC69EA"/>
    <w:rsid w:val="00BD1C9F"/>
    <w:rsid w:val="00BD1D03"/>
    <w:rsid w:val="00BD20EA"/>
    <w:rsid w:val="00BD64C5"/>
    <w:rsid w:val="00BD72A4"/>
    <w:rsid w:val="00BE13DC"/>
    <w:rsid w:val="00BE1928"/>
    <w:rsid w:val="00BE2A53"/>
    <w:rsid w:val="00BE5525"/>
    <w:rsid w:val="00BE61EF"/>
    <w:rsid w:val="00BF36A1"/>
    <w:rsid w:val="00BF518B"/>
    <w:rsid w:val="00BF6494"/>
    <w:rsid w:val="00BF6B53"/>
    <w:rsid w:val="00BF6BB3"/>
    <w:rsid w:val="00C057C3"/>
    <w:rsid w:val="00C06332"/>
    <w:rsid w:val="00C06BED"/>
    <w:rsid w:val="00C07AEC"/>
    <w:rsid w:val="00C07B0F"/>
    <w:rsid w:val="00C11204"/>
    <w:rsid w:val="00C13E7A"/>
    <w:rsid w:val="00C13EBF"/>
    <w:rsid w:val="00C14516"/>
    <w:rsid w:val="00C149A1"/>
    <w:rsid w:val="00C16889"/>
    <w:rsid w:val="00C169C7"/>
    <w:rsid w:val="00C243DA"/>
    <w:rsid w:val="00C24857"/>
    <w:rsid w:val="00C24F5D"/>
    <w:rsid w:val="00C25577"/>
    <w:rsid w:val="00C36461"/>
    <w:rsid w:val="00C37434"/>
    <w:rsid w:val="00C402BD"/>
    <w:rsid w:val="00C42880"/>
    <w:rsid w:val="00C45AA6"/>
    <w:rsid w:val="00C45BC9"/>
    <w:rsid w:val="00C45FA1"/>
    <w:rsid w:val="00C4610E"/>
    <w:rsid w:val="00C4679E"/>
    <w:rsid w:val="00C46C4E"/>
    <w:rsid w:val="00C46E30"/>
    <w:rsid w:val="00C4742D"/>
    <w:rsid w:val="00C4789A"/>
    <w:rsid w:val="00C509B4"/>
    <w:rsid w:val="00C517AD"/>
    <w:rsid w:val="00C519A7"/>
    <w:rsid w:val="00C51C7D"/>
    <w:rsid w:val="00C542CA"/>
    <w:rsid w:val="00C63065"/>
    <w:rsid w:val="00C63287"/>
    <w:rsid w:val="00C6462E"/>
    <w:rsid w:val="00C64CD9"/>
    <w:rsid w:val="00C6608B"/>
    <w:rsid w:val="00C6742E"/>
    <w:rsid w:val="00C676EA"/>
    <w:rsid w:val="00C715DF"/>
    <w:rsid w:val="00C71AD3"/>
    <w:rsid w:val="00C80C3C"/>
    <w:rsid w:val="00C8236F"/>
    <w:rsid w:val="00C832D9"/>
    <w:rsid w:val="00C84223"/>
    <w:rsid w:val="00C853DB"/>
    <w:rsid w:val="00C85E0D"/>
    <w:rsid w:val="00C86BC7"/>
    <w:rsid w:val="00C915A9"/>
    <w:rsid w:val="00C9270D"/>
    <w:rsid w:val="00C94BE4"/>
    <w:rsid w:val="00C96141"/>
    <w:rsid w:val="00C9779C"/>
    <w:rsid w:val="00CA06A7"/>
    <w:rsid w:val="00CA476E"/>
    <w:rsid w:val="00CA5982"/>
    <w:rsid w:val="00CA5DD3"/>
    <w:rsid w:val="00CA6B89"/>
    <w:rsid w:val="00CB0694"/>
    <w:rsid w:val="00CB07BC"/>
    <w:rsid w:val="00CB1994"/>
    <w:rsid w:val="00CB662E"/>
    <w:rsid w:val="00CC21C4"/>
    <w:rsid w:val="00CC64C1"/>
    <w:rsid w:val="00CD01FC"/>
    <w:rsid w:val="00CD2713"/>
    <w:rsid w:val="00CE31E3"/>
    <w:rsid w:val="00CE4990"/>
    <w:rsid w:val="00CF06CF"/>
    <w:rsid w:val="00CF129D"/>
    <w:rsid w:val="00CF1D0C"/>
    <w:rsid w:val="00CF71F4"/>
    <w:rsid w:val="00CF757C"/>
    <w:rsid w:val="00CF76B3"/>
    <w:rsid w:val="00CF7AB8"/>
    <w:rsid w:val="00D02484"/>
    <w:rsid w:val="00D049E8"/>
    <w:rsid w:val="00D07A04"/>
    <w:rsid w:val="00D12688"/>
    <w:rsid w:val="00D15517"/>
    <w:rsid w:val="00D16801"/>
    <w:rsid w:val="00D2097F"/>
    <w:rsid w:val="00D24E7C"/>
    <w:rsid w:val="00D253F6"/>
    <w:rsid w:val="00D25833"/>
    <w:rsid w:val="00D30137"/>
    <w:rsid w:val="00D355BF"/>
    <w:rsid w:val="00D35C25"/>
    <w:rsid w:val="00D410FD"/>
    <w:rsid w:val="00D41B55"/>
    <w:rsid w:val="00D536FB"/>
    <w:rsid w:val="00D53706"/>
    <w:rsid w:val="00D55D35"/>
    <w:rsid w:val="00D600F4"/>
    <w:rsid w:val="00D60C2D"/>
    <w:rsid w:val="00D62B45"/>
    <w:rsid w:val="00D65781"/>
    <w:rsid w:val="00D66418"/>
    <w:rsid w:val="00D70181"/>
    <w:rsid w:val="00D70487"/>
    <w:rsid w:val="00D714B4"/>
    <w:rsid w:val="00D76117"/>
    <w:rsid w:val="00D7657A"/>
    <w:rsid w:val="00D76616"/>
    <w:rsid w:val="00D771A7"/>
    <w:rsid w:val="00D77C69"/>
    <w:rsid w:val="00D81112"/>
    <w:rsid w:val="00D8211F"/>
    <w:rsid w:val="00D83C0F"/>
    <w:rsid w:val="00D85B0C"/>
    <w:rsid w:val="00D86A1A"/>
    <w:rsid w:val="00D87192"/>
    <w:rsid w:val="00DA0B9E"/>
    <w:rsid w:val="00DA0C5A"/>
    <w:rsid w:val="00DA37B4"/>
    <w:rsid w:val="00DA67EF"/>
    <w:rsid w:val="00DB29E2"/>
    <w:rsid w:val="00DB3C98"/>
    <w:rsid w:val="00DB512D"/>
    <w:rsid w:val="00DB6E77"/>
    <w:rsid w:val="00DC0F88"/>
    <w:rsid w:val="00DC2395"/>
    <w:rsid w:val="00DC2D25"/>
    <w:rsid w:val="00DC4C45"/>
    <w:rsid w:val="00DC4CB3"/>
    <w:rsid w:val="00DC4F66"/>
    <w:rsid w:val="00DD23E1"/>
    <w:rsid w:val="00DD29FD"/>
    <w:rsid w:val="00DD2DA8"/>
    <w:rsid w:val="00DD3645"/>
    <w:rsid w:val="00DD71E7"/>
    <w:rsid w:val="00DD7552"/>
    <w:rsid w:val="00DE1B76"/>
    <w:rsid w:val="00DE1E3C"/>
    <w:rsid w:val="00DE5952"/>
    <w:rsid w:val="00DE744C"/>
    <w:rsid w:val="00DF098F"/>
    <w:rsid w:val="00DF210D"/>
    <w:rsid w:val="00DF3A2C"/>
    <w:rsid w:val="00DF47C9"/>
    <w:rsid w:val="00DF4B5F"/>
    <w:rsid w:val="00DF5C08"/>
    <w:rsid w:val="00DF5F2A"/>
    <w:rsid w:val="00DF6E7B"/>
    <w:rsid w:val="00DF7DDA"/>
    <w:rsid w:val="00E00813"/>
    <w:rsid w:val="00E00E05"/>
    <w:rsid w:val="00E02768"/>
    <w:rsid w:val="00E03B83"/>
    <w:rsid w:val="00E06D5B"/>
    <w:rsid w:val="00E10160"/>
    <w:rsid w:val="00E139E6"/>
    <w:rsid w:val="00E23344"/>
    <w:rsid w:val="00E24741"/>
    <w:rsid w:val="00E24AAA"/>
    <w:rsid w:val="00E24B02"/>
    <w:rsid w:val="00E256FB"/>
    <w:rsid w:val="00E25F63"/>
    <w:rsid w:val="00E2659E"/>
    <w:rsid w:val="00E26C3C"/>
    <w:rsid w:val="00E3036C"/>
    <w:rsid w:val="00E32BFD"/>
    <w:rsid w:val="00E33D83"/>
    <w:rsid w:val="00E34BCC"/>
    <w:rsid w:val="00E35A15"/>
    <w:rsid w:val="00E35B54"/>
    <w:rsid w:val="00E368F2"/>
    <w:rsid w:val="00E36BD8"/>
    <w:rsid w:val="00E374AC"/>
    <w:rsid w:val="00E40706"/>
    <w:rsid w:val="00E43847"/>
    <w:rsid w:val="00E44576"/>
    <w:rsid w:val="00E45811"/>
    <w:rsid w:val="00E45AC5"/>
    <w:rsid w:val="00E46E13"/>
    <w:rsid w:val="00E502F7"/>
    <w:rsid w:val="00E56B2D"/>
    <w:rsid w:val="00E56DE3"/>
    <w:rsid w:val="00E62C54"/>
    <w:rsid w:val="00E6347F"/>
    <w:rsid w:val="00E65BAE"/>
    <w:rsid w:val="00E66F35"/>
    <w:rsid w:val="00E676BD"/>
    <w:rsid w:val="00E70085"/>
    <w:rsid w:val="00E709CE"/>
    <w:rsid w:val="00E70CEF"/>
    <w:rsid w:val="00E7153D"/>
    <w:rsid w:val="00E738EC"/>
    <w:rsid w:val="00E74CE6"/>
    <w:rsid w:val="00E7664A"/>
    <w:rsid w:val="00E766DD"/>
    <w:rsid w:val="00E81011"/>
    <w:rsid w:val="00E8156E"/>
    <w:rsid w:val="00E91B37"/>
    <w:rsid w:val="00E9252F"/>
    <w:rsid w:val="00E937B4"/>
    <w:rsid w:val="00E947B6"/>
    <w:rsid w:val="00E971F9"/>
    <w:rsid w:val="00EA229B"/>
    <w:rsid w:val="00EA2604"/>
    <w:rsid w:val="00EA3983"/>
    <w:rsid w:val="00EA5890"/>
    <w:rsid w:val="00EA7BA8"/>
    <w:rsid w:val="00EB6AD6"/>
    <w:rsid w:val="00EC152C"/>
    <w:rsid w:val="00EC2EBA"/>
    <w:rsid w:val="00EC349A"/>
    <w:rsid w:val="00EC3AF5"/>
    <w:rsid w:val="00EC5017"/>
    <w:rsid w:val="00EC5EE0"/>
    <w:rsid w:val="00EC7F99"/>
    <w:rsid w:val="00ED00DC"/>
    <w:rsid w:val="00ED1098"/>
    <w:rsid w:val="00ED1333"/>
    <w:rsid w:val="00EE1A75"/>
    <w:rsid w:val="00EE6D8D"/>
    <w:rsid w:val="00EF016C"/>
    <w:rsid w:val="00EF1270"/>
    <w:rsid w:val="00EF1A4F"/>
    <w:rsid w:val="00EF31B3"/>
    <w:rsid w:val="00EF4A3D"/>
    <w:rsid w:val="00EF6306"/>
    <w:rsid w:val="00F01788"/>
    <w:rsid w:val="00F031D8"/>
    <w:rsid w:val="00F054E2"/>
    <w:rsid w:val="00F0617A"/>
    <w:rsid w:val="00F072B7"/>
    <w:rsid w:val="00F072EE"/>
    <w:rsid w:val="00F07C70"/>
    <w:rsid w:val="00F07D7D"/>
    <w:rsid w:val="00F10122"/>
    <w:rsid w:val="00F1060F"/>
    <w:rsid w:val="00F10967"/>
    <w:rsid w:val="00F10E8B"/>
    <w:rsid w:val="00F114E1"/>
    <w:rsid w:val="00F116F4"/>
    <w:rsid w:val="00F123CC"/>
    <w:rsid w:val="00F1456D"/>
    <w:rsid w:val="00F14DEA"/>
    <w:rsid w:val="00F14FD4"/>
    <w:rsid w:val="00F16C99"/>
    <w:rsid w:val="00F171CA"/>
    <w:rsid w:val="00F17567"/>
    <w:rsid w:val="00F20608"/>
    <w:rsid w:val="00F2078A"/>
    <w:rsid w:val="00F23BED"/>
    <w:rsid w:val="00F25022"/>
    <w:rsid w:val="00F27014"/>
    <w:rsid w:val="00F3363E"/>
    <w:rsid w:val="00F34099"/>
    <w:rsid w:val="00F3489A"/>
    <w:rsid w:val="00F3685E"/>
    <w:rsid w:val="00F42524"/>
    <w:rsid w:val="00F538F4"/>
    <w:rsid w:val="00F54EAC"/>
    <w:rsid w:val="00F55A7C"/>
    <w:rsid w:val="00F569A3"/>
    <w:rsid w:val="00F5753F"/>
    <w:rsid w:val="00F62D63"/>
    <w:rsid w:val="00F64061"/>
    <w:rsid w:val="00F64FB7"/>
    <w:rsid w:val="00F65D78"/>
    <w:rsid w:val="00F70A68"/>
    <w:rsid w:val="00F71ECF"/>
    <w:rsid w:val="00F73A8F"/>
    <w:rsid w:val="00F74B53"/>
    <w:rsid w:val="00F750FA"/>
    <w:rsid w:val="00F75677"/>
    <w:rsid w:val="00F818A0"/>
    <w:rsid w:val="00F845C7"/>
    <w:rsid w:val="00F84E76"/>
    <w:rsid w:val="00F87D26"/>
    <w:rsid w:val="00F9169D"/>
    <w:rsid w:val="00F91B29"/>
    <w:rsid w:val="00F94888"/>
    <w:rsid w:val="00F94AB5"/>
    <w:rsid w:val="00F94EE6"/>
    <w:rsid w:val="00FA17D5"/>
    <w:rsid w:val="00FA4643"/>
    <w:rsid w:val="00FA51A0"/>
    <w:rsid w:val="00FB0C93"/>
    <w:rsid w:val="00FB1B0C"/>
    <w:rsid w:val="00FB5232"/>
    <w:rsid w:val="00FB7F85"/>
    <w:rsid w:val="00FC01C7"/>
    <w:rsid w:val="00FC2071"/>
    <w:rsid w:val="00FC264D"/>
    <w:rsid w:val="00FC2FC1"/>
    <w:rsid w:val="00FC32A1"/>
    <w:rsid w:val="00FC4D05"/>
    <w:rsid w:val="00FC6194"/>
    <w:rsid w:val="00FC75D6"/>
    <w:rsid w:val="00FD287B"/>
    <w:rsid w:val="00FD45E0"/>
    <w:rsid w:val="00FD5EF5"/>
    <w:rsid w:val="00FD6942"/>
    <w:rsid w:val="00FD7D5B"/>
    <w:rsid w:val="00FE0DCA"/>
    <w:rsid w:val="00FE2A49"/>
    <w:rsid w:val="00FE2CEF"/>
    <w:rsid w:val="00FE4002"/>
    <w:rsid w:val="00FE5A6F"/>
    <w:rsid w:val="00FE7A0C"/>
    <w:rsid w:val="00FE7B6A"/>
    <w:rsid w:val="00FE7DD9"/>
    <w:rsid w:val="00FF007C"/>
    <w:rsid w:val="00FF1B94"/>
    <w:rsid w:val="00FF2BD3"/>
    <w:rsid w:val="00FF5018"/>
    <w:rsid w:val="00FF6A6A"/>
    <w:rsid w:val="00FF6E05"/>
    <w:rsid w:val="00FF7149"/>
    <w:rsid w:val="06F6C798"/>
    <w:rsid w:val="09C1B930"/>
    <w:rsid w:val="0C7DD9CC"/>
    <w:rsid w:val="0E8968F7"/>
    <w:rsid w:val="0FD5463E"/>
    <w:rsid w:val="1C9D7522"/>
    <w:rsid w:val="1CC386B1"/>
    <w:rsid w:val="1CE60C0F"/>
    <w:rsid w:val="1E0D9715"/>
    <w:rsid w:val="1F9708E6"/>
    <w:rsid w:val="238A3327"/>
    <w:rsid w:val="2FB92556"/>
    <w:rsid w:val="34319E5B"/>
    <w:rsid w:val="373A5F88"/>
    <w:rsid w:val="4EE46B2F"/>
    <w:rsid w:val="5C7E7A14"/>
    <w:rsid w:val="5DA52C78"/>
    <w:rsid w:val="690DEE93"/>
    <w:rsid w:val="6F5B464E"/>
    <w:rsid w:val="720126EF"/>
    <w:rsid w:val="72DE840C"/>
    <w:rsid w:val="79501162"/>
    <w:rsid w:val="7C453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5C376F"/>
  <w15:docId w15:val="{63497987-D196-4736-BAB0-C140BC7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FootnoteText">
    <w:name w:val="footnote text"/>
    <w:basedOn w:val="Normal"/>
    <w:link w:val="FootnoteTextChar"/>
    <w:uiPriority w:val="99"/>
    <w:semiHidden/>
    <w:unhideWhenUsed/>
    <w:rsid w:val="009A609C"/>
    <w:pPr>
      <w:spacing w:before="0" w:after="0"/>
    </w:pPr>
  </w:style>
  <w:style w:type="character" w:customStyle="1" w:styleId="FootnoteTextChar">
    <w:name w:val="Footnote Text Char"/>
    <w:basedOn w:val="DefaultParagraphFont"/>
    <w:link w:val="FootnoteText"/>
    <w:uiPriority w:val="99"/>
    <w:semiHidden/>
    <w:rsid w:val="009A609C"/>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9A609C"/>
    <w:rPr>
      <w:vertAlign w:val="superscript"/>
    </w:rPr>
  </w:style>
  <w:style w:type="character" w:styleId="Hyperlink">
    <w:name w:val="Hyperlink"/>
    <w:basedOn w:val="DefaultParagraphFont"/>
    <w:uiPriority w:val="99"/>
    <w:unhideWhenUsed/>
    <w:rsid w:val="009A609C"/>
    <w:rPr>
      <w:color w:val="0000FF" w:themeColor="hyperlink"/>
      <w:u w:val="single"/>
    </w:rPr>
  </w:style>
  <w:style w:type="character" w:styleId="UnresolvedMention">
    <w:name w:val="Unresolved Mention"/>
    <w:basedOn w:val="DefaultParagraphFont"/>
    <w:uiPriority w:val="99"/>
    <w:semiHidden/>
    <w:unhideWhenUsed/>
    <w:rsid w:val="009A609C"/>
    <w:rPr>
      <w:color w:val="605E5C"/>
      <w:shd w:val="clear" w:color="auto" w:fill="E1DFDD"/>
    </w:rPr>
  </w:style>
  <w:style w:type="character" w:styleId="CommentReference">
    <w:name w:val="annotation reference"/>
    <w:basedOn w:val="DefaultParagraphFont"/>
    <w:uiPriority w:val="99"/>
    <w:semiHidden/>
    <w:unhideWhenUsed/>
    <w:rsid w:val="00420E39"/>
    <w:rPr>
      <w:sz w:val="16"/>
      <w:szCs w:val="16"/>
    </w:rPr>
  </w:style>
  <w:style w:type="paragraph" w:styleId="CommentText">
    <w:name w:val="annotation text"/>
    <w:basedOn w:val="Normal"/>
    <w:link w:val="CommentTextChar"/>
    <w:uiPriority w:val="99"/>
    <w:unhideWhenUsed/>
    <w:rsid w:val="00420E39"/>
  </w:style>
  <w:style w:type="character" w:customStyle="1" w:styleId="CommentTextChar">
    <w:name w:val="Comment Text Char"/>
    <w:basedOn w:val="DefaultParagraphFont"/>
    <w:link w:val="CommentText"/>
    <w:uiPriority w:val="99"/>
    <w:rsid w:val="00420E39"/>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420E39"/>
    <w:rPr>
      <w:b/>
      <w:bCs/>
    </w:rPr>
  </w:style>
  <w:style w:type="character" w:customStyle="1" w:styleId="CommentSubjectChar">
    <w:name w:val="Comment Subject Char"/>
    <w:basedOn w:val="CommentTextChar"/>
    <w:link w:val="CommentSubject"/>
    <w:uiPriority w:val="99"/>
    <w:semiHidden/>
    <w:rsid w:val="00420E39"/>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DE5952"/>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3C7569"/>
    <w:pPr>
      <w:ind w:left="720"/>
      <w:contextualSpacing/>
    </w:pPr>
  </w:style>
  <w:style w:type="character" w:styleId="FollowedHyperlink">
    <w:name w:val="FollowedHyperlink"/>
    <w:basedOn w:val="DefaultParagraphFont"/>
    <w:uiPriority w:val="99"/>
    <w:semiHidden/>
    <w:unhideWhenUsed/>
    <w:rsid w:val="00AC3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919">
      <w:bodyDiv w:val="1"/>
      <w:marLeft w:val="0"/>
      <w:marRight w:val="0"/>
      <w:marTop w:val="0"/>
      <w:marBottom w:val="0"/>
      <w:divBdr>
        <w:top w:val="none" w:sz="0" w:space="0" w:color="auto"/>
        <w:left w:val="none" w:sz="0" w:space="0" w:color="auto"/>
        <w:bottom w:val="none" w:sz="0" w:space="0" w:color="auto"/>
        <w:right w:val="none" w:sz="0" w:space="0" w:color="auto"/>
      </w:divBdr>
    </w:div>
    <w:div w:id="105464600">
      <w:bodyDiv w:val="1"/>
      <w:marLeft w:val="0"/>
      <w:marRight w:val="0"/>
      <w:marTop w:val="0"/>
      <w:marBottom w:val="0"/>
      <w:divBdr>
        <w:top w:val="none" w:sz="0" w:space="0" w:color="auto"/>
        <w:left w:val="none" w:sz="0" w:space="0" w:color="auto"/>
        <w:bottom w:val="none" w:sz="0" w:space="0" w:color="auto"/>
        <w:right w:val="none" w:sz="0" w:space="0" w:color="auto"/>
      </w:divBdr>
    </w:div>
    <w:div w:id="109014352">
      <w:bodyDiv w:val="1"/>
      <w:marLeft w:val="0"/>
      <w:marRight w:val="0"/>
      <w:marTop w:val="0"/>
      <w:marBottom w:val="0"/>
      <w:divBdr>
        <w:top w:val="none" w:sz="0" w:space="0" w:color="auto"/>
        <w:left w:val="none" w:sz="0" w:space="0" w:color="auto"/>
        <w:bottom w:val="none" w:sz="0" w:space="0" w:color="auto"/>
        <w:right w:val="none" w:sz="0" w:space="0" w:color="auto"/>
      </w:divBdr>
    </w:div>
    <w:div w:id="141117573">
      <w:bodyDiv w:val="1"/>
      <w:marLeft w:val="0"/>
      <w:marRight w:val="0"/>
      <w:marTop w:val="0"/>
      <w:marBottom w:val="0"/>
      <w:divBdr>
        <w:top w:val="none" w:sz="0" w:space="0" w:color="auto"/>
        <w:left w:val="none" w:sz="0" w:space="0" w:color="auto"/>
        <w:bottom w:val="none" w:sz="0" w:space="0" w:color="auto"/>
        <w:right w:val="none" w:sz="0" w:space="0" w:color="auto"/>
      </w:divBdr>
    </w:div>
    <w:div w:id="152911410">
      <w:bodyDiv w:val="1"/>
      <w:marLeft w:val="0"/>
      <w:marRight w:val="0"/>
      <w:marTop w:val="0"/>
      <w:marBottom w:val="0"/>
      <w:divBdr>
        <w:top w:val="none" w:sz="0" w:space="0" w:color="auto"/>
        <w:left w:val="none" w:sz="0" w:space="0" w:color="auto"/>
        <w:bottom w:val="none" w:sz="0" w:space="0" w:color="auto"/>
        <w:right w:val="none" w:sz="0" w:space="0" w:color="auto"/>
      </w:divBdr>
    </w:div>
    <w:div w:id="158084930">
      <w:bodyDiv w:val="1"/>
      <w:marLeft w:val="0"/>
      <w:marRight w:val="0"/>
      <w:marTop w:val="0"/>
      <w:marBottom w:val="0"/>
      <w:divBdr>
        <w:top w:val="none" w:sz="0" w:space="0" w:color="auto"/>
        <w:left w:val="none" w:sz="0" w:space="0" w:color="auto"/>
        <w:bottom w:val="none" w:sz="0" w:space="0" w:color="auto"/>
        <w:right w:val="none" w:sz="0" w:space="0" w:color="auto"/>
      </w:divBdr>
    </w:div>
    <w:div w:id="160629252">
      <w:bodyDiv w:val="1"/>
      <w:marLeft w:val="0"/>
      <w:marRight w:val="0"/>
      <w:marTop w:val="0"/>
      <w:marBottom w:val="0"/>
      <w:divBdr>
        <w:top w:val="none" w:sz="0" w:space="0" w:color="auto"/>
        <w:left w:val="none" w:sz="0" w:space="0" w:color="auto"/>
        <w:bottom w:val="none" w:sz="0" w:space="0" w:color="auto"/>
        <w:right w:val="none" w:sz="0" w:space="0" w:color="auto"/>
      </w:divBdr>
    </w:div>
    <w:div w:id="180437442">
      <w:bodyDiv w:val="1"/>
      <w:marLeft w:val="0"/>
      <w:marRight w:val="0"/>
      <w:marTop w:val="0"/>
      <w:marBottom w:val="0"/>
      <w:divBdr>
        <w:top w:val="none" w:sz="0" w:space="0" w:color="auto"/>
        <w:left w:val="none" w:sz="0" w:space="0" w:color="auto"/>
        <w:bottom w:val="none" w:sz="0" w:space="0" w:color="auto"/>
        <w:right w:val="none" w:sz="0" w:space="0" w:color="auto"/>
      </w:divBdr>
    </w:div>
    <w:div w:id="216937112">
      <w:bodyDiv w:val="1"/>
      <w:marLeft w:val="0"/>
      <w:marRight w:val="0"/>
      <w:marTop w:val="0"/>
      <w:marBottom w:val="0"/>
      <w:divBdr>
        <w:top w:val="none" w:sz="0" w:space="0" w:color="auto"/>
        <w:left w:val="none" w:sz="0" w:space="0" w:color="auto"/>
        <w:bottom w:val="none" w:sz="0" w:space="0" w:color="auto"/>
        <w:right w:val="none" w:sz="0" w:space="0" w:color="auto"/>
      </w:divBdr>
    </w:div>
    <w:div w:id="238827834">
      <w:bodyDiv w:val="1"/>
      <w:marLeft w:val="0"/>
      <w:marRight w:val="0"/>
      <w:marTop w:val="0"/>
      <w:marBottom w:val="0"/>
      <w:divBdr>
        <w:top w:val="none" w:sz="0" w:space="0" w:color="auto"/>
        <w:left w:val="none" w:sz="0" w:space="0" w:color="auto"/>
        <w:bottom w:val="none" w:sz="0" w:space="0" w:color="auto"/>
        <w:right w:val="none" w:sz="0" w:space="0" w:color="auto"/>
      </w:divBdr>
      <w:divsChild>
        <w:div w:id="1613392370">
          <w:marLeft w:val="0"/>
          <w:marRight w:val="0"/>
          <w:marTop w:val="0"/>
          <w:marBottom w:val="0"/>
          <w:divBdr>
            <w:top w:val="none" w:sz="0" w:space="0" w:color="auto"/>
            <w:left w:val="none" w:sz="0" w:space="0" w:color="auto"/>
            <w:bottom w:val="none" w:sz="0" w:space="0" w:color="auto"/>
            <w:right w:val="none" w:sz="0" w:space="0" w:color="auto"/>
          </w:divBdr>
          <w:divsChild>
            <w:div w:id="7848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7907">
      <w:bodyDiv w:val="1"/>
      <w:marLeft w:val="0"/>
      <w:marRight w:val="0"/>
      <w:marTop w:val="0"/>
      <w:marBottom w:val="0"/>
      <w:divBdr>
        <w:top w:val="none" w:sz="0" w:space="0" w:color="auto"/>
        <w:left w:val="none" w:sz="0" w:space="0" w:color="auto"/>
        <w:bottom w:val="none" w:sz="0" w:space="0" w:color="auto"/>
        <w:right w:val="none" w:sz="0" w:space="0" w:color="auto"/>
      </w:divBdr>
    </w:div>
    <w:div w:id="415829222">
      <w:bodyDiv w:val="1"/>
      <w:marLeft w:val="0"/>
      <w:marRight w:val="0"/>
      <w:marTop w:val="0"/>
      <w:marBottom w:val="0"/>
      <w:divBdr>
        <w:top w:val="none" w:sz="0" w:space="0" w:color="auto"/>
        <w:left w:val="none" w:sz="0" w:space="0" w:color="auto"/>
        <w:bottom w:val="none" w:sz="0" w:space="0" w:color="auto"/>
        <w:right w:val="none" w:sz="0" w:space="0" w:color="auto"/>
      </w:divBdr>
    </w:div>
    <w:div w:id="532033299">
      <w:bodyDiv w:val="1"/>
      <w:marLeft w:val="0"/>
      <w:marRight w:val="0"/>
      <w:marTop w:val="0"/>
      <w:marBottom w:val="0"/>
      <w:divBdr>
        <w:top w:val="none" w:sz="0" w:space="0" w:color="auto"/>
        <w:left w:val="none" w:sz="0" w:space="0" w:color="auto"/>
        <w:bottom w:val="none" w:sz="0" w:space="0" w:color="auto"/>
        <w:right w:val="none" w:sz="0" w:space="0" w:color="auto"/>
      </w:divBdr>
    </w:div>
    <w:div w:id="533928126">
      <w:bodyDiv w:val="1"/>
      <w:marLeft w:val="0"/>
      <w:marRight w:val="0"/>
      <w:marTop w:val="0"/>
      <w:marBottom w:val="0"/>
      <w:divBdr>
        <w:top w:val="none" w:sz="0" w:space="0" w:color="auto"/>
        <w:left w:val="none" w:sz="0" w:space="0" w:color="auto"/>
        <w:bottom w:val="none" w:sz="0" w:space="0" w:color="auto"/>
        <w:right w:val="none" w:sz="0" w:space="0" w:color="auto"/>
      </w:divBdr>
    </w:div>
    <w:div w:id="541329999">
      <w:bodyDiv w:val="1"/>
      <w:marLeft w:val="0"/>
      <w:marRight w:val="0"/>
      <w:marTop w:val="0"/>
      <w:marBottom w:val="0"/>
      <w:divBdr>
        <w:top w:val="none" w:sz="0" w:space="0" w:color="auto"/>
        <w:left w:val="none" w:sz="0" w:space="0" w:color="auto"/>
        <w:bottom w:val="none" w:sz="0" w:space="0" w:color="auto"/>
        <w:right w:val="none" w:sz="0" w:space="0" w:color="auto"/>
      </w:divBdr>
    </w:div>
    <w:div w:id="574633408">
      <w:bodyDiv w:val="1"/>
      <w:marLeft w:val="0"/>
      <w:marRight w:val="0"/>
      <w:marTop w:val="0"/>
      <w:marBottom w:val="0"/>
      <w:divBdr>
        <w:top w:val="none" w:sz="0" w:space="0" w:color="auto"/>
        <w:left w:val="none" w:sz="0" w:space="0" w:color="auto"/>
        <w:bottom w:val="none" w:sz="0" w:space="0" w:color="auto"/>
        <w:right w:val="none" w:sz="0" w:space="0" w:color="auto"/>
      </w:divBdr>
    </w:div>
    <w:div w:id="582103659">
      <w:bodyDiv w:val="1"/>
      <w:marLeft w:val="0"/>
      <w:marRight w:val="0"/>
      <w:marTop w:val="0"/>
      <w:marBottom w:val="0"/>
      <w:divBdr>
        <w:top w:val="none" w:sz="0" w:space="0" w:color="auto"/>
        <w:left w:val="none" w:sz="0" w:space="0" w:color="auto"/>
        <w:bottom w:val="none" w:sz="0" w:space="0" w:color="auto"/>
        <w:right w:val="none" w:sz="0" w:space="0" w:color="auto"/>
      </w:divBdr>
    </w:div>
    <w:div w:id="763652773">
      <w:bodyDiv w:val="1"/>
      <w:marLeft w:val="0"/>
      <w:marRight w:val="0"/>
      <w:marTop w:val="0"/>
      <w:marBottom w:val="0"/>
      <w:divBdr>
        <w:top w:val="none" w:sz="0" w:space="0" w:color="auto"/>
        <w:left w:val="none" w:sz="0" w:space="0" w:color="auto"/>
        <w:bottom w:val="none" w:sz="0" w:space="0" w:color="auto"/>
        <w:right w:val="none" w:sz="0" w:space="0" w:color="auto"/>
      </w:divBdr>
    </w:div>
    <w:div w:id="771979321">
      <w:bodyDiv w:val="1"/>
      <w:marLeft w:val="0"/>
      <w:marRight w:val="0"/>
      <w:marTop w:val="0"/>
      <w:marBottom w:val="0"/>
      <w:divBdr>
        <w:top w:val="none" w:sz="0" w:space="0" w:color="auto"/>
        <w:left w:val="none" w:sz="0" w:space="0" w:color="auto"/>
        <w:bottom w:val="none" w:sz="0" w:space="0" w:color="auto"/>
        <w:right w:val="none" w:sz="0" w:space="0" w:color="auto"/>
      </w:divBdr>
    </w:div>
    <w:div w:id="824248167">
      <w:bodyDiv w:val="1"/>
      <w:marLeft w:val="0"/>
      <w:marRight w:val="0"/>
      <w:marTop w:val="0"/>
      <w:marBottom w:val="0"/>
      <w:divBdr>
        <w:top w:val="none" w:sz="0" w:space="0" w:color="auto"/>
        <w:left w:val="none" w:sz="0" w:space="0" w:color="auto"/>
        <w:bottom w:val="none" w:sz="0" w:space="0" w:color="auto"/>
        <w:right w:val="none" w:sz="0" w:space="0" w:color="auto"/>
      </w:divBdr>
    </w:div>
    <w:div w:id="867839047">
      <w:bodyDiv w:val="1"/>
      <w:marLeft w:val="0"/>
      <w:marRight w:val="0"/>
      <w:marTop w:val="0"/>
      <w:marBottom w:val="0"/>
      <w:divBdr>
        <w:top w:val="none" w:sz="0" w:space="0" w:color="auto"/>
        <w:left w:val="none" w:sz="0" w:space="0" w:color="auto"/>
        <w:bottom w:val="none" w:sz="0" w:space="0" w:color="auto"/>
        <w:right w:val="none" w:sz="0" w:space="0" w:color="auto"/>
      </w:divBdr>
    </w:div>
    <w:div w:id="890118348">
      <w:bodyDiv w:val="1"/>
      <w:marLeft w:val="0"/>
      <w:marRight w:val="0"/>
      <w:marTop w:val="0"/>
      <w:marBottom w:val="0"/>
      <w:divBdr>
        <w:top w:val="none" w:sz="0" w:space="0" w:color="auto"/>
        <w:left w:val="none" w:sz="0" w:space="0" w:color="auto"/>
        <w:bottom w:val="none" w:sz="0" w:space="0" w:color="auto"/>
        <w:right w:val="none" w:sz="0" w:space="0" w:color="auto"/>
      </w:divBdr>
    </w:div>
    <w:div w:id="942541493">
      <w:bodyDiv w:val="1"/>
      <w:marLeft w:val="0"/>
      <w:marRight w:val="0"/>
      <w:marTop w:val="0"/>
      <w:marBottom w:val="0"/>
      <w:divBdr>
        <w:top w:val="none" w:sz="0" w:space="0" w:color="auto"/>
        <w:left w:val="none" w:sz="0" w:space="0" w:color="auto"/>
        <w:bottom w:val="none" w:sz="0" w:space="0" w:color="auto"/>
        <w:right w:val="none" w:sz="0" w:space="0" w:color="auto"/>
      </w:divBdr>
    </w:div>
    <w:div w:id="967901273">
      <w:bodyDiv w:val="1"/>
      <w:marLeft w:val="0"/>
      <w:marRight w:val="0"/>
      <w:marTop w:val="0"/>
      <w:marBottom w:val="0"/>
      <w:divBdr>
        <w:top w:val="none" w:sz="0" w:space="0" w:color="auto"/>
        <w:left w:val="none" w:sz="0" w:space="0" w:color="auto"/>
        <w:bottom w:val="none" w:sz="0" w:space="0" w:color="auto"/>
        <w:right w:val="none" w:sz="0" w:space="0" w:color="auto"/>
      </w:divBdr>
    </w:div>
    <w:div w:id="1015230132">
      <w:bodyDiv w:val="1"/>
      <w:marLeft w:val="0"/>
      <w:marRight w:val="0"/>
      <w:marTop w:val="0"/>
      <w:marBottom w:val="0"/>
      <w:divBdr>
        <w:top w:val="none" w:sz="0" w:space="0" w:color="auto"/>
        <w:left w:val="none" w:sz="0" w:space="0" w:color="auto"/>
        <w:bottom w:val="none" w:sz="0" w:space="0" w:color="auto"/>
        <w:right w:val="none" w:sz="0" w:space="0" w:color="auto"/>
      </w:divBdr>
    </w:div>
    <w:div w:id="1055742744">
      <w:bodyDiv w:val="1"/>
      <w:marLeft w:val="0"/>
      <w:marRight w:val="0"/>
      <w:marTop w:val="0"/>
      <w:marBottom w:val="0"/>
      <w:divBdr>
        <w:top w:val="none" w:sz="0" w:space="0" w:color="auto"/>
        <w:left w:val="none" w:sz="0" w:space="0" w:color="auto"/>
        <w:bottom w:val="none" w:sz="0" w:space="0" w:color="auto"/>
        <w:right w:val="none" w:sz="0" w:space="0" w:color="auto"/>
      </w:divBdr>
    </w:div>
    <w:div w:id="1056900294">
      <w:bodyDiv w:val="1"/>
      <w:marLeft w:val="0"/>
      <w:marRight w:val="0"/>
      <w:marTop w:val="0"/>
      <w:marBottom w:val="0"/>
      <w:divBdr>
        <w:top w:val="none" w:sz="0" w:space="0" w:color="auto"/>
        <w:left w:val="none" w:sz="0" w:space="0" w:color="auto"/>
        <w:bottom w:val="none" w:sz="0" w:space="0" w:color="auto"/>
        <w:right w:val="none" w:sz="0" w:space="0" w:color="auto"/>
      </w:divBdr>
    </w:div>
    <w:div w:id="1090472410">
      <w:bodyDiv w:val="1"/>
      <w:marLeft w:val="0"/>
      <w:marRight w:val="0"/>
      <w:marTop w:val="0"/>
      <w:marBottom w:val="0"/>
      <w:divBdr>
        <w:top w:val="none" w:sz="0" w:space="0" w:color="auto"/>
        <w:left w:val="none" w:sz="0" w:space="0" w:color="auto"/>
        <w:bottom w:val="none" w:sz="0" w:space="0" w:color="auto"/>
        <w:right w:val="none" w:sz="0" w:space="0" w:color="auto"/>
      </w:divBdr>
    </w:div>
    <w:div w:id="1110512179">
      <w:bodyDiv w:val="1"/>
      <w:marLeft w:val="0"/>
      <w:marRight w:val="0"/>
      <w:marTop w:val="0"/>
      <w:marBottom w:val="0"/>
      <w:divBdr>
        <w:top w:val="none" w:sz="0" w:space="0" w:color="auto"/>
        <w:left w:val="none" w:sz="0" w:space="0" w:color="auto"/>
        <w:bottom w:val="none" w:sz="0" w:space="0" w:color="auto"/>
        <w:right w:val="none" w:sz="0" w:space="0" w:color="auto"/>
      </w:divBdr>
      <w:divsChild>
        <w:div w:id="1237395427">
          <w:marLeft w:val="0"/>
          <w:marRight w:val="0"/>
          <w:marTop w:val="0"/>
          <w:marBottom w:val="0"/>
          <w:divBdr>
            <w:top w:val="none" w:sz="0" w:space="0" w:color="auto"/>
            <w:left w:val="none" w:sz="0" w:space="0" w:color="auto"/>
            <w:bottom w:val="none" w:sz="0" w:space="0" w:color="auto"/>
            <w:right w:val="none" w:sz="0" w:space="0" w:color="auto"/>
          </w:divBdr>
          <w:divsChild>
            <w:div w:id="19961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248">
      <w:bodyDiv w:val="1"/>
      <w:marLeft w:val="0"/>
      <w:marRight w:val="0"/>
      <w:marTop w:val="0"/>
      <w:marBottom w:val="0"/>
      <w:divBdr>
        <w:top w:val="none" w:sz="0" w:space="0" w:color="auto"/>
        <w:left w:val="none" w:sz="0" w:space="0" w:color="auto"/>
        <w:bottom w:val="none" w:sz="0" w:space="0" w:color="auto"/>
        <w:right w:val="none" w:sz="0" w:space="0" w:color="auto"/>
      </w:divBdr>
    </w:div>
    <w:div w:id="1220939958">
      <w:bodyDiv w:val="1"/>
      <w:marLeft w:val="0"/>
      <w:marRight w:val="0"/>
      <w:marTop w:val="0"/>
      <w:marBottom w:val="0"/>
      <w:divBdr>
        <w:top w:val="none" w:sz="0" w:space="0" w:color="auto"/>
        <w:left w:val="none" w:sz="0" w:space="0" w:color="auto"/>
        <w:bottom w:val="none" w:sz="0" w:space="0" w:color="auto"/>
        <w:right w:val="none" w:sz="0" w:space="0" w:color="auto"/>
      </w:divBdr>
    </w:div>
    <w:div w:id="1276476693">
      <w:bodyDiv w:val="1"/>
      <w:marLeft w:val="0"/>
      <w:marRight w:val="0"/>
      <w:marTop w:val="0"/>
      <w:marBottom w:val="0"/>
      <w:divBdr>
        <w:top w:val="none" w:sz="0" w:space="0" w:color="auto"/>
        <w:left w:val="none" w:sz="0" w:space="0" w:color="auto"/>
        <w:bottom w:val="none" w:sz="0" w:space="0" w:color="auto"/>
        <w:right w:val="none" w:sz="0" w:space="0" w:color="auto"/>
      </w:divBdr>
    </w:div>
    <w:div w:id="1313749987">
      <w:bodyDiv w:val="1"/>
      <w:marLeft w:val="0"/>
      <w:marRight w:val="0"/>
      <w:marTop w:val="0"/>
      <w:marBottom w:val="0"/>
      <w:divBdr>
        <w:top w:val="none" w:sz="0" w:space="0" w:color="auto"/>
        <w:left w:val="none" w:sz="0" w:space="0" w:color="auto"/>
        <w:bottom w:val="none" w:sz="0" w:space="0" w:color="auto"/>
        <w:right w:val="none" w:sz="0" w:space="0" w:color="auto"/>
      </w:divBdr>
    </w:div>
    <w:div w:id="1350109007">
      <w:bodyDiv w:val="1"/>
      <w:marLeft w:val="0"/>
      <w:marRight w:val="0"/>
      <w:marTop w:val="0"/>
      <w:marBottom w:val="0"/>
      <w:divBdr>
        <w:top w:val="none" w:sz="0" w:space="0" w:color="auto"/>
        <w:left w:val="none" w:sz="0" w:space="0" w:color="auto"/>
        <w:bottom w:val="none" w:sz="0" w:space="0" w:color="auto"/>
        <w:right w:val="none" w:sz="0" w:space="0" w:color="auto"/>
      </w:divBdr>
    </w:div>
    <w:div w:id="1404766064">
      <w:bodyDiv w:val="1"/>
      <w:marLeft w:val="0"/>
      <w:marRight w:val="0"/>
      <w:marTop w:val="0"/>
      <w:marBottom w:val="0"/>
      <w:divBdr>
        <w:top w:val="none" w:sz="0" w:space="0" w:color="auto"/>
        <w:left w:val="none" w:sz="0" w:space="0" w:color="auto"/>
        <w:bottom w:val="none" w:sz="0" w:space="0" w:color="auto"/>
        <w:right w:val="none" w:sz="0" w:space="0" w:color="auto"/>
      </w:divBdr>
    </w:div>
    <w:div w:id="1421293106">
      <w:bodyDiv w:val="1"/>
      <w:marLeft w:val="0"/>
      <w:marRight w:val="0"/>
      <w:marTop w:val="0"/>
      <w:marBottom w:val="0"/>
      <w:divBdr>
        <w:top w:val="none" w:sz="0" w:space="0" w:color="auto"/>
        <w:left w:val="none" w:sz="0" w:space="0" w:color="auto"/>
        <w:bottom w:val="none" w:sz="0" w:space="0" w:color="auto"/>
        <w:right w:val="none" w:sz="0" w:space="0" w:color="auto"/>
      </w:divBdr>
    </w:div>
    <w:div w:id="1495564207">
      <w:bodyDiv w:val="1"/>
      <w:marLeft w:val="0"/>
      <w:marRight w:val="0"/>
      <w:marTop w:val="0"/>
      <w:marBottom w:val="0"/>
      <w:divBdr>
        <w:top w:val="none" w:sz="0" w:space="0" w:color="auto"/>
        <w:left w:val="none" w:sz="0" w:space="0" w:color="auto"/>
        <w:bottom w:val="none" w:sz="0" w:space="0" w:color="auto"/>
        <w:right w:val="none" w:sz="0" w:space="0" w:color="auto"/>
      </w:divBdr>
    </w:div>
    <w:div w:id="1561552295">
      <w:bodyDiv w:val="1"/>
      <w:marLeft w:val="0"/>
      <w:marRight w:val="0"/>
      <w:marTop w:val="0"/>
      <w:marBottom w:val="0"/>
      <w:divBdr>
        <w:top w:val="none" w:sz="0" w:space="0" w:color="auto"/>
        <w:left w:val="none" w:sz="0" w:space="0" w:color="auto"/>
        <w:bottom w:val="none" w:sz="0" w:space="0" w:color="auto"/>
        <w:right w:val="none" w:sz="0" w:space="0" w:color="auto"/>
      </w:divBdr>
    </w:div>
    <w:div w:id="1627420491">
      <w:bodyDiv w:val="1"/>
      <w:marLeft w:val="0"/>
      <w:marRight w:val="0"/>
      <w:marTop w:val="0"/>
      <w:marBottom w:val="0"/>
      <w:divBdr>
        <w:top w:val="none" w:sz="0" w:space="0" w:color="auto"/>
        <w:left w:val="none" w:sz="0" w:space="0" w:color="auto"/>
        <w:bottom w:val="none" w:sz="0" w:space="0" w:color="auto"/>
        <w:right w:val="none" w:sz="0" w:space="0" w:color="auto"/>
      </w:divBdr>
    </w:div>
    <w:div w:id="1661688459">
      <w:bodyDiv w:val="1"/>
      <w:marLeft w:val="0"/>
      <w:marRight w:val="0"/>
      <w:marTop w:val="0"/>
      <w:marBottom w:val="0"/>
      <w:divBdr>
        <w:top w:val="none" w:sz="0" w:space="0" w:color="auto"/>
        <w:left w:val="none" w:sz="0" w:space="0" w:color="auto"/>
        <w:bottom w:val="none" w:sz="0" w:space="0" w:color="auto"/>
        <w:right w:val="none" w:sz="0" w:space="0" w:color="auto"/>
      </w:divBdr>
    </w:div>
    <w:div w:id="1667518495">
      <w:bodyDiv w:val="1"/>
      <w:marLeft w:val="0"/>
      <w:marRight w:val="0"/>
      <w:marTop w:val="0"/>
      <w:marBottom w:val="0"/>
      <w:divBdr>
        <w:top w:val="none" w:sz="0" w:space="0" w:color="auto"/>
        <w:left w:val="none" w:sz="0" w:space="0" w:color="auto"/>
        <w:bottom w:val="none" w:sz="0" w:space="0" w:color="auto"/>
        <w:right w:val="none" w:sz="0" w:space="0" w:color="auto"/>
      </w:divBdr>
    </w:div>
    <w:div w:id="1676028693">
      <w:bodyDiv w:val="1"/>
      <w:marLeft w:val="0"/>
      <w:marRight w:val="0"/>
      <w:marTop w:val="0"/>
      <w:marBottom w:val="0"/>
      <w:divBdr>
        <w:top w:val="none" w:sz="0" w:space="0" w:color="auto"/>
        <w:left w:val="none" w:sz="0" w:space="0" w:color="auto"/>
        <w:bottom w:val="none" w:sz="0" w:space="0" w:color="auto"/>
        <w:right w:val="none" w:sz="0" w:space="0" w:color="auto"/>
      </w:divBdr>
    </w:div>
    <w:div w:id="1692297052">
      <w:bodyDiv w:val="1"/>
      <w:marLeft w:val="0"/>
      <w:marRight w:val="0"/>
      <w:marTop w:val="0"/>
      <w:marBottom w:val="0"/>
      <w:divBdr>
        <w:top w:val="none" w:sz="0" w:space="0" w:color="auto"/>
        <w:left w:val="none" w:sz="0" w:space="0" w:color="auto"/>
        <w:bottom w:val="none" w:sz="0" w:space="0" w:color="auto"/>
        <w:right w:val="none" w:sz="0" w:space="0" w:color="auto"/>
      </w:divBdr>
    </w:div>
    <w:div w:id="1701320708">
      <w:bodyDiv w:val="1"/>
      <w:marLeft w:val="0"/>
      <w:marRight w:val="0"/>
      <w:marTop w:val="0"/>
      <w:marBottom w:val="0"/>
      <w:divBdr>
        <w:top w:val="none" w:sz="0" w:space="0" w:color="auto"/>
        <w:left w:val="none" w:sz="0" w:space="0" w:color="auto"/>
        <w:bottom w:val="none" w:sz="0" w:space="0" w:color="auto"/>
        <w:right w:val="none" w:sz="0" w:space="0" w:color="auto"/>
      </w:divBdr>
    </w:div>
    <w:div w:id="1740051970">
      <w:bodyDiv w:val="1"/>
      <w:marLeft w:val="0"/>
      <w:marRight w:val="0"/>
      <w:marTop w:val="0"/>
      <w:marBottom w:val="0"/>
      <w:divBdr>
        <w:top w:val="none" w:sz="0" w:space="0" w:color="auto"/>
        <w:left w:val="none" w:sz="0" w:space="0" w:color="auto"/>
        <w:bottom w:val="none" w:sz="0" w:space="0" w:color="auto"/>
        <w:right w:val="none" w:sz="0" w:space="0" w:color="auto"/>
      </w:divBdr>
    </w:div>
    <w:div w:id="1750886150">
      <w:bodyDiv w:val="1"/>
      <w:marLeft w:val="0"/>
      <w:marRight w:val="0"/>
      <w:marTop w:val="0"/>
      <w:marBottom w:val="0"/>
      <w:divBdr>
        <w:top w:val="none" w:sz="0" w:space="0" w:color="auto"/>
        <w:left w:val="none" w:sz="0" w:space="0" w:color="auto"/>
        <w:bottom w:val="none" w:sz="0" w:space="0" w:color="auto"/>
        <w:right w:val="none" w:sz="0" w:space="0" w:color="auto"/>
      </w:divBdr>
    </w:div>
    <w:div w:id="1788503451">
      <w:bodyDiv w:val="1"/>
      <w:marLeft w:val="0"/>
      <w:marRight w:val="0"/>
      <w:marTop w:val="0"/>
      <w:marBottom w:val="0"/>
      <w:divBdr>
        <w:top w:val="none" w:sz="0" w:space="0" w:color="auto"/>
        <w:left w:val="none" w:sz="0" w:space="0" w:color="auto"/>
        <w:bottom w:val="none" w:sz="0" w:space="0" w:color="auto"/>
        <w:right w:val="none" w:sz="0" w:space="0" w:color="auto"/>
      </w:divBdr>
    </w:div>
    <w:div w:id="1817719908">
      <w:bodyDiv w:val="1"/>
      <w:marLeft w:val="0"/>
      <w:marRight w:val="0"/>
      <w:marTop w:val="0"/>
      <w:marBottom w:val="0"/>
      <w:divBdr>
        <w:top w:val="none" w:sz="0" w:space="0" w:color="auto"/>
        <w:left w:val="none" w:sz="0" w:space="0" w:color="auto"/>
        <w:bottom w:val="none" w:sz="0" w:space="0" w:color="auto"/>
        <w:right w:val="none" w:sz="0" w:space="0" w:color="auto"/>
      </w:divBdr>
    </w:div>
    <w:div w:id="1838689613">
      <w:bodyDiv w:val="1"/>
      <w:marLeft w:val="0"/>
      <w:marRight w:val="0"/>
      <w:marTop w:val="0"/>
      <w:marBottom w:val="0"/>
      <w:divBdr>
        <w:top w:val="none" w:sz="0" w:space="0" w:color="auto"/>
        <w:left w:val="none" w:sz="0" w:space="0" w:color="auto"/>
        <w:bottom w:val="none" w:sz="0" w:space="0" w:color="auto"/>
        <w:right w:val="none" w:sz="0" w:space="0" w:color="auto"/>
      </w:divBdr>
    </w:div>
    <w:div w:id="1854103689">
      <w:bodyDiv w:val="1"/>
      <w:marLeft w:val="0"/>
      <w:marRight w:val="0"/>
      <w:marTop w:val="0"/>
      <w:marBottom w:val="0"/>
      <w:divBdr>
        <w:top w:val="none" w:sz="0" w:space="0" w:color="auto"/>
        <w:left w:val="none" w:sz="0" w:space="0" w:color="auto"/>
        <w:bottom w:val="none" w:sz="0" w:space="0" w:color="auto"/>
        <w:right w:val="none" w:sz="0" w:space="0" w:color="auto"/>
      </w:divBdr>
    </w:div>
    <w:div w:id="1887988570">
      <w:bodyDiv w:val="1"/>
      <w:marLeft w:val="0"/>
      <w:marRight w:val="0"/>
      <w:marTop w:val="0"/>
      <w:marBottom w:val="0"/>
      <w:divBdr>
        <w:top w:val="none" w:sz="0" w:space="0" w:color="auto"/>
        <w:left w:val="none" w:sz="0" w:space="0" w:color="auto"/>
        <w:bottom w:val="none" w:sz="0" w:space="0" w:color="auto"/>
        <w:right w:val="none" w:sz="0" w:space="0" w:color="auto"/>
      </w:divBdr>
    </w:div>
    <w:div w:id="1974674911">
      <w:bodyDiv w:val="1"/>
      <w:marLeft w:val="0"/>
      <w:marRight w:val="0"/>
      <w:marTop w:val="0"/>
      <w:marBottom w:val="0"/>
      <w:divBdr>
        <w:top w:val="none" w:sz="0" w:space="0" w:color="auto"/>
        <w:left w:val="none" w:sz="0" w:space="0" w:color="auto"/>
        <w:bottom w:val="none" w:sz="0" w:space="0" w:color="auto"/>
        <w:right w:val="none" w:sz="0" w:space="0" w:color="auto"/>
      </w:divBdr>
    </w:div>
    <w:div w:id="1981618792">
      <w:bodyDiv w:val="1"/>
      <w:marLeft w:val="0"/>
      <w:marRight w:val="0"/>
      <w:marTop w:val="0"/>
      <w:marBottom w:val="0"/>
      <w:divBdr>
        <w:top w:val="none" w:sz="0" w:space="0" w:color="auto"/>
        <w:left w:val="none" w:sz="0" w:space="0" w:color="auto"/>
        <w:bottom w:val="none" w:sz="0" w:space="0" w:color="auto"/>
        <w:right w:val="none" w:sz="0" w:space="0" w:color="auto"/>
      </w:divBdr>
    </w:div>
    <w:div w:id="2069452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ture.com/articles/s41586-023-06970-0"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iea.org/reports/global-ev-outlook-2025"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viacampesina.org/en/2025/09/a-new-global-trade-framework-based-on-food-sovereignty-is-urgent-and-necessary-la-via-campesina/" TargetMode="External"/><Relationship Id="rId2" Type="http://schemas.openxmlformats.org/officeDocument/2006/relationships/hyperlink" Target="https://ec.europa.eu/commission/presscorner/detail/en/ip_25_2979" TargetMode="External"/><Relationship Id="rId1" Type="http://schemas.openxmlformats.org/officeDocument/2006/relationships/hyperlink" Target="https://ec.europa.eu/commission/presscorner/detail/en/ip_25_2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7803</ap:Words>
  <ap:Characters>42918</ap:Characters>
  <ap:DocSecurity>0</ap:DocSecurity>
  <ap:Lines>357</ap:Lines>
  <ap:Paragraphs>101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50620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2025-12-12T12:39:00.0000000Z</lastPrinted>
  <dcterms:created xsi:type="dcterms:W3CDTF">2025-12-12T12:38:00.0000000Z</dcterms:created>
  <dcterms:modified xsi:type="dcterms:W3CDTF">2025-12-12T12:42:00.0000000Z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0x0101009C7CE436063D44E9BE7DC0259EF7C32F006EB9F9836A634AE58B6169785FD3936F00876E5882F55347418786914B10860203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ad6788ae-0161-468a-8ace-8482f3c87973</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