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71D" w:rsidR="00EC07C5" w:rsidP="00EC07C5" w:rsidRDefault="00EC07C5" w14:paraId="39FBBAD5" w14:textId="27CA4E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571D">
        <w:rPr>
          <w:rFonts w:ascii="Times New Roman" w:hAnsi="Times New Roman" w:cs="Times New Roman"/>
          <w:b/>
          <w:bCs/>
          <w:sz w:val="24"/>
          <w:szCs w:val="24"/>
        </w:rPr>
        <w:t>Besluit van de Minister van Justitie en Veiligheid van ......... 2025, kenmerk ......./25/DP&amp;O, houdende bekendmaking van de taak waarmee de Staatssecretaris van Justitie en Veiligheid in het bijzonder is belast</w:t>
      </w:r>
    </w:p>
    <w:p w:rsidRPr="00EC07C5" w:rsidR="00EC07C5" w:rsidP="00EC07C5" w:rsidRDefault="00EC07C5" w14:paraId="4159F272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093B5A4B" w14:textId="77777777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>De Minister van Justitie en Veiligheid,</w:t>
      </w:r>
    </w:p>
    <w:p w:rsidR="00EC07C5" w:rsidP="00EC07C5" w:rsidRDefault="00EC07C5" w14:paraId="2B85A69D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4503ABB7" w14:textId="32B6D7E8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>Gelet op artikel 46, tweede lid, van de Grondwet en artikel 3 van de Wet van 25 januari 1951, houdende nadere voorzieningen in verband met de invoering van de ambten van minister zonder portefeuille en van staatssecretaris (Stb. 1951, 24);</w:t>
      </w:r>
    </w:p>
    <w:p w:rsidR="00EC07C5" w:rsidP="00EC07C5" w:rsidRDefault="00EC07C5" w14:paraId="0EAF9E39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38DF555C" w14:textId="4155ABE1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>Besluit:</w:t>
      </w:r>
    </w:p>
    <w:p w:rsidR="00EC07C5" w:rsidP="00EC07C5" w:rsidRDefault="00EC07C5" w14:paraId="2C2C1DDE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6ADA8801" w14:textId="0255AF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07C5">
        <w:rPr>
          <w:rFonts w:ascii="Times New Roman" w:hAnsi="Times New Roman" w:cs="Times New Roman"/>
          <w:b/>
          <w:bCs/>
          <w:sz w:val="24"/>
          <w:szCs w:val="24"/>
        </w:rPr>
        <w:t>Artikel 1</w:t>
      </w:r>
    </w:p>
    <w:p w:rsidR="00EC07C5" w:rsidP="00EC07C5" w:rsidRDefault="00EC07C5" w14:paraId="3260FD20" w14:textId="77777777">
      <w:pPr>
        <w:rPr>
          <w:rFonts w:ascii="Times New Roman" w:hAnsi="Times New Roman" w:cs="Times New Roman"/>
          <w:sz w:val="24"/>
          <w:szCs w:val="24"/>
        </w:rPr>
      </w:pPr>
    </w:p>
    <w:p w:rsidR="00EC07C5" w:rsidP="00EC07C5" w:rsidRDefault="00EC07C5" w14:paraId="5CA0898B" w14:textId="45BF6F54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 xml:space="preserve">De Staatssecretaris </w:t>
      </w:r>
      <w:r>
        <w:rPr>
          <w:rFonts w:ascii="Times New Roman" w:hAnsi="Times New Roman" w:cs="Times New Roman"/>
          <w:sz w:val="24"/>
          <w:szCs w:val="24"/>
        </w:rPr>
        <w:t>van Justitie en Veiligheid, mr. A.C.</w:t>
      </w:r>
      <w:r w:rsidR="0016571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Rutte, </w:t>
      </w:r>
      <w:r w:rsidRPr="00EC07C5">
        <w:rPr>
          <w:rFonts w:ascii="Times New Roman" w:hAnsi="Times New Roman" w:cs="Times New Roman"/>
          <w:sz w:val="24"/>
          <w:szCs w:val="24"/>
        </w:rPr>
        <w:t>is binnen de grenzen van het door de Minister van Justitie en Veiligheid vastgestelde beleid in het bijzonder belast met de aangelegenheden betreffende:</w:t>
      </w:r>
    </w:p>
    <w:p w:rsidR="00532B5B" w:rsidP="00EC07C5" w:rsidRDefault="00532B5B" w14:paraId="68662F2C" w14:textId="77777777">
      <w:pPr>
        <w:rPr>
          <w:rFonts w:ascii="Times New Roman" w:hAnsi="Times New Roman" w:cs="Times New Roman"/>
          <w:sz w:val="24"/>
          <w:szCs w:val="24"/>
        </w:rPr>
      </w:pPr>
    </w:p>
    <w:p w:rsidRPr="00532B5B" w:rsidR="00532B5B" w:rsidP="00532B5B" w:rsidRDefault="00532B5B" w14:paraId="09E38F7E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zittende magistratuur;</w:t>
      </w:r>
    </w:p>
    <w:p w:rsidRPr="00532B5B" w:rsidR="00532B5B" w:rsidP="00532B5B" w:rsidRDefault="00532B5B" w14:paraId="7A048613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Raad voor de Rechtspraak;</w:t>
      </w:r>
    </w:p>
    <w:p w:rsidRPr="00532B5B" w:rsidR="00532B5B" w:rsidP="00532B5B" w:rsidRDefault="00532B5B" w14:paraId="1A9874AD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juridische beroepen (inclusief tolken en vertalers);</w:t>
      </w:r>
    </w:p>
    <w:p w:rsidRPr="00532B5B" w:rsidR="00532B5B" w:rsidP="00532B5B" w:rsidRDefault="00532B5B" w14:paraId="65C0C85E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rechtsbestel;</w:t>
      </w:r>
    </w:p>
    <w:p w:rsidRPr="00532B5B" w:rsidR="00532B5B" w:rsidP="00532B5B" w:rsidRDefault="00532B5B" w14:paraId="2FD3AED8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rechtsbijstand;</w:t>
      </w:r>
    </w:p>
    <w:p w:rsidRPr="00532B5B" w:rsidR="00532B5B" w:rsidP="00532B5B" w:rsidRDefault="00532B5B" w14:paraId="66E74F23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 xml:space="preserve">sanctiestelsel, incl. bijbehorende wijzigingen Wetboek van Strafrecht; </w:t>
      </w:r>
    </w:p>
    <w:p w:rsidRPr="00532B5B" w:rsidR="00532B5B" w:rsidP="00532B5B" w:rsidRDefault="00532B5B" w14:paraId="52D3D42B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justitieel jeugdbeleid, aanpak jeugdcriminaliteit en aanpak recidive;</w:t>
      </w:r>
    </w:p>
    <w:p w:rsidRPr="00532B5B" w:rsidR="00532B5B" w:rsidP="00532B5B" w:rsidRDefault="00532B5B" w14:paraId="237F6963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familierecht, inclusief adoptie;</w:t>
      </w:r>
    </w:p>
    <w:p w:rsidRPr="00532B5B" w:rsidR="00532B5B" w:rsidP="00532B5B" w:rsidRDefault="00532B5B" w14:paraId="69FAC6CA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preventie (persoonsgericht en generiek);</w:t>
      </w:r>
    </w:p>
    <w:p w:rsidRPr="00532B5B" w:rsidR="00532B5B" w:rsidP="00532B5B" w:rsidRDefault="00532B5B" w14:paraId="54A92CB1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Wet Rechterlijke Organisatie;</w:t>
      </w:r>
    </w:p>
    <w:p w:rsidRPr="00532B5B" w:rsidR="00532B5B" w:rsidP="00532B5B" w:rsidRDefault="00532B5B" w14:paraId="79245F0F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het Wetboek van Burgerlijke Rechtsvordering;</w:t>
      </w:r>
    </w:p>
    <w:p w:rsidRPr="00532B5B" w:rsidR="00532B5B" w:rsidP="00532B5B" w:rsidRDefault="00532B5B" w14:paraId="035FBDB6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wijziging van het Wetboek van Strafvordering (primair);</w:t>
      </w:r>
    </w:p>
    <w:p w:rsidRPr="00532B5B" w:rsidR="00532B5B" w:rsidP="00532B5B" w:rsidRDefault="00532B5B" w14:paraId="0AFD9AF4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privaatrecht, incl. personen- en familierecht;</w:t>
      </w:r>
    </w:p>
    <w:p w:rsidRPr="00532B5B" w:rsidR="00532B5B" w:rsidP="00532B5B" w:rsidRDefault="00532B5B" w14:paraId="3E2E4015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Rijkswet op het Nederlanderschap;</w:t>
      </w:r>
    </w:p>
    <w:p w:rsidRPr="00532B5B" w:rsidR="00532B5B" w:rsidP="00532B5B" w:rsidRDefault="00532B5B" w14:paraId="0F5D3D60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Faillissementswet;</w:t>
      </w:r>
    </w:p>
    <w:p w:rsidRPr="00532B5B" w:rsidR="00532B5B" w:rsidP="00532B5B" w:rsidRDefault="00532B5B" w14:paraId="070833E4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Algemene wet bestuursrecht;</w:t>
      </w:r>
    </w:p>
    <w:p w:rsidRPr="00532B5B" w:rsidR="00532B5B" w:rsidP="00532B5B" w:rsidRDefault="00532B5B" w14:paraId="60BB6527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wetgevingskwaliteit;</w:t>
      </w:r>
    </w:p>
    <w:p w:rsidRPr="00532B5B" w:rsidR="00532B5B" w:rsidP="00532B5B" w:rsidRDefault="00532B5B" w14:paraId="10247345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auteursrecht/intellectuele eigendom;</w:t>
      </w:r>
    </w:p>
    <w:p w:rsidRPr="00532B5B" w:rsidR="00532B5B" w:rsidP="00532B5B" w:rsidRDefault="00532B5B" w14:paraId="6166D955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kansspelen;</w:t>
      </w:r>
    </w:p>
    <w:p w:rsidRPr="00532B5B" w:rsidR="00532B5B" w:rsidP="00532B5B" w:rsidRDefault="00532B5B" w14:paraId="41AC85B8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bescherming persoonsgegevens inclusief de Autoriteit Persoonsgegevens;</w:t>
      </w:r>
    </w:p>
    <w:p w:rsidRPr="00532B5B" w:rsidR="00532B5B" w:rsidP="00532B5B" w:rsidRDefault="00532B5B" w14:paraId="1292B6A5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 xml:space="preserve">de dienst </w:t>
      </w:r>
      <w:proofErr w:type="spellStart"/>
      <w:r w:rsidRPr="00532B5B">
        <w:rPr>
          <w:rFonts w:ascii="Times New Roman" w:hAnsi="Times New Roman" w:cs="Times New Roman"/>
          <w:sz w:val="24"/>
          <w:szCs w:val="24"/>
        </w:rPr>
        <w:t>Justis</w:t>
      </w:r>
      <w:proofErr w:type="spellEnd"/>
      <w:r w:rsidRPr="00532B5B">
        <w:rPr>
          <w:rFonts w:ascii="Times New Roman" w:hAnsi="Times New Roman" w:cs="Times New Roman"/>
          <w:sz w:val="24"/>
          <w:szCs w:val="24"/>
        </w:rPr>
        <w:t>;</w:t>
      </w:r>
    </w:p>
    <w:p w:rsidRPr="00532B5B" w:rsidR="00532B5B" w:rsidP="00532B5B" w:rsidRDefault="00532B5B" w14:paraId="21758068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Raad Strafrechttoepassing en Jeugdbescherming;</w:t>
      </w:r>
    </w:p>
    <w:p w:rsidRPr="00532B5B" w:rsidR="00532B5B" w:rsidP="00532B5B" w:rsidRDefault="00532B5B" w14:paraId="33CBCC8E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Raad voor de Kinderbescherming;</w:t>
      </w:r>
    </w:p>
    <w:p w:rsidRPr="00532B5B" w:rsidR="00532B5B" w:rsidP="00532B5B" w:rsidRDefault="00532B5B" w14:paraId="2C7334F6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slachtofferbeleid;</w:t>
      </w:r>
    </w:p>
    <w:p w:rsidRPr="00532B5B" w:rsidR="00532B5B" w:rsidP="00532B5B" w:rsidRDefault="00532B5B" w14:paraId="5AC37EE2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jeugdbescherming;</w:t>
      </w:r>
    </w:p>
    <w:p w:rsidRPr="00532B5B" w:rsidR="00532B5B" w:rsidP="00532B5B" w:rsidRDefault="00532B5B" w14:paraId="18E782D0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AI;</w:t>
      </w:r>
    </w:p>
    <w:p w:rsidRPr="00532B5B" w:rsidR="00532B5B" w:rsidP="00532B5B" w:rsidRDefault="00532B5B" w14:paraId="04922FD2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filantropie;</w:t>
      </w:r>
    </w:p>
    <w:p w:rsidRPr="00532B5B" w:rsidR="00532B5B" w:rsidP="00532B5B" w:rsidRDefault="00532B5B" w14:paraId="77413EFD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de dienst Justid;</w:t>
      </w:r>
    </w:p>
    <w:p w:rsidRPr="00532B5B" w:rsidR="00532B5B" w:rsidP="00532B5B" w:rsidRDefault="00532B5B" w14:paraId="1D1A567D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herziening van de re-integratie- en gratieprocedure voor levenslanggestraften;</w:t>
      </w:r>
    </w:p>
    <w:p w:rsidRPr="00532B5B" w:rsidR="00532B5B" w:rsidP="00532B5B" w:rsidRDefault="00532B5B" w14:paraId="598258B6" w14:textId="3C8BA8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DJI (Gevangeniswezen, wetgeving en beleid, TBS, jeugddetentie);</w:t>
      </w:r>
    </w:p>
    <w:p w:rsidRPr="00532B5B" w:rsidR="00532B5B" w:rsidP="00532B5B" w:rsidRDefault="00532B5B" w14:paraId="78921960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zeden (wet- en regelgeving) ;</w:t>
      </w:r>
    </w:p>
    <w:p w:rsidRPr="00532B5B" w:rsidR="00532B5B" w:rsidP="00532B5B" w:rsidRDefault="00532B5B" w14:paraId="17E48139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 xml:space="preserve">aanpak huiselijk geweld en </w:t>
      </w:r>
      <w:proofErr w:type="spellStart"/>
      <w:r w:rsidRPr="00532B5B">
        <w:rPr>
          <w:rFonts w:ascii="Times New Roman" w:hAnsi="Times New Roman" w:cs="Times New Roman"/>
          <w:sz w:val="24"/>
          <w:szCs w:val="24"/>
        </w:rPr>
        <w:t>femicide</w:t>
      </w:r>
      <w:proofErr w:type="spellEnd"/>
      <w:r w:rsidRPr="00532B5B">
        <w:rPr>
          <w:rFonts w:ascii="Times New Roman" w:hAnsi="Times New Roman" w:cs="Times New Roman"/>
          <w:sz w:val="24"/>
          <w:szCs w:val="24"/>
        </w:rPr>
        <w:t>;</w:t>
      </w:r>
    </w:p>
    <w:p w:rsidRPr="00532B5B" w:rsidR="00532B5B" w:rsidP="00532B5B" w:rsidRDefault="00532B5B" w14:paraId="269D5640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lastRenderedPageBreak/>
        <w:t xml:space="preserve">het CJIB; </w:t>
      </w:r>
    </w:p>
    <w:p w:rsidRPr="00532B5B" w:rsidR="00532B5B" w:rsidP="00532B5B" w:rsidRDefault="00532B5B" w14:paraId="7D028979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reclassering;</w:t>
      </w:r>
    </w:p>
    <w:p w:rsidRPr="00532B5B" w:rsidR="00532B5B" w:rsidP="00532B5B" w:rsidRDefault="00532B5B" w14:paraId="6560D7F2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B5B">
        <w:rPr>
          <w:rFonts w:ascii="Times New Roman" w:hAnsi="Times New Roman" w:cs="Times New Roman"/>
          <w:sz w:val="24"/>
          <w:szCs w:val="24"/>
        </w:rPr>
        <w:t>uitvoering(</w:t>
      </w:r>
      <w:proofErr w:type="spellStart"/>
      <w:r w:rsidRPr="00532B5B">
        <w:rPr>
          <w:rFonts w:ascii="Times New Roman" w:hAnsi="Times New Roman" w:cs="Times New Roman"/>
          <w:sz w:val="24"/>
          <w:szCs w:val="24"/>
        </w:rPr>
        <w:t>sketen</w:t>
      </w:r>
      <w:proofErr w:type="spellEnd"/>
      <w:r w:rsidRPr="00532B5B">
        <w:rPr>
          <w:rFonts w:ascii="Times New Roman" w:hAnsi="Times New Roman" w:cs="Times New Roman"/>
          <w:sz w:val="24"/>
          <w:szCs w:val="24"/>
        </w:rPr>
        <w:t>) strafrechtelijke beslissingen;</w:t>
      </w:r>
    </w:p>
    <w:p w:rsidR="005E4065" w:rsidP="005E4065" w:rsidRDefault="005E4065" w14:paraId="43FA9EA6" w14:textId="644D708C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4C52DC0B" w14:textId="5200FC2E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 xml:space="preserve">met inbegrip van de bijbehorende wetgeving, de daarmee samenhangende juridische aangelegenheden en de uitvoeringsorganisaties op deze terreinen.  </w:t>
      </w:r>
    </w:p>
    <w:p w:rsidR="00EC07C5" w:rsidP="00EC07C5" w:rsidRDefault="00EC07C5" w14:paraId="6FDEB2F3" w14:textId="77777777">
      <w:pPr>
        <w:rPr>
          <w:rFonts w:ascii="Times New Roman" w:hAnsi="Times New Roman" w:cs="Times New Roman"/>
          <w:sz w:val="24"/>
          <w:szCs w:val="24"/>
        </w:rPr>
      </w:pPr>
    </w:p>
    <w:p w:rsidR="00EC07C5" w:rsidP="00EC07C5" w:rsidRDefault="00EC07C5" w14:paraId="21D07474" w14:textId="1CAB3A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07C5">
        <w:rPr>
          <w:rFonts w:ascii="Times New Roman" w:hAnsi="Times New Roman" w:cs="Times New Roman"/>
          <w:b/>
          <w:bCs/>
          <w:sz w:val="24"/>
          <w:szCs w:val="24"/>
        </w:rPr>
        <w:t>Artikel 2</w:t>
      </w:r>
    </w:p>
    <w:p w:rsidRPr="00EC07C5" w:rsidR="00EC07C5" w:rsidP="00EC07C5" w:rsidRDefault="00EC07C5" w14:paraId="1F082A5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EC07C5" w:rsidR="00EC07C5" w:rsidP="00EC07C5" w:rsidRDefault="00EC07C5" w14:paraId="5510538A" w14:textId="61D34FE5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 xml:space="preserve">De </w:t>
      </w:r>
      <w:r w:rsidR="00B776B7">
        <w:rPr>
          <w:rFonts w:ascii="Times New Roman" w:hAnsi="Times New Roman" w:cs="Times New Roman"/>
          <w:sz w:val="24"/>
          <w:szCs w:val="24"/>
        </w:rPr>
        <w:t>s</w:t>
      </w:r>
      <w:r w:rsidRPr="00EC07C5">
        <w:rPr>
          <w:rFonts w:ascii="Times New Roman" w:hAnsi="Times New Roman" w:cs="Times New Roman"/>
          <w:sz w:val="24"/>
          <w:szCs w:val="24"/>
        </w:rPr>
        <w:t xml:space="preserve">taatssecretaris kan voorts met nader door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C07C5">
        <w:rPr>
          <w:rFonts w:ascii="Times New Roman" w:hAnsi="Times New Roman" w:cs="Times New Roman"/>
          <w:sz w:val="24"/>
          <w:szCs w:val="24"/>
        </w:rPr>
        <w:t>inister aan te wijzen onderwerpen worden belast.</w:t>
      </w:r>
    </w:p>
    <w:p w:rsidR="00EC07C5" w:rsidP="00EC07C5" w:rsidRDefault="00EC07C5" w14:paraId="5F7CDF92" w14:textId="77777777">
      <w:pPr>
        <w:rPr>
          <w:rFonts w:ascii="Times New Roman" w:hAnsi="Times New Roman" w:cs="Times New Roman"/>
          <w:sz w:val="24"/>
          <w:szCs w:val="24"/>
        </w:rPr>
      </w:pPr>
    </w:p>
    <w:p w:rsidR="00EC07C5" w:rsidP="00EC07C5" w:rsidRDefault="00EC07C5" w14:paraId="6E61C752" w14:textId="3D0EEA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07C5">
        <w:rPr>
          <w:rFonts w:ascii="Times New Roman" w:hAnsi="Times New Roman" w:cs="Times New Roman"/>
          <w:b/>
          <w:bCs/>
          <w:sz w:val="24"/>
          <w:szCs w:val="24"/>
        </w:rPr>
        <w:t xml:space="preserve">Artikel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Pr="00EC07C5" w:rsidR="00EC07C5" w:rsidP="00EC07C5" w:rsidRDefault="00EC07C5" w14:paraId="7549146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07C5" w:rsidP="00EC07C5" w:rsidRDefault="00EC07C5" w14:paraId="38288E19" w14:textId="7B5C5600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 xml:space="preserve">Het besluit van de Minister van Justitie en Veiligheid van </w:t>
      </w:r>
      <w:r>
        <w:rPr>
          <w:rFonts w:ascii="Times New Roman" w:hAnsi="Times New Roman" w:cs="Times New Roman"/>
          <w:sz w:val="24"/>
          <w:szCs w:val="24"/>
        </w:rPr>
        <w:t>18 juni 2025</w:t>
      </w:r>
      <w:r w:rsidRPr="00EC07C5">
        <w:rPr>
          <w:rFonts w:ascii="Times New Roman" w:hAnsi="Times New Roman" w:cs="Times New Roman"/>
          <w:sz w:val="24"/>
          <w:szCs w:val="24"/>
        </w:rPr>
        <w:t>, houdende bekendmaking van de taak waarmee de Staatssecretaris</w:t>
      </w:r>
      <w:r>
        <w:rPr>
          <w:rFonts w:ascii="Times New Roman" w:hAnsi="Times New Roman" w:cs="Times New Roman"/>
          <w:sz w:val="24"/>
          <w:szCs w:val="24"/>
        </w:rPr>
        <w:t xml:space="preserve"> Rechtsbescherming </w:t>
      </w:r>
      <w:r w:rsidRPr="00EC07C5">
        <w:rPr>
          <w:rFonts w:ascii="Times New Roman" w:hAnsi="Times New Roman" w:cs="Times New Roman"/>
          <w:sz w:val="24"/>
          <w:szCs w:val="24"/>
        </w:rPr>
        <w:t xml:space="preserve">in het bijzonder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C07C5">
        <w:rPr>
          <w:rFonts w:ascii="Times New Roman" w:hAnsi="Times New Roman" w:cs="Times New Roman"/>
          <w:sz w:val="24"/>
          <w:szCs w:val="24"/>
        </w:rPr>
        <w:t xml:space="preserve"> belast (</w:t>
      </w:r>
      <w:proofErr w:type="spellStart"/>
      <w:r w:rsidRPr="00EC07C5">
        <w:rPr>
          <w:rFonts w:ascii="Times New Roman" w:hAnsi="Times New Roman" w:cs="Times New Roman"/>
          <w:sz w:val="24"/>
          <w:szCs w:val="24"/>
        </w:rPr>
        <w:t>Stcrt</w:t>
      </w:r>
      <w:proofErr w:type="spellEnd"/>
      <w:r w:rsidRPr="00EC07C5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07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21581</w:t>
      </w:r>
      <w:r w:rsidRPr="00EC07C5">
        <w:rPr>
          <w:rFonts w:ascii="Times New Roman" w:hAnsi="Times New Roman" w:cs="Times New Roman"/>
          <w:sz w:val="24"/>
          <w:szCs w:val="24"/>
        </w:rPr>
        <w:t>) wordt ingetrokken.</w:t>
      </w:r>
    </w:p>
    <w:p w:rsidRPr="00EC07C5" w:rsidR="00EC07C5" w:rsidP="00EC07C5" w:rsidRDefault="00EC07C5" w14:paraId="292A5182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06E031EC" w14:textId="41DBCE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07C5">
        <w:rPr>
          <w:rFonts w:ascii="Times New Roman" w:hAnsi="Times New Roman" w:cs="Times New Roman"/>
          <w:b/>
          <w:bCs/>
          <w:sz w:val="24"/>
          <w:szCs w:val="24"/>
        </w:rPr>
        <w:t xml:space="preserve">Artikel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C07C5" w:rsidP="00EC07C5" w:rsidRDefault="00EC07C5" w14:paraId="02DDDFAE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61E7E03B" w14:textId="0F9FDC94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 xml:space="preserve">Dit besluit treedt in werking met ingang van de dag na de datum van uitgifte van de Staatscourant waarin het wordt geplaatst en werkt terug tot en met </w:t>
      </w:r>
      <w:r>
        <w:rPr>
          <w:rFonts w:ascii="Times New Roman" w:hAnsi="Times New Roman" w:cs="Times New Roman"/>
          <w:sz w:val="24"/>
          <w:szCs w:val="24"/>
        </w:rPr>
        <w:t xml:space="preserve">5 september </w:t>
      </w:r>
      <w:r w:rsidRPr="00EC07C5">
        <w:rPr>
          <w:rFonts w:ascii="Times New Roman" w:hAnsi="Times New Roman" w:cs="Times New Roman"/>
          <w:sz w:val="24"/>
          <w:szCs w:val="24"/>
        </w:rPr>
        <w:t>2025.</w:t>
      </w:r>
    </w:p>
    <w:p w:rsidRPr="00EC07C5" w:rsidR="00EC07C5" w:rsidP="00EC07C5" w:rsidRDefault="00EC07C5" w14:paraId="17922BCD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5DA70E52" w14:textId="77777777">
      <w:pPr>
        <w:rPr>
          <w:rFonts w:ascii="Times New Roman" w:hAnsi="Times New Roman" w:cs="Times New Roman"/>
          <w:sz w:val="24"/>
          <w:szCs w:val="24"/>
        </w:rPr>
      </w:pPr>
      <w:r w:rsidRPr="00EC07C5">
        <w:rPr>
          <w:rFonts w:ascii="Times New Roman" w:hAnsi="Times New Roman" w:cs="Times New Roman"/>
          <w:sz w:val="24"/>
          <w:szCs w:val="24"/>
        </w:rPr>
        <w:t>De Minister van Justitie en Veiligheid,</w:t>
      </w:r>
    </w:p>
    <w:p w:rsidRPr="00EC07C5" w:rsidR="00532B5B" w:rsidP="00EC07C5" w:rsidRDefault="00532B5B" w14:paraId="7E12A4C7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7DBF29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29B1639F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15479F82" w14:textId="77777777">
      <w:pPr>
        <w:rPr>
          <w:rFonts w:ascii="Times New Roman" w:hAnsi="Times New Roman" w:cs="Times New Roman"/>
          <w:sz w:val="24"/>
          <w:szCs w:val="24"/>
        </w:rPr>
      </w:pPr>
    </w:p>
    <w:p w:rsidRPr="00EC07C5" w:rsidR="00EC07C5" w:rsidP="00EC07C5" w:rsidRDefault="00EC07C5" w14:paraId="40D0FBF4" w14:textId="7F5704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532B5B">
        <w:rPr>
          <w:rFonts w:ascii="Times New Roman" w:hAnsi="Times New Roman" w:cs="Times New Roman"/>
          <w:sz w:val="24"/>
          <w:szCs w:val="24"/>
        </w:rPr>
        <w:t>oort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Oosten</w:t>
      </w:r>
    </w:p>
    <w:sectPr w:rsidRPr="00EC07C5" w:rsidR="00EC07C5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42E7"/>
    <w:multiLevelType w:val="hybridMultilevel"/>
    <w:tmpl w:val="75C4497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8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C5"/>
    <w:rsid w:val="00005AA7"/>
    <w:rsid w:val="00013B40"/>
    <w:rsid w:val="0016571D"/>
    <w:rsid w:val="001B1975"/>
    <w:rsid w:val="001C3015"/>
    <w:rsid w:val="001E6A24"/>
    <w:rsid w:val="00232A8E"/>
    <w:rsid w:val="00276662"/>
    <w:rsid w:val="003D2DE9"/>
    <w:rsid w:val="003D39C3"/>
    <w:rsid w:val="00532B5B"/>
    <w:rsid w:val="0058317B"/>
    <w:rsid w:val="005B7A31"/>
    <w:rsid w:val="005E4065"/>
    <w:rsid w:val="006405A3"/>
    <w:rsid w:val="006E39FB"/>
    <w:rsid w:val="007218F4"/>
    <w:rsid w:val="00833F57"/>
    <w:rsid w:val="00841A9E"/>
    <w:rsid w:val="00866830"/>
    <w:rsid w:val="009B58F6"/>
    <w:rsid w:val="00A407C5"/>
    <w:rsid w:val="00B06701"/>
    <w:rsid w:val="00B776B7"/>
    <w:rsid w:val="00BD1EEC"/>
    <w:rsid w:val="00CC2D53"/>
    <w:rsid w:val="00DD4903"/>
    <w:rsid w:val="00EA0640"/>
    <w:rsid w:val="00EC07C5"/>
    <w:rsid w:val="00EE2620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99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C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7C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7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7C5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7C5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7C5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7C5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7C5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7C5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7C5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C0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7C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7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7C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EC07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7C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7C5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EC07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415</ap:Words>
  <ap:Characters>2284</ap:Characters>
  <ap:DocSecurity>0</ap:DocSecurity>
  <ap:Lines>19</ap:Lines>
  <ap:Paragraphs>5</ap:Paragraphs>
  <ap:ScaleCrop>false</ap:ScaleCrop>
  <ap:LinksUpToDate>false</ap:LinksUpToDate>
  <ap:CharactersWithSpaces>2694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2025-12-12T11:06:00.0000000Z</dcterms:created>
  <dcterms:modified xsi:type="dcterms:W3CDTF">2025-12-12T11:06:00.0000000Z</dcterms:modified>
  <version/>
  <category/>
</coreProperties>
</file>