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837ECE" w:rsidTr="00D9561B" w14:paraId="35BCA231" w14:textId="77777777">
        <w:trPr>
          <w:trHeight w:val="1514"/>
        </w:trPr>
        <w:tc>
          <w:tcPr>
            <w:tcW w:w="7522" w:type="dxa"/>
            <w:tcBorders>
              <w:top w:val="nil"/>
              <w:left w:val="nil"/>
              <w:bottom w:val="nil"/>
              <w:right w:val="nil"/>
            </w:tcBorders>
            <w:tcMar>
              <w:left w:w="0" w:type="dxa"/>
              <w:right w:w="0" w:type="dxa"/>
            </w:tcMar>
          </w:tcPr>
          <w:p w:rsidR="00374412" w:rsidP="00D9561B" w:rsidRDefault="00BE29D0" w14:paraId="2ABD1554" w14:textId="77777777">
            <w:r>
              <w:t>De v</w:t>
            </w:r>
            <w:r w:rsidR="008E3932">
              <w:t>oorzitter van de Tweede Kamer der Staten-Generaal</w:t>
            </w:r>
          </w:p>
          <w:p w:rsidR="00374412" w:rsidP="00D9561B" w:rsidRDefault="00BE29D0" w14:paraId="32E8025F" w14:textId="77777777">
            <w:r>
              <w:t>Postbus 20018</w:t>
            </w:r>
          </w:p>
          <w:p w:rsidR="008E3932" w:rsidP="00D9561B" w:rsidRDefault="00BE29D0" w14:paraId="09AFBB99"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837ECE" w:rsidTr="00FF66F9" w14:paraId="41E894F6" w14:textId="77777777">
        <w:trPr>
          <w:trHeight w:val="289" w:hRule="exact"/>
        </w:trPr>
        <w:tc>
          <w:tcPr>
            <w:tcW w:w="929" w:type="dxa"/>
          </w:tcPr>
          <w:p w:rsidRPr="00434042" w:rsidR="0005404B" w:rsidP="00FF66F9" w:rsidRDefault="00BE29D0" w14:paraId="20A701D4" w14:textId="77777777">
            <w:pPr>
              <w:rPr>
                <w:lang w:eastAsia="en-US"/>
              </w:rPr>
            </w:pPr>
            <w:r>
              <w:rPr>
                <w:lang w:eastAsia="en-US"/>
              </w:rPr>
              <w:t>Datum</w:t>
            </w:r>
          </w:p>
        </w:tc>
        <w:tc>
          <w:tcPr>
            <w:tcW w:w="6581" w:type="dxa"/>
          </w:tcPr>
          <w:p w:rsidRPr="00434042" w:rsidR="0005404B" w:rsidP="00FF66F9" w:rsidRDefault="00C0415F" w14:paraId="41FDD531" w14:textId="0975F193">
            <w:pPr>
              <w:rPr>
                <w:lang w:eastAsia="en-US"/>
              </w:rPr>
            </w:pPr>
            <w:r>
              <w:rPr>
                <w:lang w:eastAsia="en-US"/>
              </w:rPr>
              <w:t>12 december 2025</w:t>
            </w:r>
          </w:p>
        </w:tc>
      </w:tr>
      <w:tr w:rsidR="00837ECE" w:rsidTr="00FF66F9" w14:paraId="45B1EF17" w14:textId="77777777">
        <w:trPr>
          <w:trHeight w:val="368"/>
        </w:trPr>
        <w:tc>
          <w:tcPr>
            <w:tcW w:w="929" w:type="dxa"/>
          </w:tcPr>
          <w:p w:rsidR="0005404B" w:rsidP="00FF66F9" w:rsidRDefault="00BE29D0" w14:paraId="12A78B3E" w14:textId="77777777">
            <w:pPr>
              <w:rPr>
                <w:lang w:eastAsia="en-US"/>
              </w:rPr>
            </w:pPr>
            <w:r>
              <w:rPr>
                <w:lang w:eastAsia="en-US"/>
              </w:rPr>
              <w:t>Betreft</w:t>
            </w:r>
          </w:p>
        </w:tc>
        <w:tc>
          <w:tcPr>
            <w:tcW w:w="6581" w:type="dxa"/>
          </w:tcPr>
          <w:p w:rsidR="0005404B" w:rsidP="00FF66F9" w:rsidRDefault="00BE29D0" w14:paraId="40959640" w14:textId="569F372D">
            <w:pPr>
              <w:rPr>
                <w:lang w:eastAsia="en-US"/>
              </w:rPr>
            </w:pPr>
            <w:r>
              <w:rPr>
                <w:lang w:eastAsia="en-US"/>
              </w:rPr>
              <w:t>Planningsbrief 2026</w:t>
            </w:r>
          </w:p>
        </w:tc>
      </w:tr>
    </w:tbl>
    <w:p w:rsidR="00837ECE" w:rsidRDefault="001C2C36" w14:paraId="562E1707" w14:textId="77777777">
      <w:r w:rsidRPr="001C2C36">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837ECE" w:rsidTr="00A421A1" w14:paraId="10F00C00" w14:textId="77777777">
        <w:tc>
          <w:tcPr>
            <w:tcW w:w="2160" w:type="dxa"/>
          </w:tcPr>
          <w:p w:rsidRPr="00F53C9D" w:rsidR="006205C0" w:rsidP="00686AED" w:rsidRDefault="00BE29D0" w14:paraId="413640EF" w14:textId="77777777">
            <w:pPr>
              <w:pStyle w:val="Colofonkop"/>
              <w:framePr w:hSpace="0" w:wrap="auto" w:hAnchor="text" w:vAnchor="margin" w:xAlign="left" w:yAlign="inline"/>
            </w:pPr>
            <w:r>
              <w:t>Bestuursondersteuning en Advies</w:t>
            </w:r>
          </w:p>
          <w:p w:rsidR="006205C0" w:rsidP="00A421A1" w:rsidRDefault="00BE29D0" w14:paraId="5965DF0C" w14:textId="77777777">
            <w:pPr>
              <w:pStyle w:val="Huisstijl-Gegeven"/>
              <w:spacing w:after="0"/>
            </w:pPr>
            <w:r>
              <w:t xml:space="preserve">Rijnstraat 50 </w:t>
            </w:r>
          </w:p>
          <w:p w:rsidR="004425A7" w:rsidP="00E972A2" w:rsidRDefault="00BE29D0" w14:paraId="342AC17A" w14:textId="77777777">
            <w:pPr>
              <w:pStyle w:val="Huisstijl-Gegeven"/>
              <w:spacing w:after="0"/>
            </w:pPr>
            <w:r>
              <w:t>Den Haag</w:t>
            </w:r>
          </w:p>
          <w:p w:rsidR="004425A7" w:rsidP="00E972A2" w:rsidRDefault="00BE29D0" w14:paraId="674D314C" w14:textId="77777777">
            <w:pPr>
              <w:pStyle w:val="Huisstijl-Gegeven"/>
              <w:spacing w:after="0"/>
            </w:pPr>
            <w:r>
              <w:t>Postbus 16375</w:t>
            </w:r>
          </w:p>
          <w:p w:rsidR="004425A7" w:rsidP="00E972A2" w:rsidRDefault="00BE29D0" w14:paraId="1769117F" w14:textId="77777777">
            <w:pPr>
              <w:pStyle w:val="Huisstijl-Gegeven"/>
              <w:spacing w:after="0"/>
            </w:pPr>
            <w:r>
              <w:t>2500 BJ Den Haag</w:t>
            </w:r>
          </w:p>
          <w:p w:rsidR="004425A7" w:rsidP="00E972A2" w:rsidRDefault="00BE29D0" w14:paraId="34D0E34B" w14:textId="77777777">
            <w:pPr>
              <w:pStyle w:val="Huisstijl-Gegeven"/>
              <w:spacing w:after="90"/>
            </w:pPr>
            <w:r>
              <w:t>www.rijksoverheid.nl</w:t>
            </w:r>
          </w:p>
          <w:p w:rsidRPr="00D86CC6" w:rsidR="006205C0" w:rsidP="00A421A1" w:rsidRDefault="00BE29D0" w14:paraId="4CAC89E4" w14:textId="77777777">
            <w:pPr>
              <w:spacing w:line="180" w:lineRule="exact"/>
              <w:rPr>
                <w:b/>
                <w:sz w:val="13"/>
                <w:szCs w:val="13"/>
              </w:rPr>
            </w:pPr>
            <w:r>
              <w:rPr>
                <w:b/>
                <w:sz w:val="13"/>
                <w:szCs w:val="13"/>
              </w:rPr>
              <w:t>Contactpersoon</w:t>
            </w:r>
          </w:p>
          <w:p w:rsidR="006205C0" w:rsidP="00A421A1" w:rsidRDefault="006205C0" w14:paraId="4688D6A1" w14:textId="77777777">
            <w:pPr>
              <w:spacing w:line="180" w:lineRule="exact"/>
              <w:rPr>
                <w:sz w:val="13"/>
                <w:szCs w:val="13"/>
              </w:rPr>
            </w:pPr>
          </w:p>
          <w:p w:rsidR="00C0415F" w:rsidP="00A421A1" w:rsidRDefault="00C0415F" w14:paraId="73D9FEEF" w14:textId="77777777">
            <w:pPr>
              <w:spacing w:line="180" w:lineRule="exact"/>
              <w:rPr>
                <w:sz w:val="13"/>
                <w:szCs w:val="13"/>
              </w:rPr>
            </w:pPr>
          </w:p>
          <w:p w:rsidRPr="00A32073" w:rsidR="00C0415F" w:rsidP="00A421A1" w:rsidRDefault="00C0415F" w14:paraId="0FFDA6AE" w14:textId="49729B2D">
            <w:pPr>
              <w:spacing w:line="180" w:lineRule="exact"/>
              <w:rPr>
                <w:sz w:val="13"/>
                <w:szCs w:val="13"/>
              </w:rPr>
            </w:pPr>
          </w:p>
        </w:tc>
      </w:tr>
      <w:tr w:rsidR="00837ECE" w:rsidTr="00A421A1" w14:paraId="4902BFBF" w14:textId="77777777">
        <w:trPr>
          <w:trHeight w:val="200" w:hRule="exact"/>
        </w:trPr>
        <w:tc>
          <w:tcPr>
            <w:tcW w:w="2160" w:type="dxa"/>
          </w:tcPr>
          <w:p w:rsidRPr="00356D2B" w:rsidR="006205C0" w:rsidP="00A421A1" w:rsidRDefault="006205C0" w14:paraId="6409049C" w14:textId="77777777">
            <w:pPr>
              <w:spacing w:after="90" w:line="180" w:lineRule="exact"/>
              <w:rPr>
                <w:sz w:val="13"/>
                <w:szCs w:val="13"/>
              </w:rPr>
            </w:pPr>
          </w:p>
        </w:tc>
      </w:tr>
      <w:tr w:rsidR="00837ECE" w:rsidTr="00A421A1" w14:paraId="4C1A0ACB" w14:textId="77777777">
        <w:trPr>
          <w:trHeight w:val="450"/>
        </w:trPr>
        <w:tc>
          <w:tcPr>
            <w:tcW w:w="2160" w:type="dxa"/>
          </w:tcPr>
          <w:p w:rsidR="00F51A76" w:rsidP="00A421A1" w:rsidRDefault="00BE29D0" w14:paraId="0982CB85" w14:textId="77777777">
            <w:pPr>
              <w:spacing w:line="180" w:lineRule="exact"/>
              <w:rPr>
                <w:b/>
                <w:sz w:val="13"/>
                <w:szCs w:val="13"/>
              </w:rPr>
            </w:pPr>
            <w:r>
              <w:rPr>
                <w:b/>
                <w:sz w:val="13"/>
                <w:szCs w:val="13"/>
              </w:rPr>
              <w:t>Onze referentie</w:t>
            </w:r>
          </w:p>
          <w:p w:rsidRPr="00FA7882" w:rsidR="006205C0" w:rsidP="00215356" w:rsidRDefault="00BE29D0" w14:paraId="79C66B94" w14:textId="77777777">
            <w:pPr>
              <w:spacing w:line="180" w:lineRule="exact"/>
              <w:rPr>
                <w:sz w:val="13"/>
                <w:szCs w:val="13"/>
              </w:rPr>
            </w:pPr>
            <w:r>
              <w:rPr>
                <w:sz w:val="13"/>
                <w:szCs w:val="13"/>
              </w:rPr>
              <w:t>55044513</w:t>
            </w:r>
          </w:p>
        </w:tc>
      </w:tr>
      <w:tr w:rsidR="00837ECE" w:rsidTr="00A421A1" w14:paraId="7A20FA57" w14:textId="77777777">
        <w:trPr>
          <w:trHeight w:val="136"/>
        </w:trPr>
        <w:tc>
          <w:tcPr>
            <w:tcW w:w="2160" w:type="dxa"/>
          </w:tcPr>
          <w:p w:rsidRPr="00C5333A" w:rsidR="006205C0" w:rsidP="00A421A1" w:rsidRDefault="00BE29D0" w14:paraId="1E1CFBAB" w14:textId="77777777">
            <w:pPr>
              <w:tabs>
                <w:tab w:val="left" w:pos="1890"/>
              </w:tabs>
              <w:spacing w:line="180" w:lineRule="exact"/>
              <w:rPr>
                <w:b/>
                <w:sz w:val="13"/>
                <w:szCs w:val="13"/>
              </w:rPr>
            </w:pPr>
            <w:r w:rsidRPr="00003544">
              <w:rPr>
                <w:b/>
                <w:sz w:val="13"/>
                <w:szCs w:val="13"/>
              </w:rPr>
              <w:t>Uw brief</w:t>
            </w:r>
          </w:p>
          <w:p w:rsidRPr="00E06CD4" w:rsidR="00E91674" w:rsidP="00E210E0" w:rsidRDefault="00BE29D0" w14:paraId="58EF9481" w14:textId="201B9A03">
            <w:pPr>
              <w:tabs>
                <w:tab w:val="left" w:pos="1890"/>
              </w:tabs>
              <w:spacing w:after="92" w:line="180" w:lineRule="exact"/>
              <w:rPr>
                <w:sz w:val="13"/>
                <w:szCs w:val="13"/>
              </w:rPr>
            </w:pPr>
            <w:r>
              <w:rPr>
                <w:sz w:val="13"/>
                <w:szCs w:val="13"/>
              </w:rPr>
              <w:t>25 september 2025</w:t>
            </w:r>
          </w:p>
        </w:tc>
      </w:tr>
      <w:tr w:rsidR="00837ECE" w:rsidTr="00A421A1" w14:paraId="41328DCC" w14:textId="77777777">
        <w:trPr>
          <w:trHeight w:val="227"/>
        </w:trPr>
        <w:tc>
          <w:tcPr>
            <w:tcW w:w="2160" w:type="dxa"/>
          </w:tcPr>
          <w:p w:rsidRPr="004A65A5" w:rsidR="006205C0" w:rsidP="00A421A1" w:rsidRDefault="00BE29D0" w14:paraId="5E30E7DF" w14:textId="77777777">
            <w:pPr>
              <w:spacing w:line="180" w:lineRule="exact"/>
              <w:rPr>
                <w:b/>
                <w:sz w:val="13"/>
                <w:szCs w:val="13"/>
              </w:rPr>
            </w:pPr>
            <w:r>
              <w:rPr>
                <w:b/>
                <w:sz w:val="13"/>
                <w:szCs w:val="13"/>
              </w:rPr>
              <w:t>Uw referentie</w:t>
            </w:r>
          </w:p>
          <w:p w:rsidRPr="00D74F66" w:rsidR="006205C0" w:rsidP="00A421A1" w:rsidRDefault="00BE29D0" w14:paraId="153C310D" w14:textId="633F5A7B">
            <w:pPr>
              <w:spacing w:after="90" w:line="180" w:lineRule="exact"/>
              <w:rPr>
                <w:sz w:val="13"/>
              </w:rPr>
            </w:pPr>
            <w:r>
              <w:rPr>
                <w:sz w:val="13"/>
              </w:rPr>
              <w:t>2025D39744</w:t>
            </w:r>
          </w:p>
        </w:tc>
      </w:tr>
    </w:tbl>
    <w:p w:rsidR="00215356" w:rsidRDefault="00215356" w14:paraId="4B76AF4A" w14:textId="77777777"/>
    <w:p w:rsidR="00C22EE3" w:rsidRDefault="00C22EE3" w14:paraId="7F4ECF2B" w14:textId="77777777"/>
    <w:p w:rsidR="00C22EE3" w:rsidRDefault="00C22EE3" w14:paraId="0883C7A1" w14:textId="77777777"/>
    <w:p w:rsidR="006205C0" w:rsidP="00A421A1" w:rsidRDefault="006205C0" w14:paraId="232F7E1B" w14:textId="77777777"/>
    <w:p w:rsidR="00BE29D0" w:rsidP="00BE29D0" w:rsidRDefault="00BE29D0" w14:paraId="01A9237F" w14:textId="4E3C80B7">
      <w:pPr>
        <w:pStyle w:val="Geenafstand"/>
        <w:rPr>
          <w:rFonts w:ascii="Verdana" w:hAnsi="Verdana"/>
          <w:sz w:val="18"/>
          <w:szCs w:val="18"/>
        </w:rPr>
      </w:pPr>
      <w:r w:rsidRPr="007C0725">
        <w:rPr>
          <w:rFonts w:ascii="Verdana" w:hAnsi="Verdana"/>
          <w:sz w:val="18"/>
          <w:szCs w:val="18"/>
        </w:rPr>
        <w:t xml:space="preserve">In de brief van uw vaste commissie voor OCW van </w:t>
      </w:r>
      <w:r>
        <w:rPr>
          <w:rFonts w:ascii="Verdana" w:hAnsi="Verdana"/>
          <w:sz w:val="18"/>
          <w:szCs w:val="18"/>
        </w:rPr>
        <w:t>25</w:t>
      </w:r>
      <w:r w:rsidRPr="007C0725">
        <w:rPr>
          <w:rFonts w:ascii="Verdana" w:hAnsi="Verdana"/>
          <w:sz w:val="18"/>
          <w:szCs w:val="18"/>
        </w:rPr>
        <w:t xml:space="preserve"> </w:t>
      </w:r>
      <w:r>
        <w:rPr>
          <w:rFonts w:ascii="Verdana" w:hAnsi="Verdana"/>
          <w:sz w:val="18"/>
          <w:szCs w:val="18"/>
        </w:rPr>
        <w:t>septembe</w:t>
      </w:r>
      <w:r w:rsidRPr="007C0725">
        <w:rPr>
          <w:rFonts w:ascii="Verdana" w:hAnsi="Verdana"/>
          <w:sz w:val="18"/>
          <w:szCs w:val="18"/>
        </w:rPr>
        <w:t>r 202</w:t>
      </w:r>
      <w:r>
        <w:rPr>
          <w:rFonts w:ascii="Verdana" w:hAnsi="Verdana"/>
          <w:sz w:val="18"/>
          <w:szCs w:val="18"/>
        </w:rPr>
        <w:t>5</w:t>
      </w:r>
      <w:r w:rsidRPr="007C0725">
        <w:rPr>
          <w:rFonts w:ascii="Verdana" w:hAnsi="Verdana"/>
          <w:sz w:val="18"/>
          <w:szCs w:val="18"/>
        </w:rPr>
        <w:t xml:space="preserve"> (202</w:t>
      </w:r>
      <w:r>
        <w:rPr>
          <w:rFonts w:ascii="Verdana" w:hAnsi="Verdana"/>
          <w:sz w:val="18"/>
          <w:szCs w:val="18"/>
        </w:rPr>
        <w:t>5</w:t>
      </w:r>
      <w:r w:rsidRPr="007C0725">
        <w:rPr>
          <w:rFonts w:ascii="Verdana" w:hAnsi="Verdana"/>
          <w:sz w:val="18"/>
          <w:szCs w:val="18"/>
        </w:rPr>
        <w:t>D3</w:t>
      </w:r>
      <w:r>
        <w:rPr>
          <w:rFonts w:ascii="Verdana" w:hAnsi="Verdana"/>
          <w:sz w:val="18"/>
          <w:szCs w:val="18"/>
        </w:rPr>
        <w:t>9744</w:t>
      </w:r>
      <w:r w:rsidRPr="007C0725">
        <w:rPr>
          <w:rFonts w:ascii="Verdana" w:hAnsi="Verdana"/>
          <w:sz w:val="18"/>
          <w:szCs w:val="18"/>
        </w:rPr>
        <w:t>) werd ons verzocht om een planningsbrief voor 202</w:t>
      </w:r>
      <w:r w:rsidR="005F0E73">
        <w:rPr>
          <w:rFonts w:ascii="Verdana" w:hAnsi="Verdana"/>
          <w:sz w:val="18"/>
          <w:szCs w:val="18"/>
        </w:rPr>
        <w:t>6</w:t>
      </w:r>
      <w:r w:rsidRPr="007C0725">
        <w:rPr>
          <w:rFonts w:ascii="Verdana" w:hAnsi="Verdana"/>
          <w:sz w:val="18"/>
          <w:szCs w:val="18"/>
        </w:rPr>
        <w:t xml:space="preserve"> te versturen. De voorliggende brief bevat de gevraagde planning van brieven, wetsvoorstellen en </w:t>
      </w:r>
      <w:proofErr w:type="spellStart"/>
      <w:r w:rsidRPr="007C0725">
        <w:rPr>
          <w:rFonts w:ascii="Verdana" w:hAnsi="Verdana"/>
          <w:sz w:val="18"/>
          <w:szCs w:val="18"/>
        </w:rPr>
        <w:t>AMvB’s</w:t>
      </w:r>
      <w:proofErr w:type="spellEnd"/>
      <w:r w:rsidRPr="007C0725">
        <w:rPr>
          <w:rFonts w:ascii="Verdana" w:hAnsi="Verdana"/>
          <w:sz w:val="18"/>
          <w:szCs w:val="18"/>
        </w:rPr>
        <w:t>, waarvan wij op dit moment verwachten deze het komend jaar aan de Kamer te versturen. Hierin zijn ook de geplande beleidsreacties van rapporten</w:t>
      </w:r>
      <w:r>
        <w:rPr>
          <w:rFonts w:ascii="Verdana" w:hAnsi="Verdana"/>
          <w:sz w:val="18"/>
          <w:szCs w:val="18"/>
        </w:rPr>
        <w:t xml:space="preserve"> en </w:t>
      </w:r>
      <w:r w:rsidRPr="007C0725">
        <w:rPr>
          <w:rFonts w:ascii="Verdana" w:hAnsi="Verdana"/>
          <w:sz w:val="18"/>
          <w:szCs w:val="18"/>
        </w:rPr>
        <w:t>adviezen, die al eerder aan de Kamer zijn aangeboden, opgenomen. Graag benadrukken wij dat de planning in de voorliggende brief indicatief en aan wijzigingen onderhevig is</w:t>
      </w:r>
      <w:r w:rsidR="00656415">
        <w:rPr>
          <w:rFonts w:ascii="Verdana" w:hAnsi="Verdana"/>
          <w:sz w:val="18"/>
          <w:szCs w:val="18"/>
        </w:rPr>
        <w:t>, mede gelet op de demissionaire staat van het kabinet</w:t>
      </w:r>
      <w:r w:rsidR="00F35636">
        <w:rPr>
          <w:rFonts w:ascii="Verdana" w:hAnsi="Verdana"/>
          <w:sz w:val="18"/>
          <w:szCs w:val="18"/>
        </w:rPr>
        <w:t xml:space="preserve"> </w:t>
      </w:r>
      <w:r w:rsidRPr="00F35636" w:rsidR="00F35636">
        <w:rPr>
          <w:rFonts w:ascii="Verdana" w:hAnsi="Verdana"/>
          <w:sz w:val="18"/>
          <w:szCs w:val="18"/>
        </w:rPr>
        <w:t>en onzekerheid in de planning van het formatieproces</w:t>
      </w:r>
      <w:r w:rsidRPr="007C0725">
        <w:rPr>
          <w:rFonts w:ascii="Verdana" w:hAnsi="Verdana"/>
          <w:sz w:val="18"/>
          <w:szCs w:val="18"/>
        </w:rPr>
        <w:t>.</w:t>
      </w:r>
    </w:p>
    <w:p w:rsidR="00930C09" w:rsidP="00CA35E4" w:rsidRDefault="00930C09" w14:paraId="1FC88855" w14:textId="77777777"/>
    <w:p w:rsidR="003B25BC" w:rsidP="00CA35E4" w:rsidRDefault="003B25BC" w14:paraId="15B1BECD" w14:textId="77777777"/>
    <w:p w:rsidR="00C22EE3" w:rsidP="00CA35E4" w:rsidRDefault="00C22EE3" w14:paraId="12FE6E30" w14:textId="77777777"/>
    <w:p w:rsidR="00C22EE3" w:rsidP="00CA35E4" w:rsidRDefault="00C22EE3" w14:paraId="4761C434" w14:textId="77777777"/>
    <w:p w:rsidRPr="00E77E18" w:rsidR="00177F9A" w:rsidP="00CA35E4" w:rsidRDefault="00177F9A" w14:paraId="77C73897" w14:textId="676267D9">
      <w:pPr>
        <w:rPr>
          <w:b/>
          <w:bCs/>
          <w:sz w:val="20"/>
          <w:szCs w:val="20"/>
        </w:rPr>
      </w:pPr>
      <w:r>
        <w:rPr>
          <w:b/>
          <w:bCs/>
          <w:sz w:val="20"/>
          <w:szCs w:val="20"/>
        </w:rPr>
        <w:t>Brieven</w:t>
      </w:r>
    </w:p>
    <w:tbl>
      <w:tblPr>
        <w:tblStyle w:val="Tabelraster"/>
        <w:tblW w:w="8789" w:type="dxa"/>
        <w:tblInd w:w="-147" w:type="dxa"/>
        <w:tblLayout w:type="fixed"/>
        <w:tblLook w:val="04A0" w:firstRow="1" w:lastRow="0" w:firstColumn="1" w:lastColumn="0" w:noHBand="0" w:noVBand="1"/>
      </w:tblPr>
      <w:tblGrid>
        <w:gridCol w:w="1653"/>
        <w:gridCol w:w="2175"/>
        <w:gridCol w:w="4961"/>
      </w:tblGrid>
      <w:tr w:rsidRPr="003130E2" w:rsidR="00BA7155" w:rsidTr="009A6604" w14:paraId="40FB8368" w14:textId="77777777">
        <w:tc>
          <w:tcPr>
            <w:tcW w:w="1653" w:type="dxa"/>
          </w:tcPr>
          <w:p w:rsidRPr="00E77E18" w:rsidR="00BA7155" w:rsidP="00A712D2" w:rsidRDefault="00BA7155" w14:paraId="2E9701A7" w14:textId="77777777">
            <w:pPr>
              <w:rPr>
                <w:b/>
                <w:bCs/>
                <w:szCs w:val="18"/>
              </w:rPr>
            </w:pPr>
            <w:r w:rsidRPr="00E77E18">
              <w:rPr>
                <w:b/>
                <w:bCs/>
                <w:szCs w:val="18"/>
              </w:rPr>
              <w:t>Beleidsterrein</w:t>
            </w:r>
          </w:p>
          <w:p w:rsidRPr="00E77E18" w:rsidR="00BA7155" w:rsidP="00A712D2" w:rsidRDefault="00BA7155" w14:paraId="72273A96" w14:textId="77777777">
            <w:pPr>
              <w:rPr>
                <w:b/>
                <w:bCs/>
                <w:szCs w:val="18"/>
              </w:rPr>
            </w:pPr>
          </w:p>
        </w:tc>
        <w:tc>
          <w:tcPr>
            <w:tcW w:w="2175" w:type="dxa"/>
          </w:tcPr>
          <w:p w:rsidRPr="00E77E18" w:rsidR="00BA7155" w:rsidP="00A712D2" w:rsidRDefault="00BA7155" w14:paraId="65FF71F1" w14:textId="77777777">
            <w:pPr>
              <w:rPr>
                <w:b/>
                <w:bCs/>
                <w:szCs w:val="18"/>
              </w:rPr>
            </w:pPr>
            <w:r w:rsidRPr="00E77E18">
              <w:rPr>
                <w:b/>
                <w:bCs/>
                <w:szCs w:val="18"/>
              </w:rPr>
              <w:t>Werktitel brief</w:t>
            </w:r>
          </w:p>
        </w:tc>
        <w:tc>
          <w:tcPr>
            <w:tcW w:w="4961" w:type="dxa"/>
          </w:tcPr>
          <w:p w:rsidRPr="00E77E18" w:rsidR="00BA7155" w:rsidP="00A712D2" w:rsidRDefault="00BA7155" w14:paraId="13C328A8" w14:textId="77777777">
            <w:pPr>
              <w:rPr>
                <w:b/>
                <w:bCs/>
                <w:szCs w:val="18"/>
              </w:rPr>
            </w:pPr>
            <w:r w:rsidRPr="00E77E18">
              <w:rPr>
                <w:b/>
                <w:bCs/>
                <w:szCs w:val="18"/>
              </w:rPr>
              <w:t>Toelichting</w:t>
            </w:r>
          </w:p>
        </w:tc>
      </w:tr>
      <w:tr w:rsidRPr="003130E2" w:rsidR="00BA7155" w:rsidTr="009A6604" w14:paraId="1F1E13B2" w14:textId="77777777">
        <w:tc>
          <w:tcPr>
            <w:tcW w:w="8789" w:type="dxa"/>
            <w:gridSpan w:val="3"/>
            <w:shd w:val="clear" w:color="auto" w:fill="D9D9D9" w:themeFill="background1" w:themeFillShade="D9"/>
          </w:tcPr>
          <w:p w:rsidRPr="0074088B" w:rsidR="00BA7155" w:rsidP="00A712D2" w:rsidRDefault="00BA7155" w14:paraId="0BED0679" w14:textId="3BA9E643">
            <w:pPr>
              <w:rPr>
                <w:b/>
                <w:bCs/>
                <w:szCs w:val="18"/>
              </w:rPr>
            </w:pPr>
            <w:r w:rsidRPr="0074088B">
              <w:rPr>
                <w:b/>
                <w:bCs/>
                <w:szCs w:val="18"/>
              </w:rPr>
              <w:t>Eerste kwartaal</w:t>
            </w:r>
            <w:r w:rsidR="00656415">
              <w:rPr>
                <w:b/>
                <w:bCs/>
                <w:szCs w:val="18"/>
              </w:rPr>
              <w:t xml:space="preserve"> 2026</w:t>
            </w:r>
          </w:p>
        </w:tc>
      </w:tr>
      <w:tr w:rsidRPr="003130E2" w:rsidR="0074088B" w:rsidTr="009A6604" w14:paraId="07253D0B" w14:textId="77777777">
        <w:tc>
          <w:tcPr>
            <w:tcW w:w="1653" w:type="dxa"/>
          </w:tcPr>
          <w:p w:rsidRPr="0074088B" w:rsidR="0074088B" w:rsidP="0074088B" w:rsidRDefault="0074088B" w14:paraId="19CB5D77" w14:textId="77777777">
            <w:pPr>
              <w:rPr>
                <w:szCs w:val="18"/>
              </w:rPr>
            </w:pPr>
            <w:r w:rsidRPr="0074088B">
              <w:rPr>
                <w:szCs w:val="18"/>
              </w:rPr>
              <w:t>Funderend onderwijs</w:t>
            </w:r>
          </w:p>
        </w:tc>
        <w:tc>
          <w:tcPr>
            <w:tcW w:w="2175" w:type="dxa"/>
          </w:tcPr>
          <w:p w:rsidRPr="0074088B" w:rsidR="0074088B" w:rsidP="0074088B" w:rsidRDefault="0074088B" w14:paraId="29CD6F9B" w14:textId="7EB57745">
            <w:pPr>
              <w:rPr>
                <w:szCs w:val="18"/>
              </w:rPr>
            </w:pPr>
            <w:r w:rsidRPr="0074088B">
              <w:rPr>
                <w:rStyle w:val="null1"/>
                <w:rFonts w:cs="Calibri Light"/>
                <w:szCs w:val="18"/>
              </w:rPr>
              <w:t>Uitkomsten onderzoeken op het gebied van scholenplanning</w:t>
            </w:r>
          </w:p>
        </w:tc>
        <w:tc>
          <w:tcPr>
            <w:tcW w:w="4961" w:type="dxa"/>
          </w:tcPr>
          <w:p w:rsidR="00177F9A" w:rsidP="00E77E18" w:rsidRDefault="0074088B" w14:paraId="6359A911" w14:textId="77777777">
            <w:pPr>
              <w:pStyle w:val="null"/>
              <w:spacing w:before="0" w:beforeAutospacing="0" w:after="0" w:afterAutospacing="0"/>
              <w:rPr>
                <w:rFonts w:ascii="Verdana" w:hAnsi="Verdana"/>
                <w:sz w:val="18"/>
                <w:szCs w:val="18"/>
              </w:rPr>
            </w:pPr>
            <w:r w:rsidRPr="0074088B">
              <w:rPr>
                <w:rStyle w:val="null1"/>
                <w:rFonts w:ascii="Verdana" w:hAnsi="Verdana" w:cs="Calibri Light"/>
                <w:sz w:val="18"/>
                <w:szCs w:val="18"/>
              </w:rPr>
              <w:t>Deze brief bevat de belangrijkste uitkomsten van drie onderzoeken</w:t>
            </w:r>
            <w:r w:rsidRPr="00177F9A" w:rsidR="00177F9A">
              <w:rPr>
                <w:rFonts w:ascii="Verdana" w:hAnsi="Verdana"/>
                <w:sz w:val="18"/>
                <w:szCs w:val="18"/>
              </w:rPr>
              <w:t xml:space="preserve">: </w:t>
            </w:r>
          </w:p>
          <w:p w:rsidR="00177F9A" w:rsidP="00E77E18" w:rsidRDefault="00177F9A" w14:paraId="756A3A3D" w14:textId="44BE9DF8">
            <w:pPr>
              <w:pStyle w:val="null"/>
              <w:spacing w:before="0" w:beforeAutospacing="0" w:after="0" w:afterAutospacing="0"/>
              <w:rPr>
                <w:rStyle w:val="null1"/>
                <w:rFonts w:ascii="Verdana" w:hAnsi="Verdana" w:cs="Calibri Light"/>
                <w:sz w:val="18"/>
                <w:szCs w:val="18"/>
              </w:rPr>
            </w:pPr>
            <w:r w:rsidRPr="00177F9A">
              <w:rPr>
                <w:rFonts w:ascii="Verdana" w:hAnsi="Verdana"/>
                <w:sz w:val="18"/>
                <w:szCs w:val="18"/>
              </w:rPr>
              <w:t>1. E</w:t>
            </w:r>
            <w:r w:rsidRPr="00177F9A" w:rsidR="0074088B">
              <w:rPr>
                <w:rStyle w:val="null1"/>
                <w:rFonts w:ascii="Verdana" w:hAnsi="Verdana" w:cs="Calibri Light"/>
                <w:sz w:val="18"/>
                <w:szCs w:val="18"/>
              </w:rPr>
              <w:t>valuatie</w:t>
            </w:r>
            <w:r w:rsidRPr="0074088B" w:rsidR="0074088B">
              <w:rPr>
                <w:rStyle w:val="null1"/>
                <w:rFonts w:ascii="Verdana" w:hAnsi="Verdana" w:cs="Calibri Light"/>
                <w:sz w:val="18"/>
                <w:szCs w:val="18"/>
              </w:rPr>
              <w:t xml:space="preserve"> wet Meer Ruimte voor Nieuwe Scholen</w:t>
            </w:r>
            <w:r w:rsidR="00E77E18">
              <w:rPr>
                <w:rStyle w:val="null1"/>
                <w:rFonts w:ascii="Verdana" w:hAnsi="Verdana" w:cs="Calibri Light"/>
                <w:sz w:val="18"/>
                <w:szCs w:val="18"/>
              </w:rPr>
              <w:t xml:space="preserve"> </w:t>
            </w:r>
            <w:r>
              <w:rPr>
                <w:rStyle w:val="null1"/>
                <w:rFonts w:ascii="Verdana" w:hAnsi="Verdana" w:cs="Calibri Light"/>
                <w:sz w:val="18"/>
                <w:szCs w:val="18"/>
              </w:rPr>
              <w:t>2. O</w:t>
            </w:r>
            <w:r w:rsidRPr="0074088B" w:rsidR="0074088B">
              <w:rPr>
                <w:rStyle w:val="null1"/>
                <w:rFonts w:ascii="Verdana" w:hAnsi="Verdana" w:cs="Calibri Light"/>
                <w:sz w:val="18"/>
                <w:szCs w:val="18"/>
              </w:rPr>
              <w:t>nderzoek naar hoogte van de startbekostiging</w:t>
            </w:r>
            <w:r w:rsidR="00E77E18">
              <w:rPr>
                <w:rStyle w:val="null1"/>
                <w:rFonts w:ascii="Verdana" w:hAnsi="Verdana" w:cs="Calibri Light"/>
                <w:sz w:val="18"/>
                <w:szCs w:val="18"/>
              </w:rPr>
              <w:t xml:space="preserve"> </w:t>
            </w:r>
            <w:r>
              <w:rPr>
                <w:rStyle w:val="null1"/>
                <w:rFonts w:ascii="Verdana" w:hAnsi="Verdana" w:cs="Calibri Light"/>
                <w:sz w:val="18"/>
                <w:szCs w:val="18"/>
              </w:rPr>
              <w:t>3. O</w:t>
            </w:r>
            <w:r w:rsidRPr="0074088B" w:rsidR="0074088B">
              <w:rPr>
                <w:rStyle w:val="null1"/>
                <w:rFonts w:ascii="Verdana" w:hAnsi="Verdana" w:cs="Calibri Light"/>
                <w:sz w:val="18"/>
                <w:szCs w:val="18"/>
              </w:rPr>
              <w:t>nderzoek naar landschap van dislocaties in het po</w:t>
            </w:r>
          </w:p>
          <w:p w:rsidRPr="00E77E18" w:rsidR="0074088B" w:rsidP="00E77E18" w:rsidRDefault="00656415" w14:paraId="1C265F5D" w14:textId="723BD75B">
            <w:pPr>
              <w:pStyle w:val="null"/>
              <w:spacing w:before="0" w:beforeAutospacing="0" w:after="0" w:afterAutospacing="0"/>
              <w:rPr>
                <w:rFonts w:ascii="Verdana" w:hAnsi="Verdana"/>
                <w:sz w:val="18"/>
                <w:szCs w:val="18"/>
              </w:rPr>
            </w:pPr>
            <w:r>
              <w:rPr>
                <w:rStyle w:val="null1"/>
                <w:rFonts w:ascii="Verdana" w:hAnsi="Verdana" w:cs="Calibri Light"/>
                <w:sz w:val="18"/>
                <w:szCs w:val="18"/>
              </w:rPr>
              <w:t>De b</w:t>
            </w:r>
            <w:r w:rsidRPr="00E77E18" w:rsidR="0074088B">
              <w:rPr>
                <w:rStyle w:val="null1"/>
                <w:rFonts w:ascii="Verdana" w:hAnsi="Verdana" w:cs="Calibri Light"/>
                <w:sz w:val="18"/>
                <w:szCs w:val="18"/>
              </w:rPr>
              <w:t>eleidsreacties volgen in het tweede kwartaal.</w:t>
            </w:r>
            <w:r w:rsidRPr="0074088B" w:rsidR="0074088B">
              <w:rPr>
                <w:rStyle w:val="null1"/>
                <w:rFonts w:cs="Calibri Light"/>
                <w:szCs w:val="18"/>
              </w:rPr>
              <w:t xml:space="preserve"> </w:t>
            </w:r>
          </w:p>
        </w:tc>
      </w:tr>
      <w:tr w:rsidRPr="003130E2" w:rsidR="0074088B" w:rsidTr="009A6604" w14:paraId="21C1C9DB" w14:textId="77777777">
        <w:tc>
          <w:tcPr>
            <w:tcW w:w="1653" w:type="dxa"/>
          </w:tcPr>
          <w:p w:rsidRPr="0074088B" w:rsidR="0074088B" w:rsidP="0074088B" w:rsidRDefault="0074088B" w14:paraId="7AFD63E4" w14:textId="77777777">
            <w:pPr>
              <w:rPr>
                <w:szCs w:val="18"/>
              </w:rPr>
            </w:pPr>
            <w:r w:rsidRPr="0074088B">
              <w:rPr>
                <w:szCs w:val="18"/>
              </w:rPr>
              <w:t>Funderend onderwijs</w:t>
            </w:r>
          </w:p>
        </w:tc>
        <w:tc>
          <w:tcPr>
            <w:tcW w:w="2175" w:type="dxa"/>
          </w:tcPr>
          <w:p w:rsidRPr="0074088B" w:rsidR="0074088B" w:rsidP="0074088B" w:rsidRDefault="0074088B" w14:paraId="79D91307" w14:textId="715288FC">
            <w:pPr>
              <w:rPr>
                <w:szCs w:val="18"/>
              </w:rPr>
            </w:pPr>
            <w:r w:rsidRPr="0074088B">
              <w:rPr>
                <w:szCs w:val="18"/>
              </w:rPr>
              <w:t>Beleidsbrief Digitalisering en Leermiddelen</w:t>
            </w:r>
          </w:p>
        </w:tc>
        <w:tc>
          <w:tcPr>
            <w:tcW w:w="4961" w:type="dxa"/>
          </w:tcPr>
          <w:p w:rsidRPr="0074088B" w:rsidR="0074088B" w:rsidP="0074088B" w:rsidRDefault="0074088B" w14:paraId="17BBFC11" w14:textId="065E1F04">
            <w:pPr>
              <w:rPr>
                <w:szCs w:val="18"/>
              </w:rPr>
            </w:pPr>
            <w:r w:rsidRPr="0074088B">
              <w:rPr>
                <w:szCs w:val="18"/>
              </w:rPr>
              <w:t>Beleidsreactie op openstaande moties en toezeggingen en afgeronde onderzoeken op het gebied van leermiddelen en digitalisering.</w:t>
            </w:r>
          </w:p>
        </w:tc>
      </w:tr>
      <w:tr w:rsidRPr="003130E2" w:rsidR="0074088B" w:rsidTr="009A6604" w14:paraId="79C7922E" w14:textId="77777777">
        <w:tc>
          <w:tcPr>
            <w:tcW w:w="1653" w:type="dxa"/>
          </w:tcPr>
          <w:p w:rsidRPr="0074088B" w:rsidR="0074088B" w:rsidP="0074088B" w:rsidRDefault="0074088B" w14:paraId="22699A72" w14:textId="77777777">
            <w:pPr>
              <w:rPr>
                <w:szCs w:val="18"/>
              </w:rPr>
            </w:pPr>
            <w:r w:rsidRPr="0074088B">
              <w:rPr>
                <w:szCs w:val="18"/>
              </w:rPr>
              <w:t>Funderend onderwijs</w:t>
            </w:r>
          </w:p>
        </w:tc>
        <w:tc>
          <w:tcPr>
            <w:tcW w:w="2175" w:type="dxa"/>
          </w:tcPr>
          <w:p w:rsidRPr="0074088B" w:rsidR="0074088B" w:rsidP="0074088B" w:rsidRDefault="0074088B" w14:paraId="4856D09E" w14:textId="63D88C7B">
            <w:pPr>
              <w:rPr>
                <w:szCs w:val="18"/>
              </w:rPr>
            </w:pPr>
            <w:r w:rsidRPr="0074088B">
              <w:rPr>
                <w:szCs w:val="18"/>
              </w:rPr>
              <w:t xml:space="preserve">Jaarverslag </w:t>
            </w:r>
            <w:proofErr w:type="spellStart"/>
            <w:r w:rsidRPr="0074088B">
              <w:rPr>
                <w:szCs w:val="18"/>
              </w:rPr>
              <w:t>CvTE</w:t>
            </w:r>
            <w:proofErr w:type="spellEnd"/>
          </w:p>
        </w:tc>
        <w:tc>
          <w:tcPr>
            <w:tcW w:w="4961" w:type="dxa"/>
          </w:tcPr>
          <w:p w:rsidRPr="0074088B" w:rsidR="0074088B" w:rsidP="0074088B" w:rsidRDefault="0074088B" w14:paraId="458E28FF" w14:textId="05923516">
            <w:pPr>
              <w:rPr>
                <w:szCs w:val="18"/>
              </w:rPr>
            </w:pPr>
            <w:r w:rsidRPr="0074088B">
              <w:rPr>
                <w:szCs w:val="18"/>
              </w:rPr>
              <w:t xml:space="preserve">Hiermee wordt het jaarverslag van het College voor Toetsen en Examens aangeboden. </w:t>
            </w:r>
          </w:p>
        </w:tc>
      </w:tr>
      <w:tr w:rsidRPr="003130E2" w:rsidR="0074088B" w:rsidTr="009A6604" w14:paraId="46A9E8F5" w14:textId="77777777">
        <w:tc>
          <w:tcPr>
            <w:tcW w:w="1653" w:type="dxa"/>
          </w:tcPr>
          <w:p w:rsidRPr="0074088B" w:rsidR="0074088B" w:rsidP="0074088B" w:rsidRDefault="0074088B" w14:paraId="783FDCDA" w14:textId="77777777">
            <w:pPr>
              <w:rPr>
                <w:szCs w:val="18"/>
              </w:rPr>
            </w:pPr>
            <w:r w:rsidRPr="0074088B">
              <w:rPr>
                <w:szCs w:val="18"/>
              </w:rPr>
              <w:lastRenderedPageBreak/>
              <w:t>Funderend onderwijs</w:t>
            </w:r>
          </w:p>
        </w:tc>
        <w:tc>
          <w:tcPr>
            <w:tcW w:w="2175" w:type="dxa"/>
          </w:tcPr>
          <w:p w:rsidRPr="0074088B" w:rsidR="0074088B" w:rsidP="0074088B" w:rsidRDefault="0074088B" w14:paraId="450897FF" w14:textId="550B3DC5">
            <w:pPr>
              <w:rPr>
                <w:szCs w:val="18"/>
              </w:rPr>
            </w:pPr>
            <w:r w:rsidRPr="0074088B">
              <w:rPr>
                <w:rStyle w:val="null1"/>
                <w:rFonts w:cs="Calibri Light"/>
                <w:szCs w:val="18"/>
              </w:rPr>
              <w:t>Uitkomsten onderzoeken kansengelijkheid en motie indicatoren</w:t>
            </w:r>
          </w:p>
        </w:tc>
        <w:tc>
          <w:tcPr>
            <w:tcW w:w="4961" w:type="dxa"/>
          </w:tcPr>
          <w:p w:rsidRPr="00C57E47" w:rsidR="00C57E47" w:rsidP="00E77E18" w:rsidRDefault="0074088B" w14:paraId="68EDC16C" w14:textId="6801C47B">
            <w:pPr>
              <w:pStyle w:val="null"/>
              <w:spacing w:before="0" w:beforeAutospacing="0" w:after="0" w:afterAutospacing="0"/>
              <w:rPr>
                <w:rStyle w:val="null1"/>
                <w:rFonts w:ascii="Verdana" w:hAnsi="Verdana" w:cs="Calibri Light"/>
                <w:sz w:val="18"/>
                <w:szCs w:val="18"/>
              </w:rPr>
            </w:pPr>
            <w:r w:rsidRPr="0074088B">
              <w:rPr>
                <w:rStyle w:val="null1"/>
                <w:rFonts w:ascii="Verdana" w:hAnsi="Verdana" w:cs="Calibri Light"/>
                <w:sz w:val="18"/>
                <w:szCs w:val="18"/>
              </w:rPr>
              <w:t>Deze brief bevat de belangrijkste uitkomsten van verschillende onderzoeken</w:t>
            </w:r>
            <w:r w:rsidR="00C57E47">
              <w:rPr>
                <w:rStyle w:val="null1"/>
                <w:rFonts w:ascii="Verdana" w:hAnsi="Verdana" w:cs="Calibri Light"/>
                <w:sz w:val="18"/>
                <w:szCs w:val="18"/>
              </w:rPr>
              <w:t xml:space="preserve"> en de reactie op een </w:t>
            </w:r>
            <w:r w:rsidRPr="00C57E47" w:rsidR="00C57E47">
              <w:rPr>
                <w:rStyle w:val="null1"/>
                <w:rFonts w:ascii="Verdana" w:hAnsi="Verdana" w:cs="Calibri Light"/>
                <w:sz w:val="18"/>
                <w:szCs w:val="18"/>
              </w:rPr>
              <w:t>motie</w:t>
            </w:r>
            <w:r w:rsidRPr="00C57E47">
              <w:rPr>
                <w:rStyle w:val="null1"/>
                <w:rFonts w:ascii="Verdana" w:hAnsi="Verdana" w:cs="Calibri Light"/>
                <w:sz w:val="18"/>
                <w:szCs w:val="18"/>
              </w:rPr>
              <w:t xml:space="preserve">: </w:t>
            </w:r>
          </w:p>
          <w:p w:rsidRPr="00C57E47" w:rsidR="00C57E47" w:rsidP="00E77E18" w:rsidRDefault="00C57E47" w14:paraId="2E644B50" w14:textId="77777777">
            <w:pPr>
              <w:pStyle w:val="null"/>
              <w:spacing w:before="0" w:beforeAutospacing="0" w:after="0" w:afterAutospacing="0"/>
              <w:rPr>
                <w:rStyle w:val="null1"/>
                <w:rFonts w:ascii="Verdana" w:hAnsi="Verdana" w:cs="Calibri Light"/>
                <w:sz w:val="18"/>
                <w:szCs w:val="18"/>
              </w:rPr>
            </w:pPr>
            <w:r w:rsidRPr="00C57E47">
              <w:rPr>
                <w:rStyle w:val="null1"/>
                <w:rFonts w:ascii="Verdana" w:hAnsi="Verdana" w:cs="Calibri Light"/>
                <w:sz w:val="18"/>
                <w:szCs w:val="18"/>
              </w:rPr>
              <w:t xml:space="preserve">1. </w:t>
            </w:r>
            <w:r w:rsidRPr="00C57E47" w:rsidR="0074088B">
              <w:rPr>
                <w:rStyle w:val="null1"/>
                <w:rFonts w:ascii="Verdana" w:hAnsi="Verdana" w:cs="Calibri Light"/>
                <w:sz w:val="18"/>
                <w:szCs w:val="18"/>
              </w:rPr>
              <w:t>Schoolkostenmonitor</w:t>
            </w:r>
          </w:p>
          <w:p w:rsidRPr="00C57E47" w:rsidR="00C57E47" w:rsidP="00E77E18" w:rsidRDefault="00C57E47" w14:paraId="2718EA33" w14:textId="77777777">
            <w:pPr>
              <w:pStyle w:val="null"/>
              <w:spacing w:before="0" w:beforeAutospacing="0" w:after="0" w:afterAutospacing="0"/>
              <w:rPr>
                <w:rStyle w:val="null1"/>
                <w:rFonts w:ascii="Verdana" w:hAnsi="Verdana" w:cs="Calibri Light"/>
                <w:sz w:val="18"/>
                <w:szCs w:val="18"/>
              </w:rPr>
            </w:pPr>
            <w:r w:rsidRPr="00C57E47">
              <w:rPr>
                <w:rStyle w:val="null1"/>
                <w:rFonts w:ascii="Verdana" w:hAnsi="Verdana" w:cs="Calibri Light"/>
                <w:sz w:val="18"/>
                <w:szCs w:val="18"/>
              </w:rPr>
              <w:t>2. V</w:t>
            </w:r>
            <w:r w:rsidRPr="00C57E47" w:rsidR="0074088B">
              <w:rPr>
                <w:rStyle w:val="null1"/>
                <w:rFonts w:ascii="Verdana" w:hAnsi="Verdana" w:cs="Calibri Light"/>
                <w:sz w:val="18"/>
                <w:szCs w:val="18"/>
              </w:rPr>
              <w:t xml:space="preserve">erkenning </w:t>
            </w:r>
            <w:proofErr w:type="spellStart"/>
            <w:r w:rsidRPr="00C57E47" w:rsidR="0074088B">
              <w:rPr>
                <w:rStyle w:val="null1"/>
                <w:rFonts w:ascii="Verdana" w:hAnsi="Verdana" w:cs="Calibri Light"/>
                <w:sz w:val="18"/>
                <w:szCs w:val="18"/>
              </w:rPr>
              <w:t>bovenschoolsfonds</w:t>
            </w:r>
            <w:proofErr w:type="spellEnd"/>
          </w:p>
          <w:p w:rsidRPr="00C57E47" w:rsidR="00C57E47" w:rsidP="00E77E18" w:rsidRDefault="00C57E47" w14:paraId="4FC96A2F" w14:textId="77777777">
            <w:pPr>
              <w:pStyle w:val="null"/>
              <w:spacing w:before="0" w:beforeAutospacing="0" w:after="0" w:afterAutospacing="0"/>
              <w:rPr>
                <w:rFonts w:ascii="Verdana" w:hAnsi="Verdana" w:cs="Calibri Light"/>
                <w:sz w:val="18"/>
                <w:szCs w:val="18"/>
              </w:rPr>
            </w:pPr>
            <w:r w:rsidRPr="00C57E47">
              <w:rPr>
                <w:rStyle w:val="null1"/>
                <w:rFonts w:ascii="Verdana" w:hAnsi="Verdana"/>
                <w:sz w:val="18"/>
                <w:szCs w:val="18"/>
              </w:rPr>
              <w:t xml:space="preserve">3. </w:t>
            </w:r>
            <w:r w:rsidRPr="00C57E47" w:rsidR="00E77E18">
              <w:rPr>
                <w:rFonts w:ascii="Verdana" w:hAnsi="Verdana" w:cs="Calibri Light"/>
                <w:sz w:val="18"/>
                <w:szCs w:val="18"/>
              </w:rPr>
              <w:t>S</w:t>
            </w:r>
            <w:r w:rsidRPr="00C57E47" w:rsidR="0074088B">
              <w:rPr>
                <w:rFonts w:ascii="Verdana" w:hAnsi="Verdana" w:cs="Calibri Light"/>
                <w:sz w:val="18"/>
                <w:szCs w:val="18"/>
              </w:rPr>
              <w:t>chool en omgeving</w:t>
            </w:r>
          </w:p>
          <w:p w:rsidRPr="00E77E18" w:rsidR="0074088B" w:rsidP="00E77E18" w:rsidRDefault="00C57E47" w14:paraId="75BBF4C4" w14:textId="3CBD9351">
            <w:pPr>
              <w:pStyle w:val="null"/>
              <w:spacing w:before="0" w:beforeAutospacing="0" w:after="0" w:afterAutospacing="0"/>
              <w:rPr>
                <w:rFonts w:ascii="Verdana" w:hAnsi="Verdana" w:cs="Calibri Light"/>
                <w:sz w:val="18"/>
                <w:szCs w:val="18"/>
              </w:rPr>
            </w:pPr>
            <w:r w:rsidRPr="00C57E47">
              <w:rPr>
                <w:rFonts w:ascii="Verdana" w:hAnsi="Verdana"/>
                <w:sz w:val="18"/>
                <w:szCs w:val="18"/>
              </w:rPr>
              <w:t>4. R</w:t>
            </w:r>
            <w:r w:rsidRPr="00C57E47" w:rsidR="0074088B">
              <w:rPr>
                <w:rFonts w:ascii="Verdana" w:hAnsi="Verdana"/>
                <w:sz w:val="18"/>
                <w:szCs w:val="18"/>
              </w:rPr>
              <w:t>eactie op de motie</w:t>
            </w:r>
            <w:r w:rsidRPr="00C57E47">
              <w:rPr>
                <w:rFonts w:ascii="Verdana" w:hAnsi="Verdana"/>
                <w:sz w:val="18"/>
                <w:szCs w:val="18"/>
              </w:rPr>
              <w:t>-</w:t>
            </w:r>
            <w:r w:rsidRPr="00C57E47" w:rsidR="0074088B">
              <w:rPr>
                <w:rFonts w:ascii="Verdana" w:hAnsi="Verdana"/>
                <w:sz w:val="18"/>
                <w:szCs w:val="18"/>
              </w:rPr>
              <w:t>Haage om te komen tot kernindicatoren voor kansengelijkheid.</w:t>
            </w:r>
            <w:r w:rsidRPr="0074088B" w:rsidR="0074088B">
              <w:rPr>
                <w:szCs w:val="18"/>
              </w:rPr>
              <w:t xml:space="preserve"> </w:t>
            </w:r>
          </w:p>
        </w:tc>
      </w:tr>
      <w:tr w:rsidRPr="003130E2" w:rsidR="0074088B" w:rsidTr="009A6604" w14:paraId="7C55557E" w14:textId="77777777">
        <w:tc>
          <w:tcPr>
            <w:tcW w:w="1653" w:type="dxa"/>
          </w:tcPr>
          <w:p w:rsidRPr="0074088B" w:rsidR="0074088B" w:rsidP="0074088B" w:rsidRDefault="0074088B" w14:paraId="7F5ACC40" w14:textId="77777777">
            <w:pPr>
              <w:rPr>
                <w:szCs w:val="18"/>
              </w:rPr>
            </w:pPr>
            <w:r w:rsidRPr="0074088B">
              <w:rPr>
                <w:szCs w:val="18"/>
              </w:rPr>
              <w:t>Funderend onderwijs</w:t>
            </w:r>
          </w:p>
        </w:tc>
        <w:tc>
          <w:tcPr>
            <w:tcW w:w="2175" w:type="dxa"/>
          </w:tcPr>
          <w:p w:rsidRPr="0074088B" w:rsidR="0074088B" w:rsidP="0074088B" w:rsidRDefault="0074088B" w14:paraId="595ABDDE" w14:textId="3F7E2AD8">
            <w:pPr>
              <w:rPr>
                <w:szCs w:val="18"/>
              </w:rPr>
            </w:pPr>
            <w:proofErr w:type="spellStart"/>
            <w:r w:rsidRPr="0074088B">
              <w:rPr>
                <w:szCs w:val="18"/>
              </w:rPr>
              <w:t>Voortgangs</w:t>
            </w:r>
            <w:r w:rsidR="007B77E3">
              <w:rPr>
                <w:szCs w:val="18"/>
              </w:rPr>
              <w:t>-</w:t>
            </w:r>
            <w:r w:rsidRPr="0074088B">
              <w:rPr>
                <w:szCs w:val="18"/>
              </w:rPr>
              <w:t>rapportage</w:t>
            </w:r>
            <w:proofErr w:type="spellEnd"/>
            <w:r w:rsidRPr="0074088B">
              <w:rPr>
                <w:szCs w:val="18"/>
              </w:rPr>
              <w:t xml:space="preserve"> passend onderwijs      </w:t>
            </w:r>
          </w:p>
        </w:tc>
        <w:tc>
          <w:tcPr>
            <w:tcW w:w="4961" w:type="dxa"/>
          </w:tcPr>
          <w:p w:rsidRPr="0074088B" w:rsidR="0074088B" w:rsidP="0074088B" w:rsidRDefault="0074088B" w14:paraId="0932C8FD" w14:textId="328D2E18">
            <w:pPr>
              <w:rPr>
                <w:szCs w:val="18"/>
              </w:rPr>
            </w:pPr>
            <w:r w:rsidRPr="0074088B">
              <w:rPr>
                <w:szCs w:val="18"/>
              </w:rPr>
              <w:t>Jaarlijks wordt de Tweede Kamer geïnformeerd over de stand van zaken op de maatregelen uit de verbeteraanpak passend onderwijs.</w:t>
            </w:r>
          </w:p>
        </w:tc>
      </w:tr>
      <w:tr w:rsidRPr="003130E2" w:rsidR="003B25BC" w:rsidTr="009A6604" w14:paraId="161AF39F" w14:textId="77777777">
        <w:tc>
          <w:tcPr>
            <w:tcW w:w="1653" w:type="dxa"/>
          </w:tcPr>
          <w:p w:rsidR="003B25BC" w:rsidP="003B25BC" w:rsidRDefault="003B25BC" w14:paraId="256542C5" w14:textId="77777777">
            <w:pPr>
              <w:rPr>
                <w:szCs w:val="18"/>
              </w:rPr>
            </w:pPr>
            <w:r w:rsidRPr="007223E4">
              <w:rPr>
                <w:szCs w:val="18"/>
              </w:rPr>
              <w:t>Middelbaar beroeps</w:t>
            </w:r>
          </w:p>
          <w:p w:rsidRPr="003130E2" w:rsidR="003B25BC" w:rsidP="003B25BC" w:rsidRDefault="003B25BC" w14:paraId="70BDBCD4" w14:textId="38BF4746">
            <w:pPr>
              <w:rPr>
                <w:szCs w:val="18"/>
              </w:rPr>
            </w:pPr>
            <w:r w:rsidRPr="007223E4">
              <w:rPr>
                <w:szCs w:val="18"/>
              </w:rPr>
              <w:t>onderwijs</w:t>
            </w:r>
          </w:p>
        </w:tc>
        <w:tc>
          <w:tcPr>
            <w:tcW w:w="2175" w:type="dxa"/>
          </w:tcPr>
          <w:p w:rsidRPr="003130E2" w:rsidR="003B25BC" w:rsidP="003B25BC" w:rsidRDefault="003B25BC" w14:paraId="3A020D2C" w14:textId="52B9166F">
            <w:pPr>
              <w:rPr>
                <w:szCs w:val="18"/>
              </w:rPr>
            </w:pPr>
            <w:r w:rsidRPr="009618B4">
              <w:rPr>
                <w:szCs w:val="18"/>
              </w:rPr>
              <w:t>Voortgang herziening bekostiging</w:t>
            </w:r>
          </w:p>
        </w:tc>
        <w:tc>
          <w:tcPr>
            <w:tcW w:w="4961" w:type="dxa"/>
          </w:tcPr>
          <w:p w:rsidRPr="003130E2" w:rsidR="003B25BC" w:rsidP="003B25BC" w:rsidRDefault="003B25BC" w14:paraId="7BC02A12" w14:textId="1EB2445A">
            <w:pPr>
              <w:rPr>
                <w:szCs w:val="18"/>
              </w:rPr>
            </w:pPr>
            <w:r w:rsidRPr="009618B4">
              <w:rPr>
                <w:szCs w:val="18"/>
              </w:rPr>
              <w:t>De Kamer wordt geïnformeerd over de herziening van de mbo</w:t>
            </w:r>
            <w:r w:rsidR="00656415">
              <w:rPr>
                <w:szCs w:val="18"/>
              </w:rPr>
              <w:t>-</w:t>
            </w:r>
            <w:r w:rsidRPr="009618B4">
              <w:rPr>
                <w:szCs w:val="18"/>
              </w:rPr>
              <w:t>bekostiging.</w:t>
            </w:r>
          </w:p>
        </w:tc>
      </w:tr>
      <w:tr w:rsidRPr="004E6D36" w:rsidR="003B25BC" w:rsidTr="009A6604" w14:paraId="6821F15A" w14:textId="77777777">
        <w:tc>
          <w:tcPr>
            <w:tcW w:w="1653" w:type="dxa"/>
          </w:tcPr>
          <w:p w:rsidR="003B25BC" w:rsidP="003B25BC" w:rsidRDefault="003B25BC" w14:paraId="271B6DFE" w14:textId="77777777">
            <w:pPr>
              <w:rPr>
                <w:szCs w:val="18"/>
              </w:rPr>
            </w:pPr>
            <w:r w:rsidRPr="007223E4">
              <w:rPr>
                <w:szCs w:val="18"/>
              </w:rPr>
              <w:t>Middelbaar beroeps</w:t>
            </w:r>
          </w:p>
          <w:p w:rsidRPr="003130E2" w:rsidR="003B25BC" w:rsidP="003B25BC" w:rsidRDefault="003B25BC" w14:paraId="2300D0A3" w14:textId="6257698F">
            <w:pPr>
              <w:rPr>
                <w:szCs w:val="18"/>
              </w:rPr>
            </w:pPr>
            <w:r w:rsidRPr="007223E4">
              <w:rPr>
                <w:szCs w:val="18"/>
              </w:rPr>
              <w:t>onderwijs</w:t>
            </w:r>
          </w:p>
        </w:tc>
        <w:tc>
          <w:tcPr>
            <w:tcW w:w="2175" w:type="dxa"/>
          </w:tcPr>
          <w:p w:rsidRPr="009618B4" w:rsidR="003B25BC" w:rsidP="003B25BC" w:rsidRDefault="003B25BC" w14:paraId="57909121" w14:textId="77777777">
            <w:pPr>
              <w:rPr>
                <w:szCs w:val="18"/>
              </w:rPr>
            </w:pPr>
            <w:r w:rsidRPr="009618B4">
              <w:rPr>
                <w:szCs w:val="18"/>
              </w:rPr>
              <w:t>De rol van studenten en docenten bij onderwijskwaliteit</w:t>
            </w:r>
          </w:p>
          <w:p w:rsidRPr="003130E2" w:rsidR="003B25BC" w:rsidP="003B25BC" w:rsidRDefault="003B25BC" w14:paraId="7150C7B1" w14:textId="1BF985F2">
            <w:pPr>
              <w:rPr>
                <w:szCs w:val="18"/>
              </w:rPr>
            </w:pPr>
          </w:p>
        </w:tc>
        <w:tc>
          <w:tcPr>
            <w:tcW w:w="4961" w:type="dxa"/>
          </w:tcPr>
          <w:p w:rsidRPr="004E6D36" w:rsidR="003B25BC" w:rsidP="003B25BC" w:rsidRDefault="003B25BC" w14:paraId="4309C045" w14:textId="601C71B5">
            <w:pPr>
              <w:rPr>
                <w:szCs w:val="18"/>
              </w:rPr>
            </w:pPr>
            <w:r w:rsidRPr="009618B4">
              <w:rPr>
                <w:szCs w:val="18"/>
              </w:rPr>
              <w:t>Uitwerking van de rol van docententeams op de onderwijskwaliteit in het mbo. Ook wordt ingegaan op de uitkomsten van de monitor medezeggenschap.</w:t>
            </w:r>
          </w:p>
        </w:tc>
      </w:tr>
      <w:tr w:rsidRPr="003130E2" w:rsidR="006A44BE" w:rsidTr="009A6604" w14:paraId="3669BA25" w14:textId="77777777">
        <w:tc>
          <w:tcPr>
            <w:tcW w:w="1653" w:type="dxa"/>
          </w:tcPr>
          <w:p w:rsidRPr="003130E2" w:rsidR="006A44BE" w:rsidP="006A44BE" w:rsidRDefault="00490127" w14:paraId="780E6E1D" w14:textId="5BEADB79">
            <w:pPr>
              <w:rPr>
                <w:szCs w:val="18"/>
              </w:rPr>
            </w:pPr>
            <w:r>
              <w:rPr>
                <w:szCs w:val="18"/>
              </w:rPr>
              <w:t>Algemeen</w:t>
            </w:r>
          </w:p>
        </w:tc>
        <w:tc>
          <w:tcPr>
            <w:tcW w:w="2175" w:type="dxa"/>
          </w:tcPr>
          <w:p w:rsidRPr="003130E2" w:rsidR="006A44BE" w:rsidP="006A44BE" w:rsidRDefault="006A44BE" w14:paraId="5CA35854" w14:textId="6F827B0A">
            <w:pPr>
              <w:rPr>
                <w:szCs w:val="18"/>
              </w:rPr>
            </w:pPr>
            <w:r w:rsidRPr="009618B4">
              <w:rPr>
                <w:szCs w:val="18"/>
              </w:rPr>
              <w:t>Voortgang Stand van de Uitvoering</w:t>
            </w:r>
          </w:p>
        </w:tc>
        <w:tc>
          <w:tcPr>
            <w:tcW w:w="4961" w:type="dxa"/>
          </w:tcPr>
          <w:p w:rsidRPr="003130E2" w:rsidR="006A44BE" w:rsidP="006A44BE" w:rsidRDefault="006A44BE" w14:paraId="018069DB" w14:textId="7BB725B1">
            <w:pPr>
              <w:rPr>
                <w:color w:val="FF0000"/>
                <w:szCs w:val="18"/>
              </w:rPr>
            </w:pPr>
            <w:r w:rsidRPr="009618B4">
              <w:rPr>
                <w:szCs w:val="18"/>
              </w:rPr>
              <w:t>Voortgang van signalen uit de Stand van de Uitvoering.</w:t>
            </w:r>
          </w:p>
        </w:tc>
      </w:tr>
      <w:tr w:rsidRPr="004E6D36" w:rsidR="006A44BE" w:rsidTr="009A6604" w14:paraId="2D870BCA" w14:textId="77777777">
        <w:tc>
          <w:tcPr>
            <w:tcW w:w="1653" w:type="dxa"/>
          </w:tcPr>
          <w:p w:rsidRPr="003130E2" w:rsidR="006A44BE" w:rsidP="006A44BE" w:rsidRDefault="006A44BE" w14:paraId="382DACE6" w14:textId="70CCC7CD">
            <w:pPr>
              <w:rPr>
                <w:szCs w:val="18"/>
              </w:rPr>
            </w:pPr>
            <w:r>
              <w:rPr>
                <w:szCs w:val="18"/>
              </w:rPr>
              <w:t>Hoger onderwijs</w:t>
            </w:r>
          </w:p>
        </w:tc>
        <w:tc>
          <w:tcPr>
            <w:tcW w:w="2175" w:type="dxa"/>
          </w:tcPr>
          <w:p w:rsidRPr="003130E2" w:rsidR="006A44BE" w:rsidP="006A44BE" w:rsidRDefault="006A44BE" w14:paraId="4B4EBD95" w14:textId="3C2DE944">
            <w:pPr>
              <w:rPr>
                <w:szCs w:val="18"/>
              </w:rPr>
            </w:pPr>
            <w:r w:rsidRPr="009618B4">
              <w:rPr>
                <w:szCs w:val="18"/>
              </w:rPr>
              <w:t>Tussenevaluatie Kader Studentenwelzijn</w:t>
            </w:r>
          </w:p>
        </w:tc>
        <w:tc>
          <w:tcPr>
            <w:tcW w:w="4961" w:type="dxa"/>
          </w:tcPr>
          <w:p w:rsidRPr="004E6D36" w:rsidR="006A44BE" w:rsidP="006A44BE" w:rsidRDefault="006A44BE" w14:paraId="77A91B3E" w14:textId="46033947">
            <w:pPr>
              <w:rPr>
                <w:szCs w:val="18"/>
              </w:rPr>
            </w:pPr>
            <w:r w:rsidRPr="009618B4">
              <w:rPr>
                <w:szCs w:val="18"/>
              </w:rPr>
              <w:t xml:space="preserve">Beleidsreactie met de uitkomsten van de tussenevaluatie </w:t>
            </w:r>
            <w:r w:rsidR="00C57E47">
              <w:rPr>
                <w:szCs w:val="18"/>
              </w:rPr>
              <w:t>K</w:t>
            </w:r>
            <w:r w:rsidRPr="009618B4">
              <w:rPr>
                <w:szCs w:val="18"/>
              </w:rPr>
              <w:t xml:space="preserve">ader </w:t>
            </w:r>
            <w:r w:rsidR="00C57E47">
              <w:rPr>
                <w:szCs w:val="18"/>
              </w:rPr>
              <w:t>S</w:t>
            </w:r>
            <w:r w:rsidRPr="009618B4">
              <w:rPr>
                <w:szCs w:val="18"/>
              </w:rPr>
              <w:t>tudentenwelzijn</w:t>
            </w:r>
            <w:r w:rsidR="00722CB4">
              <w:rPr>
                <w:szCs w:val="18"/>
              </w:rPr>
              <w:t>.</w:t>
            </w:r>
          </w:p>
        </w:tc>
      </w:tr>
      <w:tr w:rsidRPr="004E6D36" w:rsidR="006A44BE" w:rsidTr="009A6604" w14:paraId="5D1398F8" w14:textId="77777777">
        <w:tc>
          <w:tcPr>
            <w:tcW w:w="1653" w:type="dxa"/>
          </w:tcPr>
          <w:p w:rsidRPr="007223E4" w:rsidR="006A44BE" w:rsidP="006A44BE" w:rsidRDefault="006A44BE" w14:paraId="07860220" w14:textId="7B93C411">
            <w:pPr>
              <w:rPr>
                <w:szCs w:val="18"/>
              </w:rPr>
            </w:pPr>
            <w:r>
              <w:rPr>
                <w:szCs w:val="18"/>
              </w:rPr>
              <w:t>Hoger onderwijs</w:t>
            </w:r>
          </w:p>
        </w:tc>
        <w:tc>
          <w:tcPr>
            <w:tcW w:w="2175" w:type="dxa"/>
          </w:tcPr>
          <w:p w:rsidRPr="007223E4" w:rsidR="006A44BE" w:rsidP="006A44BE" w:rsidRDefault="006A44BE" w14:paraId="3B0C3069" w14:textId="79AD7DED">
            <w:pPr>
              <w:rPr>
                <w:szCs w:val="18"/>
              </w:rPr>
            </w:pPr>
            <w:r w:rsidRPr="009618B4">
              <w:rPr>
                <w:szCs w:val="18"/>
              </w:rPr>
              <w:t>Reactie op toezegging</w:t>
            </w:r>
            <w:r w:rsidR="00E77E18">
              <w:rPr>
                <w:szCs w:val="18"/>
              </w:rPr>
              <w:t xml:space="preserve"> </w:t>
            </w:r>
            <w:r w:rsidRPr="009618B4">
              <w:rPr>
                <w:szCs w:val="18"/>
              </w:rPr>
              <w:t>sportvoorzieningen</w:t>
            </w:r>
          </w:p>
        </w:tc>
        <w:tc>
          <w:tcPr>
            <w:tcW w:w="4961" w:type="dxa"/>
          </w:tcPr>
          <w:p w:rsidRPr="004E6D36" w:rsidR="006A44BE" w:rsidP="006A44BE" w:rsidRDefault="006A44BE" w14:paraId="5DA9FB1E" w14:textId="7365BC7B">
            <w:pPr>
              <w:rPr>
                <w:rFonts w:cs="Verdana"/>
                <w:szCs w:val="18"/>
                <w:lang w:eastAsia="en-US"/>
              </w:rPr>
            </w:pPr>
            <w:r w:rsidRPr="009618B4">
              <w:rPr>
                <w:szCs w:val="18"/>
              </w:rPr>
              <w:t>Brief over toezegging inventarisatie gevolgen ‘Beleidsregel investeren met publieke middelen in private activiteiten 2025’ voor sport/studentvoorzieningen.</w:t>
            </w:r>
          </w:p>
        </w:tc>
      </w:tr>
      <w:tr w:rsidRPr="004E6D36" w:rsidR="006A44BE" w:rsidTr="009A6604" w14:paraId="7B84A9DD" w14:textId="77777777">
        <w:tc>
          <w:tcPr>
            <w:tcW w:w="1653" w:type="dxa"/>
          </w:tcPr>
          <w:p w:rsidRPr="004E6D36" w:rsidR="006A44BE" w:rsidP="006A44BE" w:rsidRDefault="006A44BE" w14:paraId="53E05196" w14:textId="01495A38">
            <w:pPr>
              <w:rPr>
                <w:szCs w:val="18"/>
              </w:rPr>
            </w:pPr>
            <w:r>
              <w:rPr>
                <w:lang w:val="en-US"/>
              </w:rPr>
              <w:t xml:space="preserve">Hoger </w:t>
            </w:r>
            <w:proofErr w:type="spellStart"/>
            <w:r>
              <w:rPr>
                <w:lang w:val="en-US"/>
              </w:rPr>
              <w:t>onderwijs</w:t>
            </w:r>
            <w:proofErr w:type="spellEnd"/>
            <w:r>
              <w:rPr>
                <w:lang w:val="en-US"/>
              </w:rPr>
              <w:t xml:space="preserve"> &amp; </w:t>
            </w:r>
            <w:proofErr w:type="spellStart"/>
            <w:r>
              <w:rPr>
                <w:lang w:val="en-US"/>
              </w:rPr>
              <w:t>onderzoek</w:t>
            </w:r>
            <w:proofErr w:type="spellEnd"/>
          </w:p>
        </w:tc>
        <w:tc>
          <w:tcPr>
            <w:tcW w:w="2175" w:type="dxa"/>
          </w:tcPr>
          <w:p w:rsidRPr="004E6D36" w:rsidR="006A44BE" w:rsidP="006A44BE" w:rsidRDefault="006A44BE" w14:paraId="5FA6CC1F" w14:textId="20FCBE1C">
            <w:pPr>
              <w:rPr>
                <w:szCs w:val="18"/>
              </w:rPr>
            </w:pPr>
            <w:r w:rsidRPr="009618B4">
              <w:rPr>
                <w:szCs w:val="18"/>
              </w:rPr>
              <w:t>Kamerbrief nadere uitwerking aanwijzing hbo- en wo-instellingen onder de Cyberbeveiligingswet</w:t>
            </w:r>
          </w:p>
        </w:tc>
        <w:tc>
          <w:tcPr>
            <w:tcW w:w="4961" w:type="dxa"/>
          </w:tcPr>
          <w:p w:rsidRPr="004E6D36" w:rsidR="006A44BE" w:rsidP="006A44BE" w:rsidRDefault="00E77E18" w14:paraId="1CF198EE" w14:textId="0E0DE467">
            <w:pPr>
              <w:rPr>
                <w:rFonts w:cs="Verdana"/>
                <w:szCs w:val="18"/>
                <w:lang w:eastAsia="en-US"/>
              </w:rPr>
            </w:pPr>
            <w:r>
              <w:rPr>
                <w:szCs w:val="18"/>
              </w:rPr>
              <w:t>I</w:t>
            </w:r>
            <w:r w:rsidRPr="009618B4" w:rsidR="006A44BE">
              <w:rPr>
                <w:szCs w:val="18"/>
              </w:rPr>
              <w:t>n navolging van de eerdere Kamerbrief over het besluit tot aanwijzing van hbo- en wo-instellingen als entiteiten onder de Cyberbeveiligingswet</w:t>
            </w:r>
            <w:r>
              <w:rPr>
                <w:szCs w:val="18"/>
              </w:rPr>
              <w:t xml:space="preserve"> wordt de Kamer </w:t>
            </w:r>
            <w:r w:rsidRPr="009618B4" w:rsidR="006A44BE">
              <w:rPr>
                <w:szCs w:val="18"/>
              </w:rPr>
              <w:t>geïnformeerd over de verdere uitwerking van dit besluit.</w:t>
            </w:r>
          </w:p>
        </w:tc>
      </w:tr>
      <w:tr w:rsidRPr="007A153B" w:rsidR="00ED6562" w:rsidTr="009A6604" w14:paraId="69060FC9" w14:textId="77777777">
        <w:tc>
          <w:tcPr>
            <w:tcW w:w="1653" w:type="dxa"/>
          </w:tcPr>
          <w:p w:rsidRPr="007223E4" w:rsidR="00ED6562" w:rsidP="00ED6562" w:rsidRDefault="00ED6562" w14:paraId="2B758776" w14:textId="4E770665">
            <w:pPr>
              <w:rPr>
                <w:szCs w:val="18"/>
              </w:rPr>
            </w:pPr>
            <w:r>
              <w:t>Onderzoek</w:t>
            </w:r>
          </w:p>
        </w:tc>
        <w:tc>
          <w:tcPr>
            <w:tcW w:w="2175" w:type="dxa"/>
          </w:tcPr>
          <w:p w:rsidRPr="007A153B" w:rsidR="00ED6562" w:rsidP="00ED6562" w:rsidRDefault="00ED6562" w14:paraId="56DA7D3A" w14:textId="40D95DF2">
            <w:pPr>
              <w:rPr>
                <w:rFonts w:cstheme="minorBidi"/>
                <w:szCs w:val="18"/>
              </w:rPr>
            </w:pPr>
            <w:r w:rsidRPr="009618B4">
              <w:rPr>
                <w:szCs w:val="18"/>
              </w:rPr>
              <w:t>Reactie rapport instellingsevaluatie NWO 2020-2024</w:t>
            </w:r>
          </w:p>
        </w:tc>
        <w:tc>
          <w:tcPr>
            <w:tcW w:w="4961" w:type="dxa"/>
          </w:tcPr>
          <w:p w:rsidRPr="009618B4" w:rsidR="00ED6562" w:rsidP="00ED6562" w:rsidRDefault="00ED6562" w14:paraId="6DF5E46E" w14:textId="77777777">
            <w:pPr>
              <w:rPr>
                <w:b/>
                <w:bCs/>
                <w:color w:val="00B050"/>
                <w:szCs w:val="18"/>
              </w:rPr>
            </w:pPr>
            <w:r w:rsidRPr="009618B4">
              <w:rPr>
                <w:szCs w:val="18"/>
              </w:rPr>
              <w:t>Deze brief bevat de reactie op het rapport inzake de instellingsevaluatie NWO 2020-2024.</w:t>
            </w:r>
          </w:p>
          <w:p w:rsidRPr="007A153B" w:rsidR="00ED6562" w:rsidP="00ED6562" w:rsidRDefault="00ED6562" w14:paraId="1702FF3A" w14:textId="17F54072">
            <w:pPr>
              <w:rPr>
                <w:szCs w:val="18"/>
              </w:rPr>
            </w:pPr>
          </w:p>
        </w:tc>
      </w:tr>
      <w:tr w:rsidRPr="007A153B" w:rsidR="00ED6562" w:rsidTr="00E77E18" w14:paraId="7BE656BB" w14:textId="77777777">
        <w:trPr>
          <w:trHeight w:val="1364"/>
        </w:trPr>
        <w:tc>
          <w:tcPr>
            <w:tcW w:w="1653" w:type="dxa"/>
          </w:tcPr>
          <w:p w:rsidRPr="007223E4" w:rsidR="00ED6562" w:rsidP="00ED6562" w:rsidRDefault="007B77E3" w14:paraId="2898894F" w14:textId="229E1FB5">
            <w:pPr>
              <w:rPr>
                <w:szCs w:val="18"/>
              </w:rPr>
            </w:pPr>
            <w:r>
              <w:t>Hoger onderwijs &amp; onderzoek</w:t>
            </w:r>
          </w:p>
        </w:tc>
        <w:tc>
          <w:tcPr>
            <w:tcW w:w="2175" w:type="dxa"/>
          </w:tcPr>
          <w:p w:rsidRPr="00E87A08" w:rsidR="00ED6562" w:rsidP="00ED6562" w:rsidRDefault="00ED6562" w14:paraId="7ED855C4" w14:textId="314F3EDF">
            <w:pPr>
              <w:rPr>
                <w:szCs w:val="18"/>
              </w:rPr>
            </w:pPr>
            <w:r w:rsidRPr="009618B4">
              <w:rPr>
                <w:szCs w:val="18"/>
              </w:rPr>
              <w:t>Evaluatie Nationaal Actieplan voor meer Diversiteit en Inclusie in het hoger onderwijs en onderzoek</w:t>
            </w:r>
          </w:p>
        </w:tc>
        <w:tc>
          <w:tcPr>
            <w:tcW w:w="4961" w:type="dxa"/>
          </w:tcPr>
          <w:p w:rsidRPr="007A153B" w:rsidR="00ED6562" w:rsidP="00ED6562" w:rsidRDefault="00ED6562" w14:paraId="4C5F37A3" w14:textId="4BBB64DF">
            <w:pPr>
              <w:rPr>
                <w:szCs w:val="18"/>
              </w:rPr>
            </w:pPr>
            <w:r w:rsidRPr="009618B4">
              <w:rPr>
                <w:color w:val="000000" w:themeColor="text1"/>
                <w:szCs w:val="18"/>
              </w:rPr>
              <w:t>Aanbieding evaluatie betreffende de uitvoering van de doelstellingen in het Nationaal Actieplan voor meer Diversiteit en Inclusie in het hoger onderwijs en onderzoek.</w:t>
            </w:r>
          </w:p>
        </w:tc>
      </w:tr>
      <w:tr w:rsidRPr="007A153B" w:rsidR="00ED6562" w:rsidTr="009A6604" w14:paraId="0698E3C1" w14:textId="77777777">
        <w:tc>
          <w:tcPr>
            <w:tcW w:w="1653" w:type="dxa"/>
          </w:tcPr>
          <w:p w:rsidRPr="00D44A9B" w:rsidR="00ED6562" w:rsidP="00ED6562" w:rsidRDefault="00ED6562" w14:paraId="4E9A4110" w14:textId="2D7F18D3">
            <w:pPr>
              <w:rPr>
                <w:szCs w:val="18"/>
              </w:rPr>
            </w:pPr>
            <w:r>
              <w:rPr>
                <w:szCs w:val="18"/>
              </w:rPr>
              <w:t>Onderzoek</w:t>
            </w:r>
          </w:p>
        </w:tc>
        <w:tc>
          <w:tcPr>
            <w:tcW w:w="2175" w:type="dxa"/>
          </w:tcPr>
          <w:p w:rsidRPr="00D44A9B" w:rsidR="00ED6562" w:rsidP="00ED6562" w:rsidRDefault="00ED6562" w14:paraId="0EBEE9D8" w14:textId="6F19AEF4">
            <w:pPr>
              <w:rPr>
                <w:szCs w:val="18"/>
              </w:rPr>
            </w:pPr>
            <w:r w:rsidRPr="009618B4">
              <w:rPr>
                <w:szCs w:val="18"/>
              </w:rPr>
              <w:t xml:space="preserve">Voortgang aanpak kennisveiligheid </w:t>
            </w:r>
          </w:p>
        </w:tc>
        <w:tc>
          <w:tcPr>
            <w:tcW w:w="4961" w:type="dxa"/>
          </w:tcPr>
          <w:p w:rsidRPr="00E87A08" w:rsidR="00ED6562" w:rsidP="00ED6562" w:rsidRDefault="00ED6562" w14:paraId="4D1DAD94" w14:textId="1B06A96F">
            <w:pPr>
              <w:rPr>
                <w:b/>
                <w:bCs/>
                <w:szCs w:val="18"/>
              </w:rPr>
            </w:pPr>
            <w:r w:rsidRPr="009618B4">
              <w:rPr>
                <w:szCs w:val="18"/>
              </w:rPr>
              <w:t>De Kamer wordt geïnformeerd over de stand van zaken van het wetstraject screening kennisveiligheid, de herziening van de Nationale Leidraad Kennisveiligheid, de vervolgmeting bij kennisinstellingen en de evaluatie van het Loket Kennisveiligheid</w:t>
            </w:r>
            <w:r w:rsidR="00E77E18">
              <w:rPr>
                <w:szCs w:val="18"/>
              </w:rPr>
              <w:t>.</w:t>
            </w:r>
          </w:p>
        </w:tc>
      </w:tr>
      <w:tr w:rsidRPr="008E0D39" w:rsidR="00E5275A" w:rsidTr="009A6604" w14:paraId="22F6B293" w14:textId="77777777">
        <w:tc>
          <w:tcPr>
            <w:tcW w:w="1653" w:type="dxa"/>
          </w:tcPr>
          <w:p w:rsidR="00E5275A" w:rsidP="00E5275A" w:rsidRDefault="00E5275A" w14:paraId="3266268D" w14:textId="19078924">
            <w:pPr>
              <w:rPr>
                <w:lang w:val="en-US"/>
              </w:rPr>
            </w:pPr>
            <w:r w:rsidRPr="00AD0CC3">
              <w:rPr>
                <w:szCs w:val="18"/>
              </w:rPr>
              <w:t xml:space="preserve">Emancipatie </w:t>
            </w:r>
          </w:p>
        </w:tc>
        <w:tc>
          <w:tcPr>
            <w:tcW w:w="2175" w:type="dxa"/>
          </w:tcPr>
          <w:p w:rsidRPr="008E0D39" w:rsidR="00E5275A" w:rsidP="00E5275A" w:rsidRDefault="00E5275A" w14:paraId="54E8DF25" w14:textId="4EAEA400">
            <w:pPr>
              <w:rPr>
                <w:rFonts w:cstheme="minorHAnsi"/>
              </w:rPr>
            </w:pPr>
            <w:r w:rsidRPr="009618B4">
              <w:rPr>
                <w:szCs w:val="18"/>
              </w:rPr>
              <w:t>Aanbieding rapportage ‘</w:t>
            </w:r>
            <w:r w:rsidR="00656415">
              <w:rPr>
                <w:szCs w:val="18"/>
              </w:rPr>
              <w:t>Meer vrouwen in de top’</w:t>
            </w:r>
          </w:p>
        </w:tc>
        <w:tc>
          <w:tcPr>
            <w:tcW w:w="4961" w:type="dxa"/>
          </w:tcPr>
          <w:p w:rsidRPr="008E0D39" w:rsidR="00E5275A" w:rsidP="00E5275A" w:rsidRDefault="00E5275A" w14:paraId="04C55FBE" w14:textId="4C447814">
            <w:r w:rsidRPr="009618B4">
              <w:rPr>
                <w:szCs w:val="18"/>
              </w:rPr>
              <w:t>De Kamer wordt</w:t>
            </w:r>
            <w:r w:rsidR="00F86A4A">
              <w:rPr>
                <w:szCs w:val="18"/>
              </w:rPr>
              <w:t xml:space="preserve"> jaarlijks</w:t>
            </w:r>
            <w:r w:rsidRPr="009618B4">
              <w:rPr>
                <w:szCs w:val="18"/>
              </w:rPr>
              <w:t xml:space="preserve"> geïnformeerd over de voortgang</w:t>
            </w:r>
            <w:r w:rsidR="00F86A4A">
              <w:rPr>
                <w:szCs w:val="18"/>
              </w:rPr>
              <w:t xml:space="preserve"> van het aantal vrouwen in de top van de private en (semi-)publieke sector.</w:t>
            </w:r>
          </w:p>
        </w:tc>
      </w:tr>
      <w:tr w:rsidRPr="008E0D39" w:rsidR="00E5275A" w:rsidTr="009A6604" w14:paraId="2C1E5412" w14:textId="77777777">
        <w:tc>
          <w:tcPr>
            <w:tcW w:w="1653" w:type="dxa"/>
          </w:tcPr>
          <w:p w:rsidR="00E5275A" w:rsidP="00E5275A" w:rsidRDefault="00E5275A" w14:paraId="6D2D6DDE" w14:textId="3162F00C">
            <w:pPr>
              <w:rPr>
                <w:lang w:val="en-US"/>
              </w:rPr>
            </w:pPr>
            <w:r>
              <w:rPr>
                <w:rFonts w:cstheme="minorHAnsi"/>
                <w:szCs w:val="18"/>
              </w:rPr>
              <w:t>Emancipatie</w:t>
            </w:r>
          </w:p>
        </w:tc>
        <w:tc>
          <w:tcPr>
            <w:tcW w:w="2175" w:type="dxa"/>
          </w:tcPr>
          <w:p w:rsidRPr="008E0D39" w:rsidR="00E5275A" w:rsidP="00E5275A" w:rsidRDefault="00E5275A" w14:paraId="02DCCDE5" w14:textId="7884832D">
            <w:r w:rsidRPr="009618B4">
              <w:rPr>
                <w:szCs w:val="18"/>
              </w:rPr>
              <w:t xml:space="preserve">Tweede deelonderzoek naar </w:t>
            </w:r>
            <w:r w:rsidRPr="009618B4">
              <w:rPr>
                <w:szCs w:val="18"/>
              </w:rPr>
              <w:lastRenderedPageBreak/>
              <w:t xml:space="preserve">opvattingen jongeren </w:t>
            </w:r>
            <w:proofErr w:type="spellStart"/>
            <w:r w:rsidRPr="009618B4">
              <w:rPr>
                <w:szCs w:val="18"/>
              </w:rPr>
              <w:t>lhbtiq+</w:t>
            </w:r>
            <w:proofErr w:type="spellEnd"/>
            <w:r w:rsidRPr="009618B4">
              <w:rPr>
                <w:szCs w:val="18"/>
              </w:rPr>
              <w:t xml:space="preserve"> personen</w:t>
            </w:r>
          </w:p>
        </w:tc>
        <w:tc>
          <w:tcPr>
            <w:tcW w:w="4961" w:type="dxa"/>
          </w:tcPr>
          <w:p w:rsidRPr="009618B4" w:rsidR="00E5275A" w:rsidP="00E5275A" w:rsidRDefault="00E5275A" w14:paraId="0EA9522E" w14:textId="77777777">
            <w:pPr>
              <w:rPr>
                <w:szCs w:val="18"/>
              </w:rPr>
            </w:pPr>
            <w:r w:rsidRPr="009618B4">
              <w:rPr>
                <w:szCs w:val="18"/>
              </w:rPr>
              <w:lastRenderedPageBreak/>
              <w:t xml:space="preserve">De Kamer wordt geïnformeerd over de uitkomsten van een onderzoek naar de acceptatie van </w:t>
            </w:r>
            <w:proofErr w:type="spellStart"/>
            <w:r w:rsidRPr="009618B4">
              <w:rPr>
                <w:szCs w:val="18"/>
              </w:rPr>
              <w:t>lhbtiq+</w:t>
            </w:r>
            <w:proofErr w:type="spellEnd"/>
            <w:r w:rsidRPr="009618B4">
              <w:rPr>
                <w:szCs w:val="18"/>
              </w:rPr>
              <w:t xml:space="preserve"> </w:t>
            </w:r>
            <w:r w:rsidRPr="009618B4">
              <w:rPr>
                <w:szCs w:val="18"/>
              </w:rPr>
              <w:lastRenderedPageBreak/>
              <w:t>personen onder jongeren, naar aanleiding van de Gezondheidsmonitor Jeugd 2023.</w:t>
            </w:r>
          </w:p>
          <w:p w:rsidRPr="008E0D39" w:rsidR="00E5275A" w:rsidP="00E5275A" w:rsidRDefault="00E5275A" w14:paraId="6BD38190" w14:textId="236F2A26"/>
        </w:tc>
      </w:tr>
      <w:tr w:rsidRPr="008E0D39" w:rsidR="000E39A5" w:rsidTr="009A6604" w14:paraId="0240F5FB" w14:textId="77777777">
        <w:tc>
          <w:tcPr>
            <w:tcW w:w="1653" w:type="dxa"/>
          </w:tcPr>
          <w:p w:rsidR="000E39A5" w:rsidP="000E39A5" w:rsidRDefault="000E39A5" w14:paraId="228C1088" w14:textId="6EDE9553">
            <w:pPr>
              <w:rPr>
                <w:lang w:val="en-US"/>
              </w:rPr>
            </w:pPr>
            <w:r>
              <w:rPr>
                <w:szCs w:val="18"/>
              </w:rPr>
              <w:lastRenderedPageBreak/>
              <w:t>Media</w:t>
            </w:r>
          </w:p>
        </w:tc>
        <w:tc>
          <w:tcPr>
            <w:tcW w:w="2175" w:type="dxa"/>
          </w:tcPr>
          <w:p w:rsidRPr="008E0D39" w:rsidR="000E39A5" w:rsidP="000E39A5" w:rsidRDefault="000E39A5" w14:paraId="7262EAA6" w14:textId="3522EE74">
            <w:r w:rsidRPr="009618B4">
              <w:rPr>
                <w:szCs w:val="18"/>
              </w:rPr>
              <w:t>Aanbieding rapport Evaluatiecommissie landelijke publieke omroep</w:t>
            </w:r>
          </w:p>
        </w:tc>
        <w:tc>
          <w:tcPr>
            <w:tcW w:w="4961" w:type="dxa"/>
          </w:tcPr>
          <w:p w:rsidRPr="008E0D39" w:rsidR="000E39A5" w:rsidP="000E39A5" w:rsidRDefault="000E39A5" w14:paraId="57D0D9D0" w14:textId="18EB3B1F">
            <w:r w:rsidRPr="009618B4">
              <w:rPr>
                <w:szCs w:val="18"/>
              </w:rPr>
              <w:t xml:space="preserve">De vijfjaarlijkse evaluatiecommissie landelijke publieke omroep brengt dit voorjaar </w:t>
            </w:r>
            <w:r w:rsidR="005F0E73">
              <w:rPr>
                <w:szCs w:val="18"/>
              </w:rPr>
              <w:t>een evaluatie</w:t>
            </w:r>
            <w:r w:rsidRPr="009618B4">
              <w:rPr>
                <w:szCs w:val="18"/>
              </w:rPr>
              <w:t>rapport uit. Dat rapport sturen we daarna naar de Kamer.</w:t>
            </w:r>
          </w:p>
        </w:tc>
      </w:tr>
      <w:tr w:rsidRPr="00380988" w:rsidR="0050562C" w:rsidTr="009A6604" w14:paraId="422E1DF3" w14:textId="77777777">
        <w:tc>
          <w:tcPr>
            <w:tcW w:w="1653" w:type="dxa"/>
          </w:tcPr>
          <w:p w:rsidRPr="00AD0CC3" w:rsidR="0050562C" w:rsidP="0050562C" w:rsidRDefault="008E7B64" w14:paraId="11294380" w14:textId="55B38DED">
            <w:pPr>
              <w:rPr>
                <w:szCs w:val="18"/>
              </w:rPr>
            </w:pPr>
            <w:proofErr w:type="spellStart"/>
            <w:r>
              <w:rPr>
                <w:szCs w:val="18"/>
              </w:rPr>
              <w:t>Internatio</w:t>
            </w:r>
            <w:r w:rsidR="00740F4C">
              <w:rPr>
                <w:szCs w:val="18"/>
              </w:rPr>
              <w:t>-</w:t>
            </w:r>
            <w:r>
              <w:rPr>
                <w:szCs w:val="18"/>
              </w:rPr>
              <w:t>nalisering</w:t>
            </w:r>
            <w:proofErr w:type="spellEnd"/>
          </w:p>
        </w:tc>
        <w:tc>
          <w:tcPr>
            <w:tcW w:w="2175" w:type="dxa"/>
          </w:tcPr>
          <w:p w:rsidRPr="00AD0CC3" w:rsidR="0050562C" w:rsidP="0050562C" w:rsidRDefault="0050562C" w14:paraId="770F4A82" w14:textId="72BB0C3F">
            <w:pPr>
              <w:rPr>
                <w:szCs w:val="18"/>
              </w:rPr>
            </w:pPr>
            <w:r w:rsidRPr="009618B4">
              <w:rPr>
                <w:szCs w:val="18"/>
              </w:rPr>
              <w:t xml:space="preserve">Hoger onderwijs / Kaderbrief </w:t>
            </w:r>
            <w:r w:rsidRPr="005F0E73" w:rsidR="005F0E73">
              <w:rPr>
                <w:szCs w:val="18"/>
              </w:rPr>
              <w:t>SLOA (Subsidiëring Landelijke Onderwijsondersteunende Activiteiten</w:t>
            </w:r>
            <w:r w:rsidR="005F0E73">
              <w:rPr>
                <w:szCs w:val="18"/>
              </w:rPr>
              <w:t>)</w:t>
            </w:r>
            <w:r w:rsidRPr="009618B4">
              <w:rPr>
                <w:szCs w:val="18"/>
              </w:rPr>
              <w:t xml:space="preserve"> internationalisering</w:t>
            </w:r>
          </w:p>
        </w:tc>
        <w:tc>
          <w:tcPr>
            <w:tcW w:w="4961" w:type="dxa"/>
          </w:tcPr>
          <w:p w:rsidRPr="00380988" w:rsidR="0050562C" w:rsidP="0050562C" w:rsidRDefault="0050562C" w14:paraId="20AA593C" w14:textId="6721C39B">
            <w:pPr>
              <w:rPr>
                <w:szCs w:val="18"/>
              </w:rPr>
            </w:pPr>
            <w:r w:rsidRPr="009618B4">
              <w:rPr>
                <w:szCs w:val="18"/>
              </w:rPr>
              <w:t xml:space="preserve">In deze brief worden voor de komende twee jaar de kaders gegeven voor de invulling van de wettelijke taken van Stichting Nuffic en </w:t>
            </w:r>
            <w:proofErr w:type="spellStart"/>
            <w:r w:rsidRPr="009618B4">
              <w:rPr>
                <w:szCs w:val="18"/>
              </w:rPr>
              <w:t>Neth-ER</w:t>
            </w:r>
            <w:proofErr w:type="spellEnd"/>
            <w:r w:rsidRPr="009618B4">
              <w:rPr>
                <w:szCs w:val="18"/>
              </w:rPr>
              <w:t xml:space="preserve"> op het terrein van internationalisering van het onderwijs.</w:t>
            </w:r>
          </w:p>
        </w:tc>
      </w:tr>
      <w:tr w:rsidRPr="00C5113C" w:rsidR="0050562C" w:rsidTr="009A6604" w14:paraId="56BA5065" w14:textId="77777777">
        <w:tc>
          <w:tcPr>
            <w:tcW w:w="1653" w:type="dxa"/>
          </w:tcPr>
          <w:p w:rsidRPr="00AD0CC3" w:rsidR="0050562C" w:rsidP="0050562C" w:rsidRDefault="008E7B64" w14:paraId="7E3FD43B" w14:textId="5418B655">
            <w:pPr>
              <w:rPr>
                <w:szCs w:val="18"/>
              </w:rPr>
            </w:pPr>
            <w:r>
              <w:rPr>
                <w:szCs w:val="18"/>
              </w:rPr>
              <w:t>Internationaal</w:t>
            </w:r>
          </w:p>
        </w:tc>
        <w:tc>
          <w:tcPr>
            <w:tcW w:w="2175" w:type="dxa"/>
          </w:tcPr>
          <w:p w:rsidRPr="00AD0CC3" w:rsidR="0050562C" w:rsidP="0050562C" w:rsidRDefault="0050562C" w14:paraId="71BDDD48" w14:textId="1559FEEE">
            <w:pPr>
              <w:rPr>
                <w:szCs w:val="18"/>
              </w:rPr>
            </w:pPr>
            <w:r w:rsidRPr="009618B4">
              <w:rPr>
                <w:szCs w:val="18"/>
              </w:rPr>
              <w:t>Verslag Ministerieel Vierlandenoverleg</w:t>
            </w:r>
          </w:p>
        </w:tc>
        <w:tc>
          <w:tcPr>
            <w:tcW w:w="4961" w:type="dxa"/>
          </w:tcPr>
          <w:p w:rsidRPr="00C5113C" w:rsidR="0050562C" w:rsidP="0050562C" w:rsidRDefault="0050562C" w14:paraId="1BDF0B1E" w14:textId="3895C056">
            <w:pPr>
              <w:rPr>
                <w:szCs w:val="18"/>
              </w:rPr>
            </w:pPr>
            <w:r w:rsidRPr="009618B4">
              <w:rPr>
                <w:szCs w:val="18"/>
              </w:rPr>
              <w:t>In november 2025 heeft het Ministerieel Vierlandenoverleg plaatsgevonden. De voortgang en de overeengekomen slotconclusies worden in de brief aan de Kamer toegelicht.</w:t>
            </w:r>
          </w:p>
        </w:tc>
      </w:tr>
      <w:tr w:rsidRPr="00F11596" w:rsidR="008E7B64" w:rsidTr="009A6604" w14:paraId="6C5088FC" w14:textId="77777777">
        <w:tc>
          <w:tcPr>
            <w:tcW w:w="1653" w:type="dxa"/>
            <w:hideMark/>
          </w:tcPr>
          <w:p w:rsidRPr="00F11596" w:rsidR="008E7B64" w:rsidP="008E7B64" w:rsidRDefault="008E7B64" w14:paraId="44AB0C02" w14:textId="3295A395">
            <w:pPr>
              <w:rPr>
                <w:rFonts w:cstheme="minorHAnsi"/>
                <w:szCs w:val="18"/>
              </w:rPr>
            </w:pPr>
            <w:r>
              <w:rPr>
                <w:szCs w:val="18"/>
                <w:lang w:eastAsia="en-US"/>
              </w:rPr>
              <w:t>ICT</w:t>
            </w:r>
          </w:p>
        </w:tc>
        <w:tc>
          <w:tcPr>
            <w:tcW w:w="2175" w:type="dxa"/>
            <w:hideMark/>
          </w:tcPr>
          <w:p w:rsidRPr="00F11596" w:rsidR="008E7B64" w:rsidP="008E7B64" w:rsidRDefault="008E7B64" w14:paraId="70F86FFB" w14:textId="1715523F">
            <w:pPr>
              <w:rPr>
                <w:rFonts w:cstheme="minorHAnsi"/>
                <w:szCs w:val="18"/>
              </w:rPr>
            </w:pPr>
            <w:r w:rsidRPr="009618B4">
              <w:rPr>
                <w:szCs w:val="18"/>
              </w:rPr>
              <w:t>Reactie op het adviesrapport van het Adviescollege ICT-toetsing over IT-project ‘</w:t>
            </w:r>
            <w:proofErr w:type="spellStart"/>
            <w:r w:rsidRPr="009618B4">
              <w:rPr>
                <w:szCs w:val="18"/>
              </w:rPr>
              <w:t>Enterprice</w:t>
            </w:r>
            <w:proofErr w:type="spellEnd"/>
            <w:r w:rsidRPr="009618B4">
              <w:rPr>
                <w:szCs w:val="18"/>
              </w:rPr>
              <w:t xml:space="preserve"> Cloud’</w:t>
            </w:r>
          </w:p>
        </w:tc>
        <w:tc>
          <w:tcPr>
            <w:tcW w:w="4961" w:type="dxa"/>
            <w:hideMark/>
          </w:tcPr>
          <w:p w:rsidRPr="00F11596" w:rsidR="008E7B64" w:rsidP="008E7B64" w:rsidRDefault="008E7B64" w14:paraId="05ECE66D" w14:textId="2800F8B4">
            <w:pPr>
              <w:rPr>
                <w:szCs w:val="18"/>
              </w:rPr>
            </w:pPr>
            <w:r w:rsidRPr="009618B4">
              <w:rPr>
                <w:szCs w:val="18"/>
              </w:rPr>
              <w:t>Het Adviescollege ICT-toetsing heeft het IT-project ‘Enterprise Cloud’ bij DUO en ODC-Noord getoetst. Resultaat is een rapport met bevindingen en adviezen. De Kamer wordt in onze reactie geïnformeerd over hoe wij de adviezen opvolgen.</w:t>
            </w:r>
          </w:p>
        </w:tc>
      </w:tr>
      <w:tr w:rsidRPr="001968FE" w:rsidR="0074088B" w:rsidTr="009A6604" w14:paraId="2D36F4C5" w14:textId="77777777">
        <w:tc>
          <w:tcPr>
            <w:tcW w:w="8789" w:type="dxa"/>
            <w:gridSpan w:val="3"/>
            <w:shd w:val="clear" w:color="auto" w:fill="D9D9D9" w:themeFill="background1" w:themeFillShade="D9"/>
          </w:tcPr>
          <w:p w:rsidRPr="001968FE" w:rsidR="0074088B" w:rsidP="00A712D2" w:rsidRDefault="0074088B" w14:paraId="666AE097" w14:textId="303572C6">
            <w:pPr>
              <w:rPr>
                <w:szCs w:val="18"/>
              </w:rPr>
            </w:pPr>
            <w:r>
              <w:rPr>
                <w:b/>
                <w:bCs/>
                <w:szCs w:val="18"/>
              </w:rPr>
              <w:t>Tweede kwartaal</w:t>
            </w:r>
            <w:r w:rsidR="00656415">
              <w:rPr>
                <w:b/>
                <w:bCs/>
                <w:szCs w:val="18"/>
              </w:rPr>
              <w:t xml:space="preserve"> 2026</w:t>
            </w:r>
          </w:p>
        </w:tc>
      </w:tr>
      <w:tr w:rsidRPr="001968FE" w:rsidR="009A6604" w:rsidTr="009A6604" w14:paraId="7DFF3C6D" w14:textId="77777777">
        <w:tc>
          <w:tcPr>
            <w:tcW w:w="1653" w:type="dxa"/>
          </w:tcPr>
          <w:p w:rsidRPr="001968FE" w:rsidR="009A6604" w:rsidP="009A6604" w:rsidRDefault="009A6604" w14:paraId="30590355" w14:textId="305C2F77">
            <w:pPr>
              <w:rPr>
                <w:szCs w:val="18"/>
              </w:rPr>
            </w:pPr>
            <w:r w:rsidRPr="003130E2">
              <w:rPr>
                <w:szCs w:val="18"/>
              </w:rPr>
              <w:t xml:space="preserve">Funderend </w:t>
            </w:r>
            <w:r>
              <w:rPr>
                <w:szCs w:val="18"/>
              </w:rPr>
              <w:t>o</w:t>
            </w:r>
            <w:r w:rsidRPr="003130E2">
              <w:rPr>
                <w:szCs w:val="18"/>
              </w:rPr>
              <w:t>nderwijs</w:t>
            </w:r>
          </w:p>
        </w:tc>
        <w:tc>
          <w:tcPr>
            <w:tcW w:w="2175" w:type="dxa"/>
          </w:tcPr>
          <w:p w:rsidRPr="001968FE" w:rsidR="009A6604" w:rsidP="009A6604" w:rsidRDefault="009A6604" w14:paraId="61E19E95" w14:textId="6948CAD1">
            <w:pPr>
              <w:rPr>
                <w:szCs w:val="18"/>
              </w:rPr>
            </w:pPr>
            <w:r w:rsidRPr="009618B4">
              <w:rPr>
                <w:szCs w:val="18"/>
              </w:rPr>
              <w:t>Voortgang lerarenstrategie</w:t>
            </w:r>
          </w:p>
        </w:tc>
        <w:tc>
          <w:tcPr>
            <w:tcW w:w="4961" w:type="dxa"/>
          </w:tcPr>
          <w:p w:rsidRPr="001968FE" w:rsidR="009A6604" w:rsidP="009A6604" w:rsidRDefault="009A6604" w14:paraId="278D97A4" w14:textId="2899B315">
            <w:pPr>
              <w:rPr>
                <w:szCs w:val="18"/>
              </w:rPr>
            </w:pPr>
            <w:r w:rsidRPr="009618B4">
              <w:rPr>
                <w:szCs w:val="18"/>
              </w:rPr>
              <w:t>Integrale beschrijving van de stand van zaken met betrekking tot de verschillende onderdelen van de Lerarenstrategie.</w:t>
            </w:r>
          </w:p>
        </w:tc>
      </w:tr>
      <w:tr w:rsidRPr="001968FE" w:rsidR="009A6604" w:rsidTr="009A6604" w14:paraId="36C7B3F2" w14:textId="77777777">
        <w:tc>
          <w:tcPr>
            <w:tcW w:w="1653" w:type="dxa"/>
          </w:tcPr>
          <w:p w:rsidRPr="001968FE" w:rsidR="009A6604" w:rsidP="009A6604" w:rsidRDefault="009A6604" w14:paraId="43BE173C" w14:textId="197FB285">
            <w:pPr>
              <w:rPr>
                <w:szCs w:val="18"/>
              </w:rPr>
            </w:pPr>
            <w:r w:rsidRPr="003130E2">
              <w:rPr>
                <w:szCs w:val="18"/>
              </w:rPr>
              <w:t xml:space="preserve">Funderend </w:t>
            </w:r>
            <w:r>
              <w:rPr>
                <w:szCs w:val="18"/>
              </w:rPr>
              <w:t>o</w:t>
            </w:r>
            <w:r w:rsidRPr="003130E2">
              <w:rPr>
                <w:szCs w:val="18"/>
              </w:rPr>
              <w:t>nderwijs</w:t>
            </w:r>
          </w:p>
        </w:tc>
        <w:tc>
          <w:tcPr>
            <w:tcW w:w="2175" w:type="dxa"/>
          </w:tcPr>
          <w:p w:rsidRPr="001968FE" w:rsidR="009A6604" w:rsidP="009A6604" w:rsidRDefault="009A6604" w14:paraId="6E8E3987" w14:textId="2B77E979">
            <w:pPr>
              <w:rPr>
                <w:szCs w:val="18"/>
              </w:rPr>
            </w:pPr>
            <w:r w:rsidRPr="009618B4">
              <w:rPr>
                <w:szCs w:val="18"/>
              </w:rPr>
              <w:t>Aanbieding onderzoek onderwijsdeelname vierjarigen</w:t>
            </w:r>
          </w:p>
        </w:tc>
        <w:tc>
          <w:tcPr>
            <w:tcW w:w="4961" w:type="dxa"/>
          </w:tcPr>
          <w:p w:rsidRPr="001968FE" w:rsidR="009A6604" w:rsidP="009A6604" w:rsidRDefault="009A6604" w14:paraId="6141DCFD" w14:textId="32448D51">
            <w:pPr>
              <w:rPr>
                <w:szCs w:val="18"/>
              </w:rPr>
            </w:pPr>
            <w:r w:rsidRPr="009618B4">
              <w:rPr>
                <w:szCs w:val="18"/>
                <w:lang w:eastAsia="en-US"/>
              </w:rPr>
              <w:t>Aan de Tweede Kamer is in juni 2025 toegezegd om in nauw overleg met veldpartijen in en om het onderwijs een nauwkeuriger beeld te krijgen van de huidige deelname van vierjarigen aan het onderwijs, met als intentie om tot een leerplichtverlaging te komen.</w:t>
            </w:r>
          </w:p>
        </w:tc>
      </w:tr>
      <w:tr w:rsidRPr="003156B0" w:rsidR="009A6604" w:rsidTr="009A6604" w14:paraId="7C40271C" w14:textId="77777777">
        <w:tc>
          <w:tcPr>
            <w:tcW w:w="1653" w:type="dxa"/>
          </w:tcPr>
          <w:p w:rsidR="009A6604" w:rsidP="009A6604" w:rsidRDefault="009A6604" w14:paraId="264F232E" w14:textId="66C0E61E">
            <w:pPr>
              <w:rPr>
                <w:szCs w:val="18"/>
              </w:rPr>
            </w:pPr>
            <w:r w:rsidRPr="003130E2">
              <w:rPr>
                <w:szCs w:val="18"/>
              </w:rPr>
              <w:t xml:space="preserve">Funderend </w:t>
            </w:r>
            <w:r>
              <w:rPr>
                <w:szCs w:val="18"/>
              </w:rPr>
              <w:t>o</w:t>
            </w:r>
            <w:r w:rsidRPr="003130E2">
              <w:rPr>
                <w:szCs w:val="18"/>
              </w:rPr>
              <w:t>nderwijs</w:t>
            </w:r>
          </w:p>
        </w:tc>
        <w:tc>
          <w:tcPr>
            <w:tcW w:w="2175" w:type="dxa"/>
          </w:tcPr>
          <w:p w:rsidRPr="009A6604" w:rsidR="009A6604" w:rsidP="009A6604" w:rsidRDefault="009A6604" w14:paraId="45057480" w14:textId="0AEE2569">
            <w:pPr>
              <w:rPr>
                <w:szCs w:val="18"/>
                <w:lang w:val="en-US"/>
              </w:rPr>
            </w:pPr>
            <w:proofErr w:type="spellStart"/>
            <w:r w:rsidRPr="009618B4">
              <w:rPr>
                <w:szCs w:val="18"/>
                <w:lang w:val="en-US"/>
              </w:rPr>
              <w:t>Aanbieding</w:t>
            </w:r>
            <w:proofErr w:type="spellEnd"/>
            <w:r w:rsidRPr="009618B4">
              <w:rPr>
                <w:szCs w:val="18"/>
                <w:lang w:val="en-US"/>
              </w:rPr>
              <w:t xml:space="preserve"> rapport IELS (International Early Learning and Child Well-being Study)</w:t>
            </w:r>
          </w:p>
        </w:tc>
        <w:tc>
          <w:tcPr>
            <w:tcW w:w="4961" w:type="dxa"/>
          </w:tcPr>
          <w:p w:rsidRPr="003156B0" w:rsidR="009A6604" w:rsidP="009A6604" w:rsidRDefault="009A6604" w14:paraId="7D5335B4" w14:textId="6D1DDD79">
            <w:pPr>
              <w:rPr>
                <w:szCs w:val="18"/>
              </w:rPr>
            </w:pPr>
            <w:r w:rsidRPr="009618B4">
              <w:rPr>
                <w:szCs w:val="18"/>
                <w:lang w:eastAsia="en-US"/>
              </w:rPr>
              <w:t xml:space="preserve">Het Nederlandse en internationale rapport van IELS worden in het voorjaar van 2026 opgeleverd. IELS meet vroege geletterdheid en </w:t>
            </w:r>
            <w:proofErr w:type="spellStart"/>
            <w:r w:rsidRPr="009618B4">
              <w:rPr>
                <w:szCs w:val="18"/>
                <w:lang w:eastAsia="en-US"/>
              </w:rPr>
              <w:t>gecijferdheid</w:t>
            </w:r>
            <w:proofErr w:type="spellEnd"/>
            <w:r w:rsidRPr="009618B4">
              <w:rPr>
                <w:szCs w:val="18"/>
                <w:lang w:eastAsia="en-US"/>
              </w:rPr>
              <w:t>, zelfregulatie en een set van sociaal-emotionele vaardigheden van vijfjarigen.</w:t>
            </w:r>
          </w:p>
        </w:tc>
      </w:tr>
      <w:tr w:rsidRPr="003156B0" w:rsidR="009A6604" w:rsidTr="009A6604" w14:paraId="392FE6EF" w14:textId="77777777">
        <w:tc>
          <w:tcPr>
            <w:tcW w:w="1653" w:type="dxa"/>
          </w:tcPr>
          <w:p w:rsidR="009A6604" w:rsidP="009A6604" w:rsidRDefault="009A6604" w14:paraId="7144F59C" w14:textId="3C66E0A6">
            <w:pPr>
              <w:rPr>
                <w:szCs w:val="18"/>
              </w:rPr>
            </w:pPr>
            <w:r w:rsidRPr="003130E2">
              <w:rPr>
                <w:szCs w:val="18"/>
              </w:rPr>
              <w:t xml:space="preserve">Funderend </w:t>
            </w:r>
            <w:r>
              <w:rPr>
                <w:szCs w:val="18"/>
              </w:rPr>
              <w:t>o</w:t>
            </w:r>
            <w:r w:rsidRPr="003130E2">
              <w:rPr>
                <w:szCs w:val="18"/>
              </w:rPr>
              <w:t>nderwijs</w:t>
            </w:r>
          </w:p>
        </w:tc>
        <w:tc>
          <w:tcPr>
            <w:tcW w:w="2175" w:type="dxa"/>
          </w:tcPr>
          <w:p w:rsidRPr="003156B0" w:rsidR="009A6604" w:rsidP="009A6604" w:rsidRDefault="009A6604" w14:paraId="7D8F4B18" w14:textId="2DC64ADE">
            <w:pPr>
              <w:rPr>
                <w:szCs w:val="18"/>
              </w:rPr>
            </w:pPr>
            <w:r w:rsidRPr="009618B4">
              <w:rPr>
                <w:szCs w:val="18"/>
              </w:rPr>
              <w:t>Eindrapportage subsidie incidentele middelen leerlingendaling (IML)</w:t>
            </w:r>
          </w:p>
        </w:tc>
        <w:tc>
          <w:tcPr>
            <w:tcW w:w="4961" w:type="dxa"/>
          </w:tcPr>
          <w:p w:rsidRPr="003156B0" w:rsidR="009A6604" w:rsidP="009A6604" w:rsidRDefault="009A6604" w14:paraId="7D40C76F" w14:textId="4BFA1727">
            <w:pPr>
              <w:rPr>
                <w:szCs w:val="18"/>
                <w:lang w:eastAsia="en-US"/>
              </w:rPr>
            </w:pPr>
            <w:r w:rsidRPr="009618B4">
              <w:rPr>
                <w:szCs w:val="18"/>
                <w:lang w:eastAsia="en-US"/>
              </w:rPr>
              <w:t>Op 31 juli 2025 is de subsidieperiode IML beëindigd e</w:t>
            </w:r>
            <w:r w:rsidR="008512CB">
              <w:rPr>
                <w:szCs w:val="18"/>
                <w:lang w:eastAsia="en-US"/>
              </w:rPr>
              <w:t>n</w:t>
            </w:r>
            <w:r w:rsidRPr="009618B4">
              <w:rPr>
                <w:szCs w:val="18"/>
                <w:lang w:eastAsia="en-US"/>
              </w:rPr>
              <w:t xml:space="preserve"> t/m 1 oktober konden regio’s de eindevaluatie indienen. Op basis daarvan heeft Oberon/KBA Nijmegen een eindrapportage geschreven. We brengen middels deze brief de Kamer op de hoogte van de opbrengsten, lessen en eventuele toekomstplannen.</w:t>
            </w:r>
          </w:p>
        </w:tc>
      </w:tr>
      <w:tr w:rsidRPr="00271AC8" w:rsidR="009A6604" w:rsidTr="009A6604" w14:paraId="716E9262" w14:textId="77777777">
        <w:tc>
          <w:tcPr>
            <w:tcW w:w="1653" w:type="dxa"/>
          </w:tcPr>
          <w:p w:rsidRPr="003130E2" w:rsidR="009A6604" w:rsidP="009A6604" w:rsidRDefault="009A6604" w14:paraId="7DBB312B" w14:textId="122F879E">
            <w:pPr>
              <w:rPr>
                <w:szCs w:val="18"/>
              </w:rPr>
            </w:pPr>
            <w:r w:rsidRPr="003130E2">
              <w:rPr>
                <w:szCs w:val="18"/>
              </w:rPr>
              <w:t xml:space="preserve">Funderend </w:t>
            </w:r>
            <w:r>
              <w:rPr>
                <w:szCs w:val="18"/>
              </w:rPr>
              <w:t>o</w:t>
            </w:r>
            <w:r w:rsidRPr="003130E2">
              <w:rPr>
                <w:szCs w:val="18"/>
              </w:rPr>
              <w:t>nderwijs</w:t>
            </w:r>
          </w:p>
        </w:tc>
        <w:tc>
          <w:tcPr>
            <w:tcW w:w="2175" w:type="dxa"/>
          </w:tcPr>
          <w:p w:rsidRPr="003130E2" w:rsidR="009A6604" w:rsidP="009A6604" w:rsidRDefault="009A6604" w14:paraId="115A305E" w14:textId="5BC6AE30">
            <w:pPr>
              <w:rPr>
                <w:szCs w:val="18"/>
              </w:rPr>
            </w:pPr>
            <w:r w:rsidRPr="009618B4">
              <w:rPr>
                <w:rStyle w:val="null1"/>
                <w:rFonts w:cs="Calibri Light"/>
                <w:szCs w:val="18"/>
              </w:rPr>
              <w:t>Resultaten derde ronde stichtingsaanvragen en bekostigingsbesluiten nieuwe scholen</w:t>
            </w:r>
          </w:p>
        </w:tc>
        <w:tc>
          <w:tcPr>
            <w:tcW w:w="4961" w:type="dxa"/>
          </w:tcPr>
          <w:p w:rsidRPr="00271AC8" w:rsidR="009A6604" w:rsidP="009A6604" w:rsidRDefault="009A6604" w14:paraId="4BFE2F6F" w14:textId="70155402">
            <w:pPr>
              <w:rPr>
                <w:rFonts w:cs="Verdana"/>
                <w:szCs w:val="18"/>
                <w:lang w:eastAsia="en-US"/>
              </w:rPr>
            </w:pPr>
            <w:r w:rsidRPr="009618B4">
              <w:rPr>
                <w:rStyle w:val="null1"/>
                <w:rFonts w:cs="Calibri Light"/>
                <w:szCs w:val="18"/>
              </w:rPr>
              <w:t xml:space="preserve">Deze brief bevat de (goedgekeurde en afgekeurde) besluiten op bekostigingsaanvragen voor nieuwe scholen in het po en vo. </w:t>
            </w:r>
          </w:p>
        </w:tc>
      </w:tr>
      <w:tr w:rsidRPr="003130E2" w:rsidR="009A6604" w:rsidTr="009A6604" w14:paraId="2CBBACBF" w14:textId="77777777">
        <w:tc>
          <w:tcPr>
            <w:tcW w:w="1653" w:type="dxa"/>
          </w:tcPr>
          <w:p w:rsidRPr="003130E2" w:rsidR="009A6604" w:rsidP="009A6604" w:rsidRDefault="009A6604" w14:paraId="39F2AA5F" w14:textId="733CD215">
            <w:pPr>
              <w:rPr>
                <w:szCs w:val="18"/>
              </w:rPr>
            </w:pPr>
            <w:r w:rsidRPr="003130E2">
              <w:rPr>
                <w:szCs w:val="18"/>
              </w:rPr>
              <w:lastRenderedPageBreak/>
              <w:t xml:space="preserve">Funderend </w:t>
            </w:r>
            <w:r>
              <w:rPr>
                <w:szCs w:val="18"/>
              </w:rPr>
              <w:t>o</w:t>
            </w:r>
            <w:r w:rsidRPr="003130E2">
              <w:rPr>
                <w:szCs w:val="18"/>
              </w:rPr>
              <w:t>nderwijs</w:t>
            </w:r>
          </w:p>
        </w:tc>
        <w:tc>
          <w:tcPr>
            <w:tcW w:w="2175" w:type="dxa"/>
          </w:tcPr>
          <w:p w:rsidRPr="003130E2" w:rsidR="009A6604" w:rsidP="009A6604" w:rsidRDefault="009A6604" w14:paraId="2D7EC03A" w14:textId="294ADBAA">
            <w:pPr>
              <w:rPr>
                <w:rFonts w:cs="Verdana"/>
                <w:szCs w:val="18"/>
                <w:lang w:eastAsia="en-US"/>
              </w:rPr>
            </w:pPr>
            <w:r w:rsidRPr="009618B4">
              <w:rPr>
                <w:rStyle w:val="null1"/>
                <w:rFonts w:cs="Calibri Light"/>
                <w:szCs w:val="18"/>
              </w:rPr>
              <w:t>Brief voortgang instandhouding in het basisonderwijs, incl. beleidsreactie(s) op uitkomsten onderzoeken op het gebied van scholenplanning</w:t>
            </w:r>
          </w:p>
        </w:tc>
        <w:tc>
          <w:tcPr>
            <w:tcW w:w="4961" w:type="dxa"/>
          </w:tcPr>
          <w:p w:rsidRPr="00722CB4" w:rsidR="009A6604" w:rsidP="00722CB4" w:rsidRDefault="009A6604" w14:paraId="72A13002" w14:textId="2C89EFDC">
            <w:pPr>
              <w:pStyle w:val="null"/>
              <w:spacing w:before="0" w:beforeAutospacing="0" w:after="0" w:afterAutospacing="0"/>
              <w:rPr>
                <w:rFonts w:ascii="Verdana" w:hAnsi="Verdana" w:cs="Calibri Light"/>
                <w:sz w:val="18"/>
                <w:szCs w:val="18"/>
              </w:rPr>
            </w:pPr>
            <w:r w:rsidRPr="009618B4">
              <w:rPr>
                <w:rStyle w:val="null1"/>
                <w:rFonts w:ascii="Verdana" w:hAnsi="Verdana" w:cs="Calibri Light"/>
                <w:sz w:val="18"/>
                <w:szCs w:val="18"/>
              </w:rPr>
              <w:t>De Kamer wordt geïnformeerd over de stand van zaken rond het toekomstbestendig inrichten van het scholenaanbod in het basisonderwijs met het oog op de toenemende leraren-, schoolleiders- en huisvestingstekorten. Er worden aanpassingen voorgesteld rond opheffing, bekostiging, stichten, dislocaties en samenwerking</w:t>
            </w:r>
            <w:r w:rsidRPr="00722CB4">
              <w:rPr>
                <w:rStyle w:val="null1"/>
                <w:rFonts w:ascii="Verdana" w:hAnsi="Verdana" w:cs="Calibri Light"/>
                <w:sz w:val="18"/>
                <w:szCs w:val="18"/>
              </w:rPr>
              <w:t>.</w:t>
            </w:r>
            <w:r w:rsidRPr="00722CB4" w:rsidR="00722CB4">
              <w:rPr>
                <w:rStyle w:val="null1"/>
                <w:rFonts w:ascii="Verdana" w:hAnsi="Verdana" w:cs="Calibri Light"/>
                <w:sz w:val="18"/>
                <w:szCs w:val="18"/>
              </w:rPr>
              <w:t xml:space="preserve"> </w:t>
            </w:r>
            <w:r w:rsidRPr="00722CB4">
              <w:rPr>
                <w:rStyle w:val="null1"/>
                <w:rFonts w:ascii="Verdana" w:hAnsi="Verdana" w:cs="Calibri Light"/>
                <w:sz w:val="18"/>
                <w:szCs w:val="18"/>
              </w:rPr>
              <w:t>Deze brief bevat tevens de beleidsreactie op verschillende onderzoeken op het gebied van scholenplanning.</w:t>
            </w:r>
          </w:p>
        </w:tc>
      </w:tr>
      <w:tr w:rsidRPr="00271AC8" w:rsidR="009A6604" w:rsidTr="009A6604" w14:paraId="7EF3E780" w14:textId="77777777">
        <w:tc>
          <w:tcPr>
            <w:tcW w:w="1653" w:type="dxa"/>
          </w:tcPr>
          <w:p w:rsidRPr="003130E2" w:rsidR="009A6604" w:rsidP="009A6604" w:rsidRDefault="009A6604" w14:paraId="36DEE425" w14:textId="61597DE8">
            <w:pPr>
              <w:rPr>
                <w:szCs w:val="18"/>
              </w:rPr>
            </w:pPr>
            <w:r w:rsidRPr="003130E2">
              <w:rPr>
                <w:szCs w:val="18"/>
              </w:rPr>
              <w:t xml:space="preserve">Funderend </w:t>
            </w:r>
            <w:r>
              <w:rPr>
                <w:szCs w:val="18"/>
              </w:rPr>
              <w:t>o</w:t>
            </w:r>
            <w:r w:rsidRPr="003130E2">
              <w:rPr>
                <w:szCs w:val="18"/>
              </w:rPr>
              <w:t>nderwijs</w:t>
            </w:r>
          </w:p>
        </w:tc>
        <w:tc>
          <w:tcPr>
            <w:tcW w:w="2175" w:type="dxa"/>
          </w:tcPr>
          <w:p w:rsidRPr="003130E2" w:rsidR="009A6604" w:rsidP="009A6604" w:rsidRDefault="009A6604" w14:paraId="1FE3213B" w14:textId="1C675CC9">
            <w:pPr>
              <w:rPr>
                <w:rFonts w:cs="Verdana"/>
                <w:szCs w:val="18"/>
                <w:lang w:eastAsia="en-US"/>
              </w:rPr>
            </w:pPr>
            <w:r w:rsidRPr="009618B4">
              <w:rPr>
                <w:szCs w:val="18"/>
                <w:lang w:eastAsia="en-US"/>
              </w:rPr>
              <w:t>Gerichte bekostiging</w:t>
            </w:r>
          </w:p>
        </w:tc>
        <w:tc>
          <w:tcPr>
            <w:tcW w:w="4961" w:type="dxa"/>
          </w:tcPr>
          <w:p w:rsidRPr="00271AC8" w:rsidR="009A6604" w:rsidP="009A6604" w:rsidRDefault="009A6604" w14:paraId="677E9A57" w14:textId="445F4863">
            <w:pPr>
              <w:rPr>
                <w:szCs w:val="18"/>
              </w:rPr>
            </w:pPr>
            <w:r w:rsidRPr="009618B4">
              <w:rPr>
                <w:szCs w:val="18"/>
                <w:lang w:eastAsia="en-US"/>
              </w:rPr>
              <w:t xml:space="preserve">Brief bij aanbieding van het wetsvoorstel gerichte bekostiging. Hierin gaan we ook in op normstelling en evaluatie vereenvoudigingen bekostiging po en vo. </w:t>
            </w:r>
          </w:p>
        </w:tc>
      </w:tr>
      <w:tr w:rsidRPr="00271AC8" w:rsidR="009A6604" w:rsidTr="009A6604" w14:paraId="233A7876" w14:textId="77777777">
        <w:tc>
          <w:tcPr>
            <w:tcW w:w="1653" w:type="dxa"/>
          </w:tcPr>
          <w:p w:rsidRPr="003130E2" w:rsidR="009A6604" w:rsidP="009A6604" w:rsidRDefault="009A6604" w14:paraId="6E0508EA" w14:textId="518334BE">
            <w:pPr>
              <w:rPr>
                <w:szCs w:val="18"/>
              </w:rPr>
            </w:pPr>
            <w:r w:rsidRPr="003130E2">
              <w:rPr>
                <w:szCs w:val="18"/>
              </w:rPr>
              <w:t xml:space="preserve">Funderend </w:t>
            </w:r>
            <w:r>
              <w:rPr>
                <w:szCs w:val="18"/>
              </w:rPr>
              <w:t>o</w:t>
            </w:r>
            <w:r w:rsidRPr="003130E2">
              <w:rPr>
                <w:szCs w:val="18"/>
              </w:rPr>
              <w:t>nderwijs</w:t>
            </w:r>
          </w:p>
        </w:tc>
        <w:tc>
          <w:tcPr>
            <w:tcW w:w="2175" w:type="dxa"/>
          </w:tcPr>
          <w:p w:rsidRPr="003130E2" w:rsidR="009A6604" w:rsidP="009A6604" w:rsidRDefault="00D35125" w14:paraId="5233FD1B" w14:textId="2CF63941">
            <w:pPr>
              <w:rPr>
                <w:rFonts w:cs="Verdana"/>
                <w:szCs w:val="18"/>
                <w:lang w:eastAsia="en-US"/>
              </w:rPr>
            </w:pPr>
            <w:r>
              <w:rPr>
                <w:szCs w:val="18"/>
              </w:rPr>
              <w:t>Brief doorstroomtoets</w:t>
            </w:r>
          </w:p>
        </w:tc>
        <w:tc>
          <w:tcPr>
            <w:tcW w:w="4961" w:type="dxa"/>
          </w:tcPr>
          <w:p w:rsidRPr="00D35125" w:rsidR="00D35125" w:rsidP="00D35125" w:rsidRDefault="00D35125" w14:paraId="6CB55CBF" w14:textId="62D47D32">
            <w:pPr>
              <w:rPr>
                <w:szCs w:val="18"/>
                <w:u w:val="single"/>
              </w:rPr>
            </w:pPr>
            <w:r w:rsidRPr="00D35125">
              <w:rPr>
                <w:szCs w:val="18"/>
                <w:u w:val="single"/>
              </w:rPr>
              <w:t>Toetsen en schooladvisering</w:t>
            </w:r>
            <w:r>
              <w:rPr>
                <w:szCs w:val="18"/>
              </w:rPr>
              <w:t xml:space="preserve"> </w:t>
            </w:r>
            <w:r w:rsidRPr="00D35125">
              <w:rPr>
                <w:szCs w:val="18"/>
              </w:rPr>
              <w:t xml:space="preserve">(onder andere met </w:t>
            </w:r>
          </w:p>
          <w:p w:rsidRPr="00D35125" w:rsidR="00D35125" w:rsidP="00D35125" w:rsidRDefault="00D35125" w14:paraId="04B3F856" w14:textId="77777777">
            <w:pPr>
              <w:rPr>
                <w:szCs w:val="18"/>
              </w:rPr>
            </w:pPr>
            <w:r w:rsidRPr="00D35125">
              <w:rPr>
                <w:szCs w:val="18"/>
              </w:rPr>
              <w:t xml:space="preserve">monitor DUO) </w:t>
            </w:r>
          </w:p>
          <w:p w:rsidRPr="00D35125" w:rsidR="00D35125" w:rsidP="00D35125" w:rsidRDefault="00D35125" w14:paraId="074AB2EB" w14:textId="77777777">
            <w:pPr>
              <w:rPr>
                <w:szCs w:val="18"/>
              </w:rPr>
            </w:pPr>
            <w:r w:rsidRPr="00D35125">
              <w:rPr>
                <w:szCs w:val="18"/>
              </w:rPr>
              <w:t xml:space="preserve">Jaarlijkse brief over de doorstroomtoets en de </w:t>
            </w:r>
          </w:p>
          <w:p w:rsidRPr="00D35125" w:rsidR="00D35125" w:rsidP="00D35125" w:rsidRDefault="00D35125" w14:paraId="57BE9346" w14:textId="77777777">
            <w:pPr>
              <w:rPr>
                <w:szCs w:val="18"/>
              </w:rPr>
            </w:pPr>
            <w:r w:rsidRPr="00D35125">
              <w:rPr>
                <w:szCs w:val="18"/>
              </w:rPr>
              <w:t xml:space="preserve">overgang van het primair naar het voortgezet </w:t>
            </w:r>
          </w:p>
          <w:p w:rsidRPr="00D35125" w:rsidR="00D35125" w:rsidP="00D35125" w:rsidRDefault="00D35125" w14:paraId="4524BD38" w14:textId="77777777">
            <w:pPr>
              <w:rPr>
                <w:szCs w:val="18"/>
              </w:rPr>
            </w:pPr>
            <w:r w:rsidRPr="00D35125">
              <w:rPr>
                <w:szCs w:val="18"/>
              </w:rPr>
              <w:t xml:space="preserve">onderwijs, waarmee de jaarlijkse monitor </w:t>
            </w:r>
          </w:p>
          <w:p w:rsidRPr="00D35125" w:rsidR="00D35125" w:rsidP="00D35125" w:rsidRDefault="00D35125" w14:paraId="2D7BF08D" w14:textId="77777777">
            <w:pPr>
              <w:rPr>
                <w:szCs w:val="18"/>
              </w:rPr>
            </w:pPr>
            <w:r w:rsidRPr="00D35125">
              <w:rPr>
                <w:szCs w:val="18"/>
              </w:rPr>
              <w:t xml:space="preserve">doorstroomtoetsen en schooladviezen van DUO </w:t>
            </w:r>
          </w:p>
          <w:p w:rsidR="00D35125" w:rsidP="00D35125" w:rsidRDefault="00D35125" w14:paraId="06C81796" w14:textId="77777777">
            <w:pPr>
              <w:rPr>
                <w:szCs w:val="18"/>
              </w:rPr>
            </w:pPr>
            <w:r w:rsidRPr="00D35125">
              <w:rPr>
                <w:szCs w:val="18"/>
              </w:rPr>
              <w:t xml:space="preserve">wordt gepubliceerd. </w:t>
            </w:r>
          </w:p>
          <w:p w:rsidRPr="00D35125" w:rsidR="00D35125" w:rsidP="00D35125" w:rsidRDefault="00D35125" w14:paraId="3767F47C" w14:textId="77777777">
            <w:pPr>
              <w:rPr>
                <w:szCs w:val="18"/>
              </w:rPr>
            </w:pPr>
          </w:p>
          <w:p w:rsidRPr="00D35125" w:rsidR="00D35125" w:rsidP="00D35125" w:rsidRDefault="00D35125" w14:paraId="3E691E32" w14:textId="55CC9206">
            <w:pPr>
              <w:rPr>
                <w:szCs w:val="18"/>
                <w:u w:val="single"/>
              </w:rPr>
            </w:pPr>
            <w:r w:rsidRPr="00D35125">
              <w:rPr>
                <w:szCs w:val="18"/>
                <w:u w:val="single"/>
              </w:rPr>
              <w:t xml:space="preserve">Aanbieden rapportage </w:t>
            </w:r>
            <w:proofErr w:type="spellStart"/>
            <w:r w:rsidRPr="00D35125">
              <w:rPr>
                <w:szCs w:val="18"/>
                <w:u w:val="single"/>
              </w:rPr>
              <w:t>CvTE</w:t>
            </w:r>
            <w:proofErr w:type="spellEnd"/>
            <w:r w:rsidRPr="00D35125">
              <w:rPr>
                <w:szCs w:val="18"/>
                <w:u w:val="single"/>
              </w:rPr>
              <w:t xml:space="preserve"> afname doorstroomtoets 2026 </w:t>
            </w:r>
          </w:p>
          <w:p w:rsidRPr="00D35125" w:rsidR="00D35125" w:rsidP="00D35125" w:rsidRDefault="00D35125" w14:paraId="61B82AD2" w14:textId="77777777">
            <w:pPr>
              <w:rPr>
                <w:szCs w:val="18"/>
              </w:rPr>
            </w:pPr>
            <w:r w:rsidRPr="00D35125">
              <w:rPr>
                <w:szCs w:val="18"/>
              </w:rPr>
              <w:t xml:space="preserve">Rapportage van het </w:t>
            </w:r>
            <w:proofErr w:type="spellStart"/>
            <w:r w:rsidRPr="00D35125">
              <w:rPr>
                <w:szCs w:val="18"/>
              </w:rPr>
              <w:t>CvTE</w:t>
            </w:r>
            <w:proofErr w:type="spellEnd"/>
            <w:r w:rsidRPr="00D35125">
              <w:rPr>
                <w:szCs w:val="18"/>
              </w:rPr>
              <w:t xml:space="preserve"> over de afname van de </w:t>
            </w:r>
          </w:p>
          <w:p w:rsidRPr="00D35125" w:rsidR="00D35125" w:rsidP="00D35125" w:rsidRDefault="00D35125" w14:paraId="714F9F24" w14:textId="77777777">
            <w:pPr>
              <w:rPr>
                <w:szCs w:val="18"/>
              </w:rPr>
            </w:pPr>
            <w:r w:rsidRPr="00D35125">
              <w:rPr>
                <w:szCs w:val="18"/>
              </w:rPr>
              <w:t xml:space="preserve">doorstroomtoets 2026. In deze brief worden de </w:t>
            </w:r>
          </w:p>
          <w:p w:rsidRPr="00D35125" w:rsidR="00D35125" w:rsidP="00D35125" w:rsidRDefault="00D35125" w14:paraId="169914A7" w14:textId="77777777">
            <w:pPr>
              <w:rPr>
                <w:szCs w:val="18"/>
              </w:rPr>
            </w:pPr>
            <w:r w:rsidRPr="00D35125">
              <w:rPr>
                <w:szCs w:val="18"/>
              </w:rPr>
              <w:t xml:space="preserve">belangrijkste bevindingen van de rapportage </w:t>
            </w:r>
          </w:p>
          <w:p w:rsidR="00D35125" w:rsidP="00D35125" w:rsidRDefault="00D35125" w14:paraId="09BA05CA" w14:textId="77777777">
            <w:pPr>
              <w:rPr>
                <w:szCs w:val="18"/>
              </w:rPr>
            </w:pPr>
            <w:r w:rsidRPr="00D35125">
              <w:rPr>
                <w:szCs w:val="18"/>
              </w:rPr>
              <w:t xml:space="preserve">uiteengezet. </w:t>
            </w:r>
          </w:p>
          <w:p w:rsidRPr="00D35125" w:rsidR="00D35125" w:rsidP="00D35125" w:rsidRDefault="00D35125" w14:paraId="383AF6F6" w14:textId="77777777">
            <w:pPr>
              <w:rPr>
                <w:szCs w:val="18"/>
              </w:rPr>
            </w:pPr>
          </w:p>
          <w:p w:rsidRPr="00D35125" w:rsidR="00D35125" w:rsidP="00D35125" w:rsidRDefault="00D35125" w14:paraId="407CD5EC" w14:textId="77777777">
            <w:pPr>
              <w:rPr>
                <w:szCs w:val="18"/>
                <w:u w:val="single"/>
              </w:rPr>
            </w:pPr>
            <w:r w:rsidRPr="00D35125">
              <w:rPr>
                <w:szCs w:val="18"/>
                <w:u w:val="single"/>
              </w:rPr>
              <w:t xml:space="preserve">Brief doorstroomtoets </w:t>
            </w:r>
          </w:p>
          <w:p w:rsidRPr="00D35125" w:rsidR="00D35125" w:rsidP="00D35125" w:rsidRDefault="00D35125" w14:paraId="102799C7" w14:textId="77777777">
            <w:pPr>
              <w:rPr>
                <w:szCs w:val="18"/>
              </w:rPr>
            </w:pPr>
            <w:r w:rsidRPr="00D35125">
              <w:rPr>
                <w:szCs w:val="18"/>
              </w:rPr>
              <w:t xml:space="preserve">Samenvattende afweging t.a.v. mogelijke </w:t>
            </w:r>
          </w:p>
          <w:p w:rsidRPr="00271AC8" w:rsidR="009A6604" w:rsidP="00D35125" w:rsidRDefault="00D35125" w14:paraId="2F81D7A4" w14:textId="5A430F01">
            <w:pPr>
              <w:rPr>
                <w:szCs w:val="18"/>
              </w:rPr>
            </w:pPr>
            <w:r w:rsidRPr="00D35125">
              <w:rPr>
                <w:szCs w:val="18"/>
              </w:rPr>
              <w:t>stelselwijziging doorstroomtoets.</w:t>
            </w:r>
          </w:p>
        </w:tc>
      </w:tr>
      <w:tr w:rsidRPr="003130E2" w:rsidR="009A6604" w:rsidTr="009A6604" w14:paraId="6D5AC5C7" w14:textId="77777777">
        <w:tc>
          <w:tcPr>
            <w:tcW w:w="1653" w:type="dxa"/>
          </w:tcPr>
          <w:p w:rsidRPr="003130E2" w:rsidR="009A6604" w:rsidP="009A6604" w:rsidRDefault="009A6604" w14:paraId="59EC0665" w14:textId="65223A1A">
            <w:pPr>
              <w:rPr>
                <w:szCs w:val="18"/>
              </w:rPr>
            </w:pPr>
            <w:r w:rsidRPr="003130E2">
              <w:rPr>
                <w:szCs w:val="18"/>
              </w:rPr>
              <w:t xml:space="preserve">Funderend </w:t>
            </w:r>
            <w:r>
              <w:rPr>
                <w:szCs w:val="18"/>
              </w:rPr>
              <w:t>o</w:t>
            </w:r>
            <w:r w:rsidRPr="003130E2">
              <w:rPr>
                <w:szCs w:val="18"/>
              </w:rPr>
              <w:t>nderwijs</w:t>
            </w:r>
          </w:p>
        </w:tc>
        <w:tc>
          <w:tcPr>
            <w:tcW w:w="2175" w:type="dxa"/>
          </w:tcPr>
          <w:p w:rsidRPr="003130E2" w:rsidR="009A6604" w:rsidP="009A6604" w:rsidRDefault="009A6604" w14:paraId="4EBE473A" w14:textId="2329BA60">
            <w:pPr>
              <w:rPr>
                <w:szCs w:val="18"/>
              </w:rPr>
            </w:pPr>
            <w:proofErr w:type="spellStart"/>
            <w:r w:rsidRPr="009618B4">
              <w:rPr>
                <w:szCs w:val="18"/>
                <w:lang w:eastAsia="en-US"/>
              </w:rPr>
              <w:t>Voortgangs</w:t>
            </w:r>
            <w:r w:rsidR="007E71C7">
              <w:rPr>
                <w:szCs w:val="18"/>
                <w:lang w:eastAsia="en-US"/>
              </w:rPr>
              <w:t>-</w:t>
            </w:r>
            <w:r w:rsidRPr="009618B4">
              <w:rPr>
                <w:szCs w:val="18"/>
                <w:lang w:eastAsia="en-US"/>
              </w:rPr>
              <w:t>rapportage</w:t>
            </w:r>
            <w:proofErr w:type="spellEnd"/>
            <w:r w:rsidRPr="009618B4">
              <w:rPr>
                <w:szCs w:val="18"/>
                <w:lang w:eastAsia="en-US"/>
              </w:rPr>
              <w:t xml:space="preserve"> MDT</w:t>
            </w:r>
          </w:p>
        </w:tc>
        <w:tc>
          <w:tcPr>
            <w:tcW w:w="4961" w:type="dxa"/>
          </w:tcPr>
          <w:p w:rsidRPr="003130E2" w:rsidR="009A6604" w:rsidP="009A6604" w:rsidRDefault="009A6604" w14:paraId="74BF638B" w14:textId="6FB3CF93">
            <w:pPr>
              <w:rPr>
                <w:color w:val="FF0000"/>
                <w:szCs w:val="18"/>
              </w:rPr>
            </w:pPr>
            <w:r w:rsidRPr="009618B4">
              <w:rPr>
                <w:szCs w:val="18"/>
                <w:lang w:eastAsia="en-US"/>
              </w:rPr>
              <w:t xml:space="preserve">Eén keer per jaar wordt de Kamer geïnformeerd over het bereik en de resultaten van </w:t>
            </w:r>
            <w:r w:rsidR="00656415">
              <w:rPr>
                <w:szCs w:val="18"/>
                <w:lang w:eastAsia="en-US"/>
              </w:rPr>
              <w:t xml:space="preserve">de </w:t>
            </w:r>
            <w:r w:rsidRPr="009618B4">
              <w:rPr>
                <w:szCs w:val="18"/>
                <w:lang w:eastAsia="en-US"/>
              </w:rPr>
              <w:t>M</w:t>
            </w:r>
            <w:r w:rsidR="00656415">
              <w:rPr>
                <w:szCs w:val="18"/>
                <w:lang w:eastAsia="en-US"/>
              </w:rPr>
              <w:t xml:space="preserve">aatschappelijke </w:t>
            </w:r>
            <w:r w:rsidRPr="009618B4">
              <w:rPr>
                <w:szCs w:val="18"/>
                <w:lang w:eastAsia="en-US"/>
              </w:rPr>
              <w:t>D</w:t>
            </w:r>
            <w:r w:rsidR="00656415">
              <w:rPr>
                <w:szCs w:val="18"/>
                <w:lang w:eastAsia="en-US"/>
              </w:rPr>
              <w:t>iensttijd</w:t>
            </w:r>
            <w:r w:rsidRPr="009618B4">
              <w:rPr>
                <w:szCs w:val="18"/>
                <w:lang w:eastAsia="en-US"/>
              </w:rPr>
              <w:t xml:space="preserve"> in het voorgaande jaar.</w:t>
            </w:r>
          </w:p>
        </w:tc>
      </w:tr>
      <w:tr w:rsidRPr="003130E2" w:rsidR="009A6604" w:rsidTr="009A6604" w14:paraId="69ED9493" w14:textId="77777777">
        <w:tc>
          <w:tcPr>
            <w:tcW w:w="1653" w:type="dxa"/>
          </w:tcPr>
          <w:p w:rsidRPr="003130E2" w:rsidR="009A6604" w:rsidP="009A6604" w:rsidRDefault="009A6604" w14:paraId="4E624DEA" w14:textId="64C4C64E">
            <w:pPr>
              <w:rPr>
                <w:szCs w:val="18"/>
              </w:rPr>
            </w:pPr>
            <w:r w:rsidRPr="003130E2">
              <w:rPr>
                <w:szCs w:val="18"/>
              </w:rPr>
              <w:t xml:space="preserve">Funderend </w:t>
            </w:r>
            <w:r>
              <w:rPr>
                <w:szCs w:val="18"/>
              </w:rPr>
              <w:t>o</w:t>
            </w:r>
            <w:r w:rsidRPr="003130E2">
              <w:rPr>
                <w:szCs w:val="18"/>
              </w:rPr>
              <w:t>nderwijs</w:t>
            </w:r>
          </w:p>
        </w:tc>
        <w:tc>
          <w:tcPr>
            <w:tcW w:w="2175" w:type="dxa"/>
          </w:tcPr>
          <w:p w:rsidR="00017345" w:rsidP="009A6604" w:rsidRDefault="009A6604" w14:paraId="7EED6141" w14:textId="265431E0">
            <w:pPr>
              <w:rPr>
                <w:szCs w:val="18"/>
                <w:lang w:eastAsia="en-US"/>
              </w:rPr>
            </w:pPr>
            <w:proofErr w:type="spellStart"/>
            <w:r w:rsidRPr="009618B4">
              <w:rPr>
                <w:szCs w:val="18"/>
                <w:lang w:eastAsia="en-US"/>
              </w:rPr>
              <w:t>Voortgangs</w:t>
            </w:r>
            <w:r w:rsidR="007E71C7">
              <w:rPr>
                <w:szCs w:val="18"/>
                <w:lang w:eastAsia="en-US"/>
              </w:rPr>
              <w:t>-</w:t>
            </w:r>
            <w:r w:rsidRPr="009618B4">
              <w:rPr>
                <w:szCs w:val="18"/>
                <w:lang w:eastAsia="en-US"/>
              </w:rPr>
              <w:t>rapportage</w:t>
            </w:r>
            <w:proofErr w:type="spellEnd"/>
            <w:r w:rsidRPr="009618B4">
              <w:rPr>
                <w:szCs w:val="18"/>
                <w:lang w:eastAsia="en-US"/>
              </w:rPr>
              <w:t xml:space="preserve"> Masterplan basisvaardigheden/</w:t>
            </w:r>
          </w:p>
          <w:p w:rsidRPr="003130E2" w:rsidR="009A6604" w:rsidP="009A6604" w:rsidRDefault="009A6604" w14:paraId="2C53F622" w14:textId="24CD9C2E">
            <w:pPr>
              <w:rPr>
                <w:szCs w:val="18"/>
              </w:rPr>
            </w:pPr>
            <w:r w:rsidRPr="009618B4">
              <w:rPr>
                <w:szCs w:val="18"/>
                <w:lang w:eastAsia="en-US"/>
              </w:rPr>
              <w:t>curriculum</w:t>
            </w:r>
          </w:p>
        </w:tc>
        <w:tc>
          <w:tcPr>
            <w:tcW w:w="4961" w:type="dxa"/>
          </w:tcPr>
          <w:p w:rsidRPr="003130E2" w:rsidR="009A6604" w:rsidP="009A6604" w:rsidRDefault="009A6604" w14:paraId="2C162DF3" w14:textId="40B15DCA">
            <w:pPr>
              <w:rPr>
                <w:szCs w:val="18"/>
              </w:rPr>
            </w:pPr>
            <w:r w:rsidRPr="009618B4">
              <w:rPr>
                <w:szCs w:val="18"/>
                <w:lang w:eastAsia="en-US"/>
              </w:rPr>
              <w:t xml:space="preserve">Tweejaarlijkse brief over de stand van zaken van het Masterplan </w:t>
            </w:r>
            <w:r w:rsidR="00656415">
              <w:rPr>
                <w:szCs w:val="18"/>
                <w:lang w:eastAsia="en-US"/>
              </w:rPr>
              <w:t xml:space="preserve">basisvaardigheden </w:t>
            </w:r>
            <w:r w:rsidRPr="009618B4">
              <w:rPr>
                <w:szCs w:val="18"/>
                <w:lang w:eastAsia="en-US"/>
              </w:rPr>
              <w:t>en de curriculumherziening.</w:t>
            </w:r>
          </w:p>
        </w:tc>
      </w:tr>
      <w:tr w:rsidRPr="003130E2" w:rsidR="003B25BC" w:rsidTr="009A6604" w14:paraId="1843BAFD" w14:textId="77777777">
        <w:tc>
          <w:tcPr>
            <w:tcW w:w="1653" w:type="dxa"/>
          </w:tcPr>
          <w:p w:rsidR="003B25BC" w:rsidP="003B25BC" w:rsidRDefault="003B25BC" w14:paraId="1119A5E2" w14:textId="77777777">
            <w:pPr>
              <w:rPr>
                <w:szCs w:val="18"/>
              </w:rPr>
            </w:pPr>
            <w:r w:rsidRPr="007223E4">
              <w:rPr>
                <w:szCs w:val="18"/>
              </w:rPr>
              <w:t>Middelbaar beroeps</w:t>
            </w:r>
          </w:p>
          <w:p w:rsidRPr="003130E2" w:rsidR="003B25BC" w:rsidP="003B25BC" w:rsidRDefault="003B25BC" w14:paraId="12FEF2F4" w14:textId="1FFD89FF">
            <w:pPr>
              <w:rPr>
                <w:szCs w:val="18"/>
              </w:rPr>
            </w:pPr>
            <w:r w:rsidRPr="007223E4">
              <w:rPr>
                <w:szCs w:val="18"/>
              </w:rPr>
              <w:t>onderwijs</w:t>
            </w:r>
          </w:p>
        </w:tc>
        <w:tc>
          <w:tcPr>
            <w:tcW w:w="2175" w:type="dxa"/>
          </w:tcPr>
          <w:p w:rsidRPr="003130E2" w:rsidR="003B25BC" w:rsidP="003B25BC" w:rsidRDefault="003B25BC" w14:paraId="59BB40EC" w14:textId="0ABBCA3C">
            <w:pPr>
              <w:rPr>
                <w:szCs w:val="18"/>
              </w:rPr>
            </w:pPr>
            <w:r w:rsidRPr="009618B4">
              <w:rPr>
                <w:szCs w:val="18"/>
              </w:rPr>
              <w:t>Stagevergoedingen</w:t>
            </w:r>
          </w:p>
        </w:tc>
        <w:tc>
          <w:tcPr>
            <w:tcW w:w="4961" w:type="dxa"/>
          </w:tcPr>
          <w:p w:rsidRPr="003130E2" w:rsidR="003B25BC" w:rsidP="003B25BC" w:rsidRDefault="003B25BC" w14:paraId="7FB6861B" w14:textId="614A2900">
            <w:pPr>
              <w:spacing w:before="100" w:beforeAutospacing="1" w:after="100" w:afterAutospacing="1"/>
              <w:rPr>
                <w:color w:val="FF0000"/>
                <w:szCs w:val="18"/>
              </w:rPr>
            </w:pPr>
            <w:r w:rsidRPr="009618B4">
              <w:rPr>
                <w:szCs w:val="18"/>
              </w:rPr>
              <w:t>De Kamer ontvangt de toegezegde contouren van een wetsvoorstel voor een verplichte stagevergoeding. Tevens ontvangt de Kamer het jaarlijkse overzicht van de voortgang van stagevergoedingen.</w:t>
            </w:r>
          </w:p>
        </w:tc>
      </w:tr>
      <w:tr w:rsidRPr="003130E2" w:rsidR="003B25BC" w:rsidTr="009A6604" w14:paraId="0F870FB0" w14:textId="77777777">
        <w:tc>
          <w:tcPr>
            <w:tcW w:w="1653" w:type="dxa"/>
          </w:tcPr>
          <w:p w:rsidRPr="007223E4" w:rsidR="003B25BC" w:rsidP="003B25BC" w:rsidRDefault="003B25BC" w14:paraId="12EE4A41" w14:textId="77777777">
            <w:pPr>
              <w:rPr>
                <w:szCs w:val="18"/>
              </w:rPr>
            </w:pPr>
            <w:r w:rsidRPr="007223E4">
              <w:rPr>
                <w:szCs w:val="18"/>
              </w:rPr>
              <w:t xml:space="preserve">Middelbaar </w:t>
            </w:r>
          </w:p>
          <w:p w:rsidR="003B25BC" w:rsidP="003B25BC" w:rsidRDefault="007E71C7" w14:paraId="5AA36C90" w14:textId="2269E140">
            <w:pPr>
              <w:rPr>
                <w:szCs w:val="18"/>
              </w:rPr>
            </w:pPr>
            <w:r>
              <w:rPr>
                <w:szCs w:val="18"/>
              </w:rPr>
              <w:t>b</w:t>
            </w:r>
            <w:r w:rsidRPr="007223E4" w:rsidR="003B25BC">
              <w:rPr>
                <w:szCs w:val="18"/>
              </w:rPr>
              <w:t>eroeps</w:t>
            </w:r>
          </w:p>
          <w:p w:rsidRPr="003130E2" w:rsidR="003B25BC" w:rsidP="003B25BC" w:rsidRDefault="003B25BC" w14:paraId="79693514" w14:textId="4A88BF0E">
            <w:pPr>
              <w:rPr>
                <w:szCs w:val="18"/>
              </w:rPr>
            </w:pPr>
            <w:r w:rsidRPr="007223E4">
              <w:rPr>
                <w:szCs w:val="18"/>
              </w:rPr>
              <w:t>onderwijs</w:t>
            </w:r>
          </w:p>
        </w:tc>
        <w:tc>
          <w:tcPr>
            <w:tcW w:w="2175" w:type="dxa"/>
          </w:tcPr>
          <w:p w:rsidRPr="003130E2" w:rsidR="003B25BC" w:rsidP="003B25BC" w:rsidRDefault="003B25BC" w14:paraId="542630CF" w14:textId="7513D098">
            <w:pPr>
              <w:rPr>
                <w:szCs w:val="18"/>
              </w:rPr>
            </w:pPr>
            <w:r w:rsidRPr="009618B4">
              <w:rPr>
                <w:szCs w:val="18"/>
              </w:rPr>
              <w:t>Verbetering taalonderwijs mbo</w:t>
            </w:r>
          </w:p>
        </w:tc>
        <w:tc>
          <w:tcPr>
            <w:tcW w:w="4961" w:type="dxa"/>
          </w:tcPr>
          <w:p w:rsidR="00722CB4" w:rsidP="0040096A" w:rsidRDefault="00722CB4" w14:paraId="7B938DD2" w14:textId="5AAF8836">
            <w:pPr>
              <w:rPr>
                <w:szCs w:val="18"/>
              </w:rPr>
            </w:pPr>
            <w:r>
              <w:rPr>
                <w:szCs w:val="18"/>
              </w:rPr>
              <w:t>Dit is een verzamelbrief t.a.v. verbetering taalonderwijs in het mbo met de volgende onderwerpen:</w:t>
            </w:r>
          </w:p>
          <w:p w:rsidR="00722CB4" w:rsidP="00722CB4" w:rsidRDefault="00722CB4" w14:paraId="1A791335" w14:textId="77777777">
            <w:pPr>
              <w:pStyle w:val="Lijstalinea"/>
              <w:numPr>
                <w:ilvl w:val="0"/>
                <w:numId w:val="19"/>
              </w:numPr>
              <w:rPr>
                <w:szCs w:val="18"/>
              </w:rPr>
            </w:pPr>
            <w:r w:rsidRPr="00722CB4">
              <w:rPr>
                <w:szCs w:val="18"/>
              </w:rPr>
              <w:t>Nieuwe taaleisen en passende examinering</w:t>
            </w:r>
          </w:p>
          <w:p w:rsidR="00722CB4" w:rsidP="00722CB4" w:rsidRDefault="00722CB4" w14:paraId="36E2A03D" w14:textId="2A629699">
            <w:pPr>
              <w:pStyle w:val="Lijstalinea"/>
              <w:numPr>
                <w:ilvl w:val="0"/>
                <w:numId w:val="19"/>
              </w:numPr>
              <w:rPr>
                <w:szCs w:val="18"/>
              </w:rPr>
            </w:pPr>
            <w:r>
              <w:rPr>
                <w:szCs w:val="18"/>
              </w:rPr>
              <w:t>Verkennend onderzoek en opvolging Engels</w:t>
            </w:r>
          </w:p>
          <w:p w:rsidR="00722CB4" w:rsidP="00722CB4" w:rsidRDefault="00722CB4" w14:paraId="0533E947" w14:textId="77777777">
            <w:pPr>
              <w:pStyle w:val="Lijstalinea"/>
              <w:numPr>
                <w:ilvl w:val="0"/>
                <w:numId w:val="19"/>
              </w:numPr>
              <w:rPr>
                <w:szCs w:val="18"/>
              </w:rPr>
            </w:pPr>
            <w:r>
              <w:rPr>
                <w:szCs w:val="18"/>
              </w:rPr>
              <w:t>Het Fries</w:t>
            </w:r>
          </w:p>
          <w:p w:rsidR="00722CB4" w:rsidP="00722CB4" w:rsidRDefault="00722CB4" w14:paraId="04B2B0F7" w14:textId="55349EF7">
            <w:pPr>
              <w:pStyle w:val="Lijstalinea"/>
              <w:numPr>
                <w:ilvl w:val="0"/>
                <w:numId w:val="19"/>
              </w:numPr>
              <w:rPr>
                <w:szCs w:val="18"/>
              </w:rPr>
            </w:pPr>
            <w:r>
              <w:rPr>
                <w:szCs w:val="18"/>
              </w:rPr>
              <w:t>Vrijstellingenbeleid en vervolgproces</w:t>
            </w:r>
          </w:p>
          <w:p w:rsidRPr="00722CB4" w:rsidR="00722CB4" w:rsidP="00722CB4" w:rsidRDefault="00722CB4" w14:paraId="582B4872" w14:textId="220C5DB1">
            <w:pPr>
              <w:pStyle w:val="Lijstalinea"/>
              <w:numPr>
                <w:ilvl w:val="0"/>
                <w:numId w:val="19"/>
              </w:numPr>
              <w:rPr>
                <w:szCs w:val="18"/>
              </w:rPr>
            </w:pPr>
            <w:r>
              <w:rPr>
                <w:szCs w:val="18"/>
              </w:rPr>
              <w:t>Omkeerregeling</w:t>
            </w:r>
          </w:p>
        </w:tc>
      </w:tr>
      <w:tr w:rsidRPr="00E2080F" w:rsidR="003B25BC" w:rsidTr="009A6604" w14:paraId="2B24797F" w14:textId="77777777">
        <w:tc>
          <w:tcPr>
            <w:tcW w:w="1653" w:type="dxa"/>
          </w:tcPr>
          <w:p w:rsidR="003B25BC" w:rsidP="003B25BC" w:rsidRDefault="003B25BC" w14:paraId="259757FE" w14:textId="77777777">
            <w:pPr>
              <w:rPr>
                <w:szCs w:val="18"/>
              </w:rPr>
            </w:pPr>
            <w:r>
              <w:rPr>
                <w:szCs w:val="18"/>
              </w:rPr>
              <w:lastRenderedPageBreak/>
              <w:t>Middelbaar beroeps</w:t>
            </w:r>
          </w:p>
          <w:p w:rsidRPr="003130E2" w:rsidR="003B25BC" w:rsidP="003B25BC" w:rsidRDefault="003B25BC" w14:paraId="4B719759" w14:textId="3A176EEF">
            <w:pPr>
              <w:rPr>
                <w:szCs w:val="18"/>
              </w:rPr>
            </w:pPr>
            <w:r>
              <w:rPr>
                <w:szCs w:val="18"/>
              </w:rPr>
              <w:t>onderwijs</w:t>
            </w:r>
          </w:p>
        </w:tc>
        <w:tc>
          <w:tcPr>
            <w:tcW w:w="2175" w:type="dxa"/>
          </w:tcPr>
          <w:p w:rsidRPr="003130E2" w:rsidR="003B25BC" w:rsidP="003B25BC" w:rsidRDefault="003B25BC" w14:paraId="5FC804F3" w14:textId="1BCB8F84">
            <w:pPr>
              <w:rPr>
                <w:szCs w:val="18"/>
              </w:rPr>
            </w:pPr>
            <w:r w:rsidRPr="009618B4">
              <w:rPr>
                <w:szCs w:val="18"/>
              </w:rPr>
              <w:t>Brief over voortijdig schoolverlaten (vsv)</w:t>
            </w:r>
          </w:p>
        </w:tc>
        <w:tc>
          <w:tcPr>
            <w:tcW w:w="4961" w:type="dxa"/>
          </w:tcPr>
          <w:p w:rsidRPr="00E2080F" w:rsidR="003B25BC" w:rsidP="003B25BC" w:rsidRDefault="003B25BC" w14:paraId="1772D365" w14:textId="6B4D8428">
            <w:pPr>
              <w:spacing w:before="100" w:beforeAutospacing="1" w:after="100" w:afterAutospacing="1"/>
              <w:rPr>
                <w:szCs w:val="18"/>
              </w:rPr>
            </w:pPr>
            <w:r w:rsidRPr="009618B4">
              <w:rPr>
                <w:szCs w:val="18"/>
              </w:rPr>
              <w:t xml:space="preserve">De Kamer wordt geïnformeerd over de ontwikkeling in het aantal nieuwe vsv’ers en de implementatie van de wet van school naar duurzaam werk.  </w:t>
            </w:r>
          </w:p>
        </w:tc>
      </w:tr>
      <w:tr w:rsidRPr="003130E2" w:rsidR="003B25BC" w:rsidTr="009A6604" w14:paraId="059192BA" w14:textId="77777777">
        <w:tc>
          <w:tcPr>
            <w:tcW w:w="1653" w:type="dxa"/>
          </w:tcPr>
          <w:p w:rsidRPr="007223E4" w:rsidR="003B25BC" w:rsidP="003B25BC" w:rsidRDefault="003B25BC" w14:paraId="7080FD96" w14:textId="77777777">
            <w:pPr>
              <w:rPr>
                <w:szCs w:val="18"/>
              </w:rPr>
            </w:pPr>
            <w:r w:rsidRPr="007223E4">
              <w:rPr>
                <w:szCs w:val="18"/>
              </w:rPr>
              <w:t xml:space="preserve">Middelbaar </w:t>
            </w:r>
          </w:p>
          <w:p w:rsidR="003B25BC" w:rsidP="003B25BC" w:rsidRDefault="00656415" w14:paraId="1F8D6366" w14:textId="5120399E">
            <w:pPr>
              <w:rPr>
                <w:szCs w:val="18"/>
              </w:rPr>
            </w:pPr>
            <w:r>
              <w:rPr>
                <w:szCs w:val="18"/>
              </w:rPr>
              <w:t>b</w:t>
            </w:r>
            <w:r w:rsidRPr="007223E4" w:rsidR="003B25BC">
              <w:rPr>
                <w:szCs w:val="18"/>
              </w:rPr>
              <w:t>eroeps</w:t>
            </w:r>
          </w:p>
          <w:p w:rsidRPr="003130E2" w:rsidR="003B25BC" w:rsidP="003B25BC" w:rsidRDefault="003B25BC" w14:paraId="3155D2A2" w14:textId="0E2AF5EE">
            <w:pPr>
              <w:rPr>
                <w:szCs w:val="18"/>
              </w:rPr>
            </w:pPr>
            <w:r w:rsidRPr="007223E4">
              <w:rPr>
                <w:szCs w:val="18"/>
              </w:rPr>
              <w:t>onderwijs</w:t>
            </w:r>
          </w:p>
        </w:tc>
        <w:tc>
          <w:tcPr>
            <w:tcW w:w="2175" w:type="dxa"/>
          </w:tcPr>
          <w:p w:rsidRPr="003130E2" w:rsidR="003B25BC" w:rsidP="003B25BC" w:rsidRDefault="003B25BC" w14:paraId="447E4DFE" w14:textId="17D3DE22">
            <w:pPr>
              <w:rPr>
                <w:szCs w:val="18"/>
              </w:rPr>
            </w:pPr>
            <w:r w:rsidRPr="009618B4">
              <w:rPr>
                <w:szCs w:val="18"/>
              </w:rPr>
              <w:t>Opleiden voor de arbeidsmarkt van de toekomst</w:t>
            </w:r>
          </w:p>
        </w:tc>
        <w:tc>
          <w:tcPr>
            <w:tcW w:w="4961" w:type="dxa"/>
          </w:tcPr>
          <w:p w:rsidRPr="003130E2" w:rsidR="003B25BC" w:rsidP="00F35636" w:rsidRDefault="003B25BC" w14:paraId="3C82EB81" w14:textId="68366549">
            <w:pPr>
              <w:rPr>
                <w:szCs w:val="18"/>
              </w:rPr>
            </w:pPr>
            <w:r w:rsidRPr="009618B4">
              <w:rPr>
                <w:szCs w:val="18"/>
              </w:rPr>
              <w:t xml:space="preserve">De Kamer wordt geïnformeerd over het pact dat gesloten wordt tussen OCW, onderwijs en bedrijfsleven. </w:t>
            </w:r>
          </w:p>
        </w:tc>
      </w:tr>
      <w:tr w:rsidRPr="003130E2" w:rsidR="003B25BC" w:rsidTr="009A6604" w14:paraId="68C4C85F" w14:textId="77777777">
        <w:tc>
          <w:tcPr>
            <w:tcW w:w="1653" w:type="dxa"/>
          </w:tcPr>
          <w:p w:rsidRPr="007223E4" w:rsidR="003B25BC" w:rsidP="003B25BC" w:rsidRDefault="003B25BC" w14:paraId="656E8EA9" w14:textId="4E17E827">
            <w:pPr>
              <w:rPr>
                <w:szCs w:val="18"/>
              </w:rPr>
            </w:pPr>
            <w:r w:rsidRPr="007223E4">
              <w:rPr>
                <w:szCs w:val="18"/>
              </w:rPr>
              <w:t xml:space="preserve">Middelbaar </w:t>
            </w:r>
          </w:p>
          <w:p w:rsidR="003B25BC" w:rsidP="003B25BC" w:rsidRDefault="00656415" w14:paraId="5D63CAE0" w14:textId="23A0D984">
            <w:pPr>
              <w:rPr>
                <w:szCs w:val="18"/>
              </w:rPr>
            </w:pPr>
            <w:r>
              <w:rPr>
                <w:szCs w:val="18"/>
              </w:rPr>
              <w:t>b</w:t>
            </w:r>
            <w:r w:rsidRPr="007223E4" w:rsidR="003B25BC">
              <w:rPr>
                <w:szCs w:val="18"/>
              </w:rPr>
              <w:t>eroeps</w:t>
            </w:r>
          </w:p>
          <w:p w:rsidRPr="003130E2" w:rsidR="003B25BC" w:rsidP="003B25BC" w:rsidRDefault="00656415" w14:paraId="3CB69B66" w14:textId="17864863">
            <w:pPr>
              <w:rPr>
                <w:szCs w:val="18"/>
              </w:rPr>
            </w:pPr>
            <w:r>
              <w:rPr>
                <w:szCs w:val="18"/>
              </w:rPr>
              <w:t>o</w:t>
            </w:r>
            <w:r w:rsidRPr="007223E4" w:rsidR="003B25BC">
              <w:rPr>
                <w:szCs w:val="18"/>
              </w:rPr>
              <w:t>nderwijs</w:t>
            </w:r>
            <w:r w:rsidR="008364A7">
              <w:rPr>
                <w:szCs w:val="18"/>
              </w:rPr>
              <w:t xml:space="preserve"> en hoger onderwijs</w:t>
            </w:r>
          </w:p>
        </w:tc>
        <w:tc>
          <w:tcPr>
            <w:tcW w:w="2175" w:type="dxa"/>
          </w:tcPr>
          <w:p w:rsidRPr="009618B4" w:rsidR="003B25BC" w:rsidP="003B25BC" w:rsidRDefault="003B25BC" w14:paraId="56132E8D" w14:textId="3731164F">
            <w:pPr>
              <w:rPr>
                <w:szCs w:val="18"/>
              </w:rPr>
            </w:pPr>
            <w:r w:rsidRPr="009618B4">
              <w:rPr>
                <w:szCs w:val="18"/>
              </w:rPr>
              <w:t xml:space="preserve">Beleidsreactie op </w:t>
            </w:r>
            <w:r w:rsidR="008364A7">
              <w:rPr>
                <w:szCs w:val="18"/>
              </w:rPr>
              <w:t>V</w:t>
            </w:r>
            <w:r w:rsidRPr="009618B4">
              <w:rPr>
                <w:szCs w:val="18"/>
              </w:rPr>
              <w:t>erkenning wettelijke taak LLO en deelverkenning basisvaardigheden volwassenen</w:t>
            </w:r>
          </w:p>
          <w:p w:rsidRPr="003130E2" w:rsidR="003B25BC" w:rsidP="003B25BC" w:rsidRDefault="003B25BC" w14:paraId="447469E0" w14:textId="7EC3EBF6">
            <w:pPr>
              <w:rPr>
                <w:szCs w:val="18"/>
              </w:rPr>
            </w:pPr>
          </w:p>
        </w:tc>
        <w:tc>
          <w:tcPr>
            <w:tcW w:w="4961" w:type="dxa"/>
          </w:tcPr>
          <w:p w:rsidRPr="003130E2" w:rsidR="003B25BC" w:rsidP="003B25BC" w:rsidRDefault="003B25BC" w14:paraId="410E9DB4" w14:textId="100D43CA">
            <w:pPr>
              <w:spacing w:before="100" w:beforeAutospacing="1" w:after="100" w:afterAutospacing="1"/>
              <w:rPr>
                <w:szCs w:val="18"/>
              </w:rPr>
            </w:pPr>
            <w:r w:rsidRPr="009618B4">
              <w:rPr>
                <w:szCs w:val="18"/>
              </w:rPr>
              <w:t xml:space="preserve">Met de brief geven we onze beleidsreactie op de adviesrapporten en besluiten we of we wel of niet een wetsvoorstel gaan ontwikkelen voor LLO en of op welke manieren we de rol van </w:t>
            </w:r>
            <w:proofErr w:type="spellStart"/>
            <w:r w:rsidRPr="009618B4">
              <w:rPr>
                <w:szCs w:val="18"/>
              </w:rPr>
              <w:t>ROC</w:t>
            </w:r>
            <w:r w:rsidR="0040096A">
              <w:rPr>
                <w:szCs w:val="18"/>
              </w:rPr>
              <w:t>’</w:t>
            </w:r>
            <w:r w:rsidRPr="009618B4">
              <w:rPr>
                <w:szCs w:val="18"/>
              </w:rPr>
              <w:t>s</w:t>
            </w:r>
            <w:proofErr w:type="spellEnd"/>
            <w:r w:rsidRPr="009618B4">
              <w:rPr>
                <w:szCs w:val="18"/>
              </w:rPr>
              <w:t xml:space="preserve"> kunnen verbeteren bij basisvaardigheden voor volwassenen. Daarbij geven we een update over de voortgang basisvaardigheden voor volwassenen, reageren we op de evaluatie van de subsidieregeling flexibilisering in de derde leerweg en geven we een update over de verkenning derde leerweg in het HO. </w:t>
            </w:r>
          </w:p>
        </w:tc>
      </w:tr>
      <w:tr w:rsidRPr="003130E2" w:rsidR="003B25BC" w:rsidTr="009A6604" w14:paraId="2E08E715" w14:textId="77777777">
        <w:tc>
          <w:tcPr>
            <w:tcW w:w="1653" w:type="dxa"/>
          </w:tcPr>
          <w:p w:rsidRPr="007223E4" w:rsidR="003B25BC" w:rsidP="003B25BC" w:rsidRDefault="003B25BC" w14:paraId="00B097BD" w14:textId="77777777">
            <w:pPr>
              <w:rPr>
                <w:szCs w:val="18"/>
              </w:rPr>
            </w:pPr>
            <w:r w:rsidRPr="007223E4">
              <w:rPr>
                <w:szCs w:val="18"/>
              </w:rPr>
              <w:t xml:space="preserve">Middelbaar </w:t>
            </w:r>
          </w:p>
          <w:p w:rsidR="003B25BC" w:rsidP="003B25BC" w:rsidRDefault="00656415" w14:paraId="11B9E99B" w14:textId="2D940A37">
            <w:pPr>
              <w:rPr>
                <w:szCs w:val="18"/>
              </w:rPr>
            </w:pPr>
            <w:r>
              <w:rPr>
                <w:szCs w:val="18"/>
              </w:rPr>
              <w:t>b</w:t>
            </w:r>
            <w:r w:rsidRPr="007223E4" w:rsidR="003B25BC">
              <w:rPr>
                <w:szCs w:val="18"/>
              </w:rPr>
              <w:t>eroeps</w:t>
            </w:r>
          </w:p>
          <w:p w:rsidRPr="003130E2" w:rsidR="003B25BC" w:rsidP="003B25BC" w:rsidRDefault="003B25BC" w14:paraId="6047D760" w14:textId="24439EC7">
            <w:pPr>
              <w:rPr>
                <w:szCs w:val="18"/>
              </w:rPr>
            </w:pPr>
            <w:r w:rsidRPr="007223E4">
              <w:rPr>
                <w:szCs w:val="18"/>
              </w:rPr>
              <w:t>onderwijs</w:t>
            </w:r>
          </w:p>
        </w:tc>
        <w:tc>
          <w:tcPr>
            <w:tcW w:w="2175" w:type="dxa"/>
          </w:tcPr>
          <w:p w:rsidRPr="003130E2" w:rsidR="003B25BC" w:rsidP="003B25BC" w:rsidRDefault="003B25BC" w14:paraId="3F1E692C" w14:textId="6923396A">
            <w:pPr>
              <w:rPr>
                <w:szCs w:val="18"/>
              </w:rPr>
            </w:pPr>
            <w:r w:rsidRPr="009618B4">
              <w:rPr>
                <w:szCs w:val="18"/>
              </w:rPr>
              <w:t>Inzet op gelijke kansen in het mbo</w:t>
            </w:r>
          </w:p>
        </w:tc>
        <w:tc>
          <w:tcPr>
            <w:tcW w:w="4961" w:type="dxa"/>
          </w:tcPr>
          <w:p w:rsidRPr="003130E2" w:rsidR="003B25BC" w:rsidP="003B25BC" w:rsidRDefault="003B25BC" w14:paraId="0CB59B06" w14:textId="55713CFD">
            <w:pPr>
              <w:spacing w:before="100" w:beforeAutospacing="1" w:after="100" w:afterAutospacing="1"/>
              <w:rPr>
                <w:szCs w:val="18"/>
              </w:rPr>
            </w:pPr>
            <w:r w:rsidRPr="009618B4">
              <w:rPr>
                <w:szCs w:val="18"/>
              </w:rPr>
              <w:t xml:space="preserve">Brief over de inzet op gelijke kansen in het mbo, n.a.v. rapport van de Algemene Rekenkamer. </w:t>
            </w:r>
          </w:p>
        </w:tc>
      </w:tr>
      <w:tr w:rsidRPr="003130E2" w:rsidR="006A44BE" w:rsidTr="009A6604" w14:paraId="60433B80" w14:textId="77777777">
        <w:tc>
          <w:tcPr>
            <w:tcW w:w="1653" w:type="dxa"/>
          </w:tcPr>
          <w:p w:rsidRPr="003130E2" w:rsidR="006A44BE" w:rsidP="006A44BE" w:rsidRDefault="006A44BE" w14:paraId="60289113" w14:textId="2EC65F25">
            <w:pPr>
              <w:rPr>
                <w:szCs w:val="18"/>
              </w:rPr>
            </w:pPr>
            <w:r>
              <w:rPr>
                <w:szCs w:val="18"/>
              </w:rPr>
              <w:t xml:space="preserve">Hoger </w:t>
            </w:r>
            <w:r w:rsidR="00656415">
              <w:rPr>
                <w:szCs w:val="18"/>
              </w:rPr>
              <w:t>o</w:t>
            </w:r>
            <w:r>
              <w:rPr>
                <w:szCs w:val="18"/>
              </w:rPr>
              <w:t>nderwijs en middelbaar beroeps onderwijs</w:t>
            </w:r>
          </w:p>
        </w:tc>
        <w:tc>
          <w:tcPr>
            <w:tcW w:w="2175" w:type="dxa"/>
          </w:tcPr>
          <w:p w:rsidRPr="003130E2" w:rsidR="006A44BE" w:rsidP="006A44BE" w:rsidRDefault="006A44BE" w14:paraId="0F5272A0" w14:textId="66223D92">
            <w:pPr>
              <w:rPr>
                <w:szCs w:val="18"/>
              </w:rPr>
            </w:pPr>
            <w:r w:rsidRPr="009618B4">
              <w:rPr>
                <w:szCs w:val="18"/>
              </w:rPr>
              <w:t xml:space="preserve">Uitwerking wijziging WSF BES </w:t>
            </w:r>
          </w:p>
        </w:tc>
        <w:tc>
          <w:tcPr>
            <w:tcW w:w="4961" w:type="dxa"/>
          </w:tcPr>
          <w:p w:rsidRPr="003130E2" w:rsidR="006A44BE" w:rsidP="006A44BE" w:rsidRDefault="006A44BE" w14:paraId="69042D1A" w14:textId="218565C2">
            <w:pPr>
              <w:spacing w:before="100" w:beforeAutospacing="1" w:after="100" w:afterAutospacing="1"/>
              <w:rPr>
                <w:szCs w:val="18"/>
              </w:rPr>
            </w:pPr>
            <w:r w:rsidRPr="009618B4">
              <w:rPr>
                <w:szCs w:val="18"/>
              </w:rPr>
              <w:t>Uitwerking van de voorgestelde wetswijziging van de W</w:t>
            </w:r>
            <w:r w:rsidR="00656415">
              <w:rPr>
                <w:szCs w:val="18"/>
              </w:rPr>
              <w:t>et studiefinanciering</w:t>
            </w:r>
            <w:r w:rsidRPr="009618B4">
              <w:rPr>
                <w:szCs w:val="18"/>
              </w:rPr>
              <w:t xml:space="preserve"> BES.</w:t>
            </w:r>
          </w:p>
        </w:tc>
      </w:tr>
      <w:tr w:rsidRPr="003463FB" w:rsidR="006A44BE" w:rsidTr="00E87A08" w14:paraId="34AE53C0" w14:textId="77777777">
        <w:trPr>
          <w:trHeight w:val="867"/>
        </w:trPr>
        <w:tc>
          <w:tcPr>
            <w:tcW w:w="1653" w:type="dxa"/>
          </w:tcPr>
          <w:p w:rsidR="00E87A08" w:rsidP="006A44BE" w:rsidRDefault="006A44BE" w14:paraId="061B660F" w14:textId="77777777">
            <w:pPr>
              <w:rPr>
                <w:szCs w:val="18"/>
              </w:rPr>
            </w:pPr>
            <w:r>
              <w:rPr>
                <w:szCs w:val="18"/>
              </w:rPr>
              <w:t>Hoger onderwijs</w:t>
            </w:r>
          </w:p>
          <w:p w:rsidR="00E87A08" w:rsidP="006A44BE" w:rsidRDefault="00E87A08" w14:paraId="11E207D7" w14:textId="77777777">
            <w:pPr>
              <w:rPr>
                <w:szCs w:val="18"/>
              </w:rPr>
            </w:pPr>
          </w:p>
          <w:p w:rsidRPr="003130E2" w:rsidR="00E87A08" w:rsidP="006A44BE" w:rsidRDefault="00E87A08" w14:paraId="20BBFC54" w14:textId="303723C5">
            <w:pPr>
              <w:rPr>
                <w:szCs w:val="18"/>
              </w:rPr>
            </w:pPr>
          </w:p>
        </w:tc>
        <w:tc>
          <w:tcPr>
            <w:tcW w:w="2175" w:type="dxa"/>
          </w:tcPr>
          <w:p w:rsidRPr="003130E2" w:rsidR="006A44BE" w:rsidP="006A44BE" w:rsidRDefault="006A44BE" w14:paraId="66CBE8DF" w14:textId="29F5A231">
            <w:pPr>
              <w:spacing w:after="160" w:line="259" w:lineRule="auto"/>
              <w:rPr>
                <w:szCs w:val="18"/>
              </w:rPr>
            </w:pPr>
            <w:r w:rsidRPr="009618B4">
              <w:rPr>
                <w:szCs w:val="18"/>
              </w:rPr>
              <w:t>Onderzoek maatwerkvoorziening studenten met een ondersteuningsvraag</w:t>
            </w:r>
          </w:p>
        </w:tc>
        <w:tc>
          <w:tcPr>
            <w:tcW w:w="4961" w:type="dxa"/>
          </w:tcPr>
          <w:p w:rsidRPr="003463FB" w:rsidR="006A44BE" w:rsidP="006A44BE" w:rsidRDefault="006A44BE" w14:paraId="37B1A25B" w14:textId="67A78C15">
            <w:pPr>
              <w:spacing w:after="160" w:line="259" w:lineRule="auto"/>
              <w:rPr>
                <w:szCs w:val="18"/>
              </w:rPr>
            </w:pPr>
            <w:r w:rsidRPr="009618B4">
              <w:rPr>
                <w:szCs w:val="18"/>
              </w:rPr>
              <w:t>Beleidsreactie over de resultaten van het onderzoek naar maatwerkvoorzieningen in het ho</w:t>
            </w:r>
            <w:r w:rsidR="0040096A">
              <w:rPr>
                <w:szCs w:val="18"/>
              </w:rPr>
              <w:t xml:space="preserve"> voor studenten met een ondersteuningsvraag.</w:t>
            </w:r>
          </w:p>
        </w:tc>
      </w:tr>
      <w:tr w:rsidRPr="003463FB" w:rsidR="006A44BE" w:rsidTr="009A6604" w14:paraId="402055F0" w14:textId="77777777">
        <w:tc>
          <w:tcPr>
            <w:tcW w:w="1653" w:type="dxa"/>
          </w:tcPr>
          <w:p w:rsidRPr="003130E2" w:rsidR="006A44BE" w:rsidP="006A44BE" w:rsidRDefault="006A44BE" w14:paraId="24EB360E" w14:textId="7437D586">
            <w:pPr>
              <w:rPr>
                <w:szCs w:val="18"/>
              </w:rPr>
            </w:pPr>
            <w:r>
              <w:rPr>
                <w:lang w:val="en-US"/>
              </w:rPr>
              <w:t xml:space="preserve">Hoger </w:t>
            </w:r>
            <w:proofErr w:type="spellStart"/>
            <w:r>
              <w:rPr>
                <w:lang w:val="en-US"/>
              </w:rPr>
              <w:t>onderwijs</w:t>
            </w:r>
            <w:proofErr w:type="spellEnd"/>
            <w:r>
              <w:rPr>
                <w:lang w:val="en-US"/>
              </w:rPr>
              <w:t xml:space="preserve"> &amp; </w:t>
            </w:r>
            <w:proofErr w:type="spellStart"/>
            <w:r>
              <w:rPr>
                <w:lang w:val="en-US"/>
              </w:rPr>
              <w:t>o</w:t>
            </w:r>
            <w:r w:rsidRPr="00175E87">
              <w:rPr>
                <w:lang w:val="en-US"/>
              </w:rPr>
              <w:t>nderzoe</w:t>
            </w:r>
            <w:r>
              <w:rPr>
                <w:lang w:val="en-US"/>
              </w:rPr>
              <w:t>k</w:t>
            </w:r>
            <w:proofErr w:type="spellEnd"/>
          </w:p>
        </w:tc>
        <w:tc>
          <w:tcPr>
            <w:tcW w:w="2175" w:type="dxa"/>
          </w:tcPr>
          <w:p w:rsidRPr="003463FB" w:rsidR="006A44BE" w:rsidP="006A44BE" w:rsidRDefault="006A44BE" w14:paraId="6E857593" w14:textId="2A9D8A89">
            <w:pPr>
              <w:rPr>
                <w:szCs w:val="18"/>
              </w:rPr>
            </w:pPr>
            <w:r w:rsidRPr="009618B4">
              <w:rPr>
                <w:szCs w:val="18"/>
              </w:rPr>
              <w:t>Herstelonderzoek TU Delft</w:t>
            </w:r>
          </w:p>
        </w:tc>
        <w:tc>
          <w:tcPr>
            <w:tcW w:w="4961" w:type="dxa"/>
          </w:tcPr>
          <w:p w:rsidRPr="003463FB" w:rsidR="006A44BE" w:rsidP="006A44BE" w:rsidRDefault="006A44BE" w14:paraId="10FC74FA" w14:textId="78D87C6A">
            <w:pPr>
              <w:spacing w:before="100" w:beforeAutospacing="1" w:after="100" w:afterAutospacing="1"/>
              <w:rPr>
                <w:szCs w:val="18"/>
              </w:rPr>
            </w:pPr>
            <w:r w:rsidRPr="009618B4">
              <w:rPr>
                <w:szCs w:val="18"/>
              </w:rPr>
              <w:t xml:space="preserve">Brief over resultaten herstelonderzoek inspectie TU Delft. </w:t>
            </w:r>
          </w:p>
        </w:tc>
      </w:tr>
      <w:tr w:rsidRPr="00595D94" w:rsidR="006A44BE" w:rsidTr="009A6604" w14:paraId="2DCA9E62" w14:textId="77777777">
        <w:tc>
          <w:tcPr>
            <w:tcW w:w="1653" w:type="dxa"/>
          </w:tcPr>
          <w:p w:rsidR="006A44BE" w:rsidP="006A44BE" w:rsidRDefault="006A44BE" w14:paraId="338DBE17" w14:textId="72F4C7F7">
            <w:pPr>
              <w:rPr>
                <w:szCs w:val="18"/>
              </w:rPr>
            </w:pPr>
            <w:r>
              <w:t>Hoger onderwijs</w:t>
            </w:r>
          </w:p>
        </w:tc>
        <w:tc>
          <w:tcPr>
            <w:tcW w:w="2175" w:type="dxa"/>
          </w:tcPr>
          <w:p w:rsidRPr="00EE5E67" w:rsidR="006A44BE" w:rsidP="006A44BE" w:rsidRDefault="006A44BE" w14:paraId="5FC25364" w14:textId="2429D5C3">
            <w:pPr>
              <w:rPr>
                <w:szCs w:val="18"/>
              </w:rPr>
            </w:pPr>
            <w:r w:rsidRPr="009618B4">
              <w:rPr>
                <w:szCs w:val="18"/>
              </w:rPr>
              <w:t>Kamerbrief medezeggenschap hoger onderwijs</w:t>
            </w:r>
          </w:p>
        </w:tc>
        <w:tc>
          <w:tcPr>
            <w:tcW w:w="4961" w:type="dxa"/>
          </w:tcPr>
          <w:p w:rsidRPr="00595D94" w:rsidR="006A44BE" w:rsidP="006A44BE" w:rsidRDefault="007B7282" w14:paraId="3D0617C4" w14:textId="714A9E39">
            <w:pPr>
              <w:spacing w:before="100" w:beforeAutospacing="1" w:after="100" w:afterAutospacing="1"/>
              <w:rPr>
                <w:szCs w:val="18"/>
              </w:rPr>
            </w:pPr>
            <w:r>
              <w:rPr>
                <w:szCs w:val="18"/>
              </w:rPr>
              <w:t>Deze brief gaat in op d</w:t>
            </w:r>
            <w:r w:rsidRPr="009618B4" w:rsidR="006A44BE">
              <w:rPr>
                <w:szCs w:val="18"/>
              </w:rPr>
              <w:t>iverse medezeggenschapsonderwerpen, zoals de monitor medezeggenschap en het onderzoek naar inrichting, takenpakket en vergoedingen van opleidingscommissies.</w:t>
            </w:r>
          </w:p>
        </w:tc>
      </w:tr>
      <w:tr w:rsidRPr="00111B2F" w:rsidR="006A44BE" w:rsidTr="009A6604" w14:paraId="2386960E" w14:textId="77777777">
        <w:tc>
          <w:tcPr>
            <w:tcW w:w="1653" w:type="dxa"/>
          </w:tcPr>
          <w:p w:rsidR="006A44BE" w:rsidP="006A44BE" w:rsidRDefault="006A44BE" w14:paraId="783EE804" w14:textId="41FE99FB">
            <w:pPr>
              <w:rPr>
                <w:szCs w:val="18"/>
              </w:rPr>
            </w:pPr>
            <w:r>
              <w:rPr>
                <w:szCs w:val="18"/>
              </w:rPr>
              <w:t xml:space="preserve">Hoger </w:t>
            </w:r>
            <w:r w:rsidR="007B7282">
              <w:rPr>
                <w:szCs w:val="18"/>
              </w:rPr>
              <w:t>o</w:t>
            </w:r>
            <w:r>
              <w:rPr>
                <w:szCs w:val="18"/>
              </w:rPr>
              <w:t>nderwijs en middelbaar beroeps onderwijs</w:t>
            </w:r>
          </w:p>
        </w:tc>
        <w:tc>
          <w:tcPr>
            <w:tcW w:w="2175" w:type="dxa"/>
          </w:tcPr>
          <w:p w:rsidRPr="00111B2F" w:rsidR="006A44BE" w:rsidP="006A44BE" w:rsidRDefault="006A44BE" w14:paraId="2057D66B" w14:textId="2EC1A58E">
            <w:pPr>
              <w:rPr>
                <w:szCs w:val="18"/>
              </w:rPr>
            </w:pPr>
            <w:r w:rsidRPr="009618B4">
              <w:rPr>
                <w:szCs w:val="18"/>
              </w:rPr>
              <w:t>Evaluatierapport VABOK/RAP</w:t>
            </w:r>
          </w:p>
        </w:tc>
        <w:tc>
          <w:tcPr>
            <w:tcW w:w="4961" w:type="dxa"/>
          </w:tcPr>
          <w:p w:rsidRPr="00111B2F" w:rsidR="006A44BE" w:rsidP="00AE30DF" w:rsidRDefault="006A44BE" w14:paraId="64C98F2D" w14:textId="065361C0">
            <w:pPr>
              <w:spacing w:before="100" w:beforeAutospacing="1" w:after="100" w:afterAutospacing="1"/>
              <w:rPr>
                <w:rFonts w:cs="Verdana"/>
                <w:szCs w:val="18"/>
                <w:lang w:eastAsia="en-US"/>
              </w:rPr>
            </w:pPr>
            <w:r w:rsidRPr="009618B4">
              <w:rPr>
                <w:szCs w:val="18"/>
              </w:rPr>
              <w:t>Aanbieding toegezegde evaluatie van VABOK</w:t>
            </w:r>
            <w:r w:rsidR="00AE30DF">
              <w:rPr>
                <w:szCs w:val="18"/>
              </w:rPr>
              <w:t>- (</w:t>
            </w:r>
            <w:r w:rsidRPr="00AE30DF" w:rsidR="00AE30DF">
              <w:rPr>
                <w:szCs w:val="18"/>
              </w:rPr>
              <w:t>Versterking Aansluiting Beroepsonderwijskolom</w:t>
            </w:r>
            <w:r w:rsidR="00AE30DF">
              <w:rPr>
                <w:szCs w:val="18"/>
              </w:rPr>
              <w:t>) en</w:t>
            </w:r>
            <w:r w:rsidR="007E71C7">
              <w:rPr>
                <w:szCs w:val="18"/>
              </w:rPr>
              <w:t xml:space="preserve"> </w:t>
            </w:r>
            <w:r w:rsidRPr="009618B4">
              <w:rPr>
                <w:szCs w:val="18"/>
              </w:rPr>
              <w:t>RAP</w:t>
            </w:r>
            <w:r w:rsidR="00AE30DF">
              <w:t xml:space="preserve"> (</w:t>
            </w:r>
            <w:r w:rsidRPr="00AE30DF" w:rsidR="00AE30DF">
              <w:rPr>
                <w:szCs w:val="18"/>
              </w:rPr>
              <w:t>Regionale Aanpak</w:t>
            </w:r>
            <w:r w:rsidR="00AE30DF">
              <w:rPr>
                <w:szCs w:val="18"/>
              </w:rPr>
              <w:t xml:space="preserve"> </w:t>
            </w:r>
            <w:r w:rsidRPr="00AE30DF" w:rsidR="00AE30DF">
              <w:rPr>
                <w:szCs w:val="18"/>
              </w:rPr>
              <w:t>Personeelstekorten</w:t>
            </w:r>
            <w:r w:rsidR="00AE30DF">
              <w:rPr>
                <w:szCs w:val="18"/>
              </w:rPr>
              <w:t>)</w:t>
            </w:r>
            <w:r w:rsidRPr="009618B4">
              <w:rPr>
                <w:szCs w:val="18"/>
              </w:rPr>
              <w:t>-regelingen</w:t>
            </w:r>
            <w:r w:rsidR="008364A7">
              <w:rPr>
                <w:szCs w:val="18"/>
              </w:rPr>
              <w:t>.</w:t>
            </w:r>
          </w:p>
        </w:tc>
      </w:tr>
      <w:tr w:rsidRPr="000A34C1" w:rsidR="00900512" w:rsidTr="009A6604" w14:paraId="68F94931" w14:textId="77777777">
        <w:tc>
          <w:tcPr>
            <w:tcW w:w="1653" w:type="dxa"/>
          </w:tcPr>
          <w:p w:rsidR="00900512" w:rsidP="00900512" w:rsidRDefault="00900512" w14:paraId="7E9CF3B6" w14:textId="320563BE">
            <w:pPr>
              <w:rPr>
                <w:szCs w:val="18"/>
              </w:rPr>
            </w:pPr>
            <w:r>
              <w:rPr>
                <w:color w:val="000000"/>
                <w:szCs w:val="18"/>
              </w:rPr>
              <w:t>Onderzoek</w:t>
            </w:r>
          </w:p>
        </w:tc>
        <w:tc>
          <w:tcPr>
            <w:tcW w:w="2175" w:type="dxa"/>
          </w:tcPr>
          <w:p w:rsidRPr="00111B2F" w:rsidR="00900512" w:rsidP="00900512" w:rsidRDefault="00900512" w14:paraId="663E94CF" w14:textId="251A722F">
            <w:pPr>
              <w:rPr>
                <w:szCs w:val="18"/>
              </w:rPr>
            </w:pPr>
            <w:r w:rsidRPr="009618B4">
              <w:rPr>
                <w:szCs w:val="18"/>
              </w:rPr>
              <w:t xml:space="preserve">Stand van zaken Einstein </w:t>
            </w:r>
            <w:proofErr w:type="spellStart"/>
            <w:r w:rsidRPr="009618B4">
              <w:rPr>
                <w:szCs w:val="18"/>
              </w:rPr>
              <w:t>Telescope</w:t>
            </w:r>
            <w:proofErr w:type="spellEnd"/>
            <w:r w:rsidRPr="009618B4">
              <w:rPr>
                <w:szCs w:val="18"/>
              </w:rPr>
              <w:t xml:space="preserve"> project</w:t>
            </w:r>
          </w:p>
        </w:tc>
        <w:tc>
          <w:tcPr>
            <w:tcW w:w="4961" w:type="dxa"/>
          </w:tcPr>
          <w:p w:rsidRPr="000A34C1" w:rsidR="00900512" w:rsidP="00900512" w:rsidRDefault="00900512" w14:paraId="09DFC79B" w14:textId="029B3A76">
            <w:pPr>
              <w:spacing w:before="100" w:beforeAutospacing="1" w:after="100" w:afterAutospacing="1"/>
              <w:rPr>
                <w:rFonts w:cs="Verdana"/>
                <w:szCs w:val="18"/>
                <w:lang w:eastAsia="en-US"/>
              </w:rPr>
            </w:pPr>
            <w:r w:rsidRPr="009618B4">
              <w:rPr>
                <w:color w:val="000000" w:themeColor="text1"/>
                <w:szCs w:val="18"/>
              </w:rPr>
              <w:t xml:space="preserve">De Kamer wordt jaarlijks geïnformeerd over de stand van zaken betreffende </w:t>
            </w:r>
            <w:r w:rsidRPr="009618B4">
              <w:rPr>
                <w:szCs w:val="18"/>
              </w:rPr>
              <w:t xml:space="preserve">het Einstein </w:t>
            </w:r>
            <w:proofErr w:type="spellStart"/>
            <w:r w:rsidRPr="009618B4">
              <w:rPr>
                <w:szCs w:val="18"/>
              </w:rPr>
              <w:t>Telescope</w:t>
            </w:r>
            <w:proofErr w:type="spellEnd"/>
            <w:r w:rsidRPr="009618B4">
              <w:rPr>
                <w:szCs w:val="18"/>
              </w:rPr>
              <w:t xml:space="preserve"> project.</w:t>
            </w:r>
          </w:p>
        </w:tc>
      </w:tr>
      <w:tr w:rsidRPr="008E0D39" w:rsidR="00900512" w:rsidTr="00722CB4" w14:paraId="1ADCC79C" w14:textId="77777777">
        <w:trPr>
          <w:trHeight w:val="1124"/>
        </w:trPr>
        <w:tc>
          <w:tcPr>
            <w:tcW w:w="1653" w:type="dxa"/>
          </w:tcPr>
          <w:p w:rsidRPr="008E0D39" w:rsidR="00900512" w:rsidP="00900512" w:rsidRDefault="00900512" w14:paraId="3E79CC5F" w14:textId="72E89878">
            <w:pPr>
              <w:rPr>
                <w:szCs w:val="18"/>
              </w:rPr>
            </w:pPr>
            <w:r>
              <w:rPr>
                <w:color w:val="000000"/>
                <w:szCs w:val="18"/>
              </w:rPr>
              <w:t>Onderzoek</w:t>
            </w:r>
          </w:p>
        </w:tc>
        <w:tc>
          <w:tcPr>
            <w:tcW w:w="2175" w:type="dxa"/>
          </w:tcPr>
          <w:p w:rsidRPr="00370BF8" w:rsidR="00900512" w:rsidP="00900512" w:rsidRDefault="00900512" w14:paraId="61A21DBE" w14:textId="1847BEA3">
            <w:pPr>
              <w:rPr>
                <w:color w:val="000000"/>
                <w:szCs w:val="18"/>
              </w:rPr>
            </w:pPr>
            <w:r w:rsidRPr="009618B4">
              <w:rPr>
                <w:szCs w:val="18"/>
              </w:rPr>
              <w:t>Reactie op AWTI advies inzake grootschalige en langjarige onderzoek en innovatie</w:t>
            </w:r>
          </w:p>
        </w:tc>
        <w:tc>
          <w:tcPr>
            <w:tcW w:w="4961" w:type="dxa"/>
          </w:tcPr>
          <w:p w:rsidRPr="00F45B04" w:rsidR="00900512" w:rsidP="00F45B04" w:rsidRDefault="00900512" w14:paraId="235BFBEF" w14:textId="6D8B8813">
            <w:pPr>
              <w:rPr>
                <w:b/>
                <w:bCs/>
                <w:szCs w:val="18"/>
              </w:rPr>
            </w:pPr>
            <w:r w:rsidRPr="009618B4">
              <w:rPr>
                <w:szCs w:val="18"/>
              </w:rPr>
              <w:t>De Kamer ontvangt de reactie op het advies van de AWTI inzake grootschalige en langjarige onderzoek en innovatie</w:t>
            </w:r>
            <w:r w:rsidR="008364A7">
              <w:rPr>
                <w:szCs w:val="18"/>
              </w:rPr>
              <w:t>. P</w:t>
            </w:r>
            <w:r w:rsidRPr="009618B4">
              <w:rPr>
                <w:szCs w:val="18"/>
              </w:rPr>
              <w:t xml:space="preserve">ublicatie </w:t>
            </w:r>
            <w:r w:rsidR="008364A7">
              <w:rPr>
                <w:szCs w:val="18"/>
              </w:rPr>
              <w:t xml:space="preserve">is </w:t>
            </w:r>
            <w:r w:rsidRPr="009618B4">
              <w:rPr>
                <w:szCs w:val="18"/>
              </w:rPr>
              <w:t xml:space="preserve">voorzien in </w:t>
            </w:r>
            <w:r w:rsidR="008364A7">
              <w:rPr>
                <w:szCs w:val="18"/>
              </w:rPr>
              <w:t>het eerste kwartaal van</w:t>
            </w:r>
            <w:r w:rsidRPr="009618B4">
              <w:rPr>
                <w:szCs w:val="18"/>
              </w:rPr>
              <w:t xml:space="preserve"> 2026</w:t>
            </w:r>
            <w:r w:rsidR="00F45B04">
              <w:rPr>
                <w:szCs w:val="18"/>
              </w:rPr>
              <w:t>.</w:t>
            </w:r>
          </w:p>
        </w:tc>
      </w:tr>
      <w:tr w:rsidRPr="008E0D39" w:rsidR="00900512" w:rsidTr="009A6604" w14:paraId="270AA890" w14:textId="77777777">
        <w:trPr>
          <w:trHeight w:val="607"/>
        </w:trPr>
        <w:tc>
          <w:tcPr>
            <w:tcW w:w="1653" w:type="dxa"/>
          </w:tcPr>
          <w:p w:rsidRPr="008E0D39" w:rsidR="00900512" w:rsidP="00900512" w:rsidRDefault="00900512" w14:paraId="22E25F99" w14:textId="78E1129A">
            <w:pPr>
              <w:rPr>
                <w:szCs w:val="18"/>
              </w:rPr>
            </w:pPr>
            <w:r>
              <w:rPr>
                <w:color w:val="000000"/>
                <w:szCs w:val="18"/>
              </w:rPr>
              <w:t>Onderzoek</w:t>
            </w:r>
          </w:p>
        </w:tc>
        <w:tc>
          <w:tcPr>
            <w:tcW w:w="2175" w:type="dxa"/>
          </w:tcPr>
          <w:p w:rsidRPr="003B5862" w:rsidR="00900512" w:rsidP="00900512" w:rsidRDefault="00900512" w14:paraId="617A45B3" w14:textId="375925D2">
            <w:pPr>
              <w:rPr>
                <w:rFonts w:cstheme="minorHAnsi"/>
              </w:rPr>
            </w:pPr>
            <w:r w:rsidRPr="009618B4">
              <w:rPr>
                <w:szCs w:val="18"/>
              </w:rPr>
              <w:t>Evaluatie programma Erkennen &amp; Waarderen</w:t>
            </w:r>
          </w:p>
        </w:tc>
        <w:tc>
          <w:tcPr>
            <w:tcW w:w="4961" w:type="dxa"/>
          </w:tcPr>
          <w:p w:rsidRPr="00F45B04" w:rsidR="00900512" w:rsidP="00F45B04" w:rsidRDefault="00900512" w14:paraId="2AD0CB0E" w14:textId="673AB43D">
            <w:pPr>
              <w:rPr>
                <w:szCs w:val="18"/>
              </w:rPr>
            </w:pPr>
            <w:r w:rsidRPr="009618B4">
              <w:rPr>
                <w:szCs w:val="18"/>
              </w:rPr>
              <w:t>Met deze brief wordt het evaluatierapport van het programma Erkennen &amp; Waarderen 2021-2025 aangeboden.</w:t>
            </w:r>
          </w:p>
        </w:tc>
      </w:tr>
      <w:tr w:rsidRPr="008E0D39" w:rsidR="00900512" w:rsidTr="009A6604" w14:paraId="7D3CC322" w14:textId="77777777">
        <w:tc>
          <w:tcPr>
            <w:tcW w:w="1653" w:type="dxa"/>
          </w:tcPr>
          <w:p w:rsidRPr="008E0D39" w:rsidR="00900512" w:rsidP="00900512" w:rsidRDefault="00722CB4" w14:paraId="5EF152EF" w14:textId="13032A65">
            <w:pPr>
              <w:rPr>
                <w:szCs w:val="18"/>
              </w:rPr>
            </w:pPr>
            <w:r>
              <w:rPr>
                <w:color w:val="000000"/>
                <w:szCs w:val="18"/>
              </w:rPr>
              <w:lastRenderedPageBreak/>
              <w:t>Hoger onderwijs &amp; o</w:t>
            </w:r>
            <w:r w:rsidR="00900512">
              <w:rPr>
                <w:color w:val="000000"/>
                <w:szCs w:val="18"/>
              </w:rPr>
              <w:t>nderzoek</w:t>
            </w:r>
          </w:p>
        </w:tc>
        <w:tc>
          <w:tcPr>
            <w:tcW w:w="2175" w:type="dxa"/>
          </w:tcPr>
          <w:p w:rsidRPr="00370BF8" w:rsidR="00900512" w:rsidP="00900512" w:rsidRDefault="00900512" w14:paraId="6B07849F" w14:textId="6B877E9C">
            <w:pPr>
              <w:rPr>
                <w:color w:val="000000"/>
                <w:szCs w:val="18"/>
              </w:rPr>
            </w:pPr>
            <w:r w:rsidRPr="009618B4">
              <w:rPr>
                <w:szCs w:val="18"/>
              </w:rPr>
              <w:t>Beleidsreactie evaluatie Nationaal Actieplan voor meer Diversiteit en Inclusie in het hoger onderwijs en onderzoek</w:t>
            </w:r>
          </w:p>
        </w:tc>
        <w:tc>
          <w:tcPr>
            <w:tcW w:w="4961" w:type="dxa"/>
          </w:tcPr>
          <w:p w:rsidRPr="009618B4" w:rsidR="00900512" w:rsidP="00900512" w:rsidRDefault="00900512" w14:paraId="4811212E" w14:textId="77777777">
            <w:pPr>
              <w:rPr>
                <w:b/>
                <w:bCs/>
                <w:szCs w:val="18"/>
              </w:rPr>
            </w:pPr>
            <w:r w:rsidRPr="009618B4">
              <w:rPr>
                <w:szCs w:val="18"/>
              </w:rPr>
              <w:t>Deze brief bevat de reactie op de evaluatie van het Nationaal Actieplan voor meer Diversiteit en Inclusie in het hoger onderwijs en onderzoek.</w:t>
            </w:r>
          </w:p>
          <w:p w:rsidRPr="008E0D39" w:rsidR="00900512" w:rsidP="00900512" w:rsidRDefault="00900512" w14:paraId="1A77B3E3" w14:textId="7F062F6C">
            <w:pPr>
              <w:spacing w:before="100" w:beforeAutospacing="1" w:after="100" w:afterAutospacing="1"/>
              <w:rPr>
                <w:color w:val="000000"/>
                <w:szCs w:val="18"/>
              </w:rPr>
            </w:pPr>
          </w:p>
        </w:tc>
      </w:tr>
      <w:tr w:rsidRPr="008E0D39" w:rsidR="00900512" w:rsidTr="007E71C7" w14:paraId="0E1B18E6" w14:textId="77777777">
        <w:trPr>
          <w:trHeight w:val="1090"/>
        </w:trPr>
        <w:tc>
          <w:tcPr>
            <w:tcW w:w="1653" w:type="dxa"/>
          </w:tcPr>
          <w:p w:rsidR="00900512" w:rsidP="00900512" w:rsidRDefault="00900512" w14:paraId="23A74F13" w14:textId="003F2FA3">
            <w:pPr>
              <w:rPr>
                <w:szCs w:val="18"/>
              </w:rPr>
            </w:pPr>
            <w:r>
              <w:rPr>
                <w:color w:val="000000"/>
                <w:szCs w:val="18"/>
              </w:rPr>
              <w:t>Onderzoek</w:t>
            </w:r>
          </w:p>
          <w:p w:rsidR="00900512" w:rsidP="00900512" w:rsidRDefault="00900512" w14:paraId="64914EA9" w14:textId="77777777">
            <w:pPr>
              <w:rPr>
                <w:szCs w:val="18"/>
              </w:rPr>
            </w:pPr>
          </w:p>
          <w:p w:rsidRPr="008E0D39" w:rsidR="00900512" w:rsidP="00900512" w:rsidRDefault="00900512" w14:paraId="1F16EDFC" w14:textId="5E534270">
            <w:pPr>
              <w:rPr>
                <w:szCs w:val="18"/>
              </w:rPr>
            </w:pPr>
          </w:p>
        </w:tc>
        <w:tc>
          <w:tcPr>
            <w:tcW w:w="2175" w:type="dxa"/>
          </w:tcPr>
          <w:p w:rsidRPr="00370BF8" w:rsidR="00900512" w:rsidP="00900512" w:rsidRDefault="00900512" w14:paraId="4DB48F1F" w14:textId="084B390C">
            <w:pPr>
              <w:rPr>
                <w:color w:val="000000"/>
                <w:szCs w:val="18"/>
              </w:rPr>
            </w:pPr>
            <w:r w:rsidRPr="009618B4">
              <w:rPr>
                <w:color w:val="000000" w:themeColor="text1"/>
                <w:szCs w:val="18"/>
              </w:rPr>
              <w:t>Nadere toelichting uitvoering amendement</w:t>
            </w:r>
            <w:r w:rsidR="007E71C7">
              <w:rPr>
                <w:color w:val="000000" w:themeColor="text1"/>
                <w:szCs w:val="18"/>
              </w:rPr>
              <w:t xml:space="preserve"> inzake dierproeven</w:t>
            </w:r>
          </w:p>
        </w:tc>
        <w:tc>
          <w:tcPr>
            <w:tcW w:w="4961" w:type="dxa"/>
          </w:tcPr>
          <w:p w:rsidRPr="007E71C7" w:rsidR="00900512" w:rsidP="007E71C7" w:rsidRDefault="00900512" w14:paraId="22E38968" w14:textId="5E13B91D">
            <w:pPr>
              <w:rPr>
                <w:color w:val="000000" w:themeColor="text1"/>
                <w:szCs w:val="18"/>
              </w:rPr>
            </w:pPr>
            <w:r w:rsidRPr="009618B4">
              <w:rPr>
                <w:color w:val="000000" w:themeColor="text1"/>
                <w:szCs w:val="18"/>
              </w:rPr>
              <w:t xml:space="preserve">Conform toezegging aan de Eerste Kamer wordt de Tweede Kamer nader geïnformeerd over de uitvoering van het amendement </w:t>
            </w:r>
            <w:proofErr w:type="spellStart"/>
            <w:r w:rsidRPr="009618B4">
              <w:rPr>
                <w:color w:val="000000" w:themeColor="text1"/>
                <w:szCs w:val="18"/>
              </w:rPr>
              <w:t>Kosti</w:t>
            </w:r>
            <w:r w:rsidR="007E71C7">
              <w:rPr>
                <w:color w:val="000000" w:themeColor="text1"/>
                <w:szCs w:val="18"/>
              </w:rPr>
              <w:t>c</w:t>
            </w:r>
            <w:proofErr w:type="spellEnd"/>
            <w:r w:rsidRPr="009618B4">
              <w:rPr>
                <w:color w:val="000000" w:themeColor="text1"/>
                <w:szCs w:val="18"/>
              </w:rPr>
              <w:t xml:space="preserve"> c.s</w:t>
            </w:r>
            <w:r w:rsidR="007E71C7">
              <w:rPr>
                <w:color w:val="000000" w:themeColor="text1"/>
                <w:szCs w:val="18"/>
              </w:rPr>
              <w:t>.</w:t>
            </w:r>
            <w:r w:rsidR="008364A7">
              <w:rPr>
                <w:color w:val="000000" w:themeColor="text1"/>
                <w:szCs w:val="18"/>
              </w:rPr>
              <w:t xml:space="preserve"> inzake dierproeven</w:t>
            </w:r>
            <w:r w:rsidRPr="009618B4">
              <w:rPr>
                <w:color w:val="000000" w:themeColor="text1"/>
                <w:szCs w:val="18"/>
              </w:rPr>
              <w:t>.</w:t>
            </w:r>
          </w:p>
        </w:tc>
      </w:tr>
      <w:tr w:rsidRPr="008E0D39" w:rsidR="00900512" w:rsidTr="008364A7" w14:paraId="281DE22B" w14:textId="77777777">
        <w:trPr>
          <w:trHeight w:val="838"/>
        </w:trPr>
        <w:tc>
          <w:tcPr>
            <w:tcW w:w="1653" w:type="dxa"/>
          </w:tcPr>
          <w:p w:rsidRPr="008E0D39" w:rsidR="00900512" w:rsidP="00900512" w:rsidRDefault="00900512" w14:paraId="667B7CA3" w14:textId="52611ED8">
            <w:pPr>
              <w:rPr>
                <w:szCs w:val="18"/>
              </w:rPr>
            </w:pPr>
            <w:r>
              <w:rPr>
                <w:color w:val="000000"/>
                <w:szCs w:val="18"/>
              </w:rPr>
              <w:t>Onderzoek</w:t>
            </w:r>
          </w:p>
        </w:tc>
        <w:tc>
          <w:tcPr>
            <w:tcW w:w="2175" w:type="dxa"/>
          </w:tcPr>
          <w:p w:rsidRPr="00370BF8" w:rsidR="00900512" w:rsidP="00900512" w:rsidRDefault="00900512" w14:paraId="2A695647" w14:textId="024E6CDD">
            <w:pPr>
              <w:rPr>
                <w:color w:val="000000"/>
                <w:szCs w:val="18"/>
              </w:rPr>
            </w:pPr>
            <w:r w:rsidRPr="009618B4">
              <w:rPr>
                <w:szCs w:val="18"/>
              </w:rPr>
              <w:t xml:space="preserve">Evaluatie subsidie NEMO </w:t>
            </w:r>
            <w:proofErr w:type="spellStart"/>
            <w:r w:rsidRPr="009618B4">
              <w:rPr>
                <w:szCs w:val="18"/>
              </w:rPr>
              <w:t>science</w:t>
            </w:r>
            <w:proofErr w:type="spellEnd"/>
            <w:r w:rsidRPr="009618B4">
              <w:rPr>
                <w:szCs w:val="18"/>
              </w:rPr>
              <w:t xml:space="preserve"> museum</w:t>
            </w:r>
          </w:p>
        </w:tc>
        <w:tc>
          <w:tcPr>
            <w:tcW w:w="4961" w:type="dxa"/>
          </w:tcPr>
          <w:p w:rsidRPr="00F45B04" w:rsidR="00900512" w:rsidP="00F45B04" w:rsidRDefault="00900512" w14:paraId="261FAC33" w14:textId="3216BC2F">
            <w:pPr>
              <w:rPr>
                <w:b/>
                <w:bCs/>
                <w:color w:val="000000" w:themeColor="text1"/>
                <w:szCs w:val="18"/>
              </w:rPr>
            </w:pPr>
            <w:r w:rsidRPr="009618B4">
              <w:rPr>
                <w:color w:val="000000" w:themeColor="text1"/>
                <w:szCs w:val="18"/>
              </w:rPr>
              <w:t>D</w:t>
            </w:r>
            <w:r w:rsidR="007B7282">
              <w:rPr>
                <w:color w:val="000000" w:themeColor="text1"/>
                <w:szCs w:val="18"/>
              </w:rPr>
              <w:t>e</w:t>
            </w:r>
            <w:r w:rsidRPr="009618B4">
              <w:rPr>
                <w:color w:val="000000" w:themeColor="text1"/>
                <w:szCs w:val="18"/>
              </w:rPr>
              <w:t xml:space="preserve"> Kamer wordt geïnformeerd over de evaluatie van de structurele subsidie van</w:t>
            </w:r>
            <w:r w:rsidR="007B7282">
              <w:rPr>
                <w:color w:val="000000" w:themeColor="text1"/>
                <w:szCs w:val="18"/>
              </w:rPr>
              <w:t xml:space="preserve"> het</w:t>
            </w:r>
            <w:r w:rsidRPr="009618B4">
              <w:rPr>
                <w:color w:val="000000" w:themeColor="text1"/>
                <w:szCs w:val="18"/>
              </w:rPr>
              <w:t xml:space="preserve"> NEMO </w:t>
            </w:r>
            <w:proofErr w:type="spellStart"/>
            <w:r w:rsidRPr="009618B4">
              <w:rPr>
                <w:color w:val="000000" w:themeColor="text1"/>
                <w:szCs w:val="18"/>
              </w:rPr>
              <w:t>science</w:t>
            </w:r>
            <w:proofErr w:type="spellEnd"/>
            <w:r w:rsidRPr="009618B4">
              <w:rPr>
                <w:color w:val="000000" w:themeColor="text1"/>
                <w:szCs w:val="18"/>
              </w:rPr>
              <w:t xml:space="preserve"> museum.</w:t>
            </w:r>
          </w:p>
        </w:tc>
      </w:tr>
      <w:tr w:rsidRPr="00380988" w:rsidR="000E39A5" w:rsidTr="009A6604" w14:paraId="5E59CB54" w14:textId="77777777">
        <w:tc>
          <w:tcPr>
            <w:tcW w:w="1653" w:type="dxa"/>
          </w:tcPr>
          <w:p w:rsidRPr="00380988" w:rsidR="000E39A5" w:rsidP="000E39A5" w:rsidRDefault="000E39A5" w14:paraId="1D7A4398" w14:textId="260C2099">
            <w:pPr>
              <w:rPr>
                <w:szCs w:val="18"/>
                <w:highlight w:val="yellow"/>
              </w:rPr>
            </w:pPr>
            <w:r>
              <w:rPr>
                <w:szCs w:val="18"/>
              </w:rPr>
              <w:t>Cultuur</w:t>
            </w:r>
          </w:p>
        </w:tc>
        <w:tc>
          <w:tcPr>
            <w:tcW w:w="2175" w:type="dxa"/>
          </w:tcPr>
          <w:p w:rsidRPr="00380988" w:rsidR="000E39A5" w:rsidP="000E39A5" w:rsidRDefault="000E39A5" w14:paraId="767FEBFE" w14:textId="74C74BA4">
            <w:pPr>
              <w:rPr>
                <w:szCs w:val="18"/>
                <w:highlight w:val="yellow"/>
              </w:rPr>
            </w:pPr>
            <w:r w:rsidRPr="009618B4">
              <w:rPr>
                <w:szCs w:val="18"/>
              </w:rPr>
              <w:t>Aanpak Erfgoed en Leefomgeving</w:t>
            </w:r>
          </w:p>
        </w:tc>
        <w:tc>
          <w:tcPr>
            <w:tcW w:w="4961" w:type="dxa"/>
          </w:tcPr>
          <w:p w:rsidRPr="00380988" w:rsidR="000E39A5" w:rsidP="000E39A5" w:rsidRDefault="000E39A5" w14:paraId="248D5DF2" w14:textId="5968CD46">
            <w:pPr>
              <w:rPr>
                <w:szCs w:val="18"/>
              </w:rPr>
            </w:pPr>
            <w:r w:rsidRPr="009618B4">
              <w:rPr>
                <w:szCs w:val="18"/>
              </w:rPr>
              <w:t>De brief gaat in navolging op de Concept Nota Ruim</w:t>
            </w:r>
            <w:r w:rsidR="008364A7">
              <w:rPr>
                <w:szCs w:val="18"/>
              </w:rPr>
              <w:t>te</w:t>
            </w:r>
            <w:r w:rsidRPr="009618B4">
              <w:rPr>
                <w:szCs w:val="18"/>
              </w:rPr>
              <w:t xml:space="preserve"> in op de acties die in gang worden gezet om erfgoed en waardevolle cultuurlandschappen goed in te passen bij de grote transities in de fysieke leefomgeving.</w:t>
            </w:r>
          </w:p>
        </w:tc>
      </w:tr>
      <w:tr w:rsidRPr="00380988" w:rsidR="0038682D" w:rsidTr="009A6604" w14:paraId="5AE73282" w14:textId="77777777">
        <w:tc>
          <w:tcPr>
            <w:tcW w:w="1653" w:type="dxa"/>
          </w:tcPr>
          <w:p w:rsidR="0038682D" w:rsidP="000E39A5" w:rsidRDefault="0038682D" w14:paraId="65AB92DF" w14:textId="3DC2F764">
            <w:pPr>
              <w:rPr>
                <w:szCs w:val="18"/>
              </w:rPr>
            </w:pPr>
            <w:r>
              <w:rPr>
                <w:szCs w:val="18"/>
              </w:rPr>
              <w:t>Onderzoek</w:t>
            </w:r>
          </w:p>
        </w:tc>
        <w:tc>
          <w:tcPr>
            <w:tcW w:w="2175" w:type="dxa"/>
          </w:tcPr>
          <w:p w:rsidRPr="009618B4" w:rsidR="0038682D" w:rsidP="000E39A5" w:rsidRDefault="0038682D" w14:paraId="022E4FE7" w14:textId="571BE06D">
            <w:pPr>
              <w:rPr>
                <w:szCs w:val="18"/>
              </w:rPr>
            </w:pPr>
            <w:r>
              <w:rPr>
                <w:szCs w:val="18"/>
              </w:rPr>
              <w:t>Instellingsevaluatie KNAW</w:t>
            </w:r>
          </w:p>
        </w:tc>
        <w:tc>
          <w:tcPr>
            <w:tcW w:w="4961" w:type="dxa"/>
          </w:tcPr>
          <w:p w:rsidRPr="009618B4" w:rsidR="0038682D" w:rsidP="000E39A5" w:rsidRDefault="0038682D" w14:paraId="45BC110E" w14:textId="200BD166">
            <w:pPr>
              <w:rPr>
                <w:szCs w:val="18"/>
              </w:rPr>
            </w:pPr>
            <w:r>
              <w:rPr>
                <w:szCs w:val="18"/>
              </w:rPr>
              <w:t xml:space="preserve">Aanbieding van de instellingsevaluatie van de Koninklijke Nederlandse </w:t>
            </w:r>
            <w:proofErr w:type="spellStart"/>
            <w:r>
              <w:rPr>
                <w:szCs w:val="18"/>
              </w:rPr>
              <w:t>Akademie</w:t>
            </w:r>
            <w:proofErr w:type="spellEnd"/>
            <w:r>
              <w:rPr>
                <w:szCs w:val="18"/>
              </w:rPr>
              <w:t xml:space="preserve"> van Wetenschappen, uitgevoerd in 2025-2026. In het derde kwartaal volgt de beleidsreactie.</w:t>
            </w:r>
          </w:p>
        </w:tc>
      </w:tr>
      <w:tr w:rsidRPr="00AD0CC3" w:rsidR="00232030" w:rsidTr="009A6604" w14:paraId="2A3D7037" w14:textId="77777777">
        <w:tc>
          <w:tcPr>
            <w:tcW w:w="1653" w:type="dxa"/>
          </w:tcPr>
          <w:p w:rsidRPr="00AD0CC3" w:rsidR="00232030" w:rsidP="00232030" w:rsidRDefault="00232030" w14:paraId="35DA3B1F" w14:textId="623FCA56">
            <w:pPr>
              <w:rPr>
                <w:szCs w:val="18"/>
              </w:rPr>
            </w:pPr>
            <w:r>
              <w:rPr>
                <w:szCs w:val="18"/>
              </w:rPr>
              <w:t>Onderwijs</w:t>
            </w:r>
          </w:p>
        </w:tc>
        <w:tc>
          <w:tcPr>
            <w:tcW w:w="2175" w:type="dxa"/>
          </w:tcPr>
          <w:p w:rsidRPr="00AD0CC3" w:rsidR="00232030" w:rsidP="00232030" w:rsidRDefault="00232030" w14:paraId="101AD36E" w14:textId="450FBACA">
            <w:pPr>
              <w:rPr>
                <w:szCs w:val="18"/>
              </w:rPr>
            </w:pPr>
            <w:r w:rsidRPr="009618B4">
              <w:rPr>
                <w:szCs w:val="18"/>
              </w:rPr>
              <w:t>Beleidsreactie Staat van het Onderwijs</w:t>
            </w:r>
          </w:p>
        </w:tc>
        <w:tc>
          <w:tcPr>
            <w:tcW w:w="4961" w:type="dxa"/>
          </w:tcPr>
          <w:p w:rsidRPr="00AD0CC3" w:rsidR="00232030" w:rsidP="00232030" w:rsidRDefault="00232030" w14:paraId="702DDB28" w14:textId="077DA397">
            <w:pPr>
              <w:rPr>
                <w:szCs w:val="18"/>
              </w:rPr>
            </w:pPr>
            <w:r w:rsidRPr="009618B4">
              <w:rPr>
                <w:szCs w:val="18"/>
              </w:rPr>
              <w:t>De Onderwijsinspectie brengt jaarlijks in het voorjaar de Staat van het Onderwijs uit. Dit rapport wordt voorzien van een beleidsreactie die wordt aangeboden aan de Tweede Kamer.</w:t>
            </w:r>
          </w:p>
        </w:tc>
      </w:tr>
      <w:tr w:rsidRPr="00AD0CC3" w:rsidR="00232030" w:rsidTr="009A6604" w14:paraId="65DC8200" w14:textId="77777777">
        <w:tc>
          <w:tcPr>
            <w:tcW w:w="1653" w:type="dxa"/>
          </w:tcPr>
          <w:p w:rsidRPr="00AD0CC3" w:rsidR="00232030" w:rsidP="00232030" w:rsidRDefault="00232030" w14:paraId="1206AA00" w14:textId="2C04E04D">
            <w:pPr>
              <w:rPr>
                <w:szCs w:val="18"/>
              </w:rPr>
            </w:pPr>
            <w:r>
              <w:rPr>
                <w:szCs w:val="18"/>
              </w:rPr>
              <w:t>Onderwijs</w:t>
            </w:r>
          </w:p>
        </w:tc>
        <w:tc>
          <w:tcPr>
            <w:tcW w:w="2175" w:type="dxa"/>
          </w:tcPr>
          <w:p w:rsidRPr="00232030" w:rsidR="00232030" w:rsidP="00232030" w:rsidRDefault="00232030" w14:paraId="24B4886F" w14:textId="79F980EA">
            <w:pPr>
              <w:rPr>
                <w:szCs w:val="18"/>
                <w:lang w:val="en-US"/>
              </w:rPr>
            </w:pPr>
            <w:proofErr w:type="spellStart"/>
            <w:r w:rsidRPr="009618B4">
              <w:rPr>
                <w:rStyle w:val="null1"/>
                <w:szCs w:val="18"/>
                <w:lang w:val="en-US"/>
              </w:rPr>
              <w:t>Publicatie</w:t>
            </w:r>
            <w:proofErr w:type="spellEnd"/>
            <w:r w:rsidRPr="009618B4">
              <w:rPr>
                <w:rStyle w:val="null1"/>
                <w:szCs w:val="18"/>
                <w:lang w:val="en-US"/>
              </w:rPr>
              <w:t xml:space="preserve"> Education at a Glance 2026</w:t>
            </w:r>
          </w:p>
        </w:tc>
        <w:tc>
          <w:tcPr>
            <w:tcW w:w="4961" w:type="dxa"/>
          </w:tcPr>
          <w:p w:rsidRPr="00AD0CC3" w:rsidR="00232030" w:rsidP="00232030" w:rsidRDefault="00232030" w14:paraId="3CE2DA46" w14:textId="73D37F86">
            <w:pPr>
              <w:rPr>
                <w:szCs w:val="18"/>
              </w:rPr>
            </w:pPr>
            <w:r w:rsidRPr="009618B4">
              <w:rPr>
                <w:szCs w:val="18"/>
              </w:rPr>
              <w:t>Jaarlijkse brief aan de Kamer over het OESO rapport ‘</w:t>
            </w:r>
            <w:proofErr w:type="spellStart"/>
            <w:r w:rsidRPr="009618B4">
              <w:rPr>
                <w:szCs w:val="18"/>
              </w:rPr>
              <w:t>Education</w:t>
            </w:r>
            <w:proofErr w:type="spellEnd"/>
            <w:r w:rsidRPr="009618B4">
              <w:rPr>
                <w:szCs w:val="18"/>
              </w:rPr>
              <w:t xml:space="preserve"> at a </w:t>
            </w:r>
            <w:proofErr w:type="spellStart"/>
            <w:r w:rsidRPr="009618B4">
              <w:rPr>
                <w:szCs w:val="18"/>
              </w:rPr>
              <w:t>Glance</w:t>
            </w:r>
            <w:proofErr w:type="spellEnd"/>
            <w:r w:rsidRPr="009618B4">
              <w:rPr>
                <w:szCs w:val="18"/>
              </w:rPr>
              <w:t xml:space="preserve">’. Het rapport bevat vergelijkbare gegevens over onder andere de structuur en randvoorwaarden van het onderwijs in OESO-landen. </w:t>
            </w:r>
          </w:p>
        </w:tc>
      </w:tr>
      <w:tr w:rsidRPr="00AD0CC3" w:rsidR="00490127" w:rsidTr="009A6604" w14:paraId="2C411A8C" w14:textId="77777777">
        <w:tc>
          <w:tcPr>
            <w:tcW w:w="1653" w:type="dxa"/>
          </w:tcPr>
          <w:p w:rsidR="00490127" w:rsidP="00232030" w:rsidRDefault="00490127" w14:paraId="68A3F6F4" w14:textId="7327719D">
            <w:pPr>
              <w:rPr>
                <w:szCs w:val="18"/>
              </w:rPr>
            </w:pPr>
            <w:r>
              <w:rPr>
                <w:szCs w:val="18"/>
              </w:rPr>
              <w:t>Algemeen</w:t>
            </w:r>
          </w:p>
        </w:tc>
        <w:tc>
          <w:tcPr>
            <w:tcW w:w="2175" w:type="dxa"/>
          </w:tcPr>
          <w:p w:rsidRPr="009618B4" w:rsidR="00490127" w:rsidP="00232030" w:rsidRDefault="00490127" w14:paraId="7545CC86" w14:textId="7BDF718B">
            <w:pPr>
              <w:rPr>
                <w:rStyle w:val="null1"/>
                <w:szCs w:val="18"/>
                <w:lang w:val="en-US"/>
              </w:rPr>
            </w:pPr>
            <w:r>
              <w:rPr>
                <w:rStyle w:val="null1"/>
                <w:szCs w:val="18"/>
                <w:lang w:val="en-US"/>
              </w:rPr>
              <w:t xml:space="preserve">Stand van de </w:t>
            </w:r>
            <w:proofErr w:type="spellStart"/>
            <w:r>
              <w:rPr>
                <w:rStyle w:val="null1"/>
                <w:szCs w:val="18"/>
                <w:lang w:val="en-US"/>
              </w:rPr>
              <w:t>uitvoering</w:t>
            </w:r>
            <w:proofErr w:type="spellEnd"/>
          </w:p>
        </w:tc>
        <w:tc>
          <w:tcPr>
            <w:tcW w:w="4961" w:type="dxa"/>
          </w:tcPr>
          <w:p w:rsidRPr="009618B4" w:rsidR="00490127" w:rsidP="00232030" w:rsidRDefault="00490127" w14:paraId="11C42160" w14:textId="3F6496B2">
            <w:pPr>
              <w:rPr>
                <w:szCs w:val="18"/>
              </w:rPr>
            </w:pPr>
            <w:r>
              <w:rPr>
                <w:szCs w:val="18"/>
              </w:rPr>
              <w:t xml:space="preserve">Jaarlijks ontvangt de Kamer een brief met de stand van zaken van de uitvoering. Hierin wordt ingegaan op uitvoeringstaken van het ministerie. </w:t>
            </w:r>
          </w:p>
        </w:tc>
      </w:tr>
      <w:tr w:rsidRPr="007B5DD2" w:rsidR="009A6604" w:rsidTr="009A6604" w14:paraId="1FF33BAE" w14:textId="77777777">
        <w:tc>
          <w:tcPr>
            <w:tcW w:w="8789" w:type="dxa"/>
            <w:gridSpan w:val="3"/>
            <w:shd w:val="clear" w:color="auto" w:fill="D9D9D9" w:themeFill="background1" w:themeFillShade="D9"/>
          </w:tcPr>
          <w:p w:rsidRPr="007B5DD2" w:rsidR="009A6604" w:rsidP="00A712D2" w:rsidRDefault="009A6604" w14:paraId="7304F335" w14:textId="5B4E3E8E">
            <w:pPr>
              <w:rPr>
                <w:szCs w:val="18"/>
              </w:rPr>
            </w:pPr>
            <w:r w:rsidRPr="005D376C">
              <w:rPr>
                <w:b/>
                <w:bCs/>
                <w:szCs w:val="18"/>
                <w:lang w:eastAsia="en-US"/>
              </w:rPr>
              <w:t>Derde kwartaal</w:t>
            </w:r>
            <w:r w:rsidR="007B7282">
              <w:rPr>
                <w:b/>
                <w:bCs/>
                <w:szCs w:val="18"/>
                <w:lang w:eastAsia="en-US"/>
              </w:rPr>
              <w:t xml:space="preserve"> 2026</w:t>
            </w:r>
          </w:p>
        </w:tc>
      </w:tr>
      <w:tr w:rsidRPr="007B5DD2" w:rsidR="00F629F9" w:rsidTr="009A6604" w14:paraId="6764CF7D" w14:textId="77777777">
        <w:tc>
          <w:tcPr>
            <w:tcW w:w="1653" w:type="dxa"/>
          </w:tcPr>
          <w:p w:rsidRPr="003130E2" w:rsidR="00F629F9" w:rsidP="00F629F9" w:rsidRDefault="00F629F9" w14:paraId="0EFE3199" w14:textId="698F7B43">
            <w:pPr>
              <w:rPr>
                <w:szCs w:val="18"/>
              </w:rPr>
            </w:pPr>
            <w:r w:rsidRPr="0074088B">
              <w:rPr>
                <w:szCs w:val="18"/>
              </w:rPr>
              <w:t>Funderend onderwijs</w:t>
            </w:r>
          </w:p>
        </w:tc>
        <w:tc>
          <w:tcPr>
            <w:tcW w:w="2175" w:type="dxa"/>
          </w:tcPr>
          <w:p w:rsidRPr="00F629F9" w:rsidR="00F629F9" w:rsidP="00F629F9" w:rsidRDefault="00F629F9" w14:paraId="48C16750" w14:textId="4078B426">
            <w:pPr>
              <w:pStyle w:val="null"/>
              <w:spacing w:before="0" w:beforeAutospacing="0" w:after="0" w:afterAutospacing="0"/>
              <w:rPr>
                <w:rStyle w:val="null1"/>
                <w:rFonts w:ascii="Verdana" w:hAnsi="Verdana" w:cs="Calibri Light"/>
                <w:sz w:val="18"/>
                <w:szCs w:val="18"/>
              </w:rPr>
            </w:pPr>
            <w:r w:rsidRPr="00F629F9">
              <w:rPr>
                <w:rFonts w:ascii="Verdana" w:hAnsi="Verdana"/>
                <w:sz w:val="18"/>
                <w:szCs w:val="18"/>
              </w:rPr>
              <w:t>Voortgangsbrief onderwijshuisvesting</w:t>
            </w:r>
          </w:p>
        </w:tc>
        <w:tc>
          <w:tcPr>
            <w:tcW w:w="4961" w:type="dxa"/>
          </w:tcPr>
          <w:p w:rsidRPr="009618B4" w:rsidR="00F629F9" w:rsidP="00F629F9" w:rsidRDefault="00F629F9" w14:paraId="3EA552C3" w14:textId="71A3E47A">
            <w:pPr>
              <w:rPr>
                <w:rStyle w:val="null1"/>
                <w:rFonts w:cs="Calibri Light"/>
                <w:szCs w:val="18"/>
              </w:rPr>
            </w:pPr>
            <w:r w:rsidRPr="0074088B">
              <w:rPr>
                <w:szCs w:val="18"/>
                <w:lang w:eastAsia="en-US"/>
              </w:rPr>
              <w:t>Deze brief gaat in op de voortgang van het onderwijshuisvestingsbeleid, waaronder het wetsvoorstel planmatige aanpak onderwijshuisvesting en bevat de beleidsreacties op het onderzoek naar de businesscase van een informatielandschap onderwijshuisvesting en het onderzoek naar monitoringsmogelijkheden onderwijshuisvesting</w:t>
            </w:r>
            <w:r>
              <w:rPr>
                <w:szCs w:val="18"/>
                <w:lang w:eastAsia="en-US"/>
              </w:rPr>
              <w:t>.</w:t>
            </w:r>
          </w:p>
        </w:tc>
      </w:tr>
      <w:tr w:rsidRPr="007B5DD2" w:rsidR="009A6604" w:rsidTr="009A6604" w14:paraId="7659467D" w14:textId="77777777">
        <w:tc>
          <w:tcPr>
            <w:tcW w:w="1653" w:type="dxa"/>
          </w:tcPr>
          <w:p w:rsidRPr="00BE1087" w:rsidR="009A6604" w:rsidP="009A6604" w:rsidRDefault="009A6604" w14:paraId="51454CC4" w14:textId="46271358">
            <w:pPr>
              <w:rPr>
                <w:szCs w:val="18"/>
              </w:rPr>
            </w:pPr>
            <w:r w:rsidRPr="003130E2">
              <w:rPr>
                <w:szCs w:val="18"/>
              </w:rPr>
              <w:t xml:space="preserve">Funderend </w:t>
            </w:r>
            <w:r>
              <w:rPr>
                <w:szCs w:val="18"/>
              </w:rPr>
              <w:t>o</w:t>
            </w:r>
            <w:r w:rsidRPr="003130E2">
              <w:rPr>
                <w:szCs w:val="18"/>
              </w:rPr>
              <w:t>nderwijs</w:t>
            </w:r>
          </w:p>
        </w:tc>
        <w:tc>
          <w:tcPr>
            <w:tcW w:w="2175" w:type="dxa"/>
          </w:tcPr>
          <w:p w:rsidRPr="009618B4" w:rsidR="009A6604" w:rsidP="009A6604" w:rsidRDefault="009A6604" w14:paraId="1118EDA6" w14:textId="77777777">
            <w:pPr>
              <w:pStyle w:val="null"/>
              <w:spacing w:before="0" w:beforeAutospacing="0" w:after="0" w:afterAutospacing="0"/>
              <w:rPr>
                <w:rFonts w:ascii="Verdana" w:hAnsi="Verdana"/>
                <w:sz w:val="18"/>
                <w:szCs w:val="18"/>
              </w:rPr>
            </w:pPr>
            <w:r w:rsidRPr="009618B4">
              <w:rPr>
                <w:rStyle w:val="null1"/>
                <w:rFonts w:ascii="Verdana" w:hAnsi="Verdana" w:cs="Calibri Light"/>
                <w:sz w:val="18"/>
                <w:szCs w:val="18"/>
              </w:rPr>
              <w:t>Stand van zaken stichtingsaanvragen en ouderverklaringen wet Meer Ruimte voor Nieuwe Scholen</w:t>
            </w:r>
          </w:p>
          <w:p w:rsidRPr="00BE1087" w:rsidR="009A6604" w:rsidP="009A6604" w:rsidRDefault="009A6604" w14:paraId="6A9ECAC6" w14:textId="0461B806">
            <w:pPr>
              <w:rPr>
                <w:szCs w:val="18"/>
              </w:rPr>
            </w:pPr>
            <w:r w:rsidRPr="009618B4">
              <w:rPr>
                <w:rStyle w:val="null1"/>
                <w:rFonts w:cs="Calibri Light"/>
                <w:szCs w:val="18"/>
              </w:rPr>
              <w:t> </w:t>
            </w:r>
          </w:p>
        </w:tc>
        <w:tc>
          <w:tcPr>
            <w:tcW w:w="4961" w:type="dxa"/>
          </w:tcPr>
          <w:p w:rsidRPr="007B5DD2" w:rsidR="009A6604" w:rsidP="009A6604" w:rsidRDefault="009A6604" w14:paraId="68D60A62" w14:textId="33DD72EE">
            <w:pPr>
              <w:rPr>
                <w:szCs w:val="18"/>
              </w:rPr>
            </w:pPr>
            <w:r w:rsidRPr="009618B4">
              <w:rPr>
                <w:rStyle w:val="null1"/>
                <w:rFonts w:cs="Calibri Light"/>
                <w:szCs w:val="18"/>
              </w:rPr>
              <w:t>In deze brief staat hoeveel bekostigingsaanvragen voor nieuwe scholen in het po en vo zijn ingediend bij DUO.</w:t>
            </w:r>
          </w:p>
        </w:tc>
      </w:tr>
      <w:tr w:rsidRPr="007B5DD2" w:rsidR="009A6604" w:rsidTr="009A6604" w14:paraId="25515B0D" w14:textId="77777777">
        <w:tc>
          <w:tcPr>
            <w:tcW w:w="1653" w:type="dxa"/>
          </w:tcPr>
          <w:p w:rsidRPr="00BD6AA9" w:rsidR="009A6604" w:rsidP="009A6604" w:rsidRDefault="009A6604" w14:paraId="59F21109" w14:textId="6ADD102E">
            <w:pPr>
              <w:rPr>
                <w:rFonts w:cstheme="minorHAnsi"/>
                <w:szCs w:val="18"/>
              </w:rPr>
            </w:pPr>
            <w:r w:rsidRPr="003130E2">
              <w:rPr>
                <w:szCs w:val="18"/>
              </w:rPr>
              <w:t xml:space="preserve">Funderend </w:t>
            </w:r>
            <w:r>
              <w:rPr>
                <w:szCs w:val="18"/>
              </w:rPr>
              <w:t>o</w:t>
            </w:r>
            <w:r w:rsidRPr="003130E2">
              <w:rPr>
                <w:szCs w:val="18"/>
              </w:rPr>
              <w:t>nderwijs</w:t>
            </w:r>
          </w:p>
        </w:tc>
        <w:tc>
          <w:tcPr>
            <w:tcW w:w="2175" w:type="dxa"/>
          </w:tcPr>
          <w:p w:rsidRPr="00BD6AA9" w:rsidR="009A6604" w:rsidP="009A6604" w:rsidRDefault="009A6604" w14:paraId="36846834" w14:textId="518EE981">
            <w:pPr>
              <w:rPr>
                <w:rFonts w:cstheme="minorHAnsi"/>
                <w:szCs w:val="18"/>
              </w:rPr>
            </w:pPr>
            <w:r w:rsidRPr="009618B4">
              <w:rPr>
                <w:szCs w:val="18"/>
              </w:rPr>
              <w:t>Uitkomsten PISA</w:t>
            </w:r>
          </w:p>
        </w:tc>
        <w:tc>
          <w:tcPr>
            <w:tcW w:w="4961" w:type="dxa"/>
          </w:tcPr>
          <w:p w:rsidRPr="00F45B04" w:rsidR="009A6604" w:rsidP="009A6604" w:rsidRDefault="009A6604" w14:paraId="109E55E1" w14:textId="32002A75">
            <w:pPr>
              <w:rPr>
                <w:szCs w:val="18"/>
              </w:rPr>
            </w:pPr>
            <w:r w:rsidRPr="009618B4">
              <w:rPr>
                <w:szCs w:val="18"/>
              </w:rPr>
              <w:t xml:space="preserve">In september verschijnt het internationale onderzoek PISA van de OESO. PISA meet de </w:t>
            </w:r>
            <w:r w:rsidRPr="009618B4">
              <w:rPr>
                <w:szCs w:val="18"/>
              </w:rPr>
              <w:lastRenderedPageBreak/>
              <w:t>vaardigheden van 15 jarigen op het gebied van onder meer taal en rekenen.</w:t>
            </w:r>
          </w:p>
        </w:tc>
      </w:tr>
      <w:tr w:rsidRPr="007B5DD2" w:rsidR="009A6604" w:rsidTr="009A6604" w14:paraId="38243BA9" w14:textId="77777777">
        <w:tc>
          <w:tcPr>
            <w:tcW w:w="1653" w:type="dxa"/>
          </w:tcPr>
          <w:p w:rsidRPr="007B5DD2" w:rsidR="009A6604" w:rsidP="009A6604" w:rsidRDefault="009A6604" w14:paraId="3D1ED20C" w14:textId="700B191E">
            <w:pPr>
              <w:rPr>
                <w:szCs w:val="18"/>
              </w:rPr>
            </w:pPr>
            <w:r w:rsidRPr="003130E2">
              <w:rPr>
                <w:szCs w:val="18"/>
              </w:rPr>
              <w:lastRenderedPageBreak/>
              <w:t xml:space="preserve">Funderend </w:t>
            </w:r>
            <w:r>
              <w:rPr>
                <w:szCs w:val="18"/>
              </w:rPr>
              <w:t>o</w:t>
            </w:r>
            <w:r w:rsidRPr="003130E2">
              <w:rPr>
                <w:szCs w:val="18"/>
              </w:rPr>
              <w:t>nderwijs</w:t>
            </w:r>
          </w:p>
        </w:tc>
        <w:tc>
          <w:tcPr>
            <w:tcW w:w="2175" w:type="dxa"/>
          </w:tcPr>
          <w:p w:rsidRPr="007B5DD2" w:rsidR="009A6604" w:rsidP="009A6604" w:rsidRDefault="009A6604" w14:paraId="626CE568" w14:textId="1FD50755">
            <w:pPr>
              <w:rPr>
                <w:rFonts w:cstheme="minorBidi"/>
                <w:szCs w:val="18"/>
              </w:rPr>
            </w:pPr>
            <w:r w:rsidRPr="009618B4">
              <w:rPr>
                <w:szCs w:val="18"/>
              </w:rPr>
              <w:t>Terugblik afname doorstroomtoets Bonaire</w:t>
            </w:r>
          </w:p>
        </w:tc>
        <w:tc>
          <w:tcPr>
            <w:tcW w:w="4961" w:type="dxa"/>
          </w:tcPr>
          <w:p w:rsidRPr="007B5DD2" w:rsidR="009A6604" w:rsidP="009A6604" w:rsidRDefault="009A6604" w14:paraId="06A9B8D3" w14:textId="4A86FE34">
            <w:pPr>
              <w:rPr>
                <w:szCs w:val="18"/>
              </w:rPr>
            </w:pPr>
            <w:r w:rsidRPr="009618B4">
              <w:rPr>
                <w:szCs w:val="18"/>
              </w:rPr>
              <w:t>Brief over de 1</w:t>
            </w:r>
            <w:r w:rsidRPr="009618B4">
              <w:rPr>
                <w:szCs w:val="18"/>
                <w:vertAlign w:val="superscript"/>
              </w:rPr>
              <w:t>e</w:t>
            </w:r>
            <w:r w:rsidRPr="009618B4">
              <w:rPr>
                <w:szCs w:val="18"/>
              </w:rPr>
              <w:t xml:space="preserve"> afname van de doorstroomtoets op Bonaire. </w:t>
            </w:r>
          </w:p>
        </w:tc>
      </w:tr>
      <w:tr w:rsidRPr="007B5DD2" w:rsidR="009A6604" w:rsidTr="009A6604" w14:paraId="7E72D721" w14:textId="77777777">
        <w:tc>
          <w:tcPr>
            <w:tcW w:w="1653" w:type="dxa"/>
          </w:tcPr>
          <w:p w:rsidRPr="007B5DD2" w:rsidR="009A6604" w:rsidP="009A6604" w:rsidRDefault="009A6604" w14:paraId="6111A765" w14:textId="267D0DB9">
            <w:pPr>
              <w:rPr>
                <w:szCs w:val="18"/>
              </w:rPr>
            </w:pPr>
            <w:r w:rsidRPr="003130E2">
              <w:rPr>
                <w:szCs w:val="18"/>
              </w:rPr>
              <w:t xml:space="preserve">Funderend </w:t>
            </w:r>
            <w:r>
              <w:rPr>
                <w:szCs w:val="18"/>
              </w:rPr>
              <w:t>o</w:t>
            </w:r>
            <w:r w:rsidRPr="003130E2">
              <w:rPr>
                <w:szCs w:val="18"/>
              </w:rPr>
              <w:t>nderwijs</w:t>
            </w:r>
          </w:p>
        </w:tc>
        <w:tc>
          <w:tcPr>
            <w:tcW w:w="2175" w:type="dxa"/>
          </w:tcPr>
          <w:p w:rsidRPr="007B5DD2" w:rsidR="009A6604" w:rsidP="009A6604" w:rsidRDefault="009A6604" w14:paraId="7D4FC832" w14:textId="37D2DED1">
            <w:pPr>
              <w:rPr>
                <w:rFonts w:cstheme="minorBidi"/>
                <w:szCs w:val="18"/>
              </w:rPr>
            </w:pPr>
            <w:r w:rsidRPr="009618B4">
              <w:rPr>
                <w:szCs w:val="18"/>
              </w:rPr>
              <w:t>Stand van zaken Caribisch Nederland</w:t>
            </w:r>
          </w:p>
        </w:tc>
        <w:tc>
          <w:tcPr>
            <w:tcW w:w="4961" w:type="dxa"/>
          </w:tcPr>
          <w:p w:rsidRPr="007B5DD2" w:rsidR="009A6604" w:rsidP="009A6604" w:rsidRDefault="009A6604" w14:paraId="78C025B0" w14:textId="36457E0D">
            <w:pPr>
              <w:rPr>
                <w:szCs w:val="18"/>
              </w:rPr>
            </w:pPr>
            <w:r w:rsidRPr="009618B4">
              <w:rPr>
                <w:szCs w:val="18"/>
              </w:rPr>
              <w:t>Brief over de stand van zaken op Caribisch Nederland, op het gebied van taal (curriculum, toetsen, examens, lesmateriaal).</w:t>
            </w:r>
          </w:p>
        </w:tc>
      </w:tr>
      <w:tr w:rsidRPr="00B25D55" w:rsidR="009A6604" w:rsidTr="009A6604" w14:paraId="288C90B4" w14:textId="77777777">
        <w:tc>
          <w:tcPr>
            <w:tcW w:w="1653" w:type="dxa"/>
          </w:tcPr>
          <w:p w:rsidRPr="007B5DD2" w:rsidR="009A6604" w:rsidP="009A6604" w:rsidRDefault="009A6604" w14:paraId="16B4197B" w14:textId="54D1ED47">
            <w:pPr>
              <w:rPr>
                <w:szCs w:val="18"/>
              </w:rPr>
            </w:pPr>
            <w:r w:rsidRPr="003130E2">
              <w:rPr>
                <w:szCs w:val="18"/>
              </w:rPr>
              <w:t xml:space="preserve">Funderend </w:t>
            </w:r>
            <w:r>
              <w:rPr>
                <w:szCs w:val="18"/>
              </w:rPr>
              <w:t>o</w:t>
            </w:r>
            <w:r w:rsidRPr="003130E2">
              <w:rPr>
                <w:szCs w:val="18"/>
              </w:rPr>
              <w:t>nderwijs</w:t>
            </w:r>
          </w:p>
        </w:tc>
        <w:tc>
          <w:tcPr>
            <w:tcW w:w="2175" w:type="dxa"/>
          </w:tcPr>
          <w:p w:rsidRPr="00B25D55" w:rsidR="009A6604" w:rsidP="009A6604" w:rsidRDefault="009A6604" w14:paraId="16424D57" w14:textId="2C842416">
            <w:pPr>
              <w:rPr>
                <w:szCs w:val="18"/>
              </w:rPr>
            </w:pPr>
            <w:r w:rsidRPr="009618B4">
              <w:rPr>
                <w:szCs w:val="18"/>
              </w:rPr>
              <w:t>Examenresultaten 2026</w:t>
            </w:r>
          </w:p>
        </w:tc>
        <w:tc>
          <w:tcPr>
            <w:tcW w:w="4961" w:type="dxa"/>
          </w:tcPr>
          <w:p w:rsidRPr="00B25D55" w:rsidR="009A6604" w:rsidP="009A6604" w:rsidRDefault="009A6604" w14:paraId="089DCB4A" w14:textId="1AFE38DA">
            <w:pPr>
              <w:rPr>
                <w:szCs w:val="18"/>
              </w:rPr>
            </w:pPr>
            <w:r w:rsidRPr="009618B4">
              <w:rPr>
                <w:szCs w:val="18"/>
              </w:rPr>
              <w:t>De Kamer ontvangt de Examenmonitor 202</w:t>
            </w:r>
            <w:r w:rsidR="007E71C7">
              <w:rPr>
                <w:szCs w:val="18"/>
              </w:rPr>
              <w:t>6, w</w:t>
            </w:r>
            <w:r w:rsidRPr="009618B4">
              <w:rPr>
                <w:szCs w:val="18"/>
              </w:rPr>
              <w:t>aarin o.a. wordt ingegaan op de slagingspercentages en gemiddelde cijfers die zijn behaald.</w:t>
            </w:r>
          </w:p>
        </w:tc>
      </w:tr>
      <w:tr w:rsidRPr="00B25D55" w:rsidR="006A44BE" w:rsidTr="009A6604" w14:paraId="78719525" w14:textId="77777777">
        <w:tc>
          <w:tcPr>
            <w:tcW w:w="1653" w:type="dxa"/>
          </w:tcPr>
          <w:p w:rsidRPr="00BC396B" w:rsidR="006A44BE" w:rsidP="006A44BE" w:rsidRDefault="006A44BE" w14:paraId="36467E45" w14:textId="7A1658CF">
            <w:pPr>
              <w:rPr>
                <w:szCs w:val="18"/>
                <w:lang w:eastAsia="en-US"/>
              </w:rPr>
            </w:pPr>
            <w:r>
              <w:t>Hoger onderwijs</w:t>
            </w:r>
          </w:p>
        </w:tc>
        <w:tc>
          <w:tcPr>
            <w:tcW w:w="2175" w:type="dxa"/>
          </w:tcPr>
          <w:p w:rsidRPr="00B25D55" w:rsidR="006A44BE" w:rsidP="006A44BE" w:rsidRDefault="006A44BE" w14:paraId="4966E91E" w14:textId="14B78A1F">
            <w:pPr>
              <w:rPr>
                <w:szCs w:val="18"/>
                <w:lang w:eastAsia="en-US"/>
              </w:rPr>
            </w:pPr>
            <w:r w:rsidRPr="009618B4">
              <w:rPr>
                <w:szCs w:val="18"/>
              </w:rPr>
              <w:t xml:space="preserve">Kwaliteitszorg </w:t>
            </w:r>
            <w:r w:rsidR="00722CB4">
              <w:rPr>
                <w:szCs w:val="18"/>
              </w:rPr>
              <w:t>h</w:t>
            </w:r>
            <w:r w:rsidRPr="009618B4">
              <w:rPr>
                <w:szCs w:val="18"/>
              </w:rPr>
              <w:t>oger onderwijs</w:t>
            </w:r>
          </w:p>
        </w:tc>
        <w:tc>
          <w:tcPr>
            <w:tcW w:w="4961" w:type="dxa"/>
          </w:tcPr>
          <w:p w:rsidRPr="00B25D55" w:rsidR="006A44BE" w:rsidP="006A44BE" w:rsidRDefault="006A44BE" w14:paraId="0C0A0BC1" w14:textId="487C6F0D">
            <w:pPr>
              <w:rPr>
                <w:szCs w:val="18"/>
                <w:lang w:eastAsia="en-US"/>
              </w:rPr>
            </w:pPr>
            <w:r w:rsidRPr="009618B4">
              <w:rPr>
                <w:szCs w:val="18"/>
              </w:rPr>
              <w:t>Nadere uitwerking van de doorontwikkeling van het kwaliteitszorgstelsel hoger onderwijs</w:t>
            </w:r>
            <w:r w:rsidR="00722CB4">
              <w:rPr>
                <w:szCs w:val="18"/>
              </w:rPr>
              <w:t>.</w:t>
            </w:r>
          </w:p>
        </w:tc>
      </w:tr>
      <w:tr w:rsidRPr="005D376C" w:rsidR="00900512" w:rsidTr="009A6604" w14:paraId="2F1B887C" w14:textId="77777777">
        <w:tc>
          <w:tcPr>
            <w:tcW w:w="1653" w:type="dxa"/>
          </w:tcPr>
          <w:p w:rsidRPr="003130E2" w:rsidR="00900512" w:rsidP="00900512" w:rsidRDefault="00900512" w14:paraId="3873A8D3" w14:textId="2BF6262E">
            <w:pPr>
              <w:rPr>
                <w:szCs w:val="18"/>
              </w:rPr>
            </w:pPr>
            <w:r>
              <w:rPr>
                <w:rFonts w:cstheme="minorHAnsi"/>
                <w:szCs w:val="18"/>
              </w:rPr>
              <w:t>Onderzoek</w:t>
            </w:r>
          </w:p>
        </w:tc>
        <w:tc>
          <w:tcPr>
            <w:tcW w:w="2175" w:type="dxa"/>
          </w:tcPr>
          <w:p w:rsidRPr="009618B4" w:rsidR="00900512" w:rsidP="00900512" w:rsidRDefault="00900512" w14:paraId="15F4CE89" w14:textId="77777777">
            <w:pPr>
              <w:rPr>
                <w:color w:val="000000" w:themeColor="text1"/>
                <w:szCs w:val="18"/>
              </w:rPr>
            </w:pPr>
            <w:r w:rsidRPr="009618B4">
              <w:rPr>
                <w:color w:val="000000" w:themeColor="text1"/>
                <w:szCs w:val="18"/>
              </w:rPr>
              <w:t>Evaluatie subsidie Stichting AAP</w:t>
            </w:r>
          </w:p>
          <w:p w:rsidRPr="003130E2" w:rsidR="00900512" w:rsidP="00900512" w:rsidRDefault="00900512" w14:paraId="48206E35" w14:textId="58E61C8A">
            <w:pPr>
              <w:rPr>
                <w:szCs w:val="18"/>
              </w:rPr>
            </w:pPr>
          </w:p>
        </w:tc>
        <w:tc>
          <w:tcPr>
            <w:tcW w:w="4961" w:type="dxa"/>
          </w:tcPr>
          <w:p w:rsidRPr="00F45B04" w:rsidR="00900512" w:rsidP="00900512" w:rsidRDefault="00900512" w14:paraId="1F30D301" w14:textId="5D99066B">
            <w:pPr>
              <w:rPr>
                <w:color w:val="000000" w:themeColor="text1"/>
                <w:szCs w:val="18"/>
              </w:rPr>
            </w:pPr>
            <w:r w:rsidRPr="009618B4">
              <w:rPr>
                <w:color w:val="000000" w:themeColor="text1"/>
                <w:szCs w:val="18"/>
              </w:rPr>
              <w:t>De Kamer wordt geïnformeerd over de evaluatie van de subsidie van Stichting AAP (</w:t>
            </w:r>
            <w:proofErr w:type="spellStart"/>
            <w:r w:rsidRPr="009618B4">
              <w:rPr>
                <w:color w:val="000000" w:themeColor="text1"/>
                <w:szCs w:val="18"/>
              </w:rPr>
              <w:t>Animal</w:t>
            </w:r>
            <w:proofErr w:type="spellEnd"/>
            <w:r w:rsidRPr="009618B4">
              <w:rPr>
                <w:color w:val="000000" w:themeColor="text1"/>
                <w:szCs w:val="18"/>
              </w:rPr>
              <w:t xml:space="preserve"> </w:t>
            </w:r>
            <w:proofErr w:type="spellStart"/>
            <w:r w:rsidRPr="009618B4">
              <w:rPr>
                <w:color w:val="000000" w:themeColor="text1"/>
                <w:szCs w:val="18"/>
              </w:rPr>
              <w:t>Advocacy</w:t>
            </w:r>
            <w:proofErr w:type="spellEnd"/>
            <w:r w:rsidRPr="009618B4">
              <w:rPr>
                <w:color w:val="000000" w:themeColor="text1"/>
                <w:szCs w:val="18"/>
              </w:rPr>
              <w:t xml:space="preserve"> </w:t>
            </w:r>
            <w:proofErr w:type="spellStart"/>
            <w:r w:rsidRPr="009618B4">
              <w:rPr>
                <w:color w:val="000000" w:themeColor="text1"/>
                <w:szCs w:val="18"/>
              </w:rPr>
              <w:t>and</w:t>
            </w:r>
            <w:proofErr w:type="spellEnd"/>
            <w:r w:rsidRPr="009618B4">
              <w:rPr>
                <w:color w:val="000000" w:themeColor="text1"/>
                <w:szCs w:val="18"/>
              </w:rPr>
              <w:t xml:space="preserve"> </w:t>
            </w:r>
            <w:proofErr w:type="spellStart"/>
            <w:r w:rsidRPr="009618B4">
              <w:rPr>
                <w:color w:val="000000" w:themeColor="text1"/>
                <w:szCs w:val="18"/>
              </w:rPr>
              <w:t>Protection</w:t>
            </w:r>
            <w:proofErr w:type="spellEnd"/>
            <w:r w:rsidRPr="009618B4">
              <w:rPr>
                <w:color w:val="000000" w:themeColor="text1"/>
                <w:szCs w:val="18"/>
              </w:rPr>
              <w:t>).</w:t>
            </w:r>
          </w:p>
        </w:tc>
      </w:tr>
      <w:tr w:rsidRPr="003130E2" w:rsidR="00900512" w:rsidTr="009A6604" w14:paraId="7914CEDC" w14:textId="77777777">
        <w:tc>
          <w:tcPr>
            <w:tcW w:w="1653" w:type="dxa"/>
          </w:tcPr>
          <w:p w:rsidRPr="003130E2" w:rsidR="00900512" w:rsidP="00900512" w:rsidRDefault="00900512" w14:paraId="4E4FBC96" w14:textId="1E9D804B">
            <w:pPr>
              <w:rPr>
                <w:szCs w:val="18"/>
              </w:rPr>
            </w:pPr>
            <w:r>
              <w:rPr>
                <w:rFonts w:cstheme="minorHAnsi"/>
                <w:szCs w:val="18"/>
              </w:rPr>
              <w:t>Onderzoek</w:t>
            </w:r>
          </w:p>
        </w:tc>
        <w:tc>
          <w:tcPr>
            <w:tcW w:w="2175" w:type="dxa"/>
          </w:tcPr>
          <w:p w:rsidRPr="003130E2" w:rsidR="00900512" w:rsidP="00900512" w:rsidRDefault="00900512" w14:paraId="6402A187" w14:textId="11C8DD75">
            <w:pPr>
              <w:rPr>
                <w:szCs w:val="18"/>
              </w:rPr>
            </w:pPr>
            <w:r w:rsidRPr="009618B4">
              <w:rPr>
                <w:szCs w:val="18"/>
              </w:rPr>
              <w:t>Reactie op instellingsevaluatie KNAW</w:t>
            </w:r>
          </w:p>
        </w:tc>
        <w:tc>
          <w:tcPr>
            <w:tcW w:w="4961" w:type="dxa"/>
          </w:tcPr>
          <w:p w:rsidRPr="00F45B04" w:rsidR="00900512" w:rsidP="00F45B04" w:rsidRDefault="00900512" w14:paraId="53FBAC7B" w14:textId="55380FBD">
            <w:pPr>
              <w:rPr>
                <w:b/>
                <w:bCs/>
                <w:szCs w:val="18"/>
              </w:rPr>
            </w:pPr>
            <w:r w:rsidRPr="009618B4">
              <w:rPr>
                <w:szCs w:val="18"/>
              </w:rPr>
              <w:t xml:space="preserve">Deze brief bevat de reactie op de evaluatie van de Koninklijke Nederlandse </w:t>
            </w:r>
            <w:proofErr w:type="spellStart"/>
            <w:r w:rsidRPr="009618B4">
              <w:rPr>
                <w:szCs w:val="18"/>
              </w:rPr>
              <w:t>Akademie</w:t>
            </w:r>
            <w:proofErr w:type="spellEnd"/>
            <w:r w:rsidRPr="009618B4">
              <w:rPr>
                <w:szCs w:val="18"/>
              </w:rPr>
              <w:t xml:space="preserve"> van Wetenschappen, uitgevoerd in 2025-2026</w:t>
            </w:r>
            <w:r w:rsidR="0038682D">
              <w:rPr>
                <w:szCs w:val="18"/>
              </w:rPr>
              <w:t xml:space="preserve">. </w:t>
            </w:r>
          </w:p>
        </w:tc>
      </w:tr>
      <w:tr w:rsidRPr="00E2080F" w:rsidR="00900512" w:rsidTr="009A6604" w14:paraId="4BCEC32B" w14:textId="77777777">
        <w:tc>
          <w:tcPr>
            <w:tcW w:w="1653" w:type="dxa"/>
          </w:tcPr>
          <w:p w:rsidRPr="003130E2" w:rsidR="00900512" w:rsidP="00900512" w:rsidRDefault="00900512" w14:paraId="2E50C882" w14:textId="4DB94C0F">
            <w:pPr>
              <w:rPr>
                <w:szCs w:val="18"/>
              </w:rPr>
            </w:pPr>
            <w:r>
              <w:rPr>
                <w:rFonts w:cstheme="minorHAnsi"/>
                <w:szCs w:val="18"/>
              </w:rPr>
              <w:t>Onderzoek</w:t>
            </w:r>
          </w:p>
        </w:tc>
        <w:tc>
          <w:tcPr>
            <w:tcW w:w="2175" w:type="dxa"/>
          </w:tcPr>
          <w:p w:rsidRPr="002E0D5E" w:rsidR="00900512" w:rsidP="00900512" w:rsidRDefault="00900512" w14:paraId="6C28DCFE" w14:textId="168965F6">
            <w:pPr>
              <w:rPr>
                <w:szCs w:val="18"/>
              </w:rPr>
            </w:pPr>
            <w:r w:rsidRPr="009618B4">
              <w:rPr>
                <w:szCs w:val="18"/>
              </w:rPr>
              <w:t>AWTI-werkprogramma 2027</w:t>
            </w:r>
          </w:p>
        </w:tc>
        <w:tc>
          <w:tcPr>
            <w:tcW w:w="4961" w:type="dxa"/>
          </w:tcPr>
          <w:p w:rsidRPr="009618B4" w:rsidR="00900512" w:rsidP="00900512" w:rsidRDefault="00900512" w14:paraId="30195793" w14:textId="77777777">
            <w:pPr>
              <w:rPr>
                <w:b/>
                <w:bCs/>
                <w:szCs w:val="18"/>
              </w:rPr>
            </w:pPr>
            <w:r w:rsidRPr="009618B4">
              <w:rPr>
                <w:szCs w:val="18"/>
              </w:rPr>
              <w:t>De Kamer ontvangt jaarlijks op Prinsjesdag het werkprogramma van de AWTI.</w:t>
            </w:r>
          </w:p>
          <w:p w:rsidRPr="00E2080F" w:rsidR="00900512" w:rsidP="00900512" w:rsidRDefault="00900512" w14:paraId="76B2FE32" w14:textId="540515AE">
            <w:pPr>
              <w:keepNext/>
              <w:spacing w:after="60"/>
              <w:rPr>
                <w:szCs w:val="18"/>
              </w:rPr>
            </w:pPr>
          </w:p>
        </w:tc>
      </w:tr>
      <w:tr w:rsidRPr="002E0D5E" w:rsidR="00900512" w:rsidTr="009A6604" w14:paraId="59234BD0" w14:textId="77777777">
        <w:tc>
          <w:tcPr>
            <w:tcW w:w="1653" w:type="dxa"/>
          </w:tcPr>
          <w:p w:rsidRPr="003130E2" w:rsidR="00900512" w:rsidP="00900512" w:rsidRDefault="00900512" w14:paraId="56221DF7" w14:textId="31AFEA0A">
            <w:pPr>
              <w:rPr>
                <w:szCs w:val="18"/>
              </w:rPr>
            </w:pPr>
            <w:r>
              <w:rPr>
                <w:rFonts w:cstheme="minorHAnsi"/>
                <w:szCs w:val="18"/>
              </w:rPr>
              <w:t>Onderzoek</w:t>
            </w:r>
          </w:p>
        </w:tc>
        <w:tc>
          <w:tcPr>
            <w:tcW w:w="2175" w:type="dxa"/>
          </w:tcPr>
          <w:p w:rsidRPr="003130E2" w:rsidR="00900512" w:rsidP="00900512" w:rsidRDefault="00900512" w14:paraId="75E4624C" w14:textId="15D70C0F">
            <w:pPr>
              <w:rPr>
                <w:szCs w:val="18"/>
              </w:rPr>
            </w:pPr>
            <w:r w:rsidRPr="009618B4">
              <w:rPr>
                <w:szCs w:val="18"/>
              </w:rPr>
              <w:t>Reactie op het AWTI-advies inzake het institutenlandschap</w:t>
            </w:r>
          </w:p>
        </w:tc>
        <w:tc>
          <w:tcPr>
            <w:tcW w:w="4961" w:type="dxa"/>
          </w:tcPr>
          <w:p w:rsidRPr="00F45B04" w:rsidR="00900512" w:rsidP="00900512" w:rsidRDefault="00900512" w14:paraId="23971FA0" w14:textId="14C1CE13">
            <w:pPr>
              <w:rPr>
                <w:szCs w:val="18"/>
              </w:rPr>
            </w:pPr>
            <w:r w:rsidRPr="009618B4">
              <w:rPr>
                <w:szCs w:val="18"/>
              </w:rPr>
              <w:t>De Kamer ontvangt de reactie op het advies van de AWTI inzake het institutenlandschap</w:t>
            </w:r>
            <w:r w:rsidR="002B4F57">
              <w:rPr>
                <w:szCs w:val="18"/>
              </w:rPr>
              <w:t>.</w:t>
            </w:r>
          </w:p>
          <w:p w:rsidRPr="002E0D5E" w:rsidR="00900512" w:rsidP="00900512" w:rsidRDefault="00900512" w14:paraId="559BE815" w14:textId="13517BCB">
            <w:pPr>
              <w:rPr>
                <w:szCs w:val="18"/>
              </w:rPr>
            </w:pPr>
          </w:p>
        </w:tc>
      </w:tr>
      <w:tr w:rsidRPr="008E0D39" w:rsidR="00900512" w:rsidTr="009A6604" w14:paraId="0353BB13" w14:textId="77777777">
        <w:tc>
          <w:tcPr>
            <w:tcW w:w="1653" w:type="dxa"/>
          </w:tcPr>
          <w:p w:rsidRPr="008E0D39" w:rsidR="00900512" w:rsidP="00900512" w:rsidRDefault="00900512" w14:paraId="3A2050C4" w14:textId="7CF12069">
            <w:pPr>
              <w:rPr>
                <w:szCs w:val="18"/>
              </w:rPr>
            </w:pPr>
            <w:r>
              <w:rPr>
                <w:rFonts w:cstheme="minorHAnsi"/>
                <w:szCs w:val="18"/>
              </w:rPr>
              <w:t>Onderzoek</w:t>
            </w:r>
          </w:p>
        </w:tc>
        <w:tc>
          <w:tcPr>
            <w:tcW w:w="2175" w:type="dxa"/>
          </w:tcPr>
          <w:p w:rsidR="00900512" w:rsidP="00900512" w:rsidRDefault="00900512" w14:paraId="04C73FC1" w14:textId="77A4F10D">
            <w:pPr>
              <w:rPr>
                <w:rFonts w:cstheme="minorBidi"/>
                <w:szCs w:val="18"/>
              </w:rPr>
            </w:pPr>
            <w:r w:rsidRPr="009618B4">
              <w:rPr>
                <w:szCs w:val="18"/>
              </w:rPr>
              <w:t>Beleidsreactie op uitkomsten evaluatie Erkennen &amp; Waarderen</w:t>
            </w:r>
          </w:p>
        </w:tc>
        <w:tc>
          <w:tcPr>
            <w:tcW w:w="4961" w:type="dxa"/>
          </w:tcPr>
          <w:p w:rsidRPr="009618B4" w:rsidR="00900512" w:rsidP="00900512" w:rsidRDefault="00900512" w14:paraId="0DC06BD9" w14:textId="77777777">
            <w:pPr>
              <w:rPr>
                <w:b/>
                <w:bCs/>
                <w:szCs w:val="18"/>
              </w:rPr>
            </w:pPr>
            <w:r w:rsidRPr="009618B4">
              <w:rPr>
                <w:szCs w:val="18"/>
              </w:rPr>
              <w:t>Deze brief bevat de beleidsreactie op de evaluatie van het programma Erkennen &amp; Waarderen.</w:t>
            </w:r>
          </w:p>
          <w:p w:rsidRPr="008E0D39" w:rsidR="00900512" w:rsidP="00900512" w:rsidRDefault="00900512" w14:paraId="6AE58CB4" w14:textId="236FACB2">
            <w:pPr>
              <w:rPr>
                <w:szCs w:val="18"/>
              </w:rPr>
            </w:pPr>
          </w:p>
        </w:tc>
      </w:tr>
      <w:tr w:rsidRPr="008E0D39" w:rsidR="00900512" w:rsidTr="009A6604" w14:paraId="0A3326EB" w14:textId="77777777">
        <w:tc>
          <w:tcPr>
            <w:tcW w:w="1653" w:type="dxa"/>
          </w:tcPr>
          <w:p w:rsidRPr="00BC396B" w:rsidR="00900512" w:rsidP="00900512" w:rsidRDefault="00900512" w14:paraId="1B9DA003" w14:textId="2892E395">
            <w:pPr>
              <w:rPr>
                <w:szCs w:val="18"/>
                <w:lang w:eastAsia="en-US"/>
              </w:rPr>
            </w:pPr>
            <w:r>
              <w:rPr>
                <w:rFonts w:cstheme="minorHAnsi"/>
                <w:szCs w:val="18"/>
              </w:rPr>
              <w:t>Onderzoek</w:t>
            </w:r>
          </w:p>
        </w:tc>
        <w:tc>
          <w:tcPr>
            <w:tcW w:w="2175" w:type="dxa"/>
          </w:tcPr>
          <w:p w:rsidR="00900512" w:rsidP="00900512" w:rsidRDefault="00900512" w14:paraId="09105375" w14:textId="515791C3">
            <w:pPr>
              <w:rPr>
                <w:rFonts w:cstheme="minorBidi"/>
                <w:szCs w:val="18"/>
              </w:rPr>
            </w:pPr>
            <w:r w:rsidRPr="009618B4">
              <w:rPr>
                <w:color w:val="000000" w:themeColor="text1"/>
                <w:szCs w:val="18"/>
              </w:rPr>
              <w:t>Brief inzake de periodieke rapportage over het onderzoek en wetenschapsbeleid in 202</w:t>
            </w:r>
            <w:r w:rsidR="00CF26F7">
              <w:rPr>
                <w:color w:val="000000" w:themeColor="text1"/>
                <w:szCs w:val="18"/>
              </w:rPr>
              <w:t>7</w:t>
            </w:r>
          </w:p>
        </w:tc>
        <w:tc>
          <w:tcPr>
            <w:tcW w:w="4961" w:type="dxa"/>
          </w:tcPr>
          <w:p w:rsidRPr="00CF26F7" w:rsidR="00900512" w:rsidP="00900512" w:rsidRDefault="00900512" w14:paraId="525E641A" w14:textId="6EDC6D4D">
            <w:pPr>
              <w:rPr>
                <w:b/>
                <w:bCs/>
                <w:color w:val="000000" w:themeColor="text1"/>
                <w:szCs w:val="18"/>
              </w:rPr>
            </w:pPr>
            <w:r w:rsidRPr="009618B4">
              <w:rPr>
                <w:color w:val="000000" w:themeColor="text1"/>
                <w:szCs w:val="18"/>
              </w:rPr>
              <w:t>Voor Prinsjesdag 2026 ontvangt uw Kamer een brief inzake de invulling van de periodieke rapportage over het onderzoek en</w:t>
            </w:r>
            <w:r w:rsidR="00CF26F7">
              <w:rPr>
                <w:color w:val="000000" w:themeColor="text1"/>
                <w:szCs w:val="18"/>
              </w:rPr>
              <w:t xml:space="preserve"> </w:t>
            </w:r>
            <w:r w:rsidRPr="009618B4">
              <w:rPr>
                <w:color w:val="000000" w:themeColor="text1"/>
                <w:szCs w:val="18"/>
              </w:rPr>
              <w:t>wetenschapsbeleid in de periode 2021-2027</w:t>
            </w:r>
            <w:r w:rsidR="00CF26F7">
              <w:rPr>
                <w:color w:val="000000" w:themeColor="text1"/>
                <w:szCs w:val="18"/>
              </w:rPr>
              <w:t xml:space="preserve"> </w:t>
            </w:r>
            <w:r w:rsidRPr="009618B4">
              <w:rPr>
                <w:color w:val="000000" w:themeColor="text1"/>
                <w:szCs w:val="18"/>
              </w:rPr>
              <w:t>inclusief het syntheseonderzoek van het fonds voor onderzoek en wetenschap</w:t>
            </w:r>
            <w:r w:rsidR="00CF26F7">
              <w:rPr>
                <w:color w:val="000000" w:themeColor="text1"/>
                <w:szCs w:val="18"/>
              </w:rPr>
              <w:t xml:space="preserve">. </w:t>
            </w:r>
          </w:p>
        </w:tc>
      </w:tr>
      <w:tr w:rsidRPr="008E0D39" w:rsidR="00900512" w:rsidTr="009A6604" w14:paraId="0C1B5808" w14:textId="77777777">
        <w:tc>
          <w:tcPr>
            <w:tcW w:w="1653" w:type="dxa"/>
          </w:tcPr>
          <w:p w:rsidRPr="00BC396B" w:rsidR="00900512" w:rsidP="00900512" w:rsidRDefault="00900512" w14:paraId="17994F14" w14:textId="0AF8B59B">
            <w:pPr>
              <w:rPr>
                <w:szCs w:val="18"/>
                <w:lang w:eastAsia="en-US"/>
              </w:rPr>
            </w:pPr>
            <w:r>
              <w:rPr>
                <w:rFonts w:cstheme="minorHAnsi"/>
                <w:szCs w:val="18"/>
              </w:rPr>
              <w:t>Onderzoek</w:t>
            </w:r>
          </w:p>
        </w:tc>
        <w:tc>
          <w:tcPr>
            <w:tcW w:w="2175" w:type="dxa"/>
          </w:tcPr>
          <w:p w:rsidR="00900512" w:rsidP="00900512" w:rsidRDefault="00900512" w14:paraId="6F7B7F37" w14:textId="059A56C8">
            <w:pPr>
              <w:rPr>
                <w:rFonts w:cstheme="minorBidi"/>
                <w:szCs w:val="18"/>
              </w:rPr>
            </w:pPr>
            <w:r w:rsidRPr="009618B4">
              <w:rPr>
                <w:color w:val="000000" w:themeColor="text1"/>
                <w:szCs w:val="18"/>
              </w:rPr>
              <w:t>Tussentijdse evaluatie Subsidieregeling Matching Horizon Europe</w:t>
            </w:r>
          </w:p>
        </w:tc>
        <w:tc>
          <w:tcPr>
            <w:tcW w:w="4961" w:type="dxa"/>
          </w:tcPr>
          <w:p w:rsidRPr="009618B4" w:rsidR="00900512" w:rsidP="00900512" w:rsidRDefault="00900512" w14:paraId="0CFFF380" w14:textId="77777777">
            <w:pPr>
              <w:rPr>
                <w:color w:val="000000" w:themeColor="text1"/>
                <w:szCs w:val="18"/>
              </w:rPr>
            </w:pPr>
            <w:r w:rsidRPr="009618B4">
              <w:rPr>
                <w:szCs w:val="18"/>
              </w:rPr>
              <w:t xml:space="preserve">Deze brief betreft de aanbieding van de tussentijdse evaluatie van de Subsidieregeling Matching Horizon Europe en de reactie daarop.  </w:t>
            </w:r>
          </w:p>
          <w:p w:rsidRPr="008E0D39" w:rsidR="00900512" w:rsidP="00900512" w:rsidRDefault="00900512" w14:paraId="6FCC4FB9" w14:textId="77777777">
            <w:pPr>
              <w:rPr>
                <w:szCs w:val="18"/>
              </w:rPr>
            </w:pPr>
          </w:p>
        </w:tc>
      </w:tr>
      <w:tr w:rsidRPr="008E0D39" w:rsidR="00900512" w:rsidTr="009A6604" w14:paraId="5738C850" w14:textId="77777777">
        <w:tc>
          <w:tcPr>
            <w:tcW w:w="1653" w:type="dxa"/>
          </w:tcPr>
          <w:p w:rsidRPr="00BC396B" w:rsidR="00900512" w:rsidP="00900512" w:rsidRDefault="00900512" w14:paraId="613793F9" w14:textId="31CF985F">
            <w:pPr>
              <w:rPr>
                <w:szCs w:val="18"/>
                <w:lang w:eastAsia="en-US"/>
              </w:rPr>
            </w:pPr>
            <w:r>
              <w:rPr>
                <w:rFonts w:cstheme="minorHAnsi"/>
                <w:szCs w:val="18"/>
              </w:rPr>
              <w:t>Onderzoek</w:t>
            </w:r>
          </w:p>
        </w:tc>
        <w:tc>
          <w:tcPr>
            <w:tcW w:w="2175" w:type="dxa"/>
          </w:tcPr>
          <w:p w:rsidR="00900512" w:rsidP="00900512" w:rsidRDefault="00900512" w14:paraId="2C34A351" w14:textId="522D3BDB">
            <w:pPr>
              <w:rPr>
                <w:rFonts w:cstheme="minorBidi"/>
                <w:szCs w:val="18"/>
              </w:rPr>
            </w:pPr>
            <w:r w:rsidRPr="009618B4">
              <w:rPr>
                <w:color w:val="000000" w:themeColor="text1"/>
                <w:szCs w:val="18"/>
              </w:rPr>
              <w:t xml:space="preserve">Tussentijdse evaluatie Sectorplannen 2022-2028 </w:t>
            </w:r>
          </w:p>
        </w:tc>
        <w:tc>
          <w:tcPr>
            <w:tcW w:w="4961" w:type="dxa"/>
          </w:tcPr>
          <w:p w:rsidRPr="009618B4" w:rsidR="00900512" w:rsidP="00900512" w:rsidRDefault="00900512" w14:paraId="2C5E2FE7" w14:textId="527DA4D3">
            <w:pPr>
              <w:rPr>
                <w:color w:val="000000" w:themeColor="text1"/>
                <w:szCs w:val="18"/>
              </w:rPr>
            </w:pPr>
            <w:r w:rsidRPr="009618B4">
              <w:rPr>
                <w:szCs w:val="18"/>
              </w:rPr>
              <w:t>Deze brief van de tussentijdse evaluatie van de</w:t>
            </w:r>
            <w:r w:rsidRPr="009618B4">
              <w:rPr>
                <w:color w:val="000000" w:themeColor="text1"/>
                <w:szCs w:val="18"/>
              </w:rPr>
              <w:t xml:space="preserve"> Sectorplannen 2022-2028 en de reactie daarop. </w:t>
            </w:r>
          </w:p>
          <w:p w:rsidRPr="008E0D39" w:rsidR="00900512" w:rsidP="00900512" w:rsidRDefault="00900512" w14:paraId="7A6A3323" w14:textId="77777777">
            <w:pPr>
              <w:rPr>
                <w:szCs w:val="18"/>
              </w:rPr>
            </w:pPr>
          </w:p>
        </w:tc>
      </w:tr>
      <w:tr w:rsidRPr="008E0D39" w:rsidR="000E39A5" w:rsidTr="009A6604" w14:paraId="4A1F3ED4" w14:textId="77777777">
        <w:tc>
          <w:tcPr>
            <w:tcW w:w="1653" w:type="dxa"/>
          </w:tcPr>
          <w:p w:rsidR="000E39A5" w:rsidP="000E39A5" w:rsidRDefault="000E39A5" w14:paraId="384C464A" w14:textId="10C32B86">
            <w:pPr>
              <w:rPr>
                <w:rFonts w:cstheme="minorHAnsi"/>
                <w:szCs w:val="18"/>
              </w:rPr>
            </w:pPr>
            <w:r>
              <w:rPr>
                <w:rFonts w:cstheme="minorHAnsi"/>
                <w:szCs w:val="18"/>
              </w:rPr>
              <w:t>Media</w:t>
            </w:r>
          </w:p>
        </w:tc>
        <w:tc>
          <w:tcPr>
            <w:tcW w:w="2175" w:type="dxa"/>
          </w:tcPr>
          <w:p w:rsidRPr="009618B4" w:rsidR="000E39A5" w:rsidP="000E39A5" w:rsidRDefault="000E39A5" w14:paraId="613156B4" w14:textId="468CE7E8">
            <w:pPr>
              <w:rPr>
                <w:color w:val="000000" w:themeColor="text1"/>
                <w:szCs w:val="18"/>
              </w:rPr>
            </w:pPr>
            <w:r w:rsidRPr="009618B4">
              <w:rPr>
                <w:szCs w:val="18"/>
              </w:rPr>
              <w:t>Beleidsnota Journalistiek</w:t>
            </w:r>
          </w:p>
        </w:tc>
        <w:tc>
          <w:tcPr>
            <w:tcW w:w="4961" w:type="dxa"/>
          </w:tcPr>
          <w:p w:rsidRPr="009618B4" w:rsidR="000E39A5" w:rsidP="000E39A5" w:rsidRDefault="000E39A5" w14:paraId="3CD81EB8" w14:textId="75B52F3E">
            <w:pPr>
              <w:rPr>
                <w:szCs w:val="18"/>
              </w:rPr>
            </w:pPr>
            <w:r w:rsidRPr="009618B4">
              <w:rPr>
                <w:szCs w:val="18"/>
              </w:rPr>
              <w:t>Inzet beleid journalistiek, onder meer op de thema’s regulering</w:t>
            </w:r>
            <w:r w:rsidRPr="00CF26F7">
              <w:rPr>
                <w:i/>
                <w:iCs/>
                <w:szCs w:val="18"/>
              </w:rPr>
              <w:t>,</w:t>
            </w:r>
            <w:r w:rsidRPr="00CF26F7" w:rsidR="00CF26F7">
              <w:rPr>
                <w:i/>
                <w:iCs/>
                <w:szCs w:val="18"/>
              </w:rPr>
              <w:t xml:space="preserve"> big </w:t>
            </w:r>
            <w:proofErr w:type="spellStart"/>
            <w:r w:rsidRPr="00CF26F7" w:rsidR="00CF26F7">
              <w:rPr>
                <w:i/>
                <w:iCs/>
                <w:szCs w:val="18"/>
              </w:rPr>
              <w:t>tech</w:t>
            </w:r>
            <w:proofErr w:type="spellEnd"/>
            <w:r w:rsidR="00CF26F7">
              <w:rPr>
                <w:szCs w:val="18"/>
              </w:rPr>
              <w:t>,</w:t>
            </w:r>
            <w:r w:rsidRPr="009618B4">
              <w:rPr>
                <w:szCs w:val="18"/>
              </w:rPr>
              <w:t xml:space="preserve"> lokale en regionale journalistiek, prominentie, betrouwbare informatie en desinformatie, vertrouwen in nieuws en mediawijsheid</w:t>
            </w:r>
            <w:r w:rsidR="00CF26F7">
              <w:rPr>
                <w:szCs w:val="18"/>
              </w:rPr>
              <w:t>.</w:t>
            </w:r>
          </w:p>
        </w:tc>
      </w:tr>
      <w:tr w:rsidRPr="008E0D39" w:rsidR="000E39A5" w:rsidTr="009A6604" w14:paraId="5A8FB799" w14:textId="77777777">
        <w:tc>
          <w:tcPr>
            <w:tcW w:w="1653" w:type="dxa"/>
          </w:tcPr>
          <w:p w:rsidR="000E39A5" w:rsidP="000E39A5" w:rsidRDefault="000E39A5" w14:paraId="022512A3" w14:textId="6DBA0DAD">
            <w:pPr>
              <w:rPr>
                <w:rFonts w:cstheme="minorHAnsi"/>
                <w:szCs w:val="18"/>
              </w:rPr>
            </w:pPr>
            <w:r>
              <w:rPr>
                <w:rFonts w:cstheme="minorHAnsi"/>
                <w:szCs w:val="18"/>
              </w:rPr>
              <w:t>Media</w:t>
            </w:r>
          </w:p>
        </w:tc>
        <w:tc>
          <w:tcPr>
            <w:tcW w:w="2175" w:type="dxa"/>
          </w:tcPr>
          <w:p w:rsidRPr="009618B4" w:rsidR="000E39A5" w:rsidP="000E39A5" w:rsidRDefault="000E39A5" w14:paraId="6348A97D" w14:textId="04241C31">
            <w:pPr>
              <w:rPr>
                <w:color w:val="000000" w:themeColor="text1"/>
                <w:szCs w:val="18"/>
              </w:rPr>
            </w:pPr>
            <w:r w:rsidRPr="009618B4">
              <w:rPr>
                <w:szCs w:val="18"/>
              </w:rPr>
              <w:t xml:space="preserve">Evaluatie middelen </w:t>
            </w:r>
            <w:proofErr w:type="spellStart"/>
            <w:r w:rsidRPr="009618B4">
              <w:rPr>
                <w:szCs w:val="18"/>
              </w:rPr>
              <w:t>onderzoeks</w:t>
            </w:r>
            <w:r w:rsidR="00CF26F7">
              <w:rPr>
                <w:szCs w:val="18"/>
              </w:rPr>
              <w:t>-</w:t>
            </w:r>
            <w:r w:rsidRPr="009618B4">
              <w:rPr>
                <w:szCs w:val="18"/>
              </w:rPr>
              <w:t>journalistiek</w:t>
            </w:r>
            <w:proofErr w:type="spellEnd"/>
          </w:p>
        </w:tc>
        <w:tc>
          <w:tcPr>
            <w:tcW w:w="4961" w:type="dxa"/>
          </w:tcPr>
          <w:p w:rsidRPr="009618B4" w:rsidR="000E39A5" w:rsidP="000E39A5" w:rsidRDefault="000E39A5" w14:paraId="759B1C0B" w14:textId="669B5755">
            <w:pPr>
              <w:rPr>
                <w:szCs w:val="18"/>
              </w:rPr>
            </w:pPr>
            <w:r w:rsidRPr="009618B4">
              <w:rPr>
                <w:szCs w:val="18"/>
              </w:rPr>
              <w:t>Uitkomsten evaluatie besteding middelen ten behoeve onderzoeksjournalistiek door de twee journalistieke fondsen</w:t>
            </w:r>
            <w:r w:rsidR="00CF26F7">
              <w:rPr>
                <w:szCs w:val="18"/>
              </w:rPr>
              <w:t>.</w:t>
            </w:r>
          </w:p>
        </w:tc>
      </w:tr>
      <w:tr w:rsidRPr="008E0D39" w:rsidR="000E39A5" w:rsidTr="009A6604" w14:paraId="3E2D376C" w14:textId="77777777">
        <w:tc>
          <w:tcPr>
            <w:tcW w:w="1653" w:type="dxa"/>
          </w:tcPr>
          <w:p w:rsidR="000E39A5" w:rsidP="000E39A5" w:rsidRDefault="000E39A5" w14:paraId="313F2D65" w14:textId="7A41BF67">
            <w:pPr>
              <w:rPr>
                <w:rFonts w:cstheme="minorHAnsi"/>
                <w:szCs w:val="18"/>
              </w:rPr>
            </w:pPr>
            <w:r>
              <w:rPr>
                <w:rFonts w:cstheme="minorHAnsi"/>
                <w:szCs w:val="18"/>
              </w:rPr>
              <w:lastRenderedPageBreak/>
              <w:t>Cultuur</w:t>
            </w:r>
          </w:p>
        </w:tc>
        <w:tc>
          <w:tcPr>
            <w:tcW w:w="2175" w:type="dxa"/>
          </w:tcPr>
          <w:p w:rsidRPr="009618B4" w:rsidR="000E39A5" w:rsidP="000E39A5" w:rsidRDefault="000E39A5" w14:paraId="5FBD5501" w14:textId="274B2365">
            <w:pPr>
              <w:rPr>
                <w:szCs w:val="18"/>
              </w:rPr>
            </w:pPr>
            <w:r w:rsidRPr="009618B4">
              <w:rPr>
                <w:szCs w:val="18"/>
              </w:rPr>
              <w:t>Kamerbrief uitwerking cultuursubsidies vanaf 2029</w:t>
            </w:r>
          </w:p>
        </w:tc>
        <w:tc>
          <w:tcPr>
            <w:tcW w:w="4961" w:type="dxa"/>
          </w:tcPr>
          <w:p w:rsidRPr="009618B4" w:rsidR="000E39A5" w:rsidP="000E39A5" w:rsidRDefault="000E39A5" w14:paraId="7D72F4FB" w14:textId="0484A5BA">
            <w:pPr>
              <w:rPr>
                <w:szCs w:val="18"/>
              </w:rPr>
            </w:pPr>
            <w:r w:rsidRPr="009618B4">
              <w:rPr>
                <w:szCs w:val="18"/>
              </w:rPr>
              <w:t>De brief gaat in op de langere cultuursubsidieperiode vanaf 2029. Hierbij wordt ook ingegaan op de uitkomsten van het onderzoek geografische spreiding cultuur.</w:t>
            </w:r>
          </w:p>
        </w:tc>
      </w:tr>
      <w:tr w:rsidRPr="008E0D39" w:rsidR="000E39A5" w:rsidTr="009A6604" w14:paraId="03D6A260" w14:textId="77777777">
        <w:tc>
          <w:tcPr>
            <w:tcW w:w="1653" w:type="dxa"/>
          </w:tcPr>
          <w:p w:rsidR="000E39A5" w:rsidP="000E39A5" w:rsidRDefault="000E39A5" w14:paraId="28C4EC88" w14:textId="34ACEDBA">
            <w:pPr>
              <w:rPr>
                <w:rFonts w:cstheme="minorHAnsi"/>
                <w:szCs w:val="18"/>
              </w:rPr>
            </w:pPr>
            <w:r>
              <w:rPr>
                <w:rFonts w:cstheme="minorHAnsi"/>
                <w:szCs w:val="18"/>
              </w:rPr>
              <w:t>Cultuur</w:t>
            </w:r>
          </w:p>
        </w:tc>
        <w:tc>
          <w:tcPr>
            <w:tcW w:w="2175" w:type="dxa"/>
          </w:tcPr>
          <w:p w:rsidRPr="009618B4" w:rsidR="000E39A5" w:rsidP="000E39A5" w:rsidRDefault="000E39A5" w14:paraId="25B2F899" w14:textId="09E58CF7">
            <w:pPr>
              <w:rPr>
                <w:szCs w:val="18"/>
              </w:rPr>
            </w:pPr>
            <w:r w:rsidRPr="009618B4">
              <w:rPr>
                <w:szCs w:val="18"/>
              </w:rPr>
              <w:t>Reactie op een verkennend advies van de Raad voor Cultuur over ‘Toezicht in de culturele sector”</w:t>
            </w:r>
          </w:p>
        </w:tc>
        <w:tc>
          <w:tcPr>
            <w:tcW w:w="4961" w:type="dxa"/>
          </w:tcPr>
          <w:p w:rsidRPr="009618B4" w:rsidR="000E39A5" w:rsidP="000E39A5" w:rsidRDefault="000E39A5" w14:paraId="5DF7BB3B" w14:textId="465D869E">
            <w:pPr>
              <w:rPr>
                <w:szCs w:val="18"/>
              </w:rPr>
            </w:pPr>
            <w:r w:rsidRPr="009618B4">
              <w:rPr>
                <w:szCs w:val="18"/>
              </w:rPr>
              <w:t>De Raad voor Cultuur heeft in september 2025 een advies over ‘Toezicht in de culturele sector’ uitgebracht, middels deze brief wordt hier een reactie op gegeven.</w:t>
            </w:r>
          </w:p>
        </w:tc>
      </w:tr>
      <w:tr w:rsidRPr="008E0D39" w:rsidR="000E39A5" w:rsidTr="009A6604" w14:paraId="494FC532" w14:textId="77777777">
        <w:tc>
          <w:tcPr>
            <w:tcW w:w="1653" w:type="dxa"/>
          </w:tcPr>
          <w:p w:rsidR="000E39A5" w:rsidP="000E39A5" w:rsidRDefault="000E39A5" w14:paraId="7D7F9C9B" w14:textId="2620DD47">
            <w:pPr>
              <w:rPr>
                <w:rFonts w:cstheme="minorHAnsi"/>
                <w:szCs w:val="18"/>
              </w:rPr>
            </w:pPr>
            <w:r>
              <w:rPr>
                <w:rFonts w:cstheme="minorHAnsi"/>
                <w:szCs w:val="18"/>
              </w:rPr>
              <w:t>Cultuur</w:t>
            </w:r>
          </w:p>
        </w:tc>
        <w:tc>
          <w:tcPr>
            <w:tcW w:w="2175" w:type="dxa"/>
          </w:tcPr>
          <w:p w:rsidRPr="009618B4" w:rsidR="000E39A5" w:rsidP="000E39A5" w:rsidRDefault="000E39A5" w14:paraId="23A7D175" w14:textId="0D023FA8">
            <w:pPr>
              <w:rPr>
                <w:szCs w:val="18"/>
              </w:rPr>
            </w:pPr>
            <w:r w:rsidRPr="009618B4">
              <w:rPr>
                <w:szCs w:val="18"/>
              </w:rPr>
              <w:t>Reactie op de verkenning van de Raad voor Cultuur over ‘Financiële stabiliteit’</w:t>
            </w:r>
          </w:p>
        </w:tc>
        <w:tc>
          <w:tcPr>
            <w:tcW w:w="4961" w:type="dxa"/>
          </w:tcPr>
          <w:p w:rsidRPr="009618B4" w:rsidR="000E39A5" w:rsidP="000E39A5" w:rsidRDefault="000E39A5" w14:paraId="781B45C0" w14:textId="2A50C4DB">
            <w:pPr>
              <w:rPr>
                <w:szCs w:val="18"/>
              </w:rPr>
            </w:pPr>
            <w:r w:rsidRPr="009618B4">
              <w:rPr>
                <w:szCs w:val="18"/>
              </w:rPr>
              <w:t>De Raad voor Cultuur brengt eind 2025 een verkenning uit. De Raad is voornemens zowel in te gaan op de maatschappelijke economische context als op de financieringsmix op instellingsniveau. Middels deze brief wordt hier een reactie op gegeven.</w:t>
            </w:r>
          </w:p>
        </w:tc>
      </w:tr>
      <w:tr w:rsidRPr="008E0D39" w:rsidR="000E39A5" w:rsidTr="009A6604" w14:paraId="7C2F9A80" w14:textId="77777777">
        <w:tc>
          <w:tcPr>
            <w:tcW w:w="1653" w:type="dxa"/>
          </w:tcPr>
          <w:p w:rsidR="000E39A5" w:rsidP="000E39A5" w:rsidRDefault="000E39A5" w14:paraId="6D70CABC" w14:textId="47AAB518">
            <w:pPr>
              <w:rPr>
                <w:rFonts w:cstheme="minorHAnsi"/>
                <w:szCs w:val="18"/>
              </w:rPr>
            </w:pPr>
            <w:r>
              <w:rPr>
                <w:rFonts w:cstheme="minorHAnsi"/>
                <w:szCs w:val="18"/>
              </w:rPr>
              <w:t>Cultuur</w:t>
            </w:r>
          </w:p>
        </w:tc>
        <w:tc>
          <w:tcPr>
            <w:tcW w:w="2175" w:type="dxa"/>
          </w:tcPr>
          <w:p w:rsidRPr="009618B4" w:rsidR="000E39A5" w:rsidP="000E39A5" w:rsidRDefault="000E39A5" w14:paraId="1B1E77CC" w14:textId="779CE191">
            <w:pPr>
              <w:rPr>
                <w:szCs w:val="18"/>
              </w:rPr>
            </w:pPr>
            <w:r w:rsidRPr="009618B4">
              <w:rPr>
                <w:szCs w:val="18"/>
              </w:rPr>
              <w:t>Aanbieding werkprogramma Raad voor cultuur</w:t>
            </w:r>
          </w:p>
        </w:tc>
        <w:tc>
          <w:tcPr>
            <w:tcW w:w="4961" w:type="dxa"/>
          </w:tcPr>
          <w:p w:rsidRPr="009618B4" w:rsidR="000E39A5" w:rsidP="000E39A5" w:rsidRDefault="000E39A5" w14:paraId="7AE69D5B" w14:textId="024EC501">
            <w:pPr>
              <w:rPr>
                <w:szCs w:val="18"/>
              </w:rPr>
            </w:pPr>
            <w:r w:rsidRPr="009618B4">
              <w:rPr>
                <w:szCs w:val="18"/>
              </w:rPr>
              <w:t>Conform de Kaderwet adviescolleges wordt de Kamer geïnformeerd over het werkprogramma 2026-2027 van de Raad voor Cultuur</w:t>
            </w:r>
            <w:r w:rsidR="007B7282">
              <w:rPr>
                <w:szCs w:val="18"/>
              </w:rPr>
              <w:t>.</w:t>
            </w:r>
          </w:p>
        </w:tc>
      </w:tr>
      <w:tr w:rsidRPr="008E0D39" w:rsidR="009A6604" w:rsidTr="009A6604" w14:paraId="2E0ACFAB" w14:textId="77777777">
        <w:tc>
          <w:tcPr>
            <w:tcW w:w="8789" w:type="dxa"/>
            <w:gridSpan w:val="3"/>
            <w:shd w:val="clear" w:color="auto" w:fill="D9D9D9" w:themeFill="background1" w:themeFillShade="D9"/>
          </w:tcPr>
          <w:p w:rsidRPr="008E0D39" w:rsidR="009A6604" w:rsidP="00A712D2" w:rsidRDefault="009A6604" w14:paraId="70B6C0AE" w14:textId="678846B2">
            <w:pPr>
              <w:rPr>
                <w:szCs w:val="18"/>
              </w:rPr>
            </w:pPr>
            <w:r w:rsidRPr="008A7379">
              <w:rPr>
                <w:b/>
                <w:bCs/>
                <w:szCs w:val="18"/>
                <w:lang w:eastAsia="en-US"/>
              </w:rPr>
              <w:t>Vierde kwartaal</w:t>
            </w:r>
            <w:r w:rsidR="00177F9A">
              <w:rPr>
                <w:b/>
                <w:bCs/>
                <w:szCs w:val="18"/>
                <w:lang w:eastAsia="en-US"/>
              </w:rPr>
              <w:t xml:space="preserve"> 2026</w:t>
            </w:r>
          </w:p>
        </w:tc>
      </w:tr>
      <w:tr w:rsidRPr="002E0D5E" w:rsidR="003B25BC" w:rsidTr="009A6604" w14:paraId="5C5CCDFD" w14:textId="77777777">
        <w:tc>
          <w:tcPr>
            <w:tcW w:w="1653" w:type="dxa"/>
          </w:tcPr>
          <w:p w:rsidRPr="002E0D5E" w:rsidR="003B25BC" w:rsidP="003B25BC" w:rsidRDefault="003B25BC" w14:paraId="6FCDA1B8" w14:textId="34A7D1BA">
            <w:pPr>
              <w:rPr>
                <w:b/>
                <w:bCs/>
                <w:color w:val="FF0000"/>
                <w:szCs w:val="18"/>
              </w:rPr>
            </w:pPr>
            <w:r w:rsidRPr="003130E2">
              <w:rPr>
                <w:szCs w:val="18"/>
              </w:rPr>
              <w:t xml:space="preserve">Funderend </w:t>
            </w:r>
            <w:r>
              <w:rPr>
                <w:szCs w:val="18"/>
              </w:rPr>
              <w:t>o</w:t>
            </w:r>
            <w:r w:rsidRPr="003130E2">
              <w:rPr>
                <w:szCs w:val="18"/>
              </w:rPr>
              <w:t>nderwijs</w:t>
            </w:r>
          </w:p>
        </w:tc>
        <w:tc>
          <w:tcPr>
            <w:tcW w:w="2175" w:type="dxa"/>
          </w:tcPr>
          <w:p w:rsidR="003B25BC" w:rsidP="003B25BC" w:rsidRDefault="003B25BC" w14:paraId="3EC1FE70" w14:textId="05DF684A">
            <w:pPr>
              <w:rPr>
                <w:rFonts w:cstheme="minorBidi"/>
                <w:szCs w:val="18"/>
              </w:rPr>
            </w:pPr>
            <w:r w:rsidRPr="009618B4">
              <w:rPr>
                <w:szCs w:val="18"/>
              </w:rPr>
              <w:t>Voortgang lerarenstrategie</w:t>
            </w:r>
          </w:p>
        </w:tc>
        <w:tc>
          <w:tcPr>
            <w:tcW w:w="4961" w:type="dxa"/>
          </w:tcPr>
          <w:p w:rsidRPr="002E0D5E" w:rsidR="003B25BC" w:rsidP="003B25BC" w:rsidRDefault="003B25BC" w14:paraId="334AEC6D" w14:textId="66B09461">
            <w:pPr>
              <w:rPr>
                <w:szCs w:val="18"/>
              </w:rPr>
            </w:pPr>
            <w:r w:rsidRPr="009618B4">
              <w:rPr>
                <w:szCs w:val="18"/>
              </w:rPr>
              <w:t>Integrale beschrijving van de stand van zaken met betrekking tot de verschillende onderdelen van de Lerarenstrategie.</w:t>
            </w:r>
          </w:p>
        </w:tc>
      </w:tr>
      <w:tr w:rsidRPr="002E0D5E" w:rsidR="003B25BC" w:rsidTr="009A6604" w14:paraId="63FFF51F" w14:textId="77777777">
        <w:tc>
          <w:tcPr>
            <w:tcW w:w="1653" w:type="dxa"/>
          </w:tcPr>
          <w:p w:rsidRPr="002E0D5E" w:rsidR="003B25BC" w:rsidP="003B25BC" w:rsidRDefault="003B25BC" w14:paraId="6F574C2F" w14:textId="2CB386C1">
            <w:pPr>
              <w:rPr>
                <w:b/>
                <w:bCs/>
                <w:color w:val="FF0000"/>
                <w:szCs w:val="18"/>
              </w:rPr>
            </w:pPr>
            <w:r w:rsidRPr="003130E2">
              <w:rPr>
                <w:szCs w:val="18"/>
              </w:rPr>
              <w:t xml:space="preserve">Funderend </w:t>
            </w:r>
            <w:r>
              <w:rPr>
                <w:szCs w:val="18"/>
              </w:rPr>
              <w:t>o</w:t>
            </w:r>
            <w:r w:rsidRPr="003130E2">
              <w:rPr>
                <w:szCs w:val="18"/>
              </w:rPr>
              <w:t>nderwijs</w:t>
            </w:r>
          </w:p>
        </w:tc>
        <w:tc>
          <w:tcPr>
            <w:tcW w:w="2175" w:type="dxa"/>
          </w:tcPr>
          <w:p w:rsidR="00903193" w:rsidP="003B25BC" w:rsidRDefault="003B25BC" w14:paraId="582532DE" w14:textId="623F407A">
            <w:pPr>
              <w:rPr>
                <w:szCs w:val="18"/>
                <w:lang w:eastAsia="en-US"/>
              </w:rPr>
            </w:pPr>
            <w:r w:rsidRPr="009618B4">
              <w:rPr>
                <w:szCs w:val="18"/>
                <w:lang w:eastAsia="en-US"/>
              </w:rPr>
              <w:t xml:space="preserve">Monitor en </w:t>
            </w:r>
            <w:proofErr w:type="spellStart"/>
            <w:r w:rsidRPr="009618B4">
              <w:rPr>
                <w:szCs w:val="18"/>
                <w:lang w:eastAsia="en-US"/>
              </w:rPr>
              <w:t>voortgangs</w:t>
            </w:r>
            <w:r w:rsidR="00CF26F7">
              <w:rPr>
                <w:szCs w:val="18"/>
                <w:lang w:eastAsia="en-US"/>
              </w:rPr>
              <w:t>-</w:t>
            </w:r>
            <w:r w:rsidRPr="009618B4">
              <w:rPr>
                <w:szCs w:val="18"/>
                <w:lang w:eastAsia="en-US"/>
              </w:rPr>
              <w:t>rapportage</w:t>
            </w:r>
            <w:proofErr w:type="spellEnd"/>
            <w:r w:rsidRPr="009618B4">
              <w:rPr>
                <w:szCs w:val="18"/>
                <w:lang w:eastAsia="en-US"/>
              </w:rPr>
              <w:t xml:space="preserve"> Masterplan basisvaardigheden/</w:t>
            </w:r>
          </w:p>
          <w:p w:rsidRPr="002E0D5E" w:rsidR="003B25BC" w:rsidP="003B25BC" w:rsidRDefault="003B25BC" w14:paraId="031288C9" w14:textId="75A50E5E">
            <w:pPr>
              <w:rPr>
                <w:rFonts w:cstheme="minorBidi"/>
                <w:szCs w:val="18"/>
              </w:rPr>
            </w:pPr>
            <w:r w:rsidRPr="009618B4">
              <w:rPr>
                <w:szCs w:val="18"/>
                <w:lang w:eastAsia="en-US"/>
              </w:rPr>
              <w:t>curriculum</w:t>
            </w:r>
          </w:p>
        </w:tc>
        <w:tc>
          <w:tcPr>
            <w:tcW w:w="4961" w:type="dxa"/>
          </w:tcPr>
          <w:p w:rsidRPr="002E0D5E" w:rsidR="003B25BC" w:rsidP="003B25BC" w:rsidRDefault="003B25BC" w14:paraId="79163519" w14:textId="72968E27">
            <w:pPr>
              <w:rPr>
                <w:szCs w:val="18"/>
              </w:rPr>
            </w:pPr>
            <w:r w:rsidRPr="009618B4">
              <w:rPr>
                <w:szCs w:val="18"/>
                <w:lang w:eastAsia="en-US"/>
              </w:rPr>
              <w:t>Jaarlijkse monitoring over de stand van zaken van het Masterplan en de curriculumherziening.</w:t>
            </w:r>
          </w:p>
        </w:tc>
      </w:tr>
      <w:tr w:rsidRPr="002E0D5E" w:rsidR="003B25BC" w:rsidTr="009A6604" w14:paraId="66450DC4" w14:textId="77777777">
        <w:tc>
          <w:tcPr>
            <w:tcW w:w="1653" w:type="dxa"/>
          </w:tcPr>
          <w:p w:rsidR="003B25BC" w:rsidP="003B25BC" w:rsidRDefault="003B25BC" w14:paraId="2B49C174" w14:textId="23DEF4E0">
            <w:pPr>
              <w:rPr>
                <w:szCs w:val="18"/>
              </w:rPr>
            </w:pPr>
            <w:r>
              <w:rPr>
                <w:szCs w:val="18"/>
              </w:rPr>
              <w:t xml:space="preserve">Middelbaar </w:t>
            </w:r>
            <w:r w:rsidR="007B7282">
              <w:rPr>
                <w:szCs w:val="18"/>
              </w:rPr>
              <w:t>b</w:t>
            </w:r>
            <w:r>
              <w:rPr>
                <w:szCs w:val="18"/>
              </w:rPr>
              <w:t>eroeps</w:t>
            </w:r>
          </w:p>
          <w:p w:rsidRPr="003B25BC" w:rsidR="003B25BC" w:rsidP="003B25BC" w:rsidRDefault="003B25BC" w14:paraId="6D6B8C89" w14:textId="031FE772">
            <w:pPr>
              <w:rPr>
                <w:szCs w:val="18"/>
              </w:rPr>
            </w:pPr>
            <w:r>
              <w:rPr>
                <w:szCs w:val="18"/>
              </w:rPr>
              <w:t>onderwijs</w:t>
            </w:r>
          </w:p>
        </w:tc>
        <w:tc>
          <w:tcPr>
            <w:tcW w:w="2175" w:type="dxa"/>
          </w:tcPr>
          <w:p w:rsidRPr="002E0D5E" w:rsidR="003B25BC" w:rsidP="003B25BC" w:rsidRDefault="003B25BC" w14:paraId="51FB61A6" w14:textId="22A7E053">
            <w:pPr>
              <w:rPr>
                <w:rFonts w:cstheme="minorHAnsi"/>
                <w:szCs w:val="18"/>
              </w:rPr>
            </w:pPr>
            <w:r w:rsidRPr="009618B4">
              <w:rPr>
                <w:szCs w:val="18"/>
              </w:rPr>
              <w:t>Aanbiedingsbrief verkenning leerrekening</w:t>
            </w:r>
          </w:p>
        </w:tc>
        <w:tc>
          <w:tcPr>
            <w:tcW w:w="4961" w:type="dxa"/>
          </w:tcPr>
          <w:p w:rsidRPr="002E0D5E" w:rsidR="003B25BC" w:rsidP="003B25BC" w:rsidRDefault="003B25BC" w14:paraId="33DDFD24" w14:textId="7A745260">
            <w:pPr>
              <w:rPr>
                <w:rFonts w:cstheme="minorHAnsi"/>
                <w:szCs w:val="18"/>
              </w:rPr>
            </w:pPr>
            <w:r w:rsidRPr="009618B4">
              <w:rPr>
                <w:szCs w:val="18"/>
              </w:rPr>
              <w:t>De Kamer krijgt de verkenning voor mogelijkheden tot een leerrekening toegestuurd, met een reactie op het rapport.</w:t>
            </w:r>
          </w:p>
        </w:tc>
      </w:tr>
      <w:tr w:rsidRPr="00C17424" w:rsidR="00900512" w:rsidTr="009A6604" w14:paraId="6373EDC6" w14:textId="77777777">
        <w:tc>
          <w:tcPr>
            <w:tcW w:w="1653" w:type="dxa"/>
          </w:tcPr>
          <w:p w:rsidRPr="00B01C0F" w:rsidR="00900512" w:rsidP="00900512" w:rsidRDefault="00900512" w14:paraId="022E012F" w14:textId="43A4CADA">
            <w:pPr>
              <w:rPr>
                <w:szCs w:val="18"/>
              </w:rPr>
            </w:pPr>
            <w:r>
              <w:rPr>
                <w:szCs w:val="18"/>
              </w:rPr>
              <w:t>Onderzoek</w:t>
            </w:r>
          </w:p>
        </w:tc>
        <w:tc>
          <w:tcPr>
            <w:tcW w:w="2175" w:type="dxa"/>
          </w:tcPr>
          <w:p w:rsidRPr="00C17424" w:rsidR="00900512" w:rsidP="00900512" w:rsidRDefault="00900512" w14:paraId="39F0078B" w14:textId="660AB61C">
            <w:pPr>
              <w:rPr>
                <w:rFonts w:cstheme="minorBidi"/>
                <w:szCs w:val="18"/>
              </w:rPr>
            </w:pPr>
            <w:r w:rsidRPr="009618B4">
              <w:rPr>
                <w:szCs w:val="18"/>
              </w:rPr>
              <w:t xml:space="preserve">Voortgang aanpak kennisveiligheid </w:t>
            </w:r>
          </w:p>
        </w:tc>
        <w:tc>
          <w:tcPr>
            <w:tcW w:w="4961" w:type="dxa"/>
          </w:tcPr>
          <w:p w:rsidRPr="009618B4" w:rsidR="00900512" w:rsidP="00900512" w:rsidRDefault="00900512" w14:paraId="43F93639" w14:textId="77777777">
            <w:pPr>
              <w:rPr>
                <w:b/>
                <w:bCs/>
                <w:szCs w:val="18"/>
              </w:rPr>
            </w:pPr>
            <w:r w:rsidRPr="009618B4">
              <w:rPr>
                <w:szCs w:val="18"/>
              </w:rPr>
              <w:t>De Kamer wordt geïnformeerd over de stand van zaken van de aanpak kennisveiligheid.</w:t>
            </w:r>
          </w:p>
          <w:p w:rsidRPr="00C17424" w:rsidR="00900512" w:rsidP="00900512" w:rsidRDefault="00900512" w14:paraId="485E446D" w14:textId="5890BE30">
            <w:pPr>
              <w:rPr>
                <w:rFonts w:cstheme="minorHAnsi"/>
                <w:szCs w:val="18"/>
              </w:rPr>
            </w:pPr>
          </w:p>
        </w:tc>
      </w:tr>
      <w:tr w:rsidRPr="00C17424" w:rsidR="00900512" w:rsidTr="009A6604" w14:paraId="2B2A05EE" w14:textId="77777777">
        <w:tc>
          <w:tcPr>
            <w:tcW w:w="1653" w:type="dxa"/>
          </w:tcPr>
          <w:p w:rsidRPr="00B01C0F" w:rsidR="00900512" w:rsidP="00900512" w:rsidRDefault="00900512" w14:paraId="7175BF82" w14:textId="72B8B94A">
            <w:pPr>
              <w:rPr>
                <w:szCs w:val="18"/>
              </w:rPr>
            </w:pPr>
            <w:r>
              <w:rPr>
                <w:szCs w:val="18"/>
              </w:rPr>
              <w:t>Onderzoek</w:t>
            </w:r>
          </w:p>
        </w:tc>
        <w:tc>
          <w:tcPr>
            <w:tcW w:w="2175" w:type="dxa"/>
          </w:tcPr>
          <w:p w:rsidRPr="00A0283B" w:rsidR="00900512" w:rsidP="00900512" w:rsidRDefault="00900512" w14:paraId="4D40E4B9" w14:textId="4AA211AE">
            <w:pPr>
              <w:rPr>
                <w:rFonts w:cstheme="minorBidi"/>
                <w:szCs w:val="18"/>
                <w:lang w:val="en-US"/>
              </w:rPr>
            </w:pPr>
            <w:r w:rsidRPr="009618B4">
              <w:rPr>
                <w:szCs w:val="18"/>
              </w:rPr>
              <w:t>NWO-instellingsplan 2027-2030</w:t>
            </w:r>
          </w:p>
        </w:tc>
        <w:tc>
          <w:tcPr>
            <w:tcW w:w="4961" w:type="dxa"/>
          </w:tcPr>
          <w:p w:rsidRPr="009618B4" w:rsidR="00900512" w:rsidP="00900512" w:rsidRDefault="00900512" w14:paraId="468D2C68" w14:textId="496ABDC2">
            <w:pPr>
              <w:rPr>
                <w:szCs w:val="18"/>
              </w:rPr>
            </w:pPr>
            <w:r w:rsidRPr="009618B4">
              <w:rPr>
                <w:szCs w:val="18"/>
              </w:rPr>
              <w:t xml:space="preserve">De Kamer ontvangt een afschrift van het instellingsplan 2027-2030 van NWO en de appreciatie van de </w:t>
            </w:r>
            <w:r w:rsidR="007B7282">
              <w:rPr>
                <w:szCs w:val="18"/>
              </w:rPr>
              <w:t>m</w:t>
            </w:r>
            <w:r w:rsidRPr="009618B4">
              <w:rPr>
                <w:szCs w:val="18"/>
              </w:rPr>
              <w:t xml:space="preserve">inister van OCW. </w:t>
            </w:r>
          </w:p>
          <w:p w:rsidRPr="00C17424" w:rsidR="00900512" w:rsidP="00900512" w:rsidRDefault="00900512" w14:paraId="4D9368D8" w14:textId="64C4B993">
            <w:pPr>
              <w:rPr>
                <w:rFonts w:cstheme="minorHAnsi"/>
                <w:szCs w:val="18"/>
              </w:rPr>
            </w:pPr>
          </w:p>
        </w:tc>
      </w:tr>
      <w:tr w:rsidRPr="008A7379" w:rsidR="00900512" w:rsidTr="009A6604" w14:paraId="2F4C8B8C" w14:textId="77777777">
        <w:tc>
          <w:tcPr>
            <w:tcW w:w="1653" w:type="dxa"/>
          </w:tcPr>
          <w:p w:rsidRPr="00BC396B" w:rsidR="00900512" w:rsidP="00900512" w:rsidRDefault="00900512" w14:paraId="6AB57459" w14:textId="607460E3">
            <w:pPr>
              <w:rPr>
                <w:szCs w:val="18"/>
                <w:lang w:eastAsia="en-US"/>
              </w:rPr>
            </w:pPr>
            <w:r>
              <w:rPr>
                <w:szCs w:val="18"/>
              </w:rPr>
              <w:t>Onderzoek</w:t>
            </w:r>
          </w:p>
        </w:tc>
        <w:tc>
          <w:tcPr>
            <w:tcW w:w="2175" w:type="dxa"/>
          </w:tcPr>
          <w:p w:rsidRPr="008A7379" w:rsidR="00900512" w:rsidP="00900512" w:rsidRDefault="00900512" w14:paraId="4E3D70DE" w14:textId="30ED76B6">
            <w:pPr>
              <w:rPr>
                <w:szCs w:val="18"/>
                <w:lang w:eastAsia="en-US"/>
              </w:rPr>
            </w:pPr>
            <w:r w:rsidRPr="009618B4">
              <w:rPr>
                <w:szCs w:val="18"/>
              </w:rPr>
              <w:t xml:space="preserve">Werkprogramma </w:t>
            </w:r>
            <w:proofErr w:type="spellStart"/>
            <w:r w:rsidRPr="009618B4">
              <w:rPr>
                <w:szCs w:val="18"/>
              </w:rPr>
              <w:t>Rathenau</w:t>
            </w:r>
            <w:proofErr w:type="spellEnd"/>
            <w:r w:rsidRPr="009618B4">
              <w:rPr>
                <w:szCs w:val="18"/>
              </w:rPr>
              <w:t xml:space="preserve"> Instituut 2027-2028 </w:t>
            </w:r>
          </w:p>
        </w:tc>
        <w:tc>
          <w:tcPr>
            <w:tcW w:w="4961" w:type="dxa"/>
          </w:tcPr>
          <w:p w:rsidRPr="009618B4" w:rsidR="00900512" w:rsidP="00900512" w:rsidRDefault="00900512" w14:paraId="20EFF14C" w14:textId="77777777">
            <w:pPr>
              <w:rPr>
                <w:szCs w:val="18"/>
              </w:rPr>
            </w:pPr>
            <w:r w:rsidRPr="009618B4">
              <w:rPr>
                <w:szCs w:val="18"/>
              </w:rPr>
              <w:t xml:space="preserve">De Kamer ontvangt het werkprogramma van het </w:t>
            </w:r>
            <w:proofErr w:type="spellStart"/>
            <w:r w:rsidRPr="009618B4">
              <w:rPr>
                <w:szCs w:val="18"/>
              </w:rPr>
              <w:t>Rathenau</w:t>
            </w:r>
            <w:proofErr w:type="spellEnd"/>
            <w:r w:rsidRPr="009618B4">
              <w:rPr>
                <w:szCs w:val="18"/>
              </w:rPr>
              <w:t xml:space="preserve"> Instituut voor 2027-2028.</w:t>
            </w:r>
          </w:p>
          <w:p w:rsidRPr="008A7379" w:rsidR="00900512" w:rsidP="00900512" w:rsidRDefault="00900512" w14:paraId="261FDC20" w14:textId="404383B4">
            <w:pPr>
              <w:rPr>
                <w:szCs w:val="18"/>
                <w:lang w:eastAsia="en-US"/>
              </w:rPr>
            </w:pPr>
          </w:p>
        </w:tc>
      </w:tr>
      <w:tr w:rsidRPr="003130E2" w:rsidR="00900512" w:rsidTr="009A6604" w14:paraId="131B7BB4" w14:textId="77777777">
        <w:tc>
          <w:tcPr>
            <w:tcW w:w="1653" w:type="dxa"/>
          </w:tcPr>
          <w:p w:rsidRPr="003130E2" w:rsidR="00900512" w:rsidP="00900512" w:rsidRDefault="00900512" w14:paraId="26923E1F" w14:textId="5D4C8684">
            <w:pPr>
              <w:rPr>
                <w:szCs w:val="18"/>
              </w:rPr>
            </w:pPr>
            <w:r>
              <w:rPr>
                <w:szCs w:val="18"/>
              </w:rPr>
              <w:t>Onderzoek</w:t>
            </w:r>
          </w:p>
        </w:tc>
        <w:tc>
          <w:tcPr>
            <w:tcW w:w="2175" w:type="dxa"/>
          </w:tcPr>
          <w:p w:rsidRPr="003130E2" w:rsidR="00900512" w:rsidP="00900512" w:rsidRDefault="00900512" w14:paraId="5365F0F2" w14:textId="3008A788">
            <w:pPr>
              <w:rPr>
                <w:szCs w:val="18"/>
              </w:rPr>
            </w:pPr>
            <w:r w:rsidRPr="009618B4">
              <w:rPr>
                <w:szCs w:val="18"/>
              </w:rPr>
              <w:t xml:space="preserve">Reactie op het AWTI-advies inzake </w:t>
            </w:r>
            <w:proofErr w:type="spellStart"/>
            <w:r w:rsidRPr="009618B4">
              <w:rPr>
                <w:szCs w:val="18"/>
              </w:rPr>
              <w:t>praktoraten</w:t>
            </w:r>
            <w:proofErr w:type="spellEnd"/>
            <w:r w:rsidRPr="009618B4">
              <w:rPr>
                <w:szCs w:val="18"/>
              </w:rPr>
              <w:br/>
            </w:r>
          </w:p>
        </w:tc>
        <w:tc>
          <w:tcPr>
            <w:tcW w:w="4961" w:type="dxa"/>
          </w:tcPr>
          <w:p w:rsidRPr="009618B4" w:rsidR="00900512" w:rsidP="00900512" w:rsidRDefault="00900512" w14:paraId="570FEBB7" w14:textId="4513D232">
            <w:pPr>
              <w:rPr>
                <w:szCs w:val="18"/>
              </w:rPr>
            </w:pPr>
            <w:r w:rsidRPr="009618B4">
              <w:rPr>
                <w:szCs w:val="18"/>
              </w:rPr>
              <w:t xml:space="preserve">De Kamer ontvangt de reactie op het advies van de AWTI inzake </w:t>
            </w:r>
            <w:proofErr w:type="spellStart"/>
            <w:r w:rsidRPr="009618B4">
              <w:rPr>
                <w:szCs w:val="18"/>
              </w:rPr>
              <w:t>praktorate</w:t>
            </w:r>
            <w:r w:rsidR="002B4F57">
              <w:rPr>
                <w:szCs w:val="18"/>
              </w:rPr>
              <w:t>n</w:t>
            </w:r>
            <w:proofErr w:type="spellEnd"/>
            <w:r w:rsidR="002B4F57">
              <w:rPr>
                <w:szCs w:val="18"/>
              </w:rPr>
              <w:t>.</w:t>
            </w:r>
          </w:p>
          <w:p w:rsidRPr="003130E2" w:rsidR="00900512" w:rsidP="00900512" w:rsidRDefault="00900512" w14:paraId="08D94AE9" w14:textId="269E1FF8">
            <w:pPr>
              <w:rPr>
                <w:szCs w:val="18"/>
                <w:lang w:eastAsia="en-US"/>
              </w:rPr>
            </w:pPr>
          </w:p>
        </w:tc>
      </w:tr>
      <w:tr w:rsidRPr="003130E2" w:rsidR="00E5275A" w:rsidTr="009A6604" w14:paraId="3EA2BE50" w14:textId="77777777">
        <w:tc>
          <w:tcPr>
            <w:tcW w:w="1653" w:type="dxa"/>
          </w:tcPr>
          <w:p w:rsidRPr="003130E2" w:rsidR="00E5275A" w:rsidP="00E5275A" w:rsidRDefault="00E5275A" w14:paraId="20655E91" w14:textId="730D90D1">
            <w:pPr>
              <w:rPr>
                <w:szCs w:val="18"/>
              </w:rPr>
            </w:pPr>
            <w:r>
              <w:rPr>
                <w:szCs w:val="18"/>
              </w:rPr>
              <w:t>Emancipatie</w:t>
            </w:r>
          </w:p>
        </w:tc>
        <w:tc>
          <w:tcPr>
            <w:tcW w:w="2175" w:type="dxa"/>
          </w:tcPr>
          <w:p w:rsidRPr="003130E2" w:rsidR="00E5275A" w:rsidP="00E5275A" w:rsidRDefault="00F86A4A" w14:paraId="6BE9A0AA" w14:textId="79683E20">
            <w:pPr>
              <w:rPr>
                <w:szCs w:val="18"/>
              </w:rPr>
            </w:pPr>
            <w:r>
              <w:rPr>
                <w:szCs w:val="18"/>
              </w:rPr>
              <w:t>Aanbiedingsb</w:t>
            </w:r>
            <w:r w:rsidRPr="009618B4" w:rsidR="00E5275A">
              <w:rPr>
                <w:szCs w:val="18"/>
              </w:rPr>
              <w:t>rief ‘Wat werkt voor economische zelfstandigheid’</w:t>
            </w:r>
          </w:p>
        </w:tc>
        <w:tc>
          <w:tcPr>
            <w:tcW w:w="4961" w:type="dxa"/>
          </w:tcPr>
          <w:p w:rsidRPr="009618B4" w:rsidR="00E5275A" w:rsidP="00E5275A" w:rsidRDefault="00E5275A" w14:paraId="49260F54" w14:textId="1CE170F6">
            <w:pPr>
              <w:rPr>
                <w:szCs w:val="18"/>
              </w:rPr>
            </w:pPr>
            <w:r w:rsidRPr="009618B4">
              <w:rPr>
                <w:szCs w:val="18"/>
              </w:rPr>
              <w:t>De Kamer wordt geïnformeerd over</w:t>
            </w:r>
            <w:r w:rsidR="00F86A4A">
              <w:rPr>
                <w:szCs w:val="18"/>
              </w:rPr>
              <w:t xml:space="preserve"> een inventarisatie van</w:t>
            </w:r>
            <w:r w:rsidRPr="009618B4">
              <w:rPr>
                <w:szCs w:val="18"/>
              </w:rPr>
              <w:t xml:space="preserve"> maatregelen die effectief zijn in het vergroten van de economische zelfstandigheid en financiële onafhankelijkheid van vrouwen.</w:t>
            </w:r>
          </w:p>
          <w:p w:rsidRPr="003130E2" w:rsidR="00E5275A" w:rsidP="00E5275A" w:rsidRDefault="00E5275A" w14:paraId="7CC5783D" w14:textId="50314BEE">
            <w:pPr>
              <w:rPr>
                <w:szCs w:val="18"/>
                <w:lang w:eastAsia="en-US"/>
              </w:rPr>
            </w:pPr>
          </w:p>
        </w:tc>
      </w:tr>
      <w:tr w:rsidRPr="003130E2" w:rsidR="00E5275A" w:rsidTr="009A6604" w14:paraId="5EBBB16B" w14:textId="77777777">
        <w:tc>
          <w:tcPr>
            <w:tcW w:w="1653" w:type="dxa"/>
          </w:tcPr>
          <w:p w:rsidRPr="003130E2" w:rsidR="00E5275A" w:rsidP="00E5275A" w:rsidRDefault="00E5275A" w14:paraId="046BCA2C" w14:textId="5F98BA2E">
            <w:pPr>
              <w:rPr>
                <w:szCs w:val="18"/>
              </w:rPr>
            </w:pPr>
            <w:r>
              <w:rPr>
                <w:szCs w:val="18"/>
              </w:rPr>
              <w:lastRenderedPageBreak/>
              <w:t>Emancipatie</w:t>
            </w:r>
          </w:p>
        </w:tc>
        <w:tc>
          <w:tcPr>
            <w:tcW w:w="2175" w:type="dxa"/>
          </w:tcPr>
          <w:p w:rsidRPr="003130E2" w:rsidR="00E5275A" w:rsidP="00E5275A" w:rsidRDefault="00E5275A" w14:paraId="3637BBEC" w14:textId="326D99AE">
            <w:pPr>
              <w:rPr>
                <w:szCs w:val="18"/>
              </w:rPr>
            </w:pPr>
            <w:proofErr w:type="spellStart"/>
            <w:r w:rsidRPr="009618B4">
              <w:rPr>
                <w:szCs w:val="18"/>
              </w:rPr>
              <w:t>Voortgangs</w:t>
            </w:r>
            <w:r w:rsidR="00CF26F7">
              <w:rPr>
                <w:szCs w:val="18"/>
              </w:rPr>
              <w:t>-</w:t>
            </w:r>
            <w:r w:rsidRPr="009618B4">
              <w:rPr>
                <w:szCs w:val="18"/>
              </w:rPr>
              <w:t>rapportage</w:t>
            </w:r>
            <w:proofErr w:type="spellEnd"/>
            <w:r w:rsidRPr="009618B4">
              <w:rPr>
                <w:szCs w:val="18"/>
              </w:rPr>
              <w:t xml:space="preserve"> ‘Emancipatie 2026’</w:t>
            </w:r>
          </w:p>
        </w:tc>
        <w:tc>
          <w:tcPr>
            <w:tcW w:w="4961" w:type="dxa"/>
          </w:tcPr>
          <w:p w:rsidRPr="009618B4" w:rsidR="00E5275A" w:rsidP="00E5275A" w:rsidRDefault="00E5275A" w14:paraId="75906D56" w14:textId="101026CB">
            <w:pPr>
              <w:rPr>
                <w:szCs w:val="18"/>
              </w:rPr>
            </w:pPr>
            <w:r w:rsidRPr="009618B4">
              <w:rPr>
                <w:szCs w:val="18"/>
              </w:rPr>
              <w:t xml:space="preserve">De Kamer wordt geïnformeerd over de voortgang van het emancipatiebeleid voor vrouwen en </w:t>
            </w:r>
            <w:proofErr w:type="spellStart"/>
            <w:r w:rsidRPr="009618B4">
              <w:rPr>
                <w:szCs w:val="18"/>
              </w:rPr>
              <w:t>lhbtiq+</w:t>
            </w:r>
            <w:proofErr w:type="spellEnd"/>
            <w:r w:rsidR="00876FA6">
              <w:rPr>
                <w:szCs w:val="18"/>
              </w:rPr>
              <w:t xml:space="preserve"> </w:t>
            </w:r>
            <w:r w:rsidRPr="009618B4">
              <w:rPr>
                <w:szCs w:val="18"/>
              </w:rPr>
              <w:t>personen.</w:t>
            </w:r>
          </w:p>
          <w:p w:rsidRPr="003130E2" w:rsidR="00E5275A" w:rsidP="00E5275A" w:rsidRDefault="00E5275A" w14:paraId="13312095" w14:textId="41E6C391">
            <w:pPr>
              <w:rPr>
                <w:szCs w:val="18"/>
              </w:rPr>
            </w:pPr>
          </w:p>
        </w:tc>
      </w:tr>
      <w:tr w:rsidRPr="003130E2" w:rsidR="00E5275A" w:rsidTr="009A6604" w14:paraId="2525B695" w14:textId="77777777">
        <w:tc>
          <w:tcPr>
            <w:tcW w:w="1653" w:type="dxa"/>
          </w:tcPr>
          <w:p w:rsidRPr="003130E2" w:rsidR="00E5275A" w:rsidP="00E5275A" w:rsidRDefault="00E5275A" w14:paraId="61924609" w14:textId="151E3236">
            <w:pPr>
              <w:rPr>
                <w:szCs w:val="18"/>
              </w:rPr>
            </w:pPr>
            <w:r>
              <w:rPr>
                <w:szCs w:val="18"/>
              </w:rPr>
              <w:t>Emancipatie</w:t>
            </w:r>
          </w:p>
        </w:tc>
        <w:tc>
          <w:tcPr>
            <w:tcW w:w="2175" w:type="dxa"/>
          </w:tcPr>
          <w:p w:rsidRPr="003130E2" w:rsidR="00E5275A" w:rsidP="00E5275A" w:rsidRDefault="00E5275A" w14:paraId="4395C440" w14:textId="40BF72A1">
            <w:pPr>
              <w:rPr>
                <w:szCs w:val="18"/>
              </w:rPr>
            </w:pPr>
            <w:r w:rsidRPr="009618B4">
              <w:rPr>
                <w:szCs w:val="18"/>
              </w:rPr>
              <w:t>Eindrapportage Nationaal actieprogramma seksueel grensoverschrijdend gedrag en seksueel geweld</w:t>
            </w:r>
          </w:p>
        </w:tc>
        <w:tc>
          <w:tcPr>
            <w:tcW w:w="4961" w:type="dxa"/>
          </w:tcPr>
          <w:p w:rsidRPr="003130E2" w:rsidR="00E5275A" w:rsidP="00E5275A" w:rsidRDefault="00E5275A" w14:paraId="6396A430" w14:textId="0B9D6408">
            <w:pPr>
              <w:rPr>
                <w:color w:val="FF0000"/>
                <w:szCs w:val="18"/>
              </w:rPr>
            </w:pPr>
            <w:r w:rsidRPr="009618B4">
              <w:rPr>
                <w:szCs w:val="18"/>
              </w:rPr>
              <w:t>Deze brief beschrijft de opbrengst van het Nationaal Actieprogramma tegen Seksueel grensoverschrijdend gedrag en seksueel geweld, inclusief de resultaten van de publieksmonitor seksueel grensoverschrijdend gedrag.</w:t>
            </w:r>
          </w:p>
        </w:tc>
      </w:tr>
      <w:tr w:rsidRPr="003130E2" w:rsidR="000E39A5" w:rsidTr="009A6604" w14:paraId="58E68C7E" w14:textId="77777777">
        <w:tc>
          <w:tcPr>
            <w:tcW w:w="1653" w:type="dxa"/>
          </w:tcPr>
          <w:p w:rsidRPr="003130E2" w:rsidR="000E39A5" w:rsidP="000E39A5" w:rsidRDefault="000E39A5" w14:paraId="32DA303F" w14:textId="788C2C86">
            <w:pPr>
              <w:rPr>
                <w:szCs w:val="18"/>
              </w:rPr>
            </w:pPr>
            <w:r>
              <w:t>Media</w:t>
            </w:r>
          </w:p>
        </w:tc>
        <w:tc>
          <w:tcPr>
            <w:tcW w:w="2175" w:type="dxa"/>
          </w:tcPr>
          <w:p w:rsidRPr="003130E2" w:rsidR="000E39A5" w:rsidP="000E39A5" w:rsidRDefault="000E39A5" w14:paraId="7779AA9D" w14:textId="0D052F3D">
            <w:pPr>
              <w:rPr>
                <w:szCs w:val="18"/>
              </w:rPr>
            </w:pPr>
            <w:r w:rsidRPr="009618B4">
              <w:rPr>
                <w:szCs w:val="18"/>
              </w:rPr>
              <w:t>Mediabegrotingsbrief 2027</w:t>
            </w:r>
          </w:p>
        </w:tc>
        <w:tc>
          <w:tcPr>
            <w:tcW w:w="4961" w:type="dxa"/>
          </w:tcPr>
          <w:p w:rsidRPr="003130E2" w:rsidR="000E39A5" w:rsidP="000E39A5" w:rsidRDefault="000E39A5" w14:paraId="11933F0D" w14:textId="5E1D15F2">
            <w:pPr>
              <w:rPr>
                <w:szCs w:val="18"/>
              </w:rPr>
            </w:pPr>
            <w:r w:rsidRPr="009618B4">
              <w:rPr>
                <w:szCs w:val="18"/>
              </w:rPr>
              <w:t>Jaarlijkse mediabegrotingsbrief, voorafgaand aan debat over OCW</w:t>
            </w:r>
            <w:r w:rsidR="007B7282">
              <w:rPr>
                <w:szCs w:val="18"/>
              </w:rPr>
              <w:t>-</w:t>
            </w:r>
            <w:r w:rsidRPr="009618B4">
              <w:rPr>
                <w:szCs w:val="18"/>
              </w:rPr>
              <w:t>begroting onderdeel media</w:t>
            </w:r>
          </w:p>
        </w:tc>
      </w:tr>
      <w:tr w:rsidRPr="003130E2" w:rsidR="000E39A5" w:rsidTr="009A6604" w14:paraId="2142DA93" w14:textId="77777777">
        <w:tc>
          <w:tcPr>
            <w:tcW w:w="1653" w:type="dxa"/>
          </w:tcPr>
          <w:p w:rsidRPr="003130E2" w:rsidR="000E39A5" w:rsidP="000E39A5" w:rsidRDefault="000E39A5" w14:paraId="1FA8B583" w14:textId="79DA8AB1">
            <w:pPr>
              <w:rPr>
                <w:szCs w:val="18"/>
              </w:rPr>
            </w:pPr>
            <w:r>
              <w:t>Media</w:t>
            </w:r>
          </w:p>
        </w:tc>
        <w:tc>
          <w:tcPr>
            <w:tcW w:w="2175" w:type="dxa"/>
          </w:tcPr>
          <w:p w:rsidRPr="003130E2" w:rsidR="000E39A5" w:rsidP="000E39A5" w:rsidRDefault="000E39A5" w14:paraId="2648201C" w14:textId="4F474F6D">
            <w:pPr>
              <w:rPr>
                <w:szCs w:val="18"/>
              </w:rPr>
            </w:pPr>
            <w:r w:rsidRPr="009618B4">
              <w:rPr>
                <w:szCs w:val="18"/>
              </w:rPr>
              <w:t>Evaluatie NIBG</w:t>
            </w:r>
          </w:p>
        </w:tc>
        <w:tc>
          <w:tcPr>
            <w:tcW w:w="4961" w:type="dxa"/>
          </w:tcPr>
          <w:p w:rsidRPr="003130E2" w:rsidR="000E39A5" w:rsidP="000E39A5" w:rsidRDefault="000E39A5" w14:paraId="38048A85" w14:textId="7DBEF517">
            <w:pPr>
              <w:rPr>
                <w:szCs w:val="18"/>
              </w:rPr>
            </w:pPr>
            <w:r w:rsidRPr="009618B4">
              <w:rPr>
                <w:szCs w:val="18"/>
              </w:rPr>
              <w:t xml:space="preserve">Begin 2026 start een reguliere evaluatie naar het Nederlands Instituut voor Beeld en Geluid over de periode 2021/2025. De evaluatie richt zich in ieder geval op de wettelijke taken die het NIBG uitvoert in het kader van de mediawet 2008, doelmatigheid en doeltreffendheid en </w:t>
            </w:r>
            <w:proofErr w:type="spellStart"/>
            <w:r w:rsidRPr="009618B4">
              <w:rPr>
                <w:szCs w:val="18"/>
              </w:rPr>
              <w:t>governance</w:t>
            </w:r>
            <w:proofErr w:type="spellEnd"/>
            <w:r w:rsidRPr="009618B4">
              <w:rPr>
                <w:szCs w:val="18"/>
              </w:rPr>
              <w:t>. Deze evaluatie wordt vervolgens aangeboden aan de Kamer.</w:t>
            </w:r>
          </w:p>
        </w:tc>
      </w:tr>
    </w:tbl>
    <w:p w:rsidR="00BE29D0" w:rsidP="00CA35E4" w:rsidRDefault="00BE29D0" w14:paraId="0F92C27F" w14:textId="7C1719F0"/>
    <w:p w:rsidR="003B25BC" w:rsidP="00CA35E4" w:rsidRDefault="003B25BC" w14:paraId="71FA8ACB" w14:textId="77777777"/>
    <w:p w:rsidR="00E87A08" w:rsidP="00CA35E4" w:rsidRDefault="00E87A08" w14:paraId="67023F75" w14:textId="77777777"/>
    <w:p w:rsidRPr="00232030" w:rsidR="00232030" w:rsidP="00CA35E4" w:rsidRDefault="005B75D2" w14:paraId="3C069DF2" w14:textId="6FA6A484">
      <w:pPr>
        <w:rPr>
          <w:b/>
          <w:bCs/>
          <w:sz w:val="20"/>
          <w:szCs w:val="20"/>
        </w:rPr>
      </w:pPr>
      <w:r w:rsidRPr="003B25BC">
        <w:rPr>
          <w:b/>
          <w:bCs/>
          <w:sz w:val="20"/>
          <w:szCs w:val="20"/>
        </w:rPr>
        <w:t>Wetgeving</w:t>
      </w:r>
    </w:p>
    <w:tbl>
      <w:tblPr>
        <w:tblStyle w:val="Tabelraster"/>
        <w:tblW w:w="9044" w:type="dxa"/>
        <w:tblInd w:w="-147" w:type="dxa"/>
        <w:tblLook w:val="04A0" w:firstRow="1" w:lastRow="0" w:firstColumn="1" w:lastColumn="0" w:noHBand="0" w:noVBand="1"/>
      </w:tblPr>
      <w:tblGrid>
        <w:gridCol w:w="2580"/>
        <w:gridCol w:w="6464"/>
      </w:tblGrid>
      <w:tr w:rsidRPr="006658A0" w:rsidR="005B75D2" w:rsidTr="00A712D2" w14:paraId="28DF5D54" w14:textId="77777777">
        <w:tc>
          <w:tcPr>
            <w:tcW w:w="2580" w:type="dxa"/>
          </w:tcPr>
          <w:p w:rsidRPr="005B75D2" w:rsidR="005B75D2" w:rsidP="00A712D2" w:rsidRDefault="005B75D2" w14:paraId="140B32E0" w14:textId="77777777">
            <w:pPr>
              <w:pStyle w:val="Geenafstand"/>
              <w:rPr>
                <w:rFonts w:ascii="Verdana" w:hAnsi="Verdana"/>
                <w:b/>
                <w:bCs/>
                <w:sz w:val="18"/>
                <w:szCs w:val="18"/>
              </w:rPr>
            </w:pPr>
            <w:r w:rsidRPr="005B75D2">
              <w:rPr>
                <w:rFonts w:ascii="Verdana" w:hAnsi="Verdana"/>
                <w:b/>
                <w:bCs/>
                <w:sz w:val="18"/>
                <w:szCs w:val="18"/>
              </w:rPr>
              <w:t>Titel</w:t>
            </w:r>
          </w:p>
        </w:tc>
        <w:tc>
          <w:tcPr>
            <w:tcW w:w="6464" w:type="dxa"/>
          </w:tcPr>
          <w:p w:rsidRPr="005B75D2" w:rsidR="005B75D2" w:rsidP="00A712D2" w:rsidRDefault="005B75D2" w14:paraId="0CAB7620" w14:textId="77777777">
            <w:pPr>
              <w:pStyle w:val="Geenafstand"/>
              <w:rPr>
                <w:rFonts w:ascii="Verdana" w:hAnsi="Verdana"/>
                <w:b/>
                <w:bCs/>
                <w:sz w:val="18"/>
                <w:szCs w:val="18"/>
              </w:rPr>
            </w:pPr>
            <w:r w:rsidRPr="005B75D2">
              <w:rPr>
                <w:rFonts w:ascii="Verdana" w:hAnsi="Verdana"/>
                <w:b/>
                <w:bCs/>
                <w:sz w:val="18"/>
                <w:szCs w:val="18"/>
              </w:rPr>
              <w:t>Toelichting</w:t>
            </w:r>
          </w:p>
        </w:tc>
      </w:tr>
      <w:tr w:rsidRPr="006658A0" w:rsidR="005B75D2" w:rsidTr="00A712D2" w14:paraId="182A15F6" w14:textId="77777777">
        <w:tc>
          <w:tcPr>
            <w:tcW w:w="9044" w:type="dxa"/>
            <w:gridSpan w:val="2"/>
            <w:shd w:val="clear" w:color="auto" w:fill="D9D9D9" w:themeFill="background1" w:themeFillShade="D9"/>
          </w:tcPr>
          <w:p w:rsidRPr="005B75D2" w:rsidR="005B75D2" w:rsidP="00A712D2" w:rsidRDefault="005B75D2" w14:paraId="1C0C1FBB" w14:textId="0CFD834A">
            <w:pPr>
              <w:pStyle w:val="Geenafstand"/>
              <w:rPr>
                <w:rFonts w:ascii="Verdana" w:hAnsi="Verdana"/>
                <w:b/>
                <w:bCs/>
                <w:sz w:val="18"/>
                <w:szCs w:val="18"/>
              </w:rPr>
            </w:pPr>
            <w:r w:rsidRPr="005B75D2">
              <w:rPr>
                <w:rFonts w:ascii="Verdana" w:hAnsi="Verdana"/>
                <w:b/>
                <w:bCs/>
                <w:sz w:val="18"/>
                <w:szCs w:val="18"/>
              </w:rPr>
              <w:t>Eerste kwartaal</w:t>
            </w:r>
            <w:r w:rsidR="007B7282">
              <w:rPr>
                <w:rFonts w:ascii="Verdana" w:hAnsi="Verdana"/>
                <w:b/>
                <w:bCs/>
                <w:sz w:val="18"/>
                <w:szCs w:val="18"/>
              </w:rPr>
              <w:t xml:space="preserve"> 2026</w:t>
            </w:r>
          </w:p>
        </w:tc>
      </w:tr>
      <w:tr w:rsidRPr="006658A0" w:rsidR="005B75D2" w:rsidTr="00A712D2" w14:paraId="776306CB" w14:textId="77777777">
        <w:tc>
          <w:tcPr>
            <w:tcW w:w="2580" w:type="dxa"/>
          </w:tcPr>
          <w:p w:rsidRPr="005B75D2" w:rsidR="005B75D2" w:rsidP="00A712D2" w:rsidRDefault="005B75D2" w14:paraId="21994DB8" w14:textId="77777777">
            <w:pPr>
              <w:pStyle w:val="Geenafstand"/>
              <w:rPr>
                <w:rFonts w:ascii="Verdana" w:hAnsi="Verdana"/>
                <w:sz w:val="18"/>
                <w:szCs w:val="18"/>
              </w:rPr>
            </w:pPr>
            <w:r w:rsidRPr="005B75D2">
              <w:rPr>
                <w:rFonts w:ascii="Verdana" w:hAnsi="Verdana"/>
                <w:sz w:val="18"/>
                <w:szCs w:val="18"/>
              </w:rPr>
              <w:t>Wetsvoorstel modernisering regels beroepsonderwijs, educatie en voortijdig schoolverlaten Caribisch Nederland</w:t>
            </w:r>
          </w:p>
        </w:tc>
        <w:tc>
          <w:tcPr>
            <w:tcW w:w="6464" w:type="dxa"/>
          </w:tcPr>
          <w:p w:rsidRPr="005B75D2" w:rsidR="005B75D2" w:rsidP="00A712D2" w:rsidRDefault="005B75D2" w14:paraId="11474D09" w14:textId="77777777">
            <w:pPr>
              <w:tabs>
                <w:tab w:val="left" w:pos="1013"/>
              </w:tabs>
              <w:rPr>
                <w:szCs w:val="18"/>
                <w:lang w:eastAsia="en-US"/>
              </w:rPr>
            </w:pPr>
            <w:r w:rsidRPr="005B75D2">
              <w:rPr>
                <w:szCs w:val="18"/>
                <w:lang w:eastAsia="en-US"/>
              </w:rPr>
              <w:t xml:space="preserve">Dit wetsvoorstel beoogt de regels voor het beroepsonderwijs en de volwasseneducatie in Caribisch Nederland te moderniseren door de Wet educatie en beroepsonderwijs BES te integreren in de (Europees Nederlandse) Wet educatie en beroepsonderwijs. Waar nodig wordt voorzien in specifieke afwijkingen vanwege de eilandelijke context, met als doel een gelijkwaardig voorzieningenniveau te bereiken binnen de mogelijkheden van de Caribisch Nederlandse context. Daarnaast wordt met dit wetsvoorstel de Wet sociale </w:t>
            </w:r>
            <w:proofErr w:type="spellStart"/>
            <w:r w:rsidRPr="005B75D2">
              <w:rPr>
                <w:szCs w:val="18"/>
                <w:lang w:eastAsia="en-US"/>
              </w:rPr>
              <w:t>kanstrajecten</w:t>
            </w:r>
            <w:proofErr w:type="spellEnd"/>
            <w:r w:rsidRPr="005B75D2">
              <w:rPr>
                <w:szCs w:val="18"/>
                <w:lang w:eastAsia="en-US"/>
              </w:rPr>
              <w:t xml:space="preserve"> jongeren BES ingetrokken; daarvoor in de plaats worden in de WEB en de Wet voortgezet onderwijs 2020 regels gesteld over het voorkomen van voortijdig schoolverlaten in het Caribische deel van Nederland.</w:t>
            </w:r>
          </w:p>
        </w:tc>
      </w:tr>
      <w:tr w:rsidRPr="006658A0" w:rsidR="005B75D2" w:rsidTr="00A712D2" w14:paraId="6632F32B" w14:textId="77777777">
        <w:tc>
          <w:tcPr>
            <w:tcW w:w="2580" w:type="dxa"/>
          </w:tcPr>
          <w:p w:rsidRPr="005B75D2" w:rsidR="005B75D2" w:rsidP="00A712D2" w:rsidRDefault="005B75D2" w14:paraId="2D088040" w14:textId="77777777">
            <w:pPr>
              <w:rPr>
                <w:szCs w:val="18"/>
              </w:rPr>
            </w:pPr>
            <w:r w:rsidRPr="005B75D2">
              <w:rPr>
                <w:szCs w:val="18"/>
              </w:rPr>
              <w:t>Wetsvoorstel aanvullende tegemoetkoming leenstelselstudenten</w:t>
            </w:r>
          </w:p>
        </w:tc>
        <w:tc>
          <w:tcPr>
            <w:tcW w:w="6464" w:type="dxa"/>
          </w:tcPr>
          <w:p w:rsidRPr="005B75D2" w:rsidR="005B75D2" w:rsidP="00A712D2" w:rsidRDefault="005B75D2" w14:paraId="3A2CDD4F" w14:textId="77777777">
            <w:pPr>
              <w:rPr>
                <w:b/>
                <w:bCs/>
                <w:szCs w:val="18"/>
              </w:rPr>
            </w:pPr>
            <w:r w:rsidRPr="005B75D2">
              <w:rPr>
                <w:szCs w:val="18"/>
              </w:rPr>
              <w:t>Dit wetsvoorstel regelt de verstrekking van een eenmalige aanvullende tegemoetkoming voor (oud-)studenten die tijdens het leenstelsel hebben gestudeerd.</w:t>
            </w:r>
          </w:p>
        </w:tc>
      </w:tr>
      <w:tr w:rsidRPr="006658A0" w:rsidR="005B75D2" w:rsidTr="00A712D2" w14:paraId="34874A10" w14:textId="77777777">
        <w:tc>
          <w:tcPr>
            <w:tcW w:w="2580" w:type="dxa"/>
          </w:tcPr>
          <w:p w:rsidRPr="005B75D2" w:rsidR="005B75D2" w:rsidP="00A712D2" w:rsidRDefault="005B75D2" w14:paraId="4BA79FCC" w14:textId="77777777">
            <w:pPr>
              <w:rPr>
                <w:szCs w:val="18"/>
              </w:rPr>
            </w:pPr>
            <w:r w:rsidRPr="005B75D2">
              <w:rPr>
                <w:szCs w:val="18"/>
              </w:rPr>
              <w:t>Voorhang Besluit verbetering aansluiting beroepsonderwijs-arbeidsmarkt</w:t>
            </w:r>
          </w:p>
        </w:tc>
        <w:tc>
          <w:tcPr>
            <w:tcW w:w="6464" w:type="dxa"/>
          </w:tcPr>
          <w:p w:rsidRPr="005B75D2" w:rsidR="005B75D2" w:rsidP="00A712D2" w:rsidRDefault="005B75D2" w14:paraId="78AA3384" w14:textId="27011276">
            <w:pPr>
              <w:rPr>
                <w:szCs w:val="18"/>
              </w:rPr>
            </w:pPr>
            <w:r w:rsidRPr="005B75D2">
              <w:rPr>
                <w:szCs w:val="18"/>
              </w:rPr>
              <w:t>Dit besluit betreft een technische uitwerking van het Wetsvoorstel verbetering aansluiting beroepsonderwijs-arbeidsmarkt</w:t>
            </w:r>
            <w:r w:rsidR="00915215">
              <w:rPr>
                <w:szCs w:val="18"/>
              </w:rPr>
              <w:t>.</w:t>
            </w:r>
          </w:p>
        </w:tc>
      </w:tr>
      <w:tr w:rsidRPr="006658A0" w:rsidR="005B75D2" w:rsidTr="008323D3" w14:paraId="3F7E5924" w14:textId="77777777">
        <w:trPr>
          <w:trHeight w:val="2418"/>
        </w:trPr>
        <w:tc>
          <w:tcPr>
            <w:tcW w:w="2580" w:type="dxa"/>
          </w:tcPr>
          <w:p w:rsidR="005B75D2" w:rsidP="00CF26F7" w:rsidRDefault="005B75D2" w14:paraId="39C26746" w14:textId="752C660E">
            <w:pPr>
              <w:shd w:val="clear" w:color="auto" w:fill="FFFFFF"/>
              <w:spacing w:after="225"/>
              <w:outlineLvl w:val="1"/>
              <w:rPr>
                <w:rFonts w:cs="Arial"/>
                <w:szCs w:val="18"/>
              </w:rPr>
            </w:pPr>
            <w:r w:rsidRPr="005B75D2">
              <w:rPr>
                <w:rFonts w:cs="Arial"/>
                <w:szCs w:val="18"/>
              </w:rPr>
              <w:lastRenderedPageBreak/>
              <w:t>Wijziging van de Archiefwet 1995 ter uitvoering van overweging 158 van de Algemene verordening gegevensbescherming</w:t>
            </w:r>
          </w:p>
          <w:p w:rsidRPr="00CF26F7" w:rsidR="00CF26F7" w:rsidP="00CF26F7" w:rsidRDefault="00CF26F7" w14:paraId="54057BA1" w14:textId="3A3C7F94">
            <w:pPr>
              <w:shd w:val="clear" w:color="auto" w:fill="FFFFFF"/>
              <w:spacing w:after="225"/>
              <w:outlineLvl w:val="1"/>
              <w:rPr>
                <w:rFonts w:cs="Arial"/>
                <w:szCs w:val="18"/>
              </w:rPr>
            </w:pPr>
          </w:p>
        </w:tc>
        <w:tc>
          <w:tcPr>
            <w:tcW w:w="6464" w:type="dxa"/>
          </w:tcPr>
          <w:p w:rsidRPr="005B75D2" w:rsidR="005B75D2" w:rsidP="00A712D2" w:rsidRDefault="005B75D2" w14:paraId="7164B4F0" w14:textId="77777777">
            <w:pPr>
              <w:rPr>
                <w:szCs w:val="18"/>
              </w:rPr>
            </w:pPr>
            <w:r w:rsidRPr="005B75D2">
              <w:rPr>
                <w:szCs w:val="18"/>
                <w:shd w:val="clear" w:color="auto" w:fill="FFFFFF"/>
              </w:rPr>
              <w:t>Deze wijziging van de Archiefwet 1995 verruimt de mogelijkheden voor toegang tot overheidsarchieven. Deze wetswijziging geeft archiefdiensten de bevoegdheid om bijzondere en strafrechtelijke persoonsgegevens te verwerken om toegang te verlenen in archiefbescheiden. Daarnaast wordt in de wet nader uitgewerkt wanneer een individuele verzoeker toegang kan krijgen tot niet-openbare archiefbescheiden. Tot slot maakt de wijziging het mogelijk openbare archieven met gegevens van nog levende personen, online te publiceren. Hiervoor gelden wel voorwaarden om de privacy van die personen te beschermen.</w:t>
            </w:r>
          </w:p>
        </w:tc>
      </w:tr>
      <w:tr w:rsidRPr="006658A0" w:rsidR="005B75D2" w:rsidTr="00A712D2" w14:paraId="59CC285C" w14:textId="77777777">
        <w:tc>
          <w:tcPr>
            <w:tcW w:w="2580" w:type="dxa"/>
          </w:tcPr>
          <w:p w:rsidRPr="005B75D2" w:rsidR="005B75D2" w:rsidP="00A712D2" w:rsidRDefault="005B75D2" w14:paraId="6D2EA0F4" w14:textId="77777777">
            <w:pPr>
              <w:rPr>
                <w:szCs w:val="18"/>
              </w:rPr>
            </w:pPr>
            <w:r w:rsidRPr="005B75D2">
              <w:rPr>
                <w:szCs w:val="18"/>
              </w:rPr>
              <w:t>Wijziging van de Wet stelsel openbare bibliotheekvoorzieningen in verband met de invoering van een zorgplicht</w:t>
            </w:r>
          </w:p>
        </w:tc>
        <w:tc>
          <w:tcPr>
            <w:tcW w:w="6464" w:type="dxa"/>
          </w:tcPr>
          <w:p w:rsidRPr="005B75D2" w:rsidR="005B75D2" w:rsidP="00A712D2" w:rsidRDefault="005B75D2" w14:paraId="30E1998B" w14:textId="77777777">
            <w:pPr>
              <w:rPr>
                <w:szCs w:val="18"/>
              </w:rPr>
            </w:pPr>
            <w:r w:rsidRPr="005B75D2">
              <w:rPr>
                <w:szCs w:val="18"/>
                <w:shd w:val="clear" w:color="auto" w:fill="FFFFFF"/>
              </w:rPr>
              <w:t>Het wetsvoorstel streeft naar een toekomstgerichte bibliotheek(voorziening) in elke gemeente. Concreet zal het wetsvoorstel daartoe voorzien in een zorgplicht voor gemeenten voor het in stand houden van een bibliotheekvestiging.</w:t>
            </w:r>
          </w:p>
        </w:tc>
      </w:tr>
      <w:tr w:rsidRPr="006658A0" w:rsidR="005B75D2" w:rsidTr="00A712D2" w14:paraId="55FB4430" w14:textId="77777777">
        <w:tc>
          <w:tcPr>
            <w:tcW w:w="2580" w:type="dxa"/>
          </w:tcPr>
          <w:p w:rsidRPr="005B75D2" w:rsidR="005B75D2" w:rsidP="008323D3" w:rsidRDefault="005B75D2" w14:paraId="72C00511" w14:textId="6AAEA95D">
            <w:pPr>
              <w:rPr>
                <w:szCs w:val="18"/>
              </w:rPr>
            </w:pPr>
            <w:r w:rsidRPr="005B75D2">
              <w:rPr>
                <w:szCs w:val="18"/>
              </w:rPr>
              <w:t>Wijziging van de Mediawet 2008 in verband met de versterking van de uitvoering van de publieke mediaopdracht op lokaal niveau</w:t>
            </w:r>
          </w:p>
        </w:tc>
        <w:tc>
          <w:tcPr>
            <w:tcW w:w="6464" w:type="dxa"/>
          </w:tcPr>
          <w:p w:rsidRPr="005B75D2" w:rsidR="005B75D2" w:rsidP="00A712D2" w:rsidRDefault="005B75D2" w14:paraId="4B8F5D4E" w14:textId="77777777">
            <w:pPr>
              <w:rPr>
                <w:szCs w:val="18"/>
              </w:rPr>
            </w:pPr>
            <w:r w:rsidRPr="005B75D2">
              <w:rPr>
                <w:szCs w:val="18"/>
                <w:shd w:val="clear" w:color="auto" w:fill="FFFFFF"/>
              </w:rPr>
              <w:t xml:space="preserve">Het wetsvoorstel voorziet in een herziening van de inrichting van de lokale publieke omroepen, om daarmee de uitvoering van de publieke mediaopdracht op lokaal niveau fundamenteel te verstevigen. </w:t>
            </w:r>
          </w:p>
        </w:tc>
      </w:tr>
      <w:tr w:rsidRPr="006658A0" w:rsidR="005B75D2" w:rsidTr="00A712D2" w14:paraId="73895AEC" w14:textId="77777777">
        <w:tc>
          <w:tcPr>
            <w:tcW w:w="2580" w:type="dxa"/>
          </w:tcPr>
          <w:p w:rsidRPr="005B75D2" w:rsidR="005B75D2" w:rsidP="00A712D2" w:rsidRDefault="005B75D2" w14:paraId="2373D0E3" w14:textId="77777777">
            <w:pPr>
              <w:rPr>
                <w:szCs w:val="18"/>
              </w:rPr>
            </w:pPr>
            <w:r w:rsidRPr="005B75D2">
              <w:rPr>
                <w:szCs w:val="18"/>
              </w:rPr>
              <w:t xml:space="preserve">Wijziging van de Mediawet 2008 i.v.m. verlaging van de </w:t>
            </w:r>
            <w:proofErr w:type="spellStart"/>
            <w:r w:rsidRPr="005B75D2">
              <w:rPr>
                <w:szCs w:val="18"/>
              </w:rPr>
              <w:t>rijksmediabijdrage</w:t>
            </w:r>
            <w:proofErr w:type="spellEnd"/>
            <w:r w:rsidRPr="005B75D2">
              <w:rPr>
                <w:szCs w:val="18"/>
              </w:rPr>
              <w:t xml:space="preserve"> (per 2027)</w:t>
            </w:r>
          </w:p>
        </w:tc>
        <w:tc>
          <w:tcPr>
            <w:tcW w:w="6464" w:type="dxa"/>
          </w:tcPr>
          <w:p w:rsidRPr="005B75D2" w:rsidR="005B75D2" w:rsidP="00A712D2" w:rsidRDefault="005B75D2" w14:paraId="2D215A13" w14:textId="77777777">
            <w:pPr>
              <w:rPr>
                <w:szCs w:val="18"/>
              </w:rPr>
            </w:pPr>
            <w:r w:rsidRPr="005B75D2">
              <w:rPr>
                <w:szCs w:val="18"/>
                <w:shd w:val="clear" w:color="auto" w:fill="FFFFFF"/>
              </w:rPr>
              <w:t xml:space="preserve">Het wetsvoorstel betreft een verlaging van het bedrag van de </w:t>
            </w:r>
            <w:proofErr w:type="spellStart"/>
            <w:r w:rsidRPr="005B75D2">
              <w:rPr>
                <w:szCs w:val="18"/>
                <w:shd w:val="clear" w:color="auto" w:fill="FFFFFF"/>
              </w:rPr>
              <w:t>rijksmediabijdrage</w:t>
            </w:r>
            <w:proofErr w:type="spellEnd"/>
            <w:r w:rsidRPr="005B75D2">
              <w:rPr>
                <w:szCs w:val="18"/>
                <w:shd w:val="clear" w:color="auto" w:fill="FFFFFF"/>
              </w:rPr>
              <w:t xml:space="preserve"> in de Mediawet 2008, die voortvloeit uit de bezuinigingen in het Hoofdlijnenakkoord 2024-2028 en het amendement-Bontenbal c.s. Met dit wetsvoorstel sluiten de bedragen in de Mediawet 2008 aan op de budgetten in de Rijksbegroting. De aanpassing betreft enkel een technische aanpassing nu de daadwerkelijke verlagingen reeds in de begroting zijn verwerkt.</w:t>
            </w:r>
          </w:p>
        </w:tc>
      </w:tr>
      <w:tr w:rsidRPr="006658A0" w:rsidR="005B75D2" w:rsidTr="00A712D2" w14:paraId="6DCEBC73" w14:textId="77777777">
        <w:tc>
          <w:tcPr>
            <w:tcW w:w="9044" w:type="dxa"/>
            <w:gridSpan w:val="2"/>
            <w:shd w:val="clear" w:color="auto" w:fill="D9D9D9" w:themeFill="background1" w:themeFillShade="D9"/>
          </w:tcPr>
          <w:p w:rsidRPr="005B75D2" w:rsidR="005B75D2" w:rsidP="00A712D2" w:rsidRDefault="005B75D2" w14:paraId="77720FA2" w14:textId="627029AB">
            <w:pPr>
              <w:rPr>
                <w:rFonts w:cs="Calibri"/>
                <w:b/>
                <w:bCs/>
                <w:color w:val="000000"/>
                <w:szCs w:val="18"/>
              </w:rPr>
            </w:pPr>
            <w:r w:rsidRPr="005B75D2">
              <w:rPr>
                <w:rFonts w:cs="Calibri"/>
                <w:b/>
                <w:bCs/>
                <w:color w:val="000000"/>
                <w:szCs w:val="18"/>
              </w:rPr>
              <w:t>Tweede kwartaal</w:t>
            </w:r>
            <w:r w:rsidR="007B7282">
              <w:rPr>
                <w:rFonts w:cs="Calibri"/>
                <w:b/>
                <w:bCs/>
                <w:color w:val="000000"/>
                <w:szCs w:val="18"/>
              </w:rPr>
              <w:t xml:space="preserve"> 2026</w:t>
            </w:r>
          </w:p>
        </w:tc>
      </w:tr>
      <w:tr w:rsidRPr="006658A0" w:rsidR="005B75D2" w:rsidTr="00A712D2" w14:paraId="55EF1E1F" w14:textId="77777777">
        <w:tc>
          <w:tcPr>
            <w:tcW w:w="2580" w:type="dxa"/>
          </w:tcPr>
          <w:p w:rsidRPr="005B75D2" w:rsidR="005B75D2" w:rsidP="00A712D2" w:rsidRDefault="005B75D2" w14:paraId="2F2078B2" w14:textId="77777777">
            <w:pPr>
              <w:rPr>
                <w:rFonts w:cs="Calibri"/>
                <w:color w:val="000000"/>
                <w:szCs w:val="18"/>
              </w:rPr>
            </w:pPr>
            <w:r w:rsidRPr="005B75D2">
              <w:rPr>
                <w:szCs w:val="18"/>
              </w:rPr>
              <w:t>Wetsvoorstel Aanvullende eisen mbo-docenten basisvaardigheden</w:t>
            </w:r>
          </w:p>
        </w:tc>
        <w:tc>
          <w:tcPr>
            <w:tcW w:w="6464" w:type="dxa"/>
          </w:tcPr>
          <w:p w:rsidRPr="005B75D2" w:rsidR="005B75D2" w:rsidP="00A712D2" w:rsidRDefault="005B75D2" w14:paraId="0BC31451" w14:textId="77777777">
            <w:pPr>
              <w:rPr>
                <w:rFonts w:cs="Calibri"/>
                <w:color w:val="000000"/>
                <w:szCs w:val="18"/>
              </w:rPr>
            </w:pPr>
            <w:r w:rsidRPr="005B75D2">
              <w:rPr>
                <w:szCs w:val="18"/>
              </w:rPr>
              <w:t>Met het wetsvoorstel wordt beoogd om de kwaliteit van docenten in het middelbaar beroepsonderwijs basisvaardigheden (Nederlandse taal, rekenen en burgerschap) te versterken. Dit draagt bij aan de onderwijskwaliteit en beheersing van de basisvaardigheden in het middelbaar beroepsonderwijs.</w:t>
            </w:r>
          </w:p>
        </w:tc>
      </w:tr>
      <w:tr w:rsidRPr="006658A0" w:rsidR="00CE6B62" w:rsidTr="00A712D2" w14:paraId="1C28D6AC" w14:textId="77777777">
        <w:tc>
          <w:tcPr>
            <w:tcW w:w="2580" w:type="dxa"/>
          </w:tcPr>
          <w:p w:rsidRPr="005B75D2" w:rsidR="00CE6B62" w:rsidP="00CE6B62" w:rsidRDefault="00CE6B62" w14:paraId="2C7B89C5" w14:textId="1C708158">
            <w:pPr>
              <w:rPr>
                <w:szCs w:val="18"/>
              </w:rPr>
            </w:pPr>
            <w:r w:rsidRPr="005B75D2">
              <w:rPr>
                <w:rFonts w:cs="Calibri"/>
                <w:color w:val="000000"/>
                <w:szCs w:val="18"/>
              </w:rPr>
              <w:t>Wetsvoorstel gerichte bekostiging</w:t>
            </w:r>
            <w:r>
              <w:rPr>
                <w:rFonts w:cs="Calibri"/>
                <w:color w:val="000000"/>
                <w:szCs w:val="18"/>
              </w:rPr>
              <w:t xml:space="preserve"> </w:t>
            </w:r>
          </w:p>
        </w:tc>
        <w:tc>
          <w:tcPr>
            <w:tcW w:w="6464" w:type="dxa"/>
          </w:tcPr>
          <w:p w:rsidRPr="005B75D2" w:rsidR="00CE6B62" w:rsidP="00CE6B62" w:rsidRDefault="00CE6B62" w14:paraId="1A61272E" w14:textId="231ED6ED">
            <w:pPr>
              <w:rPr>
                <w:szCs w:val="18"/>
              </w:rPr>
            </w:pPr>
            <w:r w:rsidRPr="005B75D2">
              <w:rPr>
                <w:rFonts w:cs="Calibri"/>
                <w:color w:val="000000"/>
                <w:szCs w:val="18"/>
              </w:rPr>
              <w:t>Het wetsvoorstel voorziet in een variant op de reguliere en aanvullende bekostiging</w:t>
            </w:r>
            <w:r>
              <w:rPr>
                <w:rFonts w:cs="Calibri"/>
                <w:color w:val="000000"/>
                <w:szCs w:val="18"/>
              </w:rPr>
              <w:t xml:space="preserve"> in het funderend onderwijs</w:t>
            </w:r>
            <w:r w:rsidRPr="005B75D2">
              <w:rPr>
                <w:rFonts w:cs="Calibri"/>
                <w:color w:val="000000"/>
                <w:szCs w:val="18"/>
              </w:rPr>
              <w:t>. Het regelt bekostiging voor een bepaald doel met de mogelijkheid tot terugvordering.</w:t>
            </w:r>
          </w:p>
        </w:tc>
      </w:tr>
      <w:tr w:rsidRPr="006658A0" w:rsidR="005B75D2" w:rsidTr="00A712D2" w14:paraId="5F13B2D4" w14:textId="77777777">
        <w:tc>
          <w:tcPr>
            <w:tcW w:w="2580" w:type="dxa"/>
          </w:tcPr>
          <w:p w:rsidRPr="005B75D2" w:rsidR="005B75D2" w:rsidP="00A712D2" w:rsidRDefault="005B75D2" w14:paraId="51637C07" w14:textId="77777777">
            <w:pPr>
              <w:rPr>
                <w:rFonts w:cs="Calibri"/>
                <w:color w:val="000000"/>
                <w:szCs w:val="18"/>
              </w:rPr>
            </w:pPr>
            <w:r w:rsidRPr="005B75D2">
              <w:rPr>
                <w:szCs w:val="18"/>
              </w:rPr>
              <w:t>Voorhang Besluit wijziging BSF 2000 en BRO i.v.m. aanvullende tegemoetkoming leenstelsel</w:t>
            </w:r>
          </w:p>
        </w:tc>
        <w:tc>
          <w:tcPr>
            <w:tcW w:w="6464" w:type="dxa"/>
          </w:tcPr>
          <w:p w:rsidRPr="005B75D2" w:rsidR="005B75D2" w:rsidP="00A712D2" w:rsidRDefault="005B75D2" w14:paraId="709A008A" w14:textId="77777777">
            <w:pPr>
              <w:rPr>
                <w:rFonts w:cs="Calibri"/>
                <w:color w:val="000000"/>
                <w:szCs w:val="18"/>
              </w:rPr>
            </w:pPr>
            <w:r w:rsidRPr="005B75D2">
              <w:rPr>
                <w:szCs w:val="18"/>
              </w:rPr>
              <w:t xml:space="preserve">Deze </w:t>
            </w:r>
            <w:proofErr w:type="spellStart"/>
            <w:r w:rsidRPr="005B75D2">
              <w:rPr>
                <w:szCs w:val="18"/>
              </w:rPr>
              <w:t>amvb</w:t>
            </w:r>
            <w:proofErr w:type="spellEnd"/>
            <w:r w:rsidRPr="005B75D2">
              <w:rPr>
                <w:szCs w:val="18"/>
              </w:rPr>
              <w:t xml:space="preserve"> regelt de wijze van verstrekking van een eenmalige aanvullende tegemoetkoming voor (oud-)studenten die tijdens het leenstelsel hebben gestudeerd. De voorhang heeft betrekking op een technische wijziging van het Besluit register onderwijsdeelnemers.</w:t>
            </w:r>
          </w:p>
        </w:tc>
      </w:tr>
      <w:tr w:rsidRPr="006658A0" w:rsidR="005B75D2" w:rsidTr="00A712D2" w14:paraId="7ECE0955" w14:textId="77777777">
        <w:tc>
          <w:tcPr>
            <w:tcW w:w="2580" w:type="dxa"/>
          </w:tcPr>
          <w:p w:rsidRPr="005B75D2" w:rsidR="005B75D2" w:rsidP="00A712D2" w:rsidRDefault="005B75D2" w14:paraId="11C0633C" w14:textId="77777777">
            <w:pPr>
              <w:rPr>
                <w:rFonts w:cs="Calibri"/>
                <w:color w:val="000000"/>
                <w:szCs w:val="18"/>
              </w:rPr>
            </w:pPr>
            <w:r w:rsidRPr="005B75D2">
              <w:rPr>
                <w:szCs w:val="18"/>
              </w:rPr>
              <w:t>Besluit tot wijziging van het Uitvoeringsbesluit WHW 2008 in verband met de invoering van de Wet internationalisering in balans en de daarin opgenomen toets anderstalig onderwijs</w:t>
            </w:r>
          </w:p>
        </w:tc>
        <w:tc>
          <w:tcPr>
            <w:tcW w:w="6464" w:type="dxa"/>
          </w:tcPr>
          <w:p w:rsidRPr="005B75D2" w:rsidR="005B75D2" w:rsidP="00A712D2" w:rsidRDefault="005B75D2" w14:paraId="1CAB9DB6" w14:textId="77777777">
            <w:pPr>
              <w:rPr>
                <w:rFonts w:cs="Calibri"/>
                <w:color w:val="000000"/>
                <w:szCs w:val="18"/>
              </w:rPr>
            </w:pPr>
            <w:r w:rsidRPr="005B75D2">
              <w:rPr>
                <w:rFonts w:cs="Calibri"/>
                <w:color w:val="000000"/>
                <w:szCs w:val="18"/>
              </w:rPr>
              <w:t>Het besluit geeft nadere invulling aan het wetsvoorstel internationalisering in balans en werkt de criteria uit voor de</w:t>
            </w:r>
            <w:r w:rsidRPr="005B75D2">
              <w:rPr>
                <w:szCs w:val="18"/>
              </w:rPr>
              <w:t xml:space="preserve"> beoordeling van de doelmatigheid van anderstalige opleidingen en trajecten.</w:t>
            </w:r>
          </w:p>
        </w:tc>
      </w:tr>
      <w:tr w:rsidRPr="006658A0" w:rsidR="005B75D2" w:rsidTr="00A712D2" w14:paraId="2E5056FE" w14:textId="77777777">
        <w:tc>
          <w:tcPr>
            <w:tcW w:w="2580" w:type="dxa"/>
          </w:tcPr>
          <w:p w:rsidRPr="005B75D2" w:rsidR="005B75D2" w:rsidP="00A712D2" w:rsidRDefault="005B75D2" w14:paraId="41490740" w14:textId="77777777">
            <w:pPr>
              <w:rPr>
                <w:szCs w:val="18"/>
              </w:rPr>
            </w:pPr>
            <w:r w:rsidRPr="005B75D2">
              <w:rPr>
                <w:rFonts w:cs="Calibri"/>
                <w:color w:val="000000"/>
                <w:szCs w:val="18"/>
              </w:rPr>
              <w:lastRenderedPageBreak/>
              <w:t>Wetsvoorstel borging gegevensverwerkingen</w:t>
            </w:r>
          </w:p>
        </w:tc>
        <w:tc>
          <w:tcPr>
            <w:tcW w:w="6464" w:type="dxa"/>
          </w:tcPr>
          <w:p w:rsidRPr="005B75D2" w:rsidR="005B75D2" w:rsidP="00A712D2" w:rsidRDefault="005B75D2" w14:paraId="29A80861" w14:textId="77777777">
            <w:pPr>
              <w:pStyle w:val="Geenafstand"/>
              <w:rPr>
                <w:rFonts w:ascii="Verdana" w:hAnsi="Verdana" w:cs="Calibri"/>
                <w:color w:val="000000"/>
                <w:sz w:val="18"/>
                <w:szCs w:val="18"/>
                <w:lang w:eastAsia="nl-NL"/>
              </w:rPr>
            </w:pPr>
            <w:r w:rsidRPr="005B75D2">
              <w:rPr>
                <w:rFonts w:ascii="Verdana" w:hAnsi="Verdana" w:cs="Calibri"/>
                <w:color w:val="000000"/>
                <w:sz w:val="18"/>
                <w:szCs w:val="18"/>
                <w:lang w:eastAsia="nl-NL"/>
              </w:rPr>
              <w:t>Het wetsvoorstel beoogt de verwerking van gegevens te borgen, door te voorzien in  drie grondslagen voor de levering van gegevens:</w:t>
            </w:r>
          </w:p>
          <w:p w:rsidRPr="005B75D2" w:rsidR="005B75D2" w:rsidP="005B75D2" w:rsidRDefault="005B75D2" w14:paraId="2E563AD2" w14:textId="7E869A61">
            <w:pPr>
              <w:pStyle w:val="Geenafstand"/>
              <w:numPr>
                <w:ilvl w:val="0"/>
                <w:numId w:val="15"/>
              </w:numPr>
              <w:rPr>
                <w:rFonts w:ascii="Verdana" w:hAnsi="Verdana" w:cs="Calibri"/>
                <w:color w:val="000000"/>
                <w:sz w:val="18"/>
                <w:szCs w:val="18"/>
                <w:lang w:eastAsia="nl-NL"/>
              </w:rPr>
            </w:pPr>
            <w:r w:rsidRPr="005B75D2">
              <w:rPr>
                <w:rFonts w:ascii="Verdana" w:hAnsi="Verdana" w:cs="Calibri"/>
                <w:color w:val="000000"/>
                <w:sz w:val="18"/>
                <w:szCs w:val="18"/>
                <w:lang w:eastAsia="nl-NL"/>
              </w:rPr>
              <w:t>aan de po/vo-raden t</w:t>
            </w:r>
            <w:r w:rsidR="00915215">
              <w:rPr>
                <w:rFonts w:ascii="Verdana" w:hAnsi="Verdana" w:cs="Calibri"/>
                <w:color w:val="000000"/>
                <w:sz w:val="18"/>
                <w:szCs w:val="18"/>
                <w:lang w:eastAsia="nl-NL"/>
              </w:rPr>
              <w:t>.</w:t>
            </w:r>
            <w:r w:rsidRPr="005B75D2">
              <w:rPr>
                <w:rFonts w:ascii="Verdana" w:hAnsi="Verdana" w:cs="Calibri"/>
                <w:color w:val="000000"/>
                <w:sz w:val="18"/>
                <w:szCs w:val="18"/>
                <w:lang w:eastAsia="nl-NL"/>
              </w:rPr>
              <w:t>b</w:t>
            </w:r>
            <w:r w:rsidR="00915215">
              <w:rPr>
                <w:rFonts w:ascii="Verdana" w:hAnsi="Verdana" w:cs="Calibri"/>
                <w:color w:val="000000"/>
                <w:sz w:val="18"/>
                <w:szCs w:val="18"/>
                <w:lang w:eastAsia="nl-NL"/>
              </w:rPr>
              <w:t>.</w:t>
            </w:r>
            <w:r w:rsidRPr="005B75D2">
              <w:rPr>
                <w:rFonts w:ascii="Verdana" w:hAnsi="Verdana" w:cs="Calibri"/>
                <w:color w:val="000000"/>
                <w:sz w:val="18"/>
                <w:szCs w:val="18"/>
                <w:lang w:eastAsia="nl-NL"/>
              </w:rPr>
              <w:t>v</w:t>
            </w:r>
            <w:r w:rsidR="00915215">
              <w:rPr>
                <w:rFonts w:ascii="Verdana" w:hAnsi="Verdana" w:cs="Calibri"/>
                <w:color w:val="000000"/>
                <w:sz w:val="18"/>
                <w:szCs w:val="18"/>
                <w:lang w:eastAsia="nl-NL"/>
              </w:rPr>
              <w:t>.</w:t>
            </w:r>
            <w:r w:rsidRPr="005B75D2">
              <w:rPr>
                <w:rFonts w:ascii="Verdana" w:hAnsi="Verdana" w:cs="Calibri"/>
                <w:color w:val="000000"/>
                <w:sz w:val="18"/>
                <w:szCs w:val="18"/>
                <w:lang w:eastAsia="nl-NL"/>
              </w:rPr>
              <w:t xml:space="preserve"> cao-onderhandelingen en het creëren van benchmarks op websites (gegevens onderwijspersoneel);</w:t>
            </w:r>
          </w:p>
          <w:p w:rsidRPr="005B75D2" w:rsidR="005B75D2" w:rsidP="005B75D2" w:rsidRDefault="005B75D2" w14:paraId="3D1B4C00" w14:textId="77777777">
            <w:pPr>
              <w:pStyle w:val="Geenafstand"/>
              <w:numPr>
                <w:ilvl w:val="0"/>
                <w:numId w:val="15"/>
              </w:numPr>
              <w:rPr>
                <w:rFonts w:ascii="Verdana" w:hAnsi="Verdana" w:cs="Calibri"/>
                <w:color w:val="000000"/>
                <w:sz w:val="18"/>
                <w:szCs w:val="18"/>
                <w:lang w:eastAsia="nl-NL"/>
              </w:rPr>
            </w:pPr>
            <w:r w:rsidRPr="005B75D2">
              <w:rPr>
                <w:rFonts w:ascii="Verdana" w:hAnsi="Verdana" w:cs="Calibri"/>
                <w:color w:val="000000"/>
                <w:sz w:val="18"/>
                <w:szCs w:val="18"/>
                <w:lang w:eastAsia="nl-NL"/>
              </w:rPr>
              <w:t>voor de landelijke veiligheidsmonitor</w:t>
            </w:r>
          </w:p>
          <w:p w:rsidRPr="005B75D2" w:rsidR="005B75D2" w:rsidP="005B75D2" w:rsidRDefault="005B75D2" w14:paraId="5B3F814D" w14:textId="77777777">
            <w:pPr>
              <w:pStyle w:val="Geenafstand"/>
              <w:numPr>
                <w:ilvl w:val="0"/>
                <w:numId w:val="15"/>
              </w:numPr>
              <w:rPr>
                <w:rFonts w:ascii="Verdana" w:hAnsi="Verdana" w:cs="Calibri"/>
                <w:color w:val="000000"/>
                <w:sz w:val="18"/>
                <w:szCs w:val="18"/>
              </w:rPr>
            </w:pPr>
            <w:r w:rsidRPr="005B75D2">
              <w:rPr>
                <w:rFonts w:ascii="Verdana" w:hAnsi="Verdana" w:cs="Calibri"/>
                <w:color w:val="000000"/>
                <w:sz w:val="18"/>
                <w:szCs w:val="18"/>
                <w:lang w:eastAsia="nl-NL"/>
              </w:rPr>
              <w:t>voor het Nationaal Cohortonderzoek Onderwijs</w:t>
            </w:r>
          </w:p>
        </w:tc>
      </w:tr>
      <w:tr w:rsidRPr="006658A0" w:rsidR="005B75D2" w:rsidTr="00A712D2" w14:paraId="6C0DBBAE" w14:textId="77777777">
        <w:tc>
          <w:tcPr>
            <w:tcW w:w="2580" w:type="dxa"/>
          </w:tcPr>
          <w:p w:rsidRPr="005B75D2" w:rsidR="005B75D2" w:rsidP="00A712D2" w:rsidRDefault="005B75D2" w14:paraId="5B2616F4" w14:textId="77777777">
            <w:pPr>
              <w:rPr>
                <w:szCs w:val="18"/>
              </w:rPr>
            </w:pPr>
            <w:r w:rsidRPr="005B75D2">
              <w:rPr>
                <w:rFonts w:cs="Calibri"/>
                <w:color w:val="000000"/>
                <w:szCs w:val="18"/>
              </w:rPr>
              <w:t>Reparatiewet OCW</w:t>
            </w:r>
          </w:p>
        </w:tc>
        <w:tc>
          <w:tcPr>
            <w:tcW w:w="6464" w:type="dxa"/>
          </w:tcPr>
          <w:p w:rsidRPr="005B75D2" w:rsidR="005B75D2" w:rsidP="00A712D2" w:rsidRDefault="005B75D2" w14:paraId="5F4B6FD2" w14:textId="03507F95">
            <w:pPr>
              <w:rPr>
                <w:rFonts w:cs="Calibri"/>
                <w:color w:val="000000"/>
                <w:szCs w:val="18"/>
              </w:rPr>
            </w:pPr>
            <w:r w:rsidRPr="005B75D2">
              <w:rPr>
                <w:rFonts w:cs="Calibri"/>
                <w:color w:val="000000"/>
                <w:szCs w:val="18"/>
              </w:rPr>
              <w:t xml:space="preserve">Het wetsvoorstel is er </w:t>
            </w:r>
            <w:r w:rsidR="00915215">
              <w:rPr>
                <w:rFonts w:cs="Calibri"/>
                <w:color w:val="000000"/>
                <w:szCs w:val="18"/>
              </w:rPr>
              <w:t>éé</w:t>
            </w:r>
            <w:r w:rsidRPr="005B75D2">
              <w:rPr>
                <w:rFonts w:cs="Calibri"/>
                <w:color w:val="000000"/>
                <w:szCs w:val="18"/>
              </w:rPr>
              <w:t>n in een jaarlijkse cyclus, waarbij technische omissies, zoals verschrijvingen of verkeerde verwijzingen, worden hersteld.</w:t>
            </w:r>
          </w:p>
        </w:tc>
      </w:tr>
      <w:tr w:rsidRPr="006658A0" w:rsidR="005B75D2" w:rsidTr="00A712D2" w14:paraId="22636A26" w14:textId="77777777">
        <w:tc>
          <w:tcPr>
            <w:tcW w:w="2580" w:type="dxa"/>
          </w:tcPr>
          <w:p w:rsidRPr="005B75D2" w:rsidR="005B75D2" w:rsidP="00A712D2" w:rsidRDefault="005B75D2" w14:paraId="65E5EDBB" w14:textId="77777777">
            <w:pPr>
              <w:rPr>
                <w:szCs w:val="18"/>
              </w:rPr>
            </w:pPr>
            <w:r w:rsidRPr="005B75D2">
              <w:rPr>
                <w:szCs w:val="18"/>
              </w:rPr>
              <w:t>Wijziging van de Wet op het specifiek cultuurbeleid i.v.m. verlenging van het subsidietijdvak van vier naar acht jaar</w:t>
            </w:r>
          </w:p>
        </w:tc>
        <w:tc>
          <w:tcPr>
            <w:tcW w:w="6464" w:type="dxa"/>
          </w:tcPr>
          <w:p w:rsidRPr="005B75D2" w:rsidR="005B75D2" w:rsidP="00A712D2" w:rsidRDefault="005B75D2" w14:paraId="40DE11F3" w14:textId="77777777">
            <w:pPr>
              <w:rPr>
                <w:rFonts w:cs="Calibri"/>
                <w:color w:val="000000"/>
                <w:szCs w:val="18"/>
              </w:rPr>
            </w:pPr>
            <w:r w:rsidRPr="005B75D2">
              <w:rPr>
                <w:szCs w:val="18"/>
              </w:rPr>
              <w:t>Dit wetsvoorstel ziet op het aanpassen van de periode van cultuursubsidies (de basisinfrastructuur) van vier naar acht jaar.</w:t>
            </w:r>
          </w:p>
        </w:tc>
      </w:tr>
      <w:tr w:rsidRPr="006658A0" w:rsidR="00CE6B62" w:rsidTr="00A712D2" w14:paraId="4F0FBE6D" w14:textId="77777777">
        <w:tc>
          <w:tcPr>
            <w:tcW w:w="2580" w:type="dxa"/>
          </w:tcPr>
          <w:p w:rsidRPr="005B75D2" w:rsidR="00CE6B62" w:rsidP="00CE6B62" w:rsidRDefault="00CE6B62" w14:paraId="14251DB8" w14:textId="34406C14">
            <w:pPr>
              <w:rPr>
                <w:szCs w:val="18"/>
              </w:rPr>
            </w:pPr>
            <w:r>
              <w:rPr>
                <w:rFonts w:cs="Calibri"/>
                <w:color w:val="000000"/>
                <w:szCs w:val="18"/>
              </w:rPr>
              <w:t>Voorhang t</w:t>
            </w:r>
            <w:r w:rsidRPr="002B786F">
              <w:rPr>
                <w:rFonts w:cs="Calibri"/>
                <w:color w:val="000000"/>
                <w:szCs w:val="18"/>
              </w:rPr>
              <w:t xml:space="preserve">ijdelijk besluit </w:t>
            </w:r>
            <w:r>
              <w:rPr>
                <w:rFonts w:cs="Calibri"/>
                <w:color w:val="000000"/>
                <w:szCs w:val="18"/>
              </w:rPr>
              <w:t xml:space="preserve">experiment </w:t>
            </w:r>
            <w:r w:rsidRPr="002B786F">
              <w:rPr>
                <w:rFonts w:cs="Calibri"/>
                <w:color w:val="000000"/>
                <w:szCs w:val="18"/>
              </w:rPr>
              <w:t>peuter-kleutergroepen</w:t>
            </w:r>
          </w:p>
        </w:tc>
        <w:tc>
          <w:tcPr>
            <w:tcW w:w="6464" w:type="dxa"/>
          </w:tcPr>
          <w:p w:rsidRPr="005B75D2" w:rsidR="00CE6B62" w:rsidP="00CE6B62" w:rsidRDefault="00CE6B62" w14:paraId="6EF1D89C" w14:textId="267F1375">
            <w:pPr>
              <w:rPr>
                <w:szCs w:val="18"/>
              </w:rPr>
            </w:pPr>
            <w:r w:rsidRPr="002B786F">
              <w:rPr>
                <w:rFonts w:cs="Calibri"/>
                <w:color w:val="000000"/>
                <w:szCs w:val="18"/>
              </w:rPr>
              <w:t>Aan de Tweede Kamer is toegezegd dat OCW en SZW komen met ruimte om voor een afgebakende periode peuters en kleuters onder voorwaarden te mogen samenvoegen in één groep, via een experimenteerbesluit. Dat zijn de zogenaamde peuter-kleutergroepen.</w:t>
            </w:r>
          </w:p>
        </w:tc>
      </w:tr>
      <w:tr w:rsidRPr="006658A0" w:rsidR="005B75D2" w:rsidTr="00A712D2" w14:paraId="2C390B99" w14:textId="77777777">
        <w:tc>
          <w:tcPr>
            <w:tcW w:w="9044" w:type="dxa"/>
            <w:gridSpan w:val="2"/>
            <w:shd w:val="clear" w:color="auto" w:fill="D9D9D9" w:themeFill="background1" w:themeFillShade="D9"/>
          </w:tcPr>
          <w:p w:rsidRPr="005B75D2" w:rsidR="005B75D2" w:rsidP="00A712D2" w:rsidRDefault="005B75D2" w14:paraId="5AEC0999" w14:textId="6C78653F">
            <w:pPr>
              <w:rPr>
                <w:rFonts w:cs="Calibri"/>
                <w:b/>
                <w:bCs/>
                <w:color w:val="000000"/>
                <w:szCs w:val="18"/>
                <w:highlight w:val="lightGray"/>
              </w:rPr>
            </w:pPr>
            <w:r w:rsidRPr="005B75D2">
              <w:rPr>
                <w:rFonts w:cs="Calibri"/>
                <w:b/>
                <w:bCs/>
                <w:color w:val="000000"/>
                <w:szCs w:val="18"/>
                <w:highlight w:val="lightGray"/>
              </w:rPr>
              <w:t>Derde kwartaal</w:t>
            </w:r>
            <w:r w:rsidR="007B7282">
              <w:rPr>
                <w:rFonts w:cs="Calibri"/>
                <w:b/>
                <w:bCs/>
                <w:color w:val="000000"/>
                <w:szCs w:val="18"/>
                <w:highlight w:val="lightGray"/>
              </w:rPr>
              <w:t xml:space="preserve"> 2026</w:t>
            </w:r>
          </w:p>
        </w:tc>
      </w:tr>
      <w:tr w:rsidRPr="006658A0" w:rsidR="005B75D2" w:rsidTr="00A712D2" w14:paraId="6DBB677A" w14:textId="77777777">
        <w:tc>
          <w:tcPr>
            <w:tcW w:w="2580" w:type="dxa"/>
          </w:tcPr>
          <w:p w:rsidRPr="005B75D2" w:rsidR="005B75D2" w:rsidP="00A712D2" w:rsidRDefault="005B75D2" w14:paraId="237EBE55" w14:textId="77777777">
            <w:pPr>
              <w:rPr>
                <w:rFonts w:cs="Calibri"/>
                <w:color w:val="000000"/>
                <w:szCs w:val="18"/>
              </w:rPr>
            </w:pPr>
            <w:r w:rsidRPr="005B75D2">
              <w:rPr>
                <w:rFonts w:cs="Calibri"/>
                <w:color w:val="000000"/>
                <w:szCs w:val="18"/>
              </w:rPr>
              <w:t>Wetsvoorstel advisering kennisveiligheid</w:t>
            </w:r>
          </w:p>
        </w:tc>
        <w:tc>
          <w:tcPr>
            <w:tcW w:w="6464" w:type="dxa"/>
          </w:tcPr>
          <w:p w:rsidRPr="005B75D2" w:rsidR="005B75D2" w:rsidP="00A712D2" w:rsidRDefault="005B75D2" w14:paraId="50587CDF" w14:textId="77777777">
            <w:pPr>
              <w:rPr>
                <w:rFonts w:cs="Calibri"/>
                <w:color w:val="000000"/>
                <w:szCs w:val="18"/>
              </w:rPr>
            </w:pPr>
            <w:r w:rsidRPr="005B75D2">
              <w:rPr>
                <w:rFonts w:cs="Calibri"/>
                <w:color w:val="000000"/>
                <w:szCs w:val="18"/>
              </w:rPr>
              <w:t>In dit wetsvoorstel wordt een wettelijke grondslag gecreëerd voor de verwerking van persoonsgegevens door het Loket Kennisveiligheid, dat kennisinstellingen adviseert over kennisveiligheidsvraagstukken.</w:t>
            </w:r>
          </w:p>
        </w:tc>
      </w:tr>
      <w:tr w:rsidRPr="006658A0" w:rsidR="005B75D2" w:rsidTr="00A712D2" w14:paraId="11B4BD19" w14:textId="77777777">
        <w:tc>
          <w:tcPr>
            <w:tcW w:w="2580" w:type="dxa"/>
          </w:tcPr>
          <w:p w:rsidRPr="005B75D2" w:rsidR="005B75D2" w:rsidP="00A712D2" w:rsidRDefault="005B75D2" w14:paraId="497DA5CF" w14:textId="77777777">
            <w:pPr>
              <w:rPr>
                <w:rFonts w:cs="Calibri"/>
                <w:color w:val="000000"/>
                <w:szCs w:val="18"/>
              </w:rPr>
            </w:pPr>
            <w:r w:rsidRPr="005B75D2">
              <w:rPr>
                <w:rFonts w:cs="Calibri"/>
                <w:color w:val="000000"/>
                <w:szCs w:val="18"/>
              </w:rPr>
              <w:t>Wetsvoorstel Variawet hoger onderwijs 20XX</w:t>
            </w:r>
          </w:p>
        </w:tc>
        <w:tc>
          <w:tcPr>
            <w:tcW w:w="6464" w:type="dxa"/>
          </w:tcPr>
          <w:p w:rsidRPr="005B75D2" w:rsidR="005B75D2" w:rsidP="00A712D2" w:rsidRDefault="005B75D2" w14:paraId="744EE504" w14:textId="60622783">
            <w:pPr>
              <w:rPr>
                <w:rFonts w:cs="Calibri"/>
                <w:color w:val="000000"/>
                <w:szCs w:val="18"/>
              </w:rPr>
            </w:pPr>
            <w:r w:rsidRPr="005B75D2">
              <w:rPr>
                <w:rFonts w:cs="Calibri"/>
                <w:color w:val="000000"/>
                <w:szCs w:val="18"/>
              </w:rPr>
              <w:t>Het wetsvoorstel wijzigt de Wet op het hoger onderwijs en wetenschappelijk onderzoek. Het betreft verschillende beleidsmatige wijzigingen die betrekking hebben op opleidingen in het hoger onderwijs.</w:t>
            </w:r>
          </w:p>
        </w:tc>
      </w:tr>
      <w:tr w:rsidRPr="006658A0" w:rsidR="005B75D2" w:rsidTr="00A712D2" w14:paraId="5D188FF6" w14:textId="77777777">
        <w:tc>
          <w:tcPr>
            <w:tcW w:w="2580" w:type="dxa"/>
          </w:tcPr>
          <w:p w:rsidRPr="005B75D2" w:rsidR="005B75D2" w:rsidP="00A712D2" w:rsidRDefault="005B75D2" w14:paraId="5DC71842" w14:textId="77777777">
            <w:pPr>
              <w:tabs>
                <w:tab w:val="left" w:pos="474"/>
              </w:tabs>
              <w:rPr>
                <w:rFonts w:cs="Calibri"/>
                <w:color w:val="000000"/>
                <w:szCs w:val="18"/>
              </w:rPr>
            </w:pPr>
            <w:r w:rsidRPr="005B75D2">
              <w:rPr>
                <w:rFonts w:cs="Calibri"/>
                <w:color w:val="000000"/>
                <w:szCs w:val="18"/>
              </w:rPr>
              <w:t>Wetsvoorstel uitwerking burgerschapsopdracht WEB</w:t>
            </w:r>
          </w:p>
        </w:tc>
        <w:tc>
          <w:tcPr>
            <w:tcW w:w="6464" w:type="dxa"/>
          </w:tcPr>
          <w:p w:rsidRPr="005B75D2" w:rsidR="005B75D2" w:rsidP="00A712D2" w:rsidRDefault="005B75D2" w14:paraId="39FA9450" w14:textId="032E6EFA">
            <w:pPr>
              <w:rPr>
                <w:rFonts w:cs="Calibri"/>
                <w:color w:val="000000"/>
                <w:szCs w:val="18"/>
              </w:rPr>
            </w:pPr>
            <w:r w:rsidRPr="005B75D2">
              <w:rPr>
                <w:rFonts w:cs="Calibri"/>
                <w:color w:val="000000"/>
                <w:szCs w:val="18"/>
              </w:rPr>
              <w:t xml:space="preserve">Met dit wetsvoorstel wordt de burgerschapsopdracht voor instellingen in het middelbaar beroepsonderwijs en opleidingen </w:t>
            </w:r>
            <w:proofErr w:type="spellStart"/>
            <w:r w:rsidRPr="005B75D2">
              <w:rPr>
                <w:rFonts w:cs="Calibri"/>
                <w:color w:val="000000"/>
                <w:szCs w:val="18"/>
              </w:rPr>
              <w:t>vavo</w:t>
            </w:r>
            <w:proofErr w:type="spellEnd"/>
            <w:r w:rsidRPr="005B75D2">
              <w:rPr>
                <w:rFonts w:cs="Calibri"/>
                <w:color w:val="000000"/>
                <w:szCs w:val="18"/>
              </w:rPr>
              <w:t xml:space="preserve"> geëxpliciteerd in de Wet educatie en beroepsonderwijs en de WEB BES. Tevens worden de generieke kwalificatie-onderdelen (mbo-term voor vak)</w:t>
            </w:r>
            <w:r w:rsidR="000B67F3">
              <w:rPr>
                <w:rFonts w:cs="Calibri"/>
                <w:color w:val="000000"/>
                <w:szCs w:val="18"/>
              </w:rPr>
              <w:t>,</w:t>
            </w:r>
            <w:r w:rsidRPr="005B75D2">
              <w:rPr>
                <w:rFonts w:cs="Calibri"/>
                <w:color w:val="000000"/>
                <w:szCs w:val="18"/>
              </w:rPr>
              <w:t xml:space="preserve"> zoals burgerschap voortaan in de wet zelf genoemd in plaats van in lagere regelgeving.</w:t>
            </w:r>
          </w:p>
        </w:tc>
      </w:tr>
      <w:tr w:rsidRPr="006658A0" w:rsidR="005B75D2" w:rsidTr="00A712D2" w14:paraId="7F8BFC81" w14:textId="77777777">
        <w:tc>
          <w:tcPr>
            <w:tcW w:w="2580" w:type="dxa"/>
          </w:tcPr>
          <w:p w:rsidRPr="005B75D2" w:rsidR="005B75D2" w:rsidP="00A712D2" w:rsidRDefault="005B75D2" w14:paraId="1257B479" w14:textId="77777777">
            <w:pPr>
              <w:tabs>
                <w:tab w:val="left" w:pos="474"/>
              </w:tabs>
              <w:rPr>
                <w:rFonts w:cs="Calibri"/>
                <w:color w:val="000000"/>
                <w:szCs w:val="18"/>
              </w:rPr>
            </w:pPr>
            <w:r w:rsidRPr="005B75D2">
              <w:rPr>
                <w:rFonts w:cs="Calibri"/>
                <w:color w:val="000000"/>
                <w:szCs w:val="18"/>
              </w:rPr>
              <w:t>Wetsvoorstel strategisch personeelsbeleid en arbeidsrechtelijke voorwaarden</w:t>
            </w:r>
          </w:p>
        </w:tc>
        <w:tc>
          <w:tcPr>
            <w:tcW w:w="6464" w:type="dxa"/>
          </w:tcPr>
          <w:p w:rsidRPr="005B75D2" w:rsidR="005B75D2" w:rsidP="00A712D2" w:rsidRDefault="005B75D2" w14:paraId="49B35335" w14:textId="77777777">
            <w:pPr>
              <w:rPr>
                <w:rFonts w:cs="Calibri"/>
                <w:color w:val="000000"/>
                <w:szCs w:val="18"/>
              </w:rPr>
            </w:pPr>
            <w:r w:rsidRPr="005B75D2">
              <w:rPr>
                <w:rFonts w:cs="Calibri"/>
                <w:color w:val="000000"/>
                <w:szCs w:val="18"/>
              </w:rPr>
              <w:t>Het wetsvoorstel heeft als doel goed werkgeverschap te bevorderen, de externe inhuur van personeel te beperken en het lerarentekort tegen te gaan.</w:t>
            </w:r>
          </w:p>
        </w:tc>
      </w:tr>
      <w:tr w:rsidRPr="006658A0" w:rsidR="005B75D2" w:rsidTr="00A712D2" w14:paraId="1D462220" w14:textId="77777777">
        <w:tc>
          <w:tcPr>
            <w:tcW w:w="2580" w:type="dxa"/>
          </w:tcPr>
          <w:p w:rsidRPr="005B75D2" w:rsidR="005B75D2" w:rsidP="00A712D2" w:rsidRDefault="005B75D2" w14:paraId="3862E26A" w14:textId="77777777">
            <w:pPr>
              <w:tabs>
                <w:tab w:val="left" w:pos="474"/>
              </w:tabs>
              <w:rPr>
                <w:rFonts w:cs="Calibri"/>
                <w:color w:val="000000"/>
                <w:szCs w:val="18"/>
              </w:rPr>
            </w:pPr>
            <w:r w:rsidRPr="005B75D2">
              <w:rPr>
                <w:rFonts w:cs="Calibri"/>
                <w:color w:val="000000"/>
                <w:szCs w:val="18"/>
              </w:rPr>
              <w:t>Wetsvoorstel verduidelijking van enkele deugdelijkheidseisen</w:t>
            </w:r>
          </w:p>
        </w:tc>
        <w:tc>
          <w:tcPr>
            <w:tcW w:w="6464" w:type="dxa"/>
          </w:tcPr>
          <w:p w:rsidRPr="005B75D2" w:rsidR="005B75D2" w:rsidP="00A712D2" w:rsidRDefault="005B75D2" w14:paraId="4494D898" w14:textId="4EEEC57C">
            <w:pPr>
              <w:rPr>
                <w:rFonts w:cs="Calibri"/>
                <w:color w:val="000000"/>
                <w:szCs w:val="18"/>
              </w:rPr>
            </w:pPr>
            <w:r w:rsidRPr="005B75D2">
              <w:rPr>
                <w:rFonts w:cs="Calibri"/>
                <w:color w:val="000000"/>
                <w:szCs w:val="18"/>
              </w:rPr>
              <w:t xml:space="preserve">Het wetsvoorstel concretiseert de deugdelijkheidseisen ten aanzien van het stelsel van kwaliteitszorg en ononderbroken ontwikkelingsproces, onder meer door de toevoeging van </w:t>
            </w:r>
            <w:r w:rsidR="008F7452">
              <w:rPr>
                <w:rFonts w:cs="Calibri"/>
                <w:color w:val="000000"/>
                <w:szCs w:val="18"/>
              </w:rPr>
              <w:t>‘</w:t>
            </w:r>
            <w:proofErr w:type="spellStart"/>
            <w:r w:rsidRPr="008F7452">
              <w:rPr>
                <w:rFonts w:cs="Calibri"/>
                <w:color w:val="000000"/>
                <w:szCs w:val="18"/>
              </w:rPr>
              <w:t>evidence</w:t>
            </w:r>
            <w:proofErr w:type="spellEnd"/>
            <w:r w:rsidRPr="008F7452">
              <w:rPr>
                <w:rFonts w:cs="Calibri"/>
                <w:color w:val="000000"/>
                <w:szCs w:val="18"/>
              </w:rPr>
              <w:t xml:space="preserve"> </w:t>
            </w:r>
            <w:proofErr w:type="spellStart"/>
            <w:r w:rsidRPr="008F7452">
              <w:rPr>
                <w:rFonts w:cs="Calibri"/>
                <w:color w:val="000000"/>
                <w:szCs w:val="18"/>
              </w:rPr>
              <w:t>informed</w:t>
            </w:r>
            <w:proofErr w:type="spellEnd"/>
            <w:r w:rsidR="008F7452">
              <w:rPr>
                <w:rFonts w:cs="Calibri"/>
                <w:color w:val="000000"/>
                <w:szCs w:val="18"/>
              </w:rPr>
              <w:t>’</w:t>
            </w:r>
            <w:r w:rsidRPr="008F7452">
              <w:rPr>
                <w:rFonts w:cs="Calibri"/>
                <w:color w:val="000000"/>
                <w:szCs w:val="18"/>
              </w:rPr>
              <w:t xml:space="preserve"> </w:t>
            </w:r>
            <w:r w:rsidRPr="005B75D2">
              <w:rPr>
                <w:rFonts w:cs="Calibri"/>
                <w:color w:val="000000"/>
                <w:szCs w:val="18"/>
              </w:rPr>
              <w:t>werken op scholen.</w:t>
            </w:r>
          </w:p>
        </w:tc>
      </w:tr>
      <w:tr w:rsidRPr="006658A0" w:rsidR="005B75D2" w:rsidTr="00A712D2" w14:paraId="168E596E" w14:textId="77777777">
        <w:tc>
          <w:tcPr>
            <w:tcW w:w="2580" w:type="dxa"/>
          </w:tcPr>
          <w:p w:rsidRPr="005B75D2" w:rsidR="005B75D2" w:rsidP="00A712D2" w:rsidRDefault="005B75D2" w14:paraId="2697F679" w14:textId="77777777">
            <w:pPr>
              <w:tabs>
                <w:tab w:val="left" w:pos="474"/>
              </w:tabs>
              <w:rPr>
                <w:rFonts w:cs="Calibri"/>
                <w:color w:val="000000"/>
                <w:szCs w:val="18"/>
              </w:rPr>
            </w:pPr>
            <w:r w:rsidRPr="005B75D2">
              <w:rPr>
                <w:rFonts w:cs="Calibri"/>
                <w:color w:val="000000"/>
                <w:szCs w:val="18"/>
              </w:rPr>
              <w:t>Wetsvoorstel Europese School</w:t>
            </w:r>
          </w:p>
        </w:tc>
        <w:tc>
          <w:tcPr>
            <w:tcW w:w="6464" w:type="dxa"/>
          </w:tcPr>
          <w:p w:rsidRPr="005B75D2" w:rsidR="005B75D2" w:rsidP="00A712D2" w:rsidRDefault="005B75D2" w14:paraId="2ED7596C" w14:textId="77777777">
            <w:pPr>
              <w:rPr>
                <w:rFonts w:cs="Calibri"/>
                <w:color w:val="000000"/>
                <w:szCs w:val="18"/>
              </w:rPr>
            </w:pPr>
            <w:r w:rsidRPr="005B75D2">
              <w:rPr>
                <w:rFonts w:cs="Calibri"/>
                <w:color w:val="000000"/>
                <w:szCs w:val="18"/>
              </w:rPr>
              <w:t>Het wetsvoorstel beoogt te voorzien in een grondslag voor de bekostiging van scholen die opleiden tot het Europees baccalaureaat.</w:t>
            </w:r>
          </w:p>
        </w:tc>
      </w:tr>
      <w:tr w:rsidRPr="006658A0" w:rsidR="005B75D2" w:rsidTr="00A712D2" w14:paraId="21A17D7A" w14:textId="77777777">
        <w:tc>
          <w:tcPr>
            <w:tcW w:w="2580" w:type="dxa"/>
          </w:tcPr>
          <w:p w:rsidRPr="005B75D2" w:rsidR="005B75D2" w:rsidP="00A712D2" w:rsidRDefault="005B75D2" w14:paraId="6E099897" w14:textId="77777777">
            <w:pPr>
              <w:tabs>
                <w:tab w:val="left" w:pos="474"/>
              </w:tabs>
              <w:rPr>
                <w:rFonts w:cs="Calibri"/>
                <w:color w:val="000000"/>
                <w:szCs w:val="18"/>
              </w:rPr>
            </w:pPr>
            <w:r w:rsidRPr="005B75D2">
              <w:rPr>
                <w:rFonts w:cs="Calibri"/>
                <w:color w:val="000000"/>
                <w:szCs w:val="18"/>
              </w:rPr>
              <w:t>Wetsvoorstel verruiming maatwerkmogelijkheden</w:t>
            </w:r>
          </w:p>
        </w:tc>
        <w:tc>
          <w:tcPr>
            <w:tcW w:w="6464" w:type="dxa"/>
          </w:tcPr>
          <w:p w:rsidRPr="005B75D2" w:rsidR="005B75D2" w:rsidP="00A712D2" w:rsidRDefault="005B75D2" w14:paraId="012FCB93" w14:textId="77777777">
            <w:pPr>
              <w:rPr>
                <w:rFonts w:cs="Calibri"/>
                <w:color w:val="000000"/>
                <w:szCs w:val="18"/>
              </w:rPr>
            </w:pPr>
            <w:r w:rsidRPr="005B75D2">
              <w:rPr>
                <w:rFonts w:cs="Calibri"/>
                <w:color w:val="000000"/>
                <w:szCs w:val="18"/>
              </w:rPr>
              <w:t xml:space="preserve">Het wetsvoorstel maatwerk regelt het afwijken van de onderwijswetgeving als dat nodig mocht zijn om langdurige </w:t>
            </w:r>
            <w:proofErr w:type="spellStart"/>
            <w:r w:rsidRPr="005B75D2">
              <w:rPr>
                <w:rFonts w:cs="Calibri"/>
                <w:color w:val="000000"/>
                <w:szCs w:val="18"/>
              </w:rPr>
              <w:t>verzuimers</w:t>
            </w:r>
            <w:proofErr w:type="spellEnd"/>
            <w:r w:rsidRPr="005B75D2">
              <w:rPr>
                <w:rFonts w:cs="Calibri"/>
                <w:color w:val="000000"/>
                <w:szCs w:val="18"/>
              </w:rPr>
              <w:t xml:space="preserve"> (thuiszitters) of leerlingen die dreigen uit te vallen, terug in het onderwijs te krijgen of te behouden.</w:t>
            </w:r>
          </w:p>
        </w:tc>
      </w:tr>
      <w:tr w:rsidRPr="006658A0" w:rsidR="005B75D2" w:rsidTr="00A712D2" w14:paraId="2F34A641" w14:textId="77777777">
        <w:tc>
          <w:tcPr>
            <w:tcW w:w="2580" w:type="dxa"/>
          </w:tcPr>
          <w:p w:rsidRPr="005B75D2" w:rsidR="005B75D2" w:rsidP="00A712D2" w:rsidRDefault="005B75D2" w14:paraId="4B577834" w14:textId="77777777">
            <w:pPr>
              <w:tabs>
                <w:tab w:val="left" w:pos="474"/>
              </w:tabs>
              <w:rPr>
                <w:rFonts w:cs="Calibri"/>
                <w:color w:val="000000"/>
                <w:szCs w:val="18"/>
              </w:rPr>
            </w:pPr>
            <w:r w:rsidRPr="005B75D2">
              <w:rPr>
                <w:rFonts w:cs="Calibri"/>
                <w:color w:val="000000"/>
                <w:szCs w:val="18"/>
              </w:rPr>
              <w:lastRenderedPageBreak/>
              <w:t>Wetsvoorstel praktische verbetering stichtingsprocedure</w:t>
            </w:r>
          </w:p>
        </w:tc>
        <w:tc>
          <w:tcPr>
            <w:tcW w:w="6464" w:type="dxa"/>
          </w:tcPr>
          <w:p w:rsidRPr="005B75D2" w:rsidR="005B75D2" w:rsidP="00A712D2" w:rsidRDefault="005B75D2" w14:paraId="75AB41C9" w14:textId="77777777">
            <w:pPr>
              <w:rPr>
                <w:rFonts w:cs="Calibri"/>
                <w:color w:val="000000"/>
                <w:szCs w:val="18"/>
              </w:rPr>
            </w:pPr>
            <w:r w:rsidRPr="005B75D2">
              <w:rPr>
                <w:rFonts w:cs="Calibri"/>
                <w:color w:val="000000"/>
                <w:szCs w:val="18"/>
              </w:rPr>
              <w:t>Het wetsvoorstel regelt het wegnemen van onnodige technische knelpunten bij het stichten van nieuwe scholen.</w:t>
            </w:r>
          </w:p>
          <w:p w:rsidRPr="005B75D2" w:rsidR="005B75D2" w:rsidP="00A712D2" w:rsidRDefault="005B75D2" w14:paraId="4607AAEA" w14:textId="77777777">
            <w:pPr>
              <w:rPr>
                <w:rFonts w:cs="Calibri"/>
                <w:color w:val="000000"/>
                <w:szCs w:val="18"/>
              </w:rPr>
            </w:pPr>
          </w:p>
        </w:tc>
      </w:tr>
      <w:tr w:rsidRPr="006658A0" w:rsidR="005B75D2" w:rsidTr="00A712D2" w14:paraId="71665621" w14:textId="77777777">
        <w:tc>
          <w:tcPr>
            <w:tcW w:w="2580" w:type="dxa"/>
          </w:tcPr>
          <w:p w:rsidRPr="005B75D2" w:rsidR="005B75D2" w:rsidP="00A712D2" w:rsidRDefault="005B75D2" w14:paraId="11DADDE3" w14:textId="547906BB">
            <w:pPr>
              <w:rPr>
                <w:rFonts w:cs="Calibri"/>
                <w:color w:val="000000"/>
                <w:szCs w:val="18"/>
              </w:rPr>
            </w:pPr>
            <w:r w:rsidRPr="005B75D2">
              <w:rPr>
                <w:szCs w:val="18"/>
                <w:shd w:val="clear" w:color="auto" w:fill="FFFFFF"/>
              </w:rPr>
              <w:t>Kaderverdrag van de Raad van Europa inzake de waarde van cultureel erfgoed voor de samenleving</w:t>
            </w:r>
          </w:p>
        </w:tc>
        <w:tc>
          <w:tcPr>
            <w:tcW w:w="6464" w:type="dxa"/>
          </w:tcPr>
          <w:p w:rsidRPr="008F7452" w:rsidR="005B75D2" w:rsidP="008F7452" w:rsidRDefault="005B75D2" w14:paraId="7436B262" w14:textId="773A16BD">
            <w:pPr>
              <w:ind w:right="-1"/>
              <w:rPr>
                <w:szCs w:val="18"/>
                <w:shd w:val="clear" w:color="auto" w:fill="FFFFFF"/>
              </w:rPr>
            </w:pPr>
            <w:r w:rsidRPr="005B75D2">
              <w:rPr>
                <w:szCs w:val="18"/>
                <w:shd w:val="clear" w:color="auto" w:fill="FFFFFF"/>
              </w:rPr>
              <w:t>Het Verdrag zal in het derde kwartaal voor goedkeuring aan het parlement worden voorgelegd.</w:t>
            </w:r>
            <w:r w:rsidR="008F7452">
              <w:rPr>
                <w:szCs w:val="18"/>
                <w:shd w:val="clear" w:color="auto" w:fill="FFFFFF"/>
              </w:rPr>
              <w:t xml:space="preserve"> </w:t>
            </w:r>
            <w:r w:rsidRPr="005B75D2">
              <w:rPr>
                <w:szCs w:val="18"/>
                <w:shd w:val="clear" w:color="auto" w:fill="FFFFFF"/>
              </w:rPr>
              <w:t>Het Verdrag van Faro strekt ertoe om het recht van alle personen te erkennen om betrokken te zijn bij het cultureel erfgoed van hun keuze, waarbij zij de rechten en vrijheden van anderen eerbiedigen.</w:t>
            </w:r>
          </w:p>
        </w:tc>
      </w:tr>
      <w:tr w:rsidRPr="006658A0" w:rsidR="005B75D2" w:rsidTr="00A712D2" w14:paraId="5ABBA0CA" w14:textId="77777777">
        <w:tc>
          <w:tcPr>
            <w:tcW w:w="9044" w:type="dxa"/>
            <w:gridSpan w:val="2"/>
            <w:shd w:val="clear" w:color="auto" w:fill="D9D9D9" w:themeFill="background1" w:themeFillShade="D9"/>
          </w:tcPr>
          <w:p w:rsidRPr="005B75D2" w:rsidR="005B75D2" w:rsidP="00A712D2" w:rsidRDefault="005B75D2" w14:paraId="7E032BFE" w14:textId="11ADD039">
            <w:pPr>
              <w:rPr>
                <w:rFonts w:cs="Calibri"/>
                <w:color w:val="000000"/>
                <w:szCs w:val="18"/>
              </w:rPr>
            </w:pPr>
            <w:r w:rsidRPr="005B75D2">
              <w:rPr>
                <w:rFonts w:cs="Calibri"/>
                <w:b/>
                <w:bCs/>
                <w:color w:val="000000"/>
                <w:szCs w:val="18"/>
              </w:rPr>
              <w:t>Vierde kwartaal</w:t>
            </w:r>
            <w:r w:rsidR="007B7282">
              <w:rPr>
                <w:rFonts w:cs="Calibri"/>
                <w:b/>
                <w:bCs/>
                <w:color w:val="000000"/>
                <w:szCs w:val="18"/>
              </w:rPr>
              <w:t xml:space="preserve"> 2026</w:t>
            </w:r>
          </w:p>
        </w:tc>
      </w:tr>
      <w:tr w:rsidRPr="006658A0" w:rsidR="000867FD" w:rsidTr="00A712D2" w14:paraId="0C5F7EA8" w14:textId="77777777">
        <w:tc>
          <w:tcPr>
            <w:tcW w:w="2580" w:type="dxa"/>
          </w:tcPr>
          <w:p w:rsidRPr="000867FD" w:rsidR="000867FD" w:rsidP="000867FD" w:rsidRDefault="000867FD" w14:paraId="17B77E5F" w14:textId="766C0CA5">
            <w:pPr>
              <w:rPr>
                <w:rFonts w:cs="Calibri"/>
                <w:szCs w:val="18"/>
              </w:rPr>
            </w:pPr>
            <w:r w:rsidRPr="000867FD">
              <w:rPr>
                <w:szCs w:val="18"/>
                <w:lang w:eastAsia="en-US"/>
              </w:rPr>
              <w:t>Wetsvoorstel informeel onderwijs</w:t>
            </w:r>
          </w:p>
        </w:tc>
        <w:tc>
          <w:tcPr>
            <w:tcW w:w="6464" w:type="dxa"/>
          </w:tcPr>
          <w:p w:rsidRPr="000867FD" w:rsidR="000867FD" w:rsidP="000867FD" w:rsidRDefault="000867FD" w14:paraId="7577B4C9" w14:textId="2A2E13AC">
            <w:pPr>
              <w:rPr>
                <w:rFonts w:cs="Calibri"/>
                <w:szCs w:val="18"/>
              </w:rPr>
            </w:pPr>
            <w:r w:rsidRPr="000867FD">
              <w:rPr>
                <w:szCs w:val="18"/>
                <w:lang w:eastAsia="en-US"/>
              </w:rPr>
              <w:t>Het wetsvoorstel regelt toezicht op informeel onderwijs aan kinderen van 4 tot en met 17 jaar. Dat is onderwijs wat niet verplicht is. Als er vermoedens zijn dat dit onderwijs kinderen aanzet tot haat, geweld of discriminatie, zal de Inspectie van het Onderwijs (inspectie) deze signalen kunnen onderzoeken. De Minister van Onderwijs, Cultuur en Wetenschap zal op basis van een onderzoeksrapport van de inspectie maatregelen kunnen nemen tegen overtreding van de wet.</w:t>
            </w:r>
          </w:p>
        </w:tc>
      </w:tr>
      <w:tr w:rsidRPr="006658A0" w:rsidR="005B75D2" w:rsidTr="00A712D2" w14:paraId="7E55FB47" w14:textId="77777777">
        <w:tc>
          <w:tcPr>
            <w:tcW w:w="2580" w:type="dxa"/>
          </w:tcPr>
          <w:p w:rsidRPr="005B75D2" w:rsidR="005B75D2" w:rsidP="00A712D2" w:rsidRDefault="005B75D2" w14:paraId="6B14466A" w14:textId="77777777">
            <w:pPr>
              <w:rPr>
                <w:rFonts w:cs="Calibri"/>
                <w:color w:val="000000"/>
                <w:szCs w:val="18"/>
              </w:rPr>
            </w:pPr>
            <w:r w:rsidRPr="005B75D2">
              <w:rPr>
                <w:rFonts w:cs="Calibri"/>
                <w:color w:val="000000"/>
                <w:szCs w:val="18"/>
              </w:rPr>
              <w:t xml:space="preserve">Wetsvoorstel professional </w:t>
            </w:r>
            <w:proofErr w:type="spellStart"/>
            <w:r w:rsidRPr="005B75D2">
              <w:rPr>
                <w:rFonts w:cs="Calibri"/>
                <w:color w:val="000000"/>
                <w:szCs w:val="18"/>
              </w:rPr>
              <w:t>doctorate</w:t>
            </w:r>
            <w:proofErr w:type="spellEnd"/>
          </w:p>
        </w:tc>
        <w:tc>
          <w:tcPr>
            <w:tcW w:w="6464" w:type="dxa"/>
          </w:tcPr>
          <w:p w:rsidRPr="005B75D2" w:rsidR="005B75D2" w:rsidP="00A712D2" w:rsidRDefault="005B75D2" w14:paraId="03DE32F8" w14:textId="77777777">
            <w:pPr>
              <w:rPr>
                <w:rFonts w:cs="Calibri"/>
                <w:color w:val="000000"/>
                <w:szCs w:val="18"/>
              </w:rPr>
            </w:pPr>
            <w:r w:rsidRPr="005B75D2">
              <w:rPr>
                <w:rFonts w:cs="Calibri"/>
                <w:color w:val="000000"/>
                <w:szCs w:val="18"/>
              </w:rPr>
              <w:t>Het wetsvoorstel regelt de derde cyclus in het hbo (promoveren in het hbo) en</w:t>
            </w:r>
            <w:r w:rsidRPr="005B75D2">
              <w:rPr>
                <w:szCs w:val="18"/>
              </w:rPr>
              <w:t xml:space="preserve"> regelt verder de bevoegdheid tot het verlenen van de graad </w:t>
            </w:r>
            <w:proofErr w:type="spellStart"/>
            <w:r w:rsidRPr="005B75D2">
              <w:rPr>
                <w:szCs w:val="18"/>
              </w:rPr>
              <w:t>EngD</w:t>
            </w:r>
            <w:proofErr w:type="spellEnd"/>
            <w:r w:rsidRPr="005B75D2">
              <w:rPr>
                <w:szCs w:val="18"/>
              </w:rPr>
              <w:t xml:space="preserve"> aan kandidaten die de opleiding tot technologisch ontwerper succesvol hebben afgerond. </w:t>
            </w:r>
          </w:p>
        </w:tc>
      </w:tr>
      <w:tr w:rsidRPr="006658A0" w:rsidR="005B75D2" w:rsidTr="00A712D2" w14:paraId="7C3DCFF0" w14:textId="77777777">
        <w:tc>
          <w:tcPr>
            <w:tcW w:w="2580" w:type="dxa"/>
          </w:tcPr>
          <w:p w:rsidRPr="005B75D2" w:rsidR="005B75D2" w:rsidP="00A712D2" w:rsidRDefault="005B75D2" w14:paraId="4395D2EC" w14:textId="77777777">
            <w:pPr>
              <w:rPr>
                <w:rFonts w:cs="Calibri"/>
                <w:color w:val="000000"/>
                <w:szCs w:val="18"/>
              </w:rPr>
            </w:pPr>
            <w:r w:rsidRPr="005B75D2">
              <w:rPr>
                <w:rFonts w:cs="Calibri"/>
                <w:color w:val="000000"/>
                <w:szCs w:val="18"/>
              </w:rPr>
              <w:t>Wetsvoorstel registratie zij-instromers in beroep</w:t>
            </w:r>
          </w:p>
        </w:tc>
        <w:tc>
          <w:tcPr>
            <w:tcW w:w="6464" w:type="dxa"/>
          </w:tcPr>
          <w:p w:rsidRPr="005B75D2" w:rsidR="005B75D2" w:rsidP="00A712D2" w:rsidRDefault="005B75D2" w14:paraId="65C97296" w14:textId="77777777">
            <w:pPr>
              <w:rPr>
                <w:rFonts w:cs="Calibri"/>
                <w:color w:val="000000"/>
                <w:szCs w:val="18"/>
              </w:rPr>
            </w:pPr>
            <w:r w:rsidRPr="005B75D2">
              <w:rPr>
                <w:rFonts w:cs="Calibri"/>
                <w:color w:val="000000"/>
                <w:szCs w:val="18"/>
              </w:rPr>
              <w:t>Met het wetsvoorstel wordt de Wet register onderwijsdeelnemers gewijzigd. Het betreft de registratie van zij-instromers in beroep en diplomagegevens van zij-instromers in beroep in het Register onderwijsdeelnemers.</w:t>
            </w:r>
          </w:p>
        </w:tc>
      </w:tr>
      <w:tr w:rsidRPr="006658A0" w:rsidR="005B75D2" w:rsidTr="00A712D2" w14:paraId="6333DAC7" w14:textId="77777777">
        <w:tc>
          <w:tcPr>
            <w:tcW w:w="2580" w:type="dxa"/>
          </w:tcPr>
          <w:p w:rsidRPr="005B75D2" w:rsidR="005B75D2" w:rsidP="00A712D2" w:rsidRDefault="005B75D2" w14:paraId="6A5F1628" w14:textId="77777777">
            <w:pPr>
              <w:rPr>
                <w:rFonts w:cs="Calibri"/>
                <w:color w:val="000000"/>
                <w:szCs w:val="18"/>
              </w:rPr>
            </w:pPr>
            <w:r w:rsidRPr="005B75D2">
              <w:rPr>
                <w:rFonts w:cs="Calibri"/>
                <w:color w:val="000000"/>
                <w:szCs w:val="18"/>
              </w:rPr>
              <w:t>Wetsvoorstel screening kennisveiligheid</w:t>
            </w:r>
          </w:p>
        </w:tc>
        <w:tc>
          <w:tcPr>
            <w:tcW w:w="6464" w:type="dxa"/>
          </w:tcPr>
          <w:p w:rsidRPr="005B75D2" w:rsidR="005B75D2" w:rsidP="00A712D2" w:rsidRDefault="005B75D2" w14:paraId="5CE1F2FE" w14:textId="77777777">
            <w:pPr>
              <w:rPr>
                <w:rFonts w:cs="Calibri"/>
                <w:color w:val="000000"/>
                <w:szCs w:val="18"/>
              </w:rPr>
            </w:pPr>
            <w:r w:rsidRPr="005B75D2">
              <w:rPr>
                <w:rFonts w:cs="Calibri"/>
                <w:color w:val="000000"/>
                <w:szCs w:val="18"/>
              </w:rPr>
              <w:t>Met dit wetsvoorstel wordt een screening ingevoerd van personen die toegang willen krijgen tot onderdelen van Nederlandse kennisinstellingen waar zij toegang zouden krijgen tot sensitieve technologie. Doel hiervan is om ongewenste kennis- en technologieoverdracht via onderzoekers, studenten en technisch ondersteunend personeel te voorkomen en daarmee risico’s voor de nationale veiligheid te verminderen.</w:t>
            </w:r>
          </w:p>
        </w:tc>
      </w:tr>
      <w:tr w:rsidRPr="006658A0" w:rsidR="005B75D2" w:rsidTr="00A712D2" w14:paraId="1955EA37" w14:textId="77777777">
        <w:tc>
          <w:tcPr>
            <w:tcW w:w="2580" w:type="dxa"/>
          </w:tcPr>
          <w:p w:rsidRPr="005B75D2" w:rsidR="005B75D2" w:rsidP="00A712D2" w:rsidRDefault="005B75D2" w14:paraId="575D02B2" w14:textId="77777777">
            <w:pPr>
              <w:rPr>
                <w:rFonts w:cs="Calibri"/>
                <w:color w:val="000000"/>
                <w:szCs w:val="18"/>
              </w:rPr>
            </w:pPr>
            <w:r w:rsidRPr="005B75D2">
              <w:rPr>
                <w:rFonts w:cs="Calibri"/>
                <w:color w:val="000000"/>
                <w:szCs w:val="18"/>
              </w:rPr>
              <w:t>Wetsvoorstel uitbreiding onderwijsvoorzieningen Wet overige OCW-subsidies</w:t>
            </w:r>
          </w:p>
        </w:tc>
        <w:tc>
          <w:tcPr>
            <w:tcW w:w="6464" w:type="dxa"/>
          </w:tcPr>
          <w:p w:rsidRPr="005B75D2" w:rsidR="005B75D2" w:rsidP="00A712D2" w:rsidRDefault="005B75D2" w14:paraId="263D50EA" w14:textId="77777777">
            <w:pPr>
              <w:rPr>
                <w:rFonts w:cs="Calibri"/>
                <w:color w:val="000000"/>
                <w:szCs w:val="18"/>
              </w:rPr>
            </w:pPr>
            <w:r w:rsidRPr="005B75D2">
              <w:rPr>
                <w:rFonts w:cs="Calibri"/>
                <w:color w:val="000000"/>
                <w:szCs w:val="18"/>
              </w:rPr>
              <w:t>Het wetsvoorstel beoogt onderwijsvoorzieningen voor personen die wegens ziekte of gebrek belemmeringen ondervinden bij het volgen van onderwijs ook voor personen ouder dan 30 jaar beschikbaar te stellen. Daarnaast maakt het wetsvoorstel het mogelijk een onderwijsvoorziening te ontvangen bij het volgen van erkend deeltijdonderwijs.</w:t>
            </w:r>
          </w:p>
        </w:tc>
      </w:tr>
      <w:tr w:rsidRPr="006658A0" w:rsidR="005B75D2" w:rsidTr="00A712D2" w14:paraId="11821CD4" w14:textId="77777777">
        <w:tc>
          <w:tcPr>
            <w:tcW w:w="2580" w:type="dxa"/>
          </w:tcPr>
          <w:p w:rsidRPr="005B75D2" w:rsidR="005B75D2" w:rsidP="00A712D2" w:rsidRDefault="005B75D2" w14:paraId="10070538" w14:textId="77777777">
            <w:pPr>
              <w:rPr>
                <w:rFonts w:cs="Calibri"/>
                <w:color w:val="000000"/>
                <w:szCs w:val="18"/>
              </w:rPr>
            </w:pPr>
            <w:r w:rsidRPr="005B75D2">
              <w:rPr>
                <w:rFonts w:cs="Calibri"/>
                <w:color w:val="000000"/>
                <w:szCs w:val="18"/>
              </w:rPr>
              <w:t xml:space="preserve">Wetsvoorstel kwaliteitseisen bestuur en interne </w:t>
            </w:r>
            <w:proofErr w:type="spellStart"/>
            <w:r w:rsidRPr="005B75D2">
              <w:rPr>
                <w:rFonts w:cs="Calibri"/>
                <w:color w:val="000000"/>
                <w:szCs w:val="18"/>
              </w:rPr>
              <w:t>governance</w:t>
            </w:r>
            <w:proofErr w:type="spellEnd"/>
            <w:r w:rsidRPr="005B75D2">
              <w:rPr>
                <w:rFonts w:cs="Calibri"/>
                <w:color w:val="000000"/>
                <w:szCs w:val="18"/>
              </w:rPr>
              <w:t xml:space="preserve"> </w:t>
            </w:r>
            <w:proofErr w:type="spellStart"/>
            <w:r w:rsidRPr="005B75D2">
              <w:rPr>
                <w:rFonts w:cs="Calibri"/>
                <w:color w:val="000000"/>
                <w:szCs w:val="18"/>
              </w:rPr>
              <w:t>samenwerkings-verbanden</w:t>
            </w:r>
            <w:proofErr w:type="spellEnd"/>
          </w:p>
        </w:tc>
        <w:tc>
          <w:tcPr>
            <w:tcW w:w="6464" w:type="dxa"/>
          </w:tcPr>
          <w:p w:rsidRPr="005B75D2" w:rsidR="005B75D2" w:rsidP="00A712D2" w:rsidRDefault="005B75D2" w14:paraId="785FE286" w14:textId="77777777">
            <w:pPr>
              <w:rPr>
                <w:rFonts w:cs="Calibri"/>
                <w:color w:val="000000"/>
                <w:szCs w:val="18"/>
              </w:rPr>
            </w:pPr>
            <w:r w:rsidRPr="005B75D2">
              <w:rPr>
                <w:rFonts w:cs="Calibri"/>
                <w:color w:val="000000"/>
                <w:szCs w:val="18"/>
              </w:rPr>
              <w:t>Het wetsvoorstel regelt eisen omtrent de geschiktheid en integriteit van besturen en intern toezicht van scholen en samenwerkingsverbanden in het funderend onderwijs.</w:t>
            </w:r>
          </w:p>
        </w:tc>
      </w:tr>
      <w:tr w:rsidRPr="006658A0" w:rsidR="005B75D2" w:rsidTr="00A712D2" w14:paraId="605408ED" w14:textId="77777777">
        <w:tc>
          <w:tcPr>
            <w:tcW w:w="2580" w:type="dxa"/>
          </w:tcPr>
          <w:p w:rsidRPr="005B75D2" w:rsidR="005B75D2" w:rsidP="00A712D2" w:rsidRDefault="005B75D2" w14:paraId="4798A517" w14:textId="77777777">
            <w:pPr>
              <w:rPr>
                <w:rFonts w:cs="Calibri"/>
                <w:color w:val="000000"/>
                <w:szCs w:val="18"/>
              </w:rPr>
            </w:pPr>
            <w:r w:rsidRPr="005B75D2">
              <w:rPr>
                <w:rFonts w:cs="Calibri"/>
                <w:color w:val="000000"/>
                <w:szCs w:val="18"/>
              </w:rPr>
              <w:t>Wetsvoorstel landelijke norm basisondersteuning</w:t>
            </w:r>
          </w:p>
        </w:tc>
        <w:tc>
          <w:tcPr>
            <w:tcW w:w="6464" w:type="dxa"/>
          </w:tcPr>
          <w:p w:rsidRPr="005B75D2" w:rsidR="005B75D2" w:rsidP="00A712D2" w:rsidRDefault="005B75D2" w14:paraId="46024669" w14:textId="77777777">
            <w:pPr>
              <w:rPr>
                <w:rFonts w:cs="Calibri"/>
                <w:color w:val="000000"/>
                <w:szCs w:val="18"/>
              </w:rPr>
            </w:pPr>
            <w:r w:rsidRPr="005B75D2">
              <w:rPr>
                <w:rFonts w:cs="Calibri"/>
                <w:color w:val="000000"/>
                <w:szCs w:val="18"/>
              </w:rPr>
              <w:t>Het wetsvoorstel regelt een landelijke uniforme aanpak voor leerlingen die meer dan de gebruikelijke ondersteuning nodig hebben, bijvoorbeeld voor dyslexie, hoogbegaafdheid of leergedrag.</w:t>
            </w:r>
          </w:p>
        </w:tc>
      </w:tr>
      <w:tr w:rsidRPr="006658A0" w:rsidR="005B75D2" w:rsidTr="00A712D2" w14:paraId="4D4EDCE7" w14:textId="77777777">
        <w:tc>
          <w:tcPr>
            <w:tcW w:w="2580" w:type="dxa"/>
          </w:tcPr>
          <w:p w:rsidRPr="005B75D2" w:rsidR="005B75D2" w:rsidP="00A712D2" w:rsidRDefault="005B75D2" w14:paraId="12E763B0" w14:textId="77777777">
            <w:pPr>
              <w:rPr>
                <w:rFonts w:cs="Calibri"/>
                <w:color w:val="000000"/>
                <w:szCs w:val="18"/>
              </w:rPr>
            </w:pPr>
            <w:r w:rsidRPr="005B75D2">
              <w:rPr>
                <w:rFonts w:cs="Calibri"/>
                <w:color w:val="000000"/>
                <w:szCs w:val="18"/>
              </w:rPr>
              <w:t>Wetsvoorstel bekostiging school en omgeving (SBS)</w:t>
            </w:r>
          </w:p>
        </w:tc>
        <w:tc>
          <w:tcPr>
            <w:tcW w:w="6464" w:type="dxa"/>
          </w:tcPr>
          <w:p w:rsidRPr="005B75D2" w:rsidR="005B75D2" w:rsidP="00A712D2" w:rsidRDefault="005B75D2" w14:paraId="51E80684" w14:textId="77777777">
            <w:pPr>
              <w:rPr>
                <w:rFonts w:cs="Calibri"/>
                <w:color w:val="000000"/>
                <w:szCs w:val="18"/>
              </w:rPr>
            </w:pPr>
            <w:r w:rsidRPr="005B75D2">
              <w:rPr>
                <w:rFonts w:cs="Calibri"/>
                <w:color w:val="000000"/>
                <w:szCs w:val="18"/>
              </w:rPr>
              <w:t>Het wetsvoorstel beoogt drie subsidieregelingen om te zetten naar aanvullende bekostiging: school en omgeving, brugfunctionaris (verwijsfunctie voor ouders) en schoolmaaltijden.</w:t>
            </w:r>
          </w:p>
        </w:tc>
      </w:tr>
      <w:tr w:rsidRPr="006658A0" w:rsidR="005B75D2" w:rsidTr="00A712D2" w14:paraId="7489B60C" w14:textId="77777777">
        <w:tc>
          <w:tcPr>
            <w:tcW w:w="2580" w:type="dxa"/>
          </w:tcPr>
          <w:p w:rsidRPr="005B75D2" w:rsidR="005B75D2" w:rsidP="00A712D2" w:rsidRDefault="005B75D2" w14:paraId="657D79C9" w14:textId="77777777">
            <w:pPr>
              <w:rPr>
                <w:rFonts w:cs="Calibri"/>
                <w:color w:val="000000"/>
                <w:szCs w:val="18"/>
              </w:rPr>
            </w:pPr>
            <w:r w:rsidRPr="005B75D2">
              <w:rPr>
                <w:rFonts w:cs="Arial"/>
                <w:szCs w:val="18"/>
              </w:rPr>
              <w:t xml:space="preserve">Wijziging van de Mediawet 2008 (herziening van het </w:t>
            </w:r>
            <w:r w:rsidRPr="005B75D2">
              <w:rPr>
                <w:rFonts w:cs="Arial"/>
                <w:szCs w:val="18"/>
              </w:rPr>
              <w:lastRenderedPageBreak/>
              <w:t>landelijke publieke mediabestel)</w:t>
            </w:r>
          </w:p>
        </w:tc>
        <w:tc>
          <w:tcPr>
            <w:tcW w:w="6464" w:type="dxa"/>
          </w:tcPr>
          <w:p w:rsidRPr="005B75D2" w:rsidR="005B75D2" w:rsidP="00A712D2" w:rsidRDefault="005B75D2" w14:paraId="19B5F521" w14:textId="77777777">
            <w:pPr>
              <w:rPr>
                <w:rFonts w:cs="Calibri"/>
                <w:color w:val="000000"/>
                <w:szCs w:val="18"/>
              </w:rPr>
            </w:pPr>
            <w:r w:rsidRPr="005B75D2">
              <w:rPr>
                <w:szCs w:val="18"/>
              </w:rPr>
              <w:lastRenderedPageBreak/>
              <w:t xml:space="preserve">Het wetsvoorstel voorziet in herziening van het landelijke publieke mediabestel. De regering wil met dit wetsvoorstel de landelijke publieke omroep fundamenteel hervormen om zo te borgen dat de publieke omroep ook in de toekomst zijn belangrijke functies voor </w:t>
            </w:r>
            <w:r w:rsidRPr="005B75D2">
              <w:rPr>
                <w:szCs w:val="18"/>
              </w:rPr>
              <w:lastRenderedPageBreak/>
              <w:t>de samenleving kan blijven vervullen. Uitdagingen in het internationale medialandschap en knelpunten in het huidige bestel maken dat deze functies in toenemende mate onder druk zijn komen te staan. Daarom is het nodig te behouden wat de Nederlandse publieke omroep krachtig maakt, en tegelijkertijd te veranderen wat noodzakelijk is. Dit wetsvoorstel stelt hiervoor een samenhangend pakket aan maatregelen voor.</w:t>
            </w:r>
          </w:p>
        </w:tc>
      </w:tr>
      <w:tr w:rsidRPr="006658A0" w:rsidR="005B75D2" w:rsidTr="00A712D2" w14:paraId="1D065DD8" w14:textId="77777777">
        <w:tc>
          <w:tcPr>
            <w:tcW w:w="2580" w:type="dxa"/>
          </w:tcPr>
          <w:p w:rsidRPr="005B75D2" w:rsidR="005B75D2" w:rsidP="00A712D2" w:rsidRDefault="005B75D2" w14:paraId="6219DA00" w14:textId="77777777">
            <w:pPr>
              <w:rPr>
                <w:rFonts w:cs="Calibri"/>
                <w:color w:val="000000"/>
                <w:szCs w:val="18"/>
              </w:rPr>
            </w:pPr>
            <w:r w:rsidRPr="005B75D2">
              <w:rPr>
                <w:szCs w:val="18"/>
              </w:rPr>
              <w:lastRenderedPageBreak/>
              <w:t>Uitvoeringswet EMFA</w:t>
            </w:r>
          </w:p>
        </w:tc>
        <w:tc>
          <w:tcPr>
            <w:tcW w:w="6464" w:type="dxa"/>
          </w:tcPr>
          <w:p w:rsidRPr="005B75D2" w:rsidR="005B75D2" w:rsidP="00A712D2" w:rsidRDefault="005B75D2" w14:paraId="14CD24B8" w14:textId="77777777">
            <w:pPr>
              <w:rPr>
                <w:rFonts w:cs="Calibri"/>
                <w:color w:val="000000"/>
                <w:szCs w:val="18"/>
              </w:rPr>
            </w:pPr>
            <w:r w:rsidRPr="005B75D2">
              <w:rPr>
                <w:szCs w:val="18"/>
                <w:shd w:val="clear" w:color="auto" w:fill="FFFFFF"/>
              </w:rPr>
              <w:t xml:space="preserve">In 2024 is de European Media </w:t>
            </w:r>
            <w:proofErr w:type="spellStart"/>
            <w:r w:rsidRPr="005B75D2">
              <w:rPr>
                <w:szCs w:val="18"/>
                <w:shd w:val="clear" w:color="auto" w:fill="FFFFFF"/>
              </w:rPr>
              <w:t>Freedom</w:t>
            </w:r>
            <w:proofErr w:type="spellEnd"/>
            <w:r w:rsidRPr="005B75D2">
              <w:rPr>
                <w:szCs w:val="18"/>
                <w:shd w:val="clear" w:color="auto" w:fill="FFFFFF"/>
              </w:rPr>
              <w:t xml:space="preserve"> Act (EMFA) in werking getreden. Deze verordening vereist aanpassing van de Nederlandse wetgeving. Met deze uitvoeringswet wordt uitvoering gegeven aan de EMFA. </w:t>
            </w:r>
          </w:p>
        </w:tc>
      </w:tr>
    </w:tbl>
    <w:p w:rsidR="008F7452" w:rsidP="00CA35E4" w:rsidRDefault="008F7452" w14:paraId="5656D9D1" w14:textId="77777777"/>
    <w:p w:rsidR="008A699A" w:rsidP="00CA35E4" w:rsidRDefault="008A699A" w14:paraId="6CFFCFA2" w14:textId="77777777"/>
    <w:p w:rsidR="000B67F3" w:rsidP="00CA35E4" w:rsidRDefault="000B67F3" w14:paraId="6991979A" w14:textId="77777777"/>
    <w:p w:rsidR="000B67F3" w:rsidP="00CA35E4" w:rsidRDefault="000B67F3" w14:paraId="248A5F34" w14:textId="77777777"/>
    <w:p w:rsidR="000B67F3" w:rsidP="00CA35E4" w:rsidRDefault="000B67F3" w14:paraId="6AB9A5DC" w14:textId="77777777"/>
    <w:p w:rsidR="000B67F3" w:rsidP="00CA35E4" w:rsidRDefault="000B67F3" w14:paraId="39F94B7F" w14:textId="77777777"/>
    <w:p w:rsidR="000B67F3" w:rsidP="00CA35E4" w:rsidRDefault="000B67F3" w14:paraId="33421ED9" w14:textId="77777777"/>
    <w:p w:rsidR="005768E4" w:rsidP="00CA35E4" w:rsidRDefault="00BE29D0" w14:paraId="6B22D727" w14:textId="6081C217">
      <w:r>
        <w:t>De minister van Onderwijs, Cultuur en Wetenschap,</w:t>
      </w:r>
    </w:p>
    <w:p w:rsidR="000F521E" w:rsidP="003A7160" w:rsidRDefault="000F521E" w14:paraId="32A4EECD" w14:textId="77777777"/>
    <w:p w:rsidR="000F521E" w:rsidP="003A7160" w:rsidRDefault="000F521E" w14:paraId="7C69FD38" w14:textId="77777777"/>
    <w:p w:rsidR="000F521E" w:rsidP="003A7160" w:rsidRDefault="000F521E" w14:paraId="5032EC04" w14:textId="77777777"/>
    <w:p w:rsidR="008F7452" w:rsidP="003A7160" w:rsidRDefault="008F7452" w14:paraId="1EA249F4" w14:textId="77777777"/>
    <w:p w:rsidR="000F521E" w:rsidP="003A7160" w:rsidRDefault="00BE29D0" w14:paraId="4C9546E5" w14:textId="77777777">
      <w:pPr>
        <w:pStyle w:val="standaard-tekst"/>
      </w:pPr>
      <w:proofErr w:type="spellStart"/>
      <w:r>
        <w:t>Gouke</w:t>
      </w:r>
      <w:proofErr w:type="spellEnd"/>
      <w:r>
        <w:t xml:space="preserve"> Moes</w:t>
      </w:r>
    </w:p>
    <w:p w:rsidR="00F01557" w:rsidP="003A7160" w:rsidRDefault="00F01557" w14:paraId="0B7A5953" w14:textId="77777777"/>
    <w:p w:rsidR="000B67F3" w:rsidP="003A7160" w:rsidRDefault="000B67F3" w14:paraId="6A7649FA" w14:textId="77777777"/>
    <w:p w:rsidR="00837ECE" w:rsidRDefault="00BE29D0" w14:paraId="6FC16FEF" w14:textId="77777777">
      <w:r>
        <w:t xml:space="preserve">De staatssecretaris </w:t>
      </w:r>
      <w:r w:rsidR="00535573">
        <w:t xml:space="preserve">van Onderwijs, </w:t>
      </w:r>
      <w:r>
        <w:t>Cultuur en</w:t>
      </w:r>
      <w:r w:rsidR="00535573">
        <w:t xml:space="preserve"> Wetenschap</w:t>
      </w:r>
      <w:r>
        <w:t>,</w:t>
      </w:r>
    </w:p>
    <w:p w:rsidR="00745AE0" w:rsidP="003A7160" w:rsidRDefault="00745AE0" w14:paraId="6AF01929" w14:textId="77777777"/>
    <w:p w:rsidR="00745AE0" w:rsidP="003A7160" w:rsidRDefault="00745AE0" w14:paraId="6D059734" w14:textId="225DEEF1"/>
    <w:p w:rsidR="00E93891" w:rsidP="00347221" w:rsidRDefault="00E93891" w14:paraId="0A868CFF" w14:textId="77777777"/>
    <w:p w:rsidR="008F7452" w:rsidP="00347221" w:rsidRDefault="008F7452" w14:paraId="3BE7676D" w14:textId="77777777"/>
    <w:p w:rsidR="00184B30" w:rsidP="00A60B58" w:rsidRDefault="00BE29D0" w14:paraId="3C7BCB91" w14:textId="604DB7DB">
      <w:r w:rsidRPr="00480E05">
        <w:t>Koen Beckin</w:t>
      </w:r>
      <w:r w:rsidR="008F7452">
        <w:t>g</w:t>
      </w:r>
    </w:p>
    <w:sectPr w:rsidR="00184B30" w:rsidSect="0074088B">
      <w:headerReference w:type="default" r:id="rId8"/>
      <w:footerReference w:type="default" r:id="rId9"/>
      <w:headerReference w:type="first" r:id="rId10"/>
      <w:footerReference w:type="first" r:id="rId11"/>
      <w:pgSz w:w="11906" w:h="16838" w:code="9"/>
      <w:pgMar w:top="2682" w:right="2818" w:bottom="1077" w:left="1588" w:header="1757"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E0F8E" w14:textId="77777777" w:rsidR="00DC691C" w:rsidRDefault="00BE29D0">
      <w:r>
        <w:separator/>
      </w:r>
    </w:p>
    <w:p w14:paraId="1DC7A0DE" w14:textId="77777777" w:rsidR="00DC691C" w:rsidRDefault="00DC691C"/>
  </w:endnote>
  <w:endnote w:type="continuationSeparator" w:id="0">
    <w:p w14:paraId="701B192D" w14:textId="77777777" w:rsidR="00DC691C" w:rsidRDefault="00BE29D0">
      <w:r>
        <w:continuationSeparator/>
      </w:r>
    </w:p>
    <w:p w14:paraId="5AA1B547"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5BFCC"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837ECE" w14:paraId="21ED36F9" w14:textId="77777777" w:rsidTr="004C7E1D">
      <w:trPr>
        <w:trHeight w:hRule="exact" w:val="357"/>
      </w:trPr>
      <w:tc>
        <w:tcPr>
          <w:tcW w:w="7603" w:type="dxa"/>
        </w:tcPr>
        <w:p w14:paraId="58ABC13D" w14:textId="77777777" w:rsidR="002F71BB" w:rsidRPr="004C7E1D" w:rsidRDefault="002F71BB" w:rsidP="004C7E1D">
          <w:pPr>
            <w:spacing w:line="180" w:lineRule="exact"/>
            <w:rPr>
              <w:sz w:val="13"/>
              <w:szCs w:val="13"/>
            </w:rPr>
          </w:pPr>
        </w:p>
      </w:tc>
      <w:tc>
        <w:tcPr>
          <w:tcW w:w="2172" w:type="dxa"/>
        </w:tcPr>
        <w:p w14:paraId="5021209E" w14:textId="6FAB390A" w:rsidR="002F71BB" w:rsidRPr="004C7E1D" w:rsidRDefault="00BE29D0"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4F2907">
            <w:rPr>
              <w:szCs w:val="13"/>
            </w:rPr>
            <w:t>13</w:t>
          </w:r>
          <w:r w:rsidRPr="004C7E1D">
            <w:rPr>
              <w:szCs w:val="13"/>
            </w:rPr>
            <w:fldChar w:fldCharType="end"/>
          </w:r>
        </w:p>
      </w:tc>
    </w:tr>
  </w:tbl>
  <w:p w14:paraId="2462C5AD"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837ECE" w14:paraId="0BE22BA9" w14:textId="77777777" w:rsidTr="004C7E1D">
      <w:trPr>
        <w:trHeight w:hRule="exact" w:val="357"/>
      </w:trPr>
      <w:tc>
        <w:tcPr>
          <w:tcW w:w="7709" w:type="dxa"/>
        </w:tcPr>
        <w:p w14:paraId="1BE719F7" w14:textId="77777777" w:rsidR="00D17084" w:rsidRPr="004C7E1D" w:rsidRDefault="00D17084" w:rsidP="004C7E1D">
          <w:pPr>
            <w:spacing w:line="180" w:lineRule="exact"/>
            <w:rPr>
              <w:sz w:val="13"/>
              <w:szCs w:val="13"/>
            </w:rPr>
          </w:pPr>
        </w:p>
      </w:tc>
      <w:tc>
        <w:tcPr>
          <w:tcW w:w="2060" w:type="dxa"/>
        </w:tcPr>
        <w:p w14:paraId="0BDBD760" w14:textId="1EBE6047" w:rsidR="00D17084" w:rsidRPr="004C7E1D" w:rsidRDefault="00BE29D0"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4F2907">
            <w:rPr>
              <w:szCs w:val="13"/>
            </w:rPr>
            <w:t>13</w:t>
          </w:r>
          <w:r w:rsidRPr="004C7E1D">
            <w:rPr>
              <w:szCs w:val="13"/>
            </w:rPr>
            <w:fldChar w:fldCharType="end"/>
          </w:r>
        </w:p>
      </w:tc>
    </w:tr>
  </w:tbl>
  <w:p w14:paraId="7EB1A531"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9EC22" w14:textId="77777777" w:rsidR="00DC691C" w:rsidRDefault="00BE29D0">
      <w:r>
        <w:separator/>
      </w:r>
    </w:p>
    <w:p w14:paraId="6DA4C351" w14:textId="77777777" w:rsidR="00DC691C" w:rsidRDefault="00DC691C"/>
  </w:footnote>
  <w:footnote w:type="continuationSeparator" w:id="0">
    <w:p w14:paraId="65DE0375" w14:textId="77777777" w:rsidR="00DC691C" w:rsidRDefault="00BE29D0">
      <w:r>
        <w:continuationSeparator/>
      </w:r>
    </w:p>
    <w:p w14:paraId="11378D80" w14:textId="77777777" w:rsidR="00DC691C" w:rsidRDefault="00DC6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773" w:type="dxa"/>
      <w:tblLayout w:type="fixed"/>
      <w:tblCellMar>
        <w:left w:w="0" w:type="dxa"/>
        <w:right w:w="0" w:type="dxa"/>
      </w:tblCellMar>
      <w:tblLook w:val="0000" w:firstRow="0" w:lastRow="0" w:firstColumn="0" w:lastColumn="0" w:noHBand="0" w:noVBand="0"/>
    </w:tblPr>
    <w:tblGrid>
      <w:gridCol w:w="7773"/>
    </w:tblGrid>
    <w:tr w:rsidR="00837ECE" w14:paraId="789D9BB4" w14:textId="77777777" w:rsidTr="0074088B">
      <w:trPr>
        <w:trHeight w:hRule="exact" w:val="1"/>
      </w:trPr>
      <w:tc>
        <w:tcPr>
          <w:tcW w:w="7773" w:type="dxa"/>
        </w:tcPr>
        <w:p w14:paraId="38282EF1" w14:textId="77777777" w:rsidR="00527BD4" w:rsidRPr="00275984" w:rsidRDefault="00527BD4" w:rsidP="00BF4427">
          <w:pPr>
            <w:pStyle w:val="Huisstijl-Rubricering"/>
          </w:pPr>
        </w:p>
      </w:tc>
    </w:tr>
  </w:tbl>
  <w:p w14:paraId="516B4585" w14:textId="77777777" w:rsidR="008211EF" w:rsidRPr="008211EF" w:rsidRDefault="008211EF" w:rsidP="008211EF">
    <w:pPr>
      <w:rPr>
        <w:vanish/>
      </w:rPr>
    </w:pPr>
  </w:p>
  <w:tbl>
    <w:tblPr>
      <w:tblpPr w:leftFromText="142" w:rightFromText="142" w:vertAnchor="page" w:horzAnchor="page" w:tblpX="9752" w:tblpY="3068"/>
      <w:tblW w:w="2160" w:type="dxa"/>
      <w:tblLayout w:type="fixed"/>
      <w:tblCellMar>
        <w:left w:w="0" w:type="dxa"/>
        <w:right w:w="0" w:type="dxa"/>
      </w:tblCellMar>
      <w:tblLook w:val="0000" w:firstRow="0" w:lastRow="0" w:firstColumn="0" w:lastColumn="0" w:noHBand="0" w:noVBand="0"/>
    </w:tblPr>
    <w:tblGrid>
      <w:gridCol w:w="2160"/>
    </w:tblGrid>
    <w:tr w:rsidR="00837ECE" w14:paraId="6FCF8E70" w14:textId="77777777" w:rsidTr="0074088B">
      <w:tc>
        <w:tcPr>
          <w:tcW w:w="2160" w:type="dxa"/>
        </w:tcPr>
        <w:p w14:paraId="1B56E658" w14:textId="10869D86" w:rsidR="002F71BB" w:rsidRPr="000407BB" w:rsidRDefault="0074088B" w:rsidP="0074088B">
          <w:pPr>
            <w:pStyle w:val="Colofonkop"/>
            <w:framePr w:hSpace="0" w:wrap="auto" w:vAnchor="margin" w:hAnchor="text" w:xAlign="left" w:yAlign="inline"/>
          </w:pPr>
          <w:r>
            <w:t xml:space="preserve">             </w:t>
          </w:r>
          <w:r w:rsidR="008F7452">
            <w:t xml:space="preserve">    </w:t>
          </w:r>
          <w:r w:rsidR="00BE29D0">
            <w:t>Onze referentie</w:t>
          </w:r>
        </w:p>
      </w:tc>
    </w:tr>
    <w:tr w:rsidR="00837ECE" w14:paraId="58F5DD24" w14:textId="77777777" w:rsidTr="0074088B">
      <w:trPr>
        <w:trHeight w:val="259"/>
      </w:trPr>
      <w:tc>
        <w:tcPr>
          <w:tcW w:w="2160" w:type="dxa"/>
        </w:tcPr>
        <w:p w14:paraId="0898620A" w14:textId="7F1A22C4" w:rsidR="00E35CF4" w:rsidRPr="005D283A" w:rsidRDefault="0074088B" w:rsidP="0074088B">
          <w:pPr>
            <w:spacing w:line="180" w:lineRule="exact"/>
            <w:rPr>
              <w:sz w:val="13"/>
              <w:szCs w:val="13"/>
            </w:rPr>
          </w:pPr>
          <w:r>
            <w:rPr>
              <w:sz w:val="13"/>
              <w:szCs w:val="13"/>
            </w:rPr>
            <w:t xml:space="preserve">            </w:t>
          </w:r>
          <w:r w:rsidR="008F7452">
            <w:rPr>
              <w:sz w:val="13"/>
              <w:szCs w:val="13"/>
            </w:rPr>
            <w:t xml:space="preserve">     </w:t>
          </w:r>
          <w:r w:rsidR="00BE29D0">
            <w:rPr>
              <w:sz w:val="13"/>
              <w:szCs w:val="13"/>
            </w:rPr>
            <w:t>55044513</w:t>
          </w:r>
        </w:p>
      </w:tc>
    </w:tr>
  </w:tbl>
  <w:p w14:paraId="6B31A12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37ECE" w14:paraId="7E20E191" w14:textId="77777777" w:rsidTr="001377D4">
      <w:trPr>
        <w:trHeight w:val="2636"/>
      </w:trPr>
      <w:tc>
        <w:tcPr>
          <w:tcW w:w="737" w:type="dxa"/>
        </w:tcPr>
        <w:p w14:paraId="2E577260" w14:textId="77777777" w:rsidR="00704845" w:rsidRDefault="00704845" w:rsidP="0047126E">
          <w:pPr>
            <w:framePr w:w="6339" w:h="2750" w:hRule="exact" w:hSpace="181" w:wrap="around" w:vAnchor="page" w:hAnchor="page" w:x="5586" w:y="1"/>
            <w:spacing w:line="240" w:lineRule="auto"/>
          </w:pPr>
        </w:p>
      </w:tc>
      <w:tc>
        <w:tcPr>
          <w:tcW w:w="5156" w:type="dxa"/>
        </w:tcPr>
        <w:p w14:paraId="6BCB8E23" w14:textId="77777777" w:rsidR="00704845" w:rsidRDefault="00BE29D0" w:rsidP="0047126E">
          <w:pPr>
            <w:framePr w:w="3873" w:h="2625" w:hRule="exact" w:wrap="around" w:vAnchor="page" w:hAnchor="page" w:x="6323" w:y="1"/>
          </w:pPr>
          <w:r>
            <w:rPr>
              <w:noProof/>
              <w:lang w:val="en-US" w:eastAsia="en-US"/>
            </w:rPr>
            <w:drawing>
              <wp:inline distT="0" distB="0" distL="0" distR="0" wp14:anchorId="265CBF01" wp14:editId="4F1858B6">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7B18B691" w14:textId="77777777" w:rsidR="00483ECA" w:rsidRDefault="00483ECA" w:rsidP="00D037A9"/>
      </w:tc>
    </w:tr>
  </w:tbl>
  <w:p w14:paraId="4E7A727C"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837ECE" w14:paraId="3091E147" w14:textId="77777777" w:rsidTr="0008539E">
      <w:trPr>
        <w:trHeight w:hRule="exact" w:val="572"/>
      </w:trPr>
      <w:tc>
        <w:tcPr>
          <w:tcW w:w="7520" w:type="dxa"/>
        </w:tcPr>
        <w:p w14:paraId="4A86CDCC" w14:textId="77777777" w:rsidR="00527BD4" w:rsidRPr="00963440" w:rsidRDefault="00BE29D0" w:rsidP="00210BA3">
          <w:pPr>
            <w:pStyle w:val="Huisstijl-Adres"/>
            <w:spacing w:after="0"/>
          </w:pPr>
          <w:r w:rsidRPr="009E3B07">
            <w:t>&gt;Retouradres </w:t>
          </w:r>
          <w:r>
            <w:t>Postbus 16375 2500 BJ Den Haag</w:t>
          </w:r>
          <w:r w:rsidRPr="009E3B07">
            <w:t xml:space="preserve"> </w:t>
          </w:r>
        </w:p>
      </w:tc>
    </w:tr>
    <w:tr w:rsidR="00837ECE" w14:paraId="233B7207" w14:textId="77777777" w:rsidTr="00E776C6">
      <w:trPr>
        <w:cantSplit/>
        <w:trHeight w:hRule="exact" w:val="238"/>
      </w:trPr>
      <w:tc>
        <w:tcPr>
          <w:tcW w:w="7520" w:type="dxa"/>
        </w:tcPr>
        <w:p w14:paraId="677C3649" w14:textId="77777777" w:rsidR="00093ABC" w:rsidRPr="00963440" w:rsidRDefault="00093ABC" w:rsidP="00963440"/>
      </w:tc>
    </w:tr>
    <w:tr w:rsidR="00837ECE" w14:paraId="15A4C502" w14:textId="77777777" w:rsidTr="00E776C6">
      <w:trPr>
        <w:cantSplit/>
        <w:trHeight w:hRule="exact" w:val="1520"/>
      </w:trPr>
      <w:tc>
        <w:tcPr>
          <w:tcW w:w="7520" w:type="dxa"/>
        </w:tcPr>
        <w:p w14:paraId="3A923269" w14:textId="77777777" w:rsidR="00A604D3" w:rsidRPr="00963440" w:rsidRDefault="00A604D3" w:rsidP="00963440"/>
      </w:tc>
    </w:tr>
    <w:tr w:rsidR="00837ECE" w14:paraId="7B5E0C68" w14:textId="77777777" w:rsidTr="00E776C6">
      <w:trPr>
        <w:trHeight w:hRule="exact" w:val="1077"/>
      </w:trPr>
      <w:tc>
        <w:tcPr>
          <w:tcW w:w="7520" w:type="dxa"/>
        </w:tcPr>
        <w:p w14:paraId="6D268F8D" w14:textId="77777777" w:rsidR="00892BA5" w:rsidRPr="00035E67" w:rsidRDefault="00892BA5" w:rsidP="00892BA5">
          <w:pPr>
            <w:tabs>
              <w:tab w:val="left" w:pos="740"/>
            </w:tabs>
            <w:autoSpaceDE w:val="0"/>
            <w:autoSpaceDN w:val="0"/>
            <w:adjustRightInd w:val="0"/>
            <w:rPr>
              <w:rFonts w:cs="Verdana"/>
              <w:szCs w:val="18"/>
            </w:rPr>
          </w:pPr>
        </w:p>
      </w:tc>
    </w:tr>
  </w:tbl>
  <w:p w14:paraId="620ED91B" w14:textId="77777777" w:rsidR="006F273B" w:rsidRDefault="006F273B" w:rsidP="00BC4AE3">
    <w:pPr>
      <w:pStyle w:val="Koptekst"/>
    </w:pPr>
  </w:p>
  <w:p w14:paraId="6EABCD3A" w14:textId="77777777" w:rsidR="00153BD0" w:rsidRDefault="00153BD0" w:rsidP="00BC4AE3">
    <w:pPr>
      <w:pStyle w:val="Koptekst"/>
    </w:pPr>
  </w:p>
  <w:p w14:paraId="4FED23E7" w14:textId="77777777" w:rsidR="0044605E" w:rsidRDefault="0044605E" w:rsidP="00BC4AE3">
    <w:pPr>
      <w:pStyle w:val="Koptekst"/>
    </w:pPr>
  </w:p>
  <w:p w14:paraId="57873C3E" w14:textId="77777777" w:rsidR="0044605E" w:rsidRDefault="0044605E" w:rsidP="00BC4AE3">
    <w:pPr>
      <w:pStyle w:val="Koptekst"/>
    </w:pPr>
  </w:p>
  <w:p w14:paraId="7A1F02DE"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46C0E30">
      <w:start w:val="1"/>
      <w:numFmt w:val="bullet"/>
      <w:pStyle w:val="Lijstopsomteken"/>
      <w:lvlText w:val="•"/>
      <w:lvlJc w:val="left"/>
      <w:pPr>
        <w:tabs>
          <w:tab w:val="num" w:pos="227"/>
        </w:tabs>
        <w:ind w:left="227" w:hanging="227"/>
      </w:pPr>
      <w:rPr>
        <w:rFonts w:ascii="Verdana" w:hAnsi="Verdana" w:hint="default"/>
        <w:sz w:val="18"/>
        <w:szCs w:val="18"/>
      </w:rPr>
    </w:lvl>
    <w:lvl w:ilvl="1" w:tplc="C32C229C" w:tentative="1">
      <w:start w:val="1"/>
      <w:numFmt w:val="bullet"/>
      <w:lvlText w:val="o"/>
      <w:lvlJc w:val="left"/>
      <w:pPr>
        <w:tabs>
          <w:tab w:val="num" w:pos="1440"/>
        </w:tabs>
        <w:ind w:left="1440" w:hanging="360"/>
      </w:pPr>
      <w:rPr>
        <w:rFonts w:ascii="Courier New" w:hAnsi="Courier New" w:cs="Courier New" w:hint="default"/>
      </w:rPr>
    </w:lvl>
    <w:lvl w:ilvl="2" w:tplc="29C284F8" w:tentative="1">
      <w:start w:val="1"/>
      <w:numFmt w:val="bullet"/>
      <w:lvlText w:val=""/>
      <w:lvlJc w:val="left"/>
      <w:pPr>
        <w:tabs>
          <w:tab w:val="num" w:pos="2160"/>
        </w:tabs>
        <w:ind w:left="2160" w:hanging="360"/>
      </w:pPr>
      <w:rPr>
        <w:rFonts w:ascii="Wingdings" w:hAnsi="Wingdings" w:hint="default"/>
      </w:rPr>
    </w:lvl>
    <w:lvl w:ilvl="3" w:tplc="8CBCB01C" w:tentative="1">
      <w:start w:val="1"/>
      <w:numFmt w:val="bullet"/>
      <w:lvlText w:val=""/>
      <w:lvlJc w:val="left"/>
      <w:pPr>
        <w:tabs>
          <w:tab w:val="num" w:pos="2880"/>
        </w:tabs>
        <w:ind w:left="2880" w:hanging="360"/>
      </w:pPr>
      <w:rPr>
        <w:rFonts w:ascii="Symbol" w:hAnsi="Symbol" w:hint="default"/>
      </w:rPr>
    </w:lvl>
    <w:lvl w:ilvl="4" w:tplc="BA364CDE" w:tentative="1">
      <w:start w:val="1"/>
      <w:numFmt w:val="bullet"/>
      <w:lvlText w:val="o"/>
      <w:lvlJc w:val="left"/>
      <w:pPr>
        <w:tabs>
          <w:tab w:val="num" w:pos="3600"/>
        </w:tabs>
        <w:ind w:left="3600" w:hanging="360"/>
      </w:pPr>
      <w:rPr>
        <w:rFonts w:ascii="Courier New" w:hAnsi="Courier New" w:cs="Courier New" w:hint="default"/>
      </w:rPr>
    </w:lvl>
    <w:lvl w:ilvl="5" w:tplc="699E2E54" w:tentative="1">
      <w:start w:val="1"/>
      <w:numFmt w:val="bullet"/>
      <w:lvlText w:val=""/>
      <w:lvlJc w:val="left"/>
      <w:pPr>
        <w:tabs>
          <w:tab w:val="num" w:pos="4320"/>
        </w:tabs>
        <w:ind w:left="4320" w:hanging="360"/>
      </w:pPr>
      <w:rPr>
        <w:rFonts w:ascii="Wingdings" w:hAnsi="Wingdings" w:hint="default"/>
      </w:rPr>
    </w:lvl>
    <w:lvl w:ilvl="6" w:tplc="C616CC34" w:tentative="1">
      <w:start w:val="1"/>
      <w:numFmt w:val="bullet"/>
      <w:lvlText w:val=""/>
      <w:lvlJc w:val="left"/>
      <w:pPr>
        <w:tabs>
          <w:tab w:val="num" w:pos="5040"/>
        </w:tabs>
        <w:ind w:left="5040" w:hanging="360"/>
      </w:pPr>
      <w:rPr>
        <w:rFonts w:ascii="Symbol" w:hAnsi="Symbol" w:hint="default"/>
      </w:rPr>
    </w:lvl>
    <w:lvl w:ilvl="7" w:tplc="8430A300" w:tentative="1">
      <w:start w:val="1"/>
      <w:numFmt w:val="bullet"/>
      <w:lvlText w:val="o"/>
      <w:lvlJc w:val="left"/>
      <w:pPr>
        <w:tabs>
          <w:tab w:val="num" w:pos="5760"/>
        </w:tabs>
        <w:ind w:left="5760" w:hanging="360"/>
      </w:pPr>
      <w:rPr>
        <w:rFonts w:ascii="Courier New" w:hAnsi="Courier New" w:cs="Courier New" w:hint="default"/>
      </w:rPr>
    </w:lvl>
    <w:lvl w:ilvl="8" w:tplc="E68C119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6D7D8E"/>
    <w:multiLevelType w:val="hybridMultilevel"/>
    <w:tmpl w:val="221866B0"/>
    <w:lvl w:ilvl="0" w:tplc="CB3438CE">
      <w:start w:val="1"/>
      <w:numFmt w:val="decimal"/>
      <w:lvlText w:val="%1."/>
      <w:lvlJc w:val="left"/>
      <w:pPr>
        <w:ind w:left="1020" w:hanging="360"/>
      </w:pPr>
    </w:lvl>
    <w:lvl w:ilvl="1" w:tplc="C1BE4BBE">
      <w:start w:val="1"/>
      <w:numFmt w:val="decimal"/>
      <w:lvlText w:val="%2."/>
      <w:lvlJc w:val="left"/>
      <w:pPr>
        <w:ind w:left="1020" w:hanging="360"/>
      </w:pPr>
    </w:lvl>
    <w:lvl w:ilvl="2" w:tplc="0FB84D1A">
      <w:start w:val="1"/>
      <w:numFmt w:val="decimal"/>
      <w:lvlText w:val="%3."/>
      <w:lvlJc w:val="left"/>
      <w:pPr>
        <w:ind w:left="1020" w:hanging="360"/>
      </w:pPr>
    </w:lvl>
    <w:lvl w:ilvl="3" w:tplc="406E1F52">
      <w:start w:val="1"/>
      <w:numFmt w:val="decimal"/>
      <w:lvlText w:val="%4."/>
      <w:lvlJc w:val="left"/>
      <w:pPr>
        <w:ind w:left="1020" w:hanging="360"/>
      </w:pPr>
    </w:lvl>
    <w:lvl w:ilvl="4" w:tplc="ED649586">
      <w:start w:val="1"/>
      <w:numFmt w:val="decimal"/>
      <w:lvlText w:val="%5."/>
      <w:lvlJc w:val="left"/>
      <w:pPr>
        <w:ind w:left="1020" w:hanging="360"/>
      </w:pPr>
    </w:lvl>
    <w:lvl w:ilvl="5" w:tplc="C480E770">
      <w:start w:val="1"/>
      <w:numFmt w:val="decimal"/>
      <w:lvlText w:val="%6."/>
      <w:lvlJc w:val="left"/>
      <w:pPr>
        <w:ind w:left="1020" w:hanging="360"/>
      </w:pPr>
    </w:lvl>
    <w:lvl w:ilvl="6" w:tplc="6B2CD7EE">
      <w:start w:val="1"/>
      <w:numFmt w:val="decimal"/>
      <w:lvlText w:val="%7."/>
      <w:lvlJc w:val="left"/>
      <w:pPr>
        <w:ind w:left="1020" w:hanging="360"/>
      </w:pPr>
    </w:lvl>
    <w:lvl w:ilvl="7" w:tplc="6A18B218">
      <w:start w:val="1"/>
      <w:numFmt w:val="decimal"/>
      <w:lvlText w:val="%8."/>
      <w:lvlJc w:val="left"/>
      <w:pPr>
        <w:ind w:left="1020" w:hanging="360"/>
      </w:pPr>
    </w:lvl>
    <w:lvl w:ilvl="8" w:tplc="D2744082">
      <w:start w:val="1"/>
      <w:numFmt w:val="decimal"/>
      <w:lvlText w:val="%9."/>
      <w:lvlJc w:val="left"/>
      <w:pPr>
        <w:ind w:left="1020" w:hanging="360"/>
      </w:pPr>
    </w:lvl>
  </w:abstractNum>
  <w:abstractNum w:abstractNumId="12" w15:restartNumberingAfterBreak="0">
    <w:nsid w:val="13EF7D42"/>
    <w:multiLevelType w:val="hybridMultilevel"/>
    <w:tmpl w:val="213A2FF0"/>
    <w:lvl w:ilvl="0" w:tplc="75629D9E">
      <w:start w:val="1"/>
      <w:numFmt w:val="decimal"/>
      <w:lvlText w:val="%1."/>
      <w:lvlJc w:val="left"/>
      <w:pPr>
        <w:ind w:left="1020" w:hanging="360"/>
      </w:pPr>
    </w:lvl>
    <w:lvl w:ilvl="1" w:tplc="43D46F0E">
      <w:start w:val="1"/>
      <w:numFmt w:val="decimal"/>
      <w:lvlText w:val="%2."/>
      <w:lvlJc w:val="left"/>
      <w:pPr>
        <w:ind w:left="1020" w:hanging="360"/>
      </w:pPr>
    </w:lvl>
    <w:lvl w:ilvl="2" w:tplc="FB44E43A">
      <w:start w:val="1"/>
      <w:numFmt w:val="decimal"/>
      <w:lvlText w:val="%3."/>
      <w:lvlJc w:val="left"/>
      <w:pPr>
        <w:ind w:left="1020" w:hanging="360"/>
      </w:pPr>
    </w:lvl>
    <w:lvl w:ilvl="3" w:tplc="15523776">
      <w:start w:val="1"/>
      <w:numFmt w:val="decimal"/>
      <w:lvlText w:val="%4."/>
      <w:lvlJc w:val="left"/>
      <w:pPr>
        <w:ind w:left="1020" w:hanging="360"/>
      </w:pPr>
    </w:lvl>
    <w:lvl w:ilvl="4" w:tplc="0DA6F0C0">
      <w:start w:val="1"/>
      <w:numFmt w:val="decimal"/>
      <w:lvlText w:val="%5."/>
      <w:lvlJc w:val="left"/>
      <w:pPr>
        <w:ind w:left="1020" w:hanging="360"/>
      </w:pPr>
    </w:lvl>
    <w:lvl w:ilvl="5" w:tplc="B93EF972">
      <w:start w:val="1"/>
      <w:numFmt w:val="decimal"/>
      <w:lvlText w:val="%6."/>
      <w:lvlJc w:val="left"/>
      <w:pPr>
        <w:ind w:left="1020" w:hanging="360"/>
      </w:pPr>
    </w:lvl>
    <w:lvl w:ilvl="6" w:tplc="3F0E774C">
      <w:start w:val="1"/>
      <w:numFmt w:val="decimal"/>
      <w:lvlText w:val="%7."/>
      <w:lvlJc w:val="left"/>
      <w:pPr>
        <w:ind w:left="1020" w:hanging="360"/>
      </w:pPr>
    </w:lvl>
    <w:lvl w:ilvl="7" w:tplc="33A802DE">
      <w:start w:val="1"/>
      <w:numFmt w:val="decimal"/>
      <w:lvlText w:val="%8."/>
      <w:lvlJc w:val="left"/>
      <w:pPr>
        <w:ind w:left="1020" w:hanging="360"/>
      </w:pPr>
    </w:lvl>
    <w:lvl w:ilvl="8" w:tplc="67686E46">
      <w:start w:val="1"/>
      <w:numFmt w:val="decimal"/>
      <w:lvlText w:val="%9."/>
      <w:lvlJc w:val="left"/>
      <w:pPr>
        <w:ind w:left="1020" w:hanging="360"/>
      </w:p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A57067F2">
      <w:start w:val="1"/>
      <w:numFmt w:val="bullet"/>
      <w:pStyle w:val="Lijstopsomteken2"/>
      <w:lvlText w:val="–"/>
      <w:lvlJc w:val="left"/>
      <w:pPr>
        <w:tabs>
          <w:tab w:val="num" w:pos="227"/>
        </w:tabs>
        <w:ind w:left="227" w:firstLine="0"/>
      </w:pPr>
      <w:rPr>
        <w:rFonts w:ascii="Verdana" w:hAnsi="Verdana" w:hint="default"/>
      </w:rPr>
    </w:lvl>
    <w:lvl w:ilvl="1" w:tplc="107A5458" w:tentative="1">
      <w:start w:val="1"/>
      <w:numFmt w:val="bullet"/>
      <w:lvlText w:val="o"/>
      <w:lvlJc w:val="left"/>
      <w:pPr>
        <w:tabs>
          <w:tab w:val="num" w:pos="1440"/>
        </w:tabs>
        <w:ind w:left="1440" w:hanging="360"/>
      </w:pPr>
      <w:rPr>
        <w:rFonts w:ascii="Courier New" w:hAnsi="Courier New" w:cs="Courier New" w:hint="default"/>
      </w:rPr>
    </w:lvl>
    <w:lvl w:ilvl="2" w:tplc="1B607742" w:tentative="1">
      <w:start w:val="1"/>
      <w:numFmt w:val="bullet"/>
      <w:lvlText w:val=""/>
      <w:lvlJc w:val="left"/>
      <w:pPr>
        <w:tabs>
          <w:tab w:val="num" w:pos="2160"/>
        </w:tabs>
        <w:ind w:left="2160" w:hanging="360"/>
      </w:pPr>
      <w:rPr>
        <w:rFonts w:ascii="Wingdings" w:hAnsi="Wingdings" w:hint="default"/>
      </w:rPr>
    </w:lvl>
    <w:lvl w:ilvl="3" w:tplc="AC5849DA" w:tentative="1">
      <w:start w:val="1"/>
      <w:numFmt w:val="bullet"/>
      <w:lvlText w:val=""/>
      <w:lvlJc w:val="left"/>
      <w:pPr>
        <w:tabs>
          <w:tab w:val="num" w:pos="2880"/>
        </w:tabs>
        <w:ind w:left="2880" w:hanging="360"/>
      </w:pPr>
      <w:rPr>
        <w:rFonts w:ascii="Symbol" w:hAnsi="Symbol" w:hint="default"/>
      </w:rPr>
    </w:lvl>
    <w:lvl w:ilvl="4" w:tplc="C8E82A62" w:tentative="1">
      <w:start w:val="1"/>
      <w:numFmt w:val="bullet"/>
      <w:lvlText w:val="o"/>
      <w:lvlJc w:val="left"/>
      <w:pPr>
        <w:tabs>
          <w:tab w:val="num" w:pos="3600"/>
        </w:tabs>
        <w:ind w:left="3600" w:hanging="360"/>
      </w:pPr>
      <w:rPr>
        <w:rFonts w:ascii="Courier New" w:hAnsi="Courier New" w:cs="Courier New" w:hint="default"/>
      </w:rPr>
    </w:lvl>
    <w:lvl w:ilvl="5" w:tplc="3468D272" w:tentative="1">
      <w:start w:val="1"/>
      <w:numFmt w:val="bullet"/>
      <w:lvlText w:val=""/>
      <w:lvlJc w:val="left"/>
      <w:pPr>
        <w:tabs>
          <w:tab w:val="num" w:pos="4320"/>
        </w:tabs>
        <w:ind w:left="4320" w:hanging="360"/>
      </w:pPr>
      <w:rPr>
        <w:rFonts w:ascii="Wingdings" w:hAnsi="Wingdings" w:hint="default"/>
      </w:rPr>
    </w:lvl>
    <w:lvl w:ilvl="6" w:tplc="F4C8529A" w:tentative="1">
      <w:start w:val="1"/>
      <w:numFmt w:val="bullet"/>
      <w:lvlText w:val=""/>
      <w:lvlJc w:val="left"/>
      <w:pPr>
        <w:tabs>
          <w:tab w:val="num" w:pos="5040"/>
        </w:tabs>
        <w:ind w:left="5040" w:hanging="360"/>
      </w:pPr>
      <w:rPr>
        <w:rFonts w:ascii="Symbol" w:hAnsi="Symbol" w:hint="default"/>
      </w:rPr>
    </w:lvl>
    <w:lvl w:ilvl="7" w:tplc="4028CF6C" w:tentative="1">
      <w:start w:val="1"/>
      <w:numFmt w:val="bullet"/>
      <w:lvlText w:val="o"/>
      <w:lvlJc w:val="left"/>
      <w:pPr>
        <w:tabs>
          <w:tab w:val="num" w:pos="5760"/>
        </w:tabs>
        <w:ind w:left="5760" w:hanging="360"/>
      </w:pPr>
      <w:rPr>
        <w:rFonts w:ascii="Courier New" w:hAnsi="Courier New" w:cs="Courier New" w:hint="default"/>
      </w:rPr>
    </w:lvl>
    <w:lvl w:ilvl="8" w:tplc="D99CC9F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AD3B2E"/>
    <w:multiLevelType w:val="hybridMultilevel"/>
    <w:tmpl w:val="EFC4E8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A291D8F"/>
    <w:multiLevelType w:val="hybridMultilevel"/>
    <w:tmpl w:val="35BE4A20"/>
    <w:lvl w:ilvl="0" w:tplc="8E222AB8">
      <w:numFmt w:val="bullet"/>
      <w:lvlText w:val="-"/>
      <w:lvlJc w:val="left"/>
      <w:pPr>
        <w:ind w:left="720" w:hanging="360"/>
      </w:pPr>
      <w:rPr>
        <w:rFonts w:ascii="Verdana" w:eastAsia="Times New Roman"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0533C31"/>
    <w:multiLevelType w:val="hybridMultilevel"/>
    <w:tmpl w:val="BAD649A0"/>
    <w:lvl w:ilvl="0" w:tplc="068A24DA">
      <w:start w:val="1"/>
      <w:numFmt w:val="decimal"/>
      <w:lvlText w:val="%1."/>
      <w:lvlJc w:val="left"/>
      <w:pPr>
        <w:ind w:left="1020" w:hanging="360"/>
      </w:pPr>
    </w:lvl>
    <w:lvl w:ilvl="1" w:tplc="27EA7FB6">
      <w:start w:val="1"/>
      <w:numFmt w:val="decimal"/>
      <w:lvlText w:val="%2."/>
      <w:lvlJc w:val="left"/>
      <w:pPr>
        <w:ind w:left="1020" w:hanging="360"/>
      </w:pPr>
    </w:lvl>
    <w:lvl w:ilvl="2" w:tplc="EF9E0104">
      <w:start w:val="1"/>
      <w:numFmt w:val="decimal"/>
      <w:lvlText w:val="%3."/>
      <w:lvlJc w:val="left"/>
      <w:pPr>
        <w:ind w:left="1020" w:hanging="360"/>
      </w:pPr>
    </w:lvl>
    <w:lvl w:ilvl="3" w:tplc="76DEBA64">
      <w:start w:val="1"/>
      <w:numFmt w:val="decimal"/>
      <w:lvlText w:val="%4."/>
      <w:lvlJc w:val="left"/>
      <w:pPr>
        <w:ind w:left="1020" w:hanging="360"/>
      </w:pPr>
    </w:lvl>
    <w:lvl w:ilvl="4" w:tplc="FDE0239E">
      <w:start w:val="1"/>
      <w:numFmt w:val="decimal"/>
      <w:lvlText w:val="%5."/>
      <w:lvlJc w:val="left"/>
      <w:pPr>
        <w:ind w:left="1020" w:hanging="360"/>
      </w:pPr>
    </w:lvl>
    <w:lvl w:ilvl="5" w:tplc="B980E23A">
      <w:start w:val="1"/>
      <w:numFmt w:val="decimal"/>
      <w:lvlText w:val="%6."/>
      <w:lvlJc w:val="left"/>
      <w:pPr>
        <w:ind w:left="1020" w:hanging="360"/>
      </w:pPr>
    </w:lvl>
    <w:lvl w:ilvl="6" w:tplc="72AE0650">
      <w:start w:val="1"/>
      <w:numFmt w:val="decimal"/>
      <w:lvlText w:val="%7."/>
      <w:lvlJc w:val="left"/>
      <w:pPr>
        <w:ind w:left="1020" w:hanging="360"/>
      </w:pPr>
    </w:lvl>
    <w:lvl w:ilvl="7" w:tplc="9B78C022">
      <w:start w:val="1"/>
      <w:numFmt w:val="decimal"/>
      <w:lvlText w:val="%8."/>
      <w:lvlJc w:val="left"/>
      <w:pPr>
        <w:ind w:left="1020" w:hanging="360"/>
      </w:pPr>
    </w:lvl>
    <w:lvl w:ilvl="8" w:tplc="6B1A36E2">
      <w:start w:val="1"/>
      <w:numFmt w:val="decimal"/>
      <w:lvlText w:val="%9."/>
      <w:lvlJc w:val="left"/>
      <w:pPr>
        <w:ind w:left="1020" w:hanging="360"/>
      </w:pPr>
    </w:lvl>
  </w:abstractNum>
  <w:abstractNum w:abstractNumId="18"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655D70"/>
    <w:multiLevelType w:val="multilevel"/>
    <w:tmpl w:val="A5B822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99770006">
    <w:abstractNumId w:val="10"/>
  </w:num>
  <w:num w:numId="2" w16cid:durableId="1876849631">
    <w:abstractNumId w:val="7"/>
  </w:num>
  <w:num w:numId="3" w16cid:durableId="1205556311">
    <w:abstractNumId w:val="6"/>
  </w:num>
  <w:num w:numId="4" w16cid:durableId="155147842">
    <w:abstractNumId w:val="5"/>
  </w:num>
  <w:num w:numId="5" w16cid:durableId="1803116531">
    <w:abstractNumId w:val="4"/>
  </w:num>
  <w:num w:numId="6" w16cid:durableId="1981418519">
    <w:abstractNumId w:val="8"/>
  </w:num>
  <w:num w:numId="7" w16cid:durableId="900099558">
    <w:abstractNumId w:val="3"/>
  </w:num>
  <w:num w:numId="8" w16cid:durableId="1945378428">
    <w:abstractNumId w:val="2"/>
  </w:num>
  <w:num w:numId="9" w16cid:durableId="322243490">
    <w:abstractNumId w:val="1"/>
  </w:num>
  <w:num w:numId="10" w16cid:durableId="355346249">
    <w:abstractNumId w:val="0"/>
  </w:num>
  <w:num w:numId="11" w16cid:durableId="1392120644">
    <w:abstractNumId w:val="9"/>
  </w:num>
  <w:num w:numId="12" w16cid:durableId="1178810738">
    <w:abstractNumId w:val="13"/>
  </w:num>
  <w:num w:numId="13" w16cid:durableId="172113536">
    <w:abstractNumId w:val="18"/>
  </w:num>
  <w:num w:numId="14" w16cid:durableId="233319457">
    <w:abstractNumId w:val="14"/>
  </w:num>
  <w:num w:numId="15" w16cid:durableId="1859661775">
    <w:abstractNumId w:val="16"/>
  </w:num>
  <w:num w:numId="16" w16cid:durableId="13669519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857780">
    <w:abstractNumId w:val="17"/>
  </w:num>
  <w:num w:numId="18" w16cid:durableId="374358776">
    <w:abstractNumId w:val="11"/>
  </w:num>
  <w:num w:numId="19" w16cid:durableId="1373848272">
    <w:abstractNumId w:val="15"/>
  </w:num>
  <w:num w:numId="20" w16cid:durableId="16798556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17345"/>
    <w:rsid w:val="00020189"/>
    <w:rsid w:val="00020EE4"/>
    <w:rsid w:val="00020FCB"/>
    <w:rsid w:val="000217E8"/>
    <w:rsid w:val="00023E9A"/>
    <w:rsid w:val="00025A42"/>
    <w:rsid w:val="00033CDD"/>
    <w:rsid w:val="00034A84"/>
    <w:rsid w:val="00034D28"/>
    <w:rsid w:val="00035E67"/>
    <w:rsid w:val="000366F3"/>
    <w:rsid w:val="000407BB"/>
    <w:rsid w:val="00046CCC"/>
    <w:rsid w:val="0005404B"/>
    <w:rsid w:val="0005447D"/>
    <w:rsid w:val="000546DE"/>
    <w:rsid w:val="0005706E"/>
    <w:rsid w:val="0006024D"/>
    <w:rsid w:val="00062055"/>
    <w:rsid w:val="00065462"/>
    <w:rsid w:val="00071F28"/>
    <w:rsid w:val="00074079"/>
    <w:rsid w:val="000765B6"/>
    <w:rsid w:val="0008289C"/>
    <w:rsid w:val="0008539E"/>
    <w:rsid w:val="000867FD"/>
    <w:rsid w:val="00092799"/>
    <w:rsid w:val="00092A99"/>
    <w:rsid w:val="00092C5F"/>
    <w:rsid w:val="00093ABC"/>
    <w:rsid w:val="00096680"/>
    <w:rsid w:val="000A0F36"/>
    <w:rsid w:val="000A174A"/>
    <w:rsid w:val="000A3E0A"/>
    <w:rsid w:val="000A65AC"/>
    <w:rsid w:val="000B67F3"/>
    <w:rsid w:val="000B7281"/>
    <w:rsid w:val="000B7FAB"/>
    <w:rsid w:val="000C1BA1"/>
    <w:rsid w:val="000C3EA9"/>
    <w:rsid w:val="000C4A32"/>
    <w:rsid w:val="000C65BB"/>
    <w:rsid w:val="000C7119"/>
    <w:rsid w:val="000D0225"/>
    <w:rsid w:val="000D249E"/>
    <w:rsid w:val="000D6399"/>
    <w:rsid w:val="000E39A5"/>
    <w:rsid w:val="000E5886"/>
    <w:rsid w:val="000E6621"/>
    <w:rsid w:val="000E7895"/>
    <w:rsid w:val="000F161D"/>
    <w:rsid w:val="000F1B4E"/>
    <w:rsid w:val="000F1FFF"/>
    <w:rsid w:val="000F521E"/>
    <w:rsid w:val="00100203"/>
    <w:rsid w:val="00104B4D"/>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77F9A"/>
    <w:rsid w:val="0018193C"/>
    <w:rsid w:val="00181BE4"/>
    <w:rsid w:val="0018496F"/>
    <w:rsid w:val="00184B30"/>
    <w:rsid w:val="00185576"/>
    <w:rsid w:val="00185951"/>
    <w:rsid w:val="00194A00"/>
    <w:rsid w:val="00196B8B"/>
    <w:rsid w:val="001A0BFA"/>
    <w:rsid w:val="001A1608"/>
    <w:rsid w:val="001A2BEA"/>
    <w:rsid w:val="001A325F"/>
    <w:rsid w:val="001A6D93"/>
    <w:rsid w:val="001A7D89"/>
    <w:rsid w:val="001B2BBA"/>
    <w:rsid w:val="001B35FA"/>
    <w:rsid w:val="001C006F"/>
    <w:rsid w:val="001C2C36"/>
    <w:rsid w:val="001C32EC"/>
    <w:rsid w:val="001C38BD"/>
    <w:rsid w:val="001C4D5A"/>
    <w:rsid w:val="001E0256"/>
    <w:rsid w:val="001E34C6"/>
    <w:rsid w:val="001E5581"/>
    <w:rsid w:val="001F3C70"/>
    <w:rsid w:val="001F3F74"/>
    <w:rsid w:val="001F4408"/>
    <w:rsid w:val="00200D88"/>
    <w:rsid w:val="00201C09"/>
    <w:rsid w:val="00201F68"/>
    <w:rsid w:val="00210BA3"/>
    <w:rsid w:val="00212F2A"/>
    <w:rsid w:val="00214F2B"/>
    <w:rsid w:val="00215356"/>
    <w:rsid w:val="00215D8B"/>
    <w:rsid w:val="00217880"/>
    <w:rsid w:val="00222D66"/>
    <w:rsid w:val="0022441A"/>
    <w:rsid w:val="00224A8A"/>
    <w:rsid w:val="002309A8"/>
    <w:rsid w:val="00232030"/>
    <w:rsid w:val="00236CFE"/>
    <w:rsid w:val="002428E3"/>
    <w:rsid w:val="0024430A"/>
    <w:rsid w:val="00245FF7"/>
    <w:rsid w:val="00253B65"/>
    <w:rsid w:val="0026060B"/>
    <w:rsid w:val="00260BAF"/>
    <w:rsid w:val="002610A6"/>
    <w:rsid w:val="00263FD6"/>
    <w:rsid w:val="002650F7"/>
    <w:rsid w:val="00265890"/>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4F57"/>
    <w:rsid w:val="002B52FC"/>
    <w:rsid w:val="002C26D0"/>
    <w:rsid w:val="002C2830"/>
    <w:rsid w:val="002C3CE0"/>
    <w:rsid w:val="002C40AF"/>
    <w:rsid w:val="002D001A"/>
    <w:rsid w:val="002D28E2"/>
    <w:rsid w:val="002D317B"/>
    <w:rsid w:val="002D3587"/>
    <w:rsid w:val="002D3F4E"/>
    <w:rsid w:val="002D502D"/>
    <w:rsid w:val="002D6C72"/>
    <w:rsid w:val="002E0A40"/>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47221"/>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682D"/>
    <w:rsid w:val="00387600"/>
    <w:rsid w:val="00393696"/>
    <w:rsid w:val="00393963"/>
    <w:rsid w:val="00395575"/>
    <w:rsid w:val="00395672"/>
    <w:rsid w:val="003A06C8"/>
    <w:rsid w:val="003A0D7C"/>
    <w:rsid w:val="003A7160"/>
    <w:rsid w:val="003B0155"/>
    <w:rsid w:val="003B09DB"/>
    <w:rsid w:val="003B25BC"/>
    <w:rsid w:val="003B4551"/>
    <w:rsid w:val="003B528D"/>
    <w:rsid w:val="003B7EE7"/>
    <w:rsid w:val="003C2CCB"/>
    <w:rsid w:val="003C4A1C"/>
    <w:rsid w:val="003C5BCB"/>
    <w:rsid w:val="003D39EC"/>
    <w:rsid w:val="003D40EA"/>
    <w:rsid w:val="003D6FFE"/>
    <w:rsid w:val="003E3DD5"/>
    <w:rsid w:val="003E53BF"/>
    <w:rsid w:val="003F07C6"/>
    <w:rsid w:val="003F1F6B"/>
    <w:rsid w:val="003F3757"/>
    <w:rsid w:val="003F44B7"/>
    <w:rsid w:val="004008E9"/>
    <w:rsid w:val="0040096A"/>
    <w:rsid w:val="00405133"/>
    <w:rsid w:val="00407991"/>
    <w:rsid w:val="0041019E"/>
    <w:rsid w:val="00413D48"/>
    <w:rsid w:val="00424A60"/>
    <w:rsid w:val="004270F4"/>
    <w:rsid w:val="00434042"/>
    <w:rsid w:val="00434500"/>
    <w:rsid w:val="00441AC2"/>
    <w:rsid w:val="0044249B"/>
    <w:rsid w:val="004425A7"/>
    <w:rsid w:val="0044605E"/>
    <w:rsid w:val="0045023C"/>
    <w:rsid w:val="00451A5B"/>
    <w:rsid w:val="00452BCD"/>
    <w:rsid w:val="00452CEA"/>
    <w:rsid w:val="004543D5"/>
    <w:rsid w:val="00463A63"/>
    <w:rsid w:val="00465B52"/>
    <w:rsid w:val="0046708E"/>
    <w:rsid w:val="00467D61"/>
    <w:rsid w:val="0047126E"/>
    <w:rsid w:val="004722BE"/>
    <w:rsid w:val="00472A65"/>
    <w:rsid w:val="00474463"/>
    <w:rsid w:val="00474B75"/>
    <w:rsid w:val="00480E05"/>
    <w:rsid w:val="00483ECA"/>
    <w:rsid w:val="00483F0B"/>
    <w:rsid w:val="00490127"/>
    <w:rsid w:val="00492CF0"/>
    <w:rsid w:val="0049501A"/>
    <w:rsid w:val="00496319"/>
    <w:rsid w:val="0049657E"/>
    <w:rsid w:val="00497279"/>
    <w:rsid w:val="004A010B"/>
    <w:rsid w:val="004A1BB7"/>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E6D59"/>
    <w:rsid w:val="004F0F6D"/>
    <w:rsid w:val="004F2483"/>
    <w:rsid w:val="004F2907"/>
    <w:rsid w:val="004F42FF"/>
    <w:rsid w:val="004F44C2"/>
    <w:rsid w:val="00505262"/>
    <w:rsid w:val="0050562C"/>
    <w:rsid w:val="005107B1"/>
    <w:rsid w:val="00516022"/>
    <w:rsid w:val="00521CEE"/>
    <w:rsid w:val="00526743"/>
    <w:rsid w:val="00527BD4"/>
    <w:rsid w:val="00533061"/>
    <w:rsid w:val="00533FA1"/>
    <w:rsid w:val="00534C77"/>
    <w:rsid w:val="00535573"/>
    <w:rsid w:val="00536943"/>
    <w:rsid w:val="005403C8"/>
    <w:rsid w:val="00541AD9"/>
    <w:rsid w:val="005429DC"/>
    <w:rsid w:val="005565F9"/>
    <w:rsid w:val="0055681B"/>
    <w:rsid w:val="005639D2"/>
    <w:rsid w:val="00565739"/>
    <w:rsid w:val="00571477"/>
    <w:rsid w:val="00573041"/>
    <w:rsid w:val="00575B80"/>
    <w:rsid w:val="005768E4"/>
    <w:rsid w:val="00577559"/>
    <w:rsid w:val="005806FC"/>
    <w:rsid w:val="005811CC"/>
    <w:rsid w:val="005819CE"/>
    <w:rsid w:val="0058298D"/>
    <w:rsid w:val="00590595"/>
    <w:rsid w:val="005913E6"/>
    <w:rsid w:val="00593C2B"/>
    <w:rsid w:val="00595231"/>
    <w:rsid w:val="00595CBB"/>
    <w:rsid w:val="00596166"/>
    <w:rsid w:val="00597F64"/>
    <w:rsid w:val="005A1AF5"/>
    <w:rsid w:val="005A207F"/>
    <w:rsid w:val="005A2F35"/>
    <w:rsid w:val="005A7512"/>
    <w:rsid w:val="005B3441"/>
    <w:rsid w:val="005B463E"/>
    <w:rsid w:val="005B4FAC"/>
    <w:rsid w:val="005B5D8B"/>
    <w:rsid w:val="005B75D2"/>
    <w:rsid w:val="005C34E1"/>
    <w:rsid w:val="005C3FE0"/>
    <w:rsid w:val="005C4C82"/>
    <w:rsid w:val="005C740C"/>
    <w:rsid w:val="005D283A"/>
    <w:rsid w:val="005D625B"/>
    <w:rsid w:val="005E3322"/>
    <w:rsid w:val="005E436C"/>
    <w:rsid w:val="005E64E2"/>
    <w:rsid w:val="005F0E73"/>
    <w:rsid w:val="005F62D3"/>
    <w:rsid w:val="005F6D11"/>
    <w:rsid w:val="00600CF0"/>
    <w:rsid w:val="006048F4"/>
    <w:rsid w:val="0060660A"/>
    <w:rsid w:val="00610A24"/>
    <w:rsid w:val="00613B1D"/>
    <w:rsid w:val="006146A0"/>
    <w:rsid w:val="00617311"/>
    <w:rsid w:val="00617A44"/>
    <w:rsid w:val="006202B6"/>
    <w:rsid w:val="006205C0"/>
    <w:rsid w:val="00623CB2"/>
    <w:rsid w:val="00625CD0"/>
    <w:rsid w:val="0062627D"/>
    <w:rsid w:val="00627432"/>
    <w:rsid w:val="00635031"/>
    <w:rsid w:val="00635B4E"/>
    <w:rsid w:val="0064192A"/>
    <w:rsid w:val="00642768"/>
    <w:rsid w:val="006448E4"/>
    <w:rsid w:val="00645414"/>
    <w:rsid w:val="0065244E"/>
    <w:rsid w:val="006534D0"/>
    <w:rsid w:val="00653606"/>
    <w:rsid w:val="00656415"/>
    <w:rsid w:val="006610E9"/>
    <w:rsid w:val="00661591"/>
    <w:rsid w:val="00662A78"/>
    <w:rsid w:val="00662B13"/>
    <w:rsid w:val="00663187"/>
    <w:rsid w:val="0066632F"/>
    <w:rsid w:val="00674A89"/>
    <w:rsid w:val="00674F3D"/>
    <w:rsid w:val="00682E02"/>
    <w:rsid w:val="00685545"/>
    <w:rsid w:val="006864B3"/>
    <w:rsid w:val="00686AED"/>
    <w:rsid w:val="00692BA9"/>
    <w:rsid w:val="00692C30"/>
    <w:rsid w:val="00692D64"/>
    <w:rsid w:val="00697943"/>
    <w:rsid w:val="006A02C6"/>
    <w:rsid w:val="006A10F8"/>
    <w:rsid w:val="006A2100"/>
    <w:rsid w:val="006A44BE"/>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4B"/>
    <w:rsid w:val="00714DC5"/>
    <w:rsid w:val="00715237"/>
    <w:rsid w:val="007174F4"/>
    <w:rsid w:val="00721D2E"/>
    <w:rsid w:val="00722CB4"/>
    <w:rsid w:val="007242CC"/>
    <w:rsid w:val="00724A8B"/>
    <w:rsid w:val="00724DD4"/>
    <w:rsid w:val="007254A5"/>
    <w:rsid w:val="00725748"/>
    <w:rsid w:val="00727AAC"/>
    <w:rsid w:val="00735D88"/>
    <w:rsid w:val="0073720D"/>
    <w:rsid w:val="00737507"/>
    <w:rsid w:val="00740712"/>
    <w:rsid w:val="0074088B"/>
    <w:rsid w:val="00740F4C"/>
    <w:rsid w:val="00741309"/>
    <w:rsid w:val="00742AB9"/>
    <w:rsid w:val="00745AE0"/>
    <w:rsid w:val="00747838"/>
    <w:rsid w:val="00751A6A"/>
    <w:rsid w:val="00754AD6"/>
    <w:rsid w:val="00754FBF"/>
    <w:rsid w:val="00760A59"/>
    <w:rsid w:val="007615AC"/>
    <w:rsid w:val="00764585"/>
    <w:rsid w:val="00767FEF"/>
    <w:rsid w:val="007709EF"/>
    <w:rsid w:val="00783559"/>
    <w:rsid w:val="007846ED"/>
    <w:rsid w:val="00785C3B"/>
    <w:rsid w:val="00797AA5"/>
    <w:rsid w:val="007A26BD"/>
    <w:rsid w:val="007A4105"/>
    <w:rsid w:val="007A4F0E"/>
    <w:rsid w:val="007A514C"/>
    <w:rsid w:val="007B0CEC"/>
    <w:rsid w:val="007B0D8E"/>
    <w:rsid w:val="007B4503"/>
    <w:rsid w:val="007B7282"/>
    <w:rsid w:val="007B77E3"/>
    <w:rsid w:val="007C03C9"/>
    <w:rsid w:val="007C16D8"/>
    <w:rsid w:val="007C406E"/>
    <w:rsid w:val="007C5183"/>
    <w:rsid w:val="007C5B9E"/>
    <w:rsid w:val="007C7573"/>
    <w:rsid w:val="007E14E4"/>
    <w:rsid w:val="007E2B20"/>
    <w:rsid w:val="007E71C7"/>
    <w:rsid w:val="007F2400"/>
    <w:rsid w:val="007F5331"/>
    <w:rsid w:val="00800CCA"/>
    <w:rsid w:val="008020F2"/>
    <w:rsid w:val="00805D63"/>
    <w:rsid w:val="00806120"/>
    <w:rsid w:val="00810C93"/>
    <w:rsid w:val="00812028"/>
    <w:rsid w:val="00812DD8"/>
    <w:rsid w:val="00813082"/>
    <w:rsid w:val="00813527"/>
    <w:rsid w:val="00814120"/>
    <w:rsid w:val="00814D03"/>
    <w:rsid w:val="00815C7E"/>
    <w:rsid w:val="00821114"/>
    <w:rsid w:val="008211EF"/>
    <w:rsid w:val="00821FC1"/>
    <w:rsid w:val="008240B5"/>
    <w:rsid w:val="008267CC"/>
    <w:rsid w:val="0083178B"/>
    <w:rsid w:val="00832079"/>
    <w:rsid w:val="008323D3"/>
    <w:rsid w:val="00833695"/>
    <w:rsid w:val="008336B7"/>
    <w:rsid w:val="00833A8E"/>
    <w:rsid w:val="008364A7"/>
    <w:rsid w:val="00837ECE"/>
    <w:rsid w:val="0084255A"/>
    <w:rsid w:val="00842CD8"/>
    <w:rsid w:val="008431FA"/>
    <w:rsid w:val="008512CB"/>
    <w:rsid w:val="008547BA"/>
    <w:rsid w:val="008553C7"/>
    <w:rsid w:val="00857FEB"/>
    <w:rsid w:val="008601AF"/>
    <w:rsid w:val="0086089E"/>
    <w:rsid w:val="00872271"/>
    <w:rsid w:val="00872783"/>
    <w:rsid w:val="008731F6"/>
    <w:rsid w:val="00874982"/>
    <w:rsid w:val="008762B6"/>
    <w:rsid w:val="00876FA6"/>
    <w:rsid w:val="00883137"/>
    <w:rsid w:val="00892BA5"/>
    <w:rsid w:val="008A08AC"/>
    <w:rsid w:val="008A1F5D"/>
    <w:rsid w:val="008A28F5"/>
    <w:rsid w:val="008A699A"/>
    <w:rsid w:val="008A7E8B"/>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E7B64"/>
    <w:rsid w:val="008F123F"/>
    <w:rsid w:val="008F2584"/>
    <w:rsid w:val="008F3246"/>
    <w:rsid w:val="008F3C1B"/>
    <w:rsid w:val="008F508C"/>
    <w:rsid w:val="008F7452"/>
    <w:rsid w:val="00900512"/>
    <w:rsid w:val="0090271B"/>
    <w:rsid w:val="00903193"/>
    <w:rsid w:val="00910642"/>
    <w:rsid w:val="00910A65"/>
    <w:rsid w:val="00910DDF"/>
    <w:rsid w:val="00910FE5"/>
    <w:rsid w:val="00915215"/>
    <w:rsid w:val="00921861"/>
    <w:rsid w:val="00924639"/>
    <w:rsid w:val="0092611E"/>
    <w:rsid w:val="00926F1F"/>
    <w:rsid w:val="00926F4B"/>
    <w:rsid w:val="00930B13"/>
    <w:rsid w:val="00930C09"/>
    <w:rsid w:val="009311C8"/>
    <w:rsid w:val="0093199F"/>
    <w:rsid w:val="00933376"/>
    <w:rsid w:val="00933A2F"/>
    <w:rsid w:val="00935893"/>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A6604"/>
    <w:rsid w:val="009B0138"/>
    <w:rsid w:val="009B0FE9"/>
    <w:rsid w:val="009B173A"/>
    <w:rsid w:val="009B5846"/>
    <w:rsid w:val="009B601B"/>
    <w:rsid w:val="009C3F20"/>
    <w:rsid w:val="009C64FB"/>
    <w:rsid w:val="009C7CA1"/>
    <w:rsid w:val="009D043D"/>
    <w:rsid w:val="009D04B7"/>
    <w:rsid w:val="009D5E65"/>
    <w:rsid w:val="009D716F"/>
    <w:rsid w:val="009E3B07"/>
    <w:rsid w:val="009F3259"/>
    <w:rsid w:val="009F541F"/>
    <w:rsid w:val="00A056DE"/>
    <w:rsid w:val="00A0678A"/>
    <w:rsid w:val="00A11B38"/>
    <w:rsid w:val="00A1289E"/>
    <w:rsid w:val="00A128AD"/>
    <w:rsid w:val="00A20730"/>
    <w:rsid w:val="00A21E76"/>
    <w:rsid w:val="00A23BC8"/>
    <w:rsid w:val="00A2531F"/>
    <w:rsid w:val="00A26E69"/>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2DAB"/>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3CBC"/>
    <w:rsid w:val="00AD5B44"/>
    <w:rsid w:val="00AD7608"/>
    <w:rsid w:val="00AE013D"/>
    <w:rsid w:val="00AE11B7"/>
    <w:rsid w:val="00AE18BA"/>
    <w:rsid w:val="00AE30DF"/>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36EBB"/>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155"/>
    <w:rsid w:val="00BA7E0A"/>
    <w:rsid w:val="00BB61B0"/>
    <w:rsid w:val="00BC0D9E"/>
    <w:rsid w:val="00BC3B53"/>
    <w:rsid w:val="00BC3B96"/>
    <w:rsid w:val="00BC4AE3"/>
    <w:rsid w:val="00BC5B28"/>
    <w:rsid w:val="00BC7264"/>
    <w:rsid w:val="00BE17D4"/>
    <w:rsid w:val="00BE29D0"/>
    <w:rsid w:val="00BE3F88"/>
    <w:rsid w:val="00BE4756"/>
    <w:rsid w:val="00BE5ED9"/>
    <w:rsid w:val="00BE7B41"/>
    <w:rsid w:val="00BF4427"/>
    <w:rsid w:val="00BF46B6"/>
    <w:rsid w:val="00BF5675"/>
    <w:rsid w:val="00C0415F"/>
    <w:rsid w:val="00C15A91"/>
    <w:rsid w:val="00C168B2"/>
    <w:rsid w:val="00C206F1"/>
    <w:rsid w:val="00C2159D"/>
    <w:rsid w:val="00C217E1"/>
    <w:rsid w:val="00C219B1"/>
    <w:rsid w:val="00C22EE3"/>
    <w:rsid w:val="00C231E2"/>
    <w:rsid w:val="00C2703D"/>
    <w:rsid w:val="00C352B6"/>
    <w:rsid w:val="00C4015B"/>
    <w:rsid w:val="00C4044E"/>
    <w:rsid w:val="00C40C60"/>
    <w:rsid w:val="00C44487"/>
    <w:rsid w:val="00C47F04"/>
    <w:rsid w:val="00C50E87"/>
    <w:rsid w:val="00C5258E"/>
    <w:rsid w:val="00C5333A"/>
    <w:rsid w:val="00C53BD7"/>
    <w:rsid w:val="00C55923"/>
    <w:rsid w:val="00C57E47"/>
    <w:rsid w:val="00C61851"/>
    <w:rsid w:val="00C619A7"/>
    <w:rsid w:val="00C64E34"/>
    <w:rsid w:val="00C6545E"/>
    <w:rsid w:val="00C7013F"/>
    <w:rsid w:val="00C7097A"/>
    <w:rsid w:val="00C736E8"/>
    <w:rsid w:val="00C73D5F"/>
    <w:rsid w:val="00C82662"/>
    <w:rsid w:val="00C965EF"/>
    <w:rsid w:val="00C97C80"/>
    <w:rsid w:val="00CA1D00"/>
    <w:rsid w:val="00CA35E4"/>
    <w:rsid w:val="00CA47D3"/>
    <w:rsid w:val="00CA6533"/>
    <w:rsid w:val="00CA6A25"/>
    <w:rsid w:val="00CA6A3F"/>
    <w:rsid w:val="00CA7C99"/>
    <w:rsid w:val="00CB4C47"/>
    <w:rsid w:val="00CC15DE"/>
    <w:rsid w:val="00CC3B68"/>
    <w:rsid w:val="00CC6290"/>
    <w:rsid w:val="00CD233D"/>
    <w:rsid w:val="00CD362D"/>
    <w:rsid w:val="00CE101D"/>
    <w:rsid w:val="00CE1C84"/>
    <w:rsid w:val="00CE4E63"/>
    <w:rsid w:val="00CE5055"/>
    <w:rsid w:val="00CE6426"/>
    <w:rsid w:val="00CE6B62"/>
    <w:rsid w:val="00CF053F"/>
    <w:rsid w:val="00CF1A17"/>
    <w:rsid w:val="00CF26F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5125"/>
    <w:rsid w:val="00D36447"/>
    <w:rsid w:val="00D41CE8"/>
    <w:rsid w:val="00D44B73"/>
    <w:rsid w:val="00D4599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3E01"/>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536A"/>
    <w:rsid w:val="00DC691C"/>
    <w:rsid w:val="00DD1DCD"/>
    <w:rsid w:val="00DD338F"/>
    <w:rsid w:val="00DD3404"/>
    <w:rsid w:val="00DD66F2"/>
    <w:rsid w:val="00DE1EB5"/>
    <w:rsid w:val="00DE3FE0"/>
    <w:rsid w:val="00DE578A"/>
    <w:rsid w:val="00DF1E68"/>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275A"/>
    <w:rsid w:val="00E54114"/>
    <w:rsid w:val="00E62709"/>
    <w:rsid w:val="00E634E3"/>
    <w:rsid w:val="00E717C4"/>
    <w:rsid w:val="00E74D10"/>
    <w:rsid w:val="00E776C6"/>
    <w:rsid w:val="00E77E18"/>
    <w:rsid w:val="00E77F89"/>
    <w:rsid w:val="00E80E71"/>
    <w:rsid w:val="00E81589"/>
    <w:rsid w:val="00E850D3"/>
    <w:rsid w:val="00E853D6"/>
    <w:rsid w:val="00E8544F"/>
    <w:rsid w:val="00E876B9"/>
    <w:rsid w:val="00E87A08"/>
    <w:rsid w:val="00E91674"/>
    <w:rsid w:val="00E91B40"/>
    <w:rsid w:val="00E91F7C"/>
    <w:rsid w:val="00E93891"/>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D6562"/>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35636"/>
    <w:rsid w:val="00F40F11"/>
    <w:rsid w:val="00F41A6F"/>
    <w:rsid w:val="00F45A25"/>
    <w:rsid w:val="00F45B04"/>
    <w:rsid w:val="00F50F86"/>
    <w:rsid w:val="00F51A76"/>
    <w:rsid w:val="00F53862"/>
    <w:rsid w:val="00F53C9D"/>
    <w:rsid w:val="00F53F91"/>
    <w:rsid w:val="00F54B9F"/>
    <w:rsid w:val="00F61569"/>
    <w:rsid w:val="00F61A72"/>
    <w:rsid w:val="00F629F9"/>
    <w:rsid w:val="00F62B67"/>
    <w:rsid w:val="00F66F13"/>
    <w:rsid w:val="00F7145D"/>
    <w:rsid w:val="00F71B5E"/>
    <w:rsid w:val="00F74073"/>
    <w:rsid w:val="00F75603"/>
    <w:rsid w:val="00F77BE5"/>
    <w:rsid w:val="00F845B4"/>
    <w:rsid w:val="00F86A4A"/>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81EC03"/>
  <w15:docId w15:val="{B3FCD8B4-7ABC-4135-BD8A-EF2B62A22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B25BC"/>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uiPriority w:val="3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styleId="Geenafstand">
    <w:name w:val="No Spacing"/>
    <w:uiPriority w:val="1"/>
    <w:qFormat/>
    <w:rsid w:val="00BE29D0"/>
    <w:rPr>
      <w:rFonts w:asciiTheme="minorHAnsi" w:eastAsiaTheme="minorHAnsi" w:hAnsiTheme="minorHAnsi" w:cstheme="minorBidi"/>
      <w:kern w:val="2"/>
      <w:sz w:val="22"/>
      <w:szCs w:val="22"/>
      <w:lang w:val="nl-NL"/>
      <w14:ligatures w14:val="standardContextual"/>
    </w:rPr>
  </w:style>
  <w:style w:type="character" w:customStyle="1" w:styleId="null1">
    <w:name w:val="null1"/>
    <w:basedOn w:val="Standaardalinea-lettertype"/>
    <w:rsid w:val="0074088B"/>
  </w:style>
  <w:style w:type="paragraph" w:customStyle="1" w:styleId="null">
    <w:name w:val="null"/>
    <w:basedOn w:val="Standaard"/>
    <w:rsid w:val="0074088B"/>
    <w:pPr>
      <w:spacing w:before="100" w:beforeAutospacing="1" w:after="100" w:afterAutospacing="1" w:line="240" w:lineRule="auto"/>
    </w:pPr>
    <w:rPr>
      <w:rFonts w:ascii="Aptos" w:eastAsiaTheme="minorHAnsi" w:hAnsi="Aptos" w:cs="Aptos"/>
      <w:sz w:val="24"/>
    </w:rPr>
  </w:style>
  <w:style w:type="character" w:styleId="Verwijzingopmerking">
    <w:name w:val="annotation reference"/>
    <w:basedOn w:val="Standaardalinea-lettertype"/>
    <w:rsid w:val="003E53BF"/>
    <w:rPr>
      <w:sz w:val="16"/>
      <w:szCs w:val="16"/>
    </w:rPr>
  </w:style>
  <w:style w:type="paragraph" w:styleId="Tekstopmerking">
    <w:name w:val="annotation text"/>
    <w:basedOn w:val="Standaard"/>
    <w:link w:val="TekstopmerkingChar"/>
    <w:rsid w:val="003E53BF"/>
    <w:pPr>
      <w:spacing w:line="240" w:lineRule="auto"/>
    </w:pPr>
    <w:rPr>
      <w:sz w:val="20"/>
      <w:szCs w:val="20"/>
    </w:rPr>
  </w:style>
  <w:style w:type="character" w:customStyle="1" w:styleId="TekstopmerkingChar">
    <w:name w:val="Tekst opmerking Char"/>
    <w:basedOn w:val="Standaardalinea-lettertype"/>
    <w:link w:val="Tekstopmerking"/>
    <w:rsid w:val="003E53BF"/>
    <w:rPr>
      <w:rFonts w:ascii="Verdana" w:hAnsi="Verdana"/>
      <w:lang w:val="nl-NL" w:eastAsia="nl-NL"/>
    </w:rPr>
  </w:style>
  <w:style w:type="paragraph" w:styleId="Onderwerpvanopmerking">
    <w:name w:val="annotation subject"/>
    <w:basedOn w:val="Tekstopmerking"/>
    <w:next w:val="Tekstopmerking"/>
    <w:link w:val="OnderwerpvanopmerkingChar"/>
    <w:rsid w:val="003E53BF"/>
    <w:rPr>
      <w:b/>
      <w:bCs/>
    </w:rPr>
  </w:style>
  <w:style w:type="character" w:customStyle="1" w:styleId="OnderwerpvanopmerkingChar">
    <w:name w:val="Onderwerp van opmerking Char"/>
    <w:basedOn w:val="TekstopmerkingChar"/>
    <w:link w:val="Onderwerpvanopmerking"/>
    <w:rsid w:val="003E53BF"/>
    <w:rPr>
      <w:rFonts w:ascii="Verdana" w:hAnsi="Verdana"/>
      <w:b/>
      <w:bCs/>
      <w:lang w:val="nl-NL" w:eastAsia="nl-NL"/>
    </w:rPr>
  </w:style>
  <w:style w:type="paragraph" w:styleId="Revisie">
    <w:name w:val="Revision"/>
    <w:hidden/>
    <w:uiPriority w:val="99"/>
    <w:semiHidden/>
    <w:rsid w:val="00656415"/>
    <w:rPr>
      <w:rFonts w:ascii="Verdana" w:hAnsi="Verdana"/>
      <w:sz w:val="18"/>
      <w:szCs w:val="24"/>
      <w:lang w:val="nl-NL" w:eastAsia="nl-NL"/>
    </w:rPr>
  </w:style>
  <w:style w:type="paragraph" w:styleId="Lijstalinea">
    <w:name w:val="List Paragraph"/>
    <w:basedOn w:val="Standaard"/>
    <w:uiPriority w:val="34"/>
    <w:qFormat/>
    <w:rsid w:val="00CF26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4262</ap:Words>
  <ap:Characters>28196</ap:Characters>
  <ap:DocSecurity>0</ap:DocSecurity>
  <ap:Lines>234</ap:Lines>
  <ap:Paragraphs>64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32394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2025-12-11T09:29:00.0000000Z</lastPrinted>
  <dcterms:created xsi:type="dcterms:W3CDTF">2025-12-12T15:03:00.0000000Z</dcterms:created>
  <dcterms:modified xsi:type="dcterms:W3CDTF">2025-12-12T15:03:00.0000000Z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O200RUL</vt:lpwstr>
  </property>
  <property fmtid="{D5CDD505-2E9C-101B-9397-08002B2CF9AE}" pid="3" name="Author">
    <vt:lpwstr>O200RUL</vt:lpwstr>
  </property>
  <property fmtid="{D5CDD505-2E9C-101B-9397-08002B2CF9AE}" pid="4" name="cs_objectid">
    <vt:lpwstr>57252844</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Reactie op ....</vt:lpwstr>
  </property>
  <property fmtid="{D5CDD505-2E9C-101B-9397-08002B2CF9AE}" pid="9" name="ocw_directie">
    <vt:lpwstr>BOA/BO</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vragen Vaste Commissie</vt:lpwstr>
  </property>
  <property fmtid="{D5CDD505-2E9C-101B-9397-08002B2CF9AE}" pid="17" name="TemplateId">
    <vt:lpwstr>4DBF1095FF6849FB957BE0CBAC2AD1EA</vt:lpwstr>
  </property>
  <property fmtid="{D5CDD505-2E9C-101B-9397-08002B2CF9AE}" pid="18" name="Typist">
    <vt:lpwstr>O200RUL</vt:lpwstr>
  </property>
</Properties>
</file>