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0B06" w:rsidR="00110B06" w:rsidP="00110B06" w:rsidRDefault="00133A37" w14:paraId="033C7675" w14:textId="74328C0C">
      <w:pPr>
        <w:ind w:left="1416" w:hanging="1416"/>
        <w:rPr>
          <w:rFonts w:ascii="Calibri" w:hAnsi="Calibri" w:cs="Calibri"/>
        </w:rPr>
      </w:pPr>
      <w:r w:rsidRPr="00110B06">
        <w:rPr>
          <w:rFonts w:ascii="Calibri" w:hAnsi="Calibri" w:cs="Calibri"/>
        </w:rPr>
        <w:t>36530</w:t>
      </w:r>
      <w:r w:rsidRPr="00110B06" w:rsidR="00110B06">
        <w:rPr>
          <w:rFonts w:ascii="Calibri" w:hAnsi="Calibri" w:cs="Calibri"/>
        </w:rPr>
        <w:tab/>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Pr="00110B06" w:rsidR="00110B06" w:rsidP="00133A37" w:rsidRDefault="00110B06" w14:paraId="721307B6" w14:textId="577FEF5B">
      <w:pPr>
        <w:pStyle w:val="standaard-tekst"/>
        <w:rPr>
          <w:rFonts w:ascii="Calibri" w:hAnsi="Calibri" w:cs="Calibri"/>
          <w:sz w:val="22"/>
          <w:szCs w:val="22"/>
          <w:lang w:val="nl-NL"/>
        </w:rPr>
      </w:pPr>
      <w:r w:rsidRPr="00110B06">
        <w:rPr>
          <w:rFonts w:ascii="Calibri" w:hAnsi="Calibri" w:cs="Calibri"/>
          <w:sz w:val="22"/>
          <w:szCs w:val="22"/>
          <w:lang w:val="nl-NL"/>
        </w:rPr>
        <w:tab/>
      </w:r>
      <w:r w:rsidRPr="00110B06">
        <w:rPr>
          <w:rFonts w:ascii="Calibri" w:hAnsi="Calibri" w:cs="Calibri"/>
          <w:sz w:val="22"/>
          <w:szCs w:val="22"/>
          <w:lang w:val="nl-NL"/>
        </w:rPr>
        <w:tab/>
      </w:r>
    </w:p>
    <w:p w:rsidRPr="00110B06" w:rsidR="00110B06" w:rsidP="00110B06" w:rsidRDefault="00110B06" w14:paraId="20C7E286" w14:textId="77777777">
      <w:pPr>
        <w:ind w:left="1410" w:hanging="1410"/>
        <w:rPr>
          <w:rFonts w:ascii="Calibri" w:hAnsi="Calibri" w:cs="Calibri"/>
        </w:rPr>
      </w:pPr>
      <w:r w:rsidRPr="00110B06">
        <w:rPr>
          <w:rFonts w:ascii="Calibri" w:hAnsi="Calibri" w:cs="Calibri"/>
        </w:rPr>
        <w:t xml:space="preserve">Nr. </w:t>
      </w:r>
      <w:r w:rsidRPr="00110B06">
        <w:rPr>
          <w:rFonts w:ascii="Calibri" w:hAnsi="Calibri" w:cs="Calibri"/>
        </w:rPr>
        <w:t>34</w:t>
      </w:r>
      <w:r w:rsidRPr="00110B06">
        <w:rPr>
          <w:rFonts w:ascii="Calibri" w:hAnsi="Calibri" w:cs="Calibri"/>
        </w:rPr>
        <w:tab/>
      </w:r>
      <w:r w:rsidRPr="00110B06">
        <w:rPr>
          <w:rFonts w:ascii="Calibri" w:hAnsi="Calibri" w:cs="Calibri"/>
        </w:rPr>
        <w:tab/>
        <w:t>Brief van de staatssecretaris van Onderwijs, Cultuur en Wetenschap</w:t>
      </w:r>
    </w:p>
    <w:p w:rsidRPr="00110B06" w:rsidR="00110B06" w:rsidP="00133A37" w:rsidRDefault="00110B06" w14:paraId="4562F4C4" w14:textId="540202DB">
      <w:pPr>
        <w:pStyle w:val="standaard-tekst"/>
        <w:rPr>
          <w:rFonts w:ascii="Calibri" w:hAnsi="Calibri" w:cs="Calibri"/>
          <w:sz w:val="22"/>
          <w:szCs w:val="22"/>
          <w:lang w:val="nl-NL"/>
        </w:rPr>
      </w:pPr>
      <w:r w:rsidRPr="00110B06">
        <w:rPr>
          <w:rFonts w:ascii="Calibri" w:hAnsi="Calibri" w:cs="Calibri"/>
          <w:sz w:val="22"/>
          <w:szCs w:val="22"/>
          <w:lang w:val="nl-NL"/>
        </w:rPr>
        <w:t>Aan de Voorzitter van de Tweede Kamer der Staten-Generaal</w:t>
      </w:r>
    </w:p>
    <w:p w:rsidRPr="00110B06" w:rsidR="00110B06" w:rsidP="00133A37" w:rsidRDefault="00110B06" w14:paraId="324ADE68" w14:textId="77777777">
      <w:pPr>
        <w:pStyle w:val="standaard-tekst"/>
        <w:rPr>
          <w:rFonts w:ascii="Calibri" w:hAnsi="Calibri" w:cs="Calibri"/>
          <w:sz w:val="22"/>
          <w:szCs w:val="22"/>
          <w:lang w:val="nl-NL"/>
        </w:rPr>
      </w:pPr>
    </w:p>
    <w:p w:rsidRPr="00110B06" w:rsidR="00110B06" w:rsidP="00133A37" w:rsidRDefault="00110B06" w14:paraId="11340B5A" w14:textId="6A1A5B03">
      <w:pPr>
        <w:pStyle w:val="standaard-tekst"/>
        <w:rPr>
          <w:rFonts w:ascii="Calibri" w:hAnsi="Calibri" w:cs="Calibri"/>
          <w:sz w:val="22"/>
          <w:szCs w:val="22"/>
          <w:lang w:val="nl-NL"/>
        </w:rPr>
      </w:pPr>
      <w:r w:rsidRPr="00110B06">
        <w:rPr>
          <w:rFonts w:ascii="Calibri" w:hAnsi="Calibri" w:cs="Calibri"/>
          <w:sz w:val="22"/>
          <w:szCs w:val="22"/>
          <w:lang w:val="nl-NL"/>
        </w:rPr>
        <w:t>Den Haag, 12 december 2025</w:t>
      </w:r>
    </w:p>
    <w:p w:rsidRPr="00110B06" w:rsidR="00110B06" w:rsidP="00133A37" w:rsidRDefault="00110B06" w14:paraId="15D95556" w14:textId="77777777">
      <w:pPr>
        <w:pStyle w:val="standaard-tekst"/>
        <w:rPr>
          <w:rFonts w:ascii="Calibri" w:hAnsi="Calibri" w:cs="Calibri"/>
          <w:sz w:val="22"/>
          <w:szCs w:val="22"/>
          <w:lang w:val="nl-NL"/>
        </w:rPr>
      </w:pPr>
    </w:p>
    <w:p w:rsidRPr="00110B06" w:rsidR="00133A37" w:rsidP="00133A37" w:rsidRDefault="00133A37" w14:paraId="4C656B6D" w14:textId="77777777">
      <w:pPr>
        <w:pStyle w:val="standaard-tekst"/>
        <w:rPr>
          <w:rFonts w:ascii="Calibri" w:hAnsi="Calibri" w:cs="Calibri"/>
          <w:sz w:val="22"/>
          <w:szCs w:val="22"/>
          <w:lang w:val="nl-NL"/>
        </w:rPr>
      </w:pPr>
    </w:p>
    <w:p w:rsidRPr="00110B06" w:rsidR="00133A37" w:rsidP="00133A37" w:rsidRDefault="00133A37" w14:paraId="00BE6A55" w14:textId="4B0B9B46">
      <w:pPr>
        <w:pStyle w:val="standaard-tekst"/>
        <w:rPr>
          <w:rFonts w:ascii="Calibri" w:hAnsi="Calibri" w:cs="Calibri"/>
          <w:sz w:val="22"/>
          <w:szCs w:val="22"/>
          <w:lang w:val="nl-NL"/>
        </w:rPr>
      </w:pPr>
      <w:r w:rsidRPr="00110B06">
        <w:rPr>
          <w:rFonts w:ascii="Calibri" w:hAnsi="Calibri" w:cs="Calibri"/>
          <w:sz w:val="22"/>
          <w:szCs w:val="22"/>
          <w:lang w:val="nl-NL"/>
        </w:rPr>
        <w:t>Tijdens de plenaire behandeling van het wetsvoorstel Onderwijsondersteuning zieke leerlingen (Kamerstuk 36 530) heb ik u toegezegd op enkele amendementen (Kamerstuk 36 530, nrs. 28 en 32) nog schriftelijk terug te komen. Ook is het gewijzigde amendement op Kamerstuk 36 530, nr. 33 nog ingediend. Hierbij bied ik u de appreciaties van deze amendementen aan.</w:t>
      </w:r>
    </w:p>
    <w:p w:rsidRPr="00110B06" w:rsidR="00133A37" w:rsidP="00133A37" w:rsidRDefault="00133A37" w14:paraId="2401F774" w14:textId="77777777">
      <w:pPr>
        <w:pStyle w:val="standaard-tekst"/>
        <w:rPr>
          <w:rFonts w:ascii="Calibri" w:hAnsi="Calibri" w:cs="Calibri"/>
          <w:sz w:val="22"/>
          <w:szCs w:val="22"/>
          <w:lang w:val="nl-NL"/>
        </w:rPr>
      </w:pPr>
    </w:p>
    <w:p w:rsidRPr="00110B06" w:rsidR="00133A37" w:rsidP="00133A37" w:rsidRDefault="00133A37" w14:paraId="7A7ED5EF" w14:textId="77777777">
      <w:pPr>
        <w:pStyle w:val="standaard-tekst"/>
        <w:rPr>
          <w:rFonts w:ascii="Calibri" w:hAnsi="Calibri" w:cs="Calibri"/>
          <w:b/>
          <w:bCs/>
          <w:sz w:val="22"/>
          <w:szCs w:val="22"/>
          <w:lang w:val="nl-NL"/>
        </w:rPr>
      </w:pPr>
      <w:r w:rsidRPr="00110B06">
        <w:rPr>
          <w:rFonts w:ascii="Calibri" w:hAnsi="Calibri" w:cs="Calibri"/>
          <w:b/>
          <w:bCs/>
          <w:sz w:val="22"/>
          <w:szCs w:val="22"/>
          <w:lang w:val="nl-NL"/>
        </w:rPr>
        <w:t>Amendementen</w:t>
      </w:r>
    </w:p>
    <w:p w:rsidRPr="00110B06" w:rsidR="00133A37" w:rsidP="00133A37" w:rsidRDefault="00133A37" w14:paraId="6EE23163" w14:textId="77777777">
      <w:pPr>
        <w:pStyle w:val="standaard-tekst"/>
        <w:rPr>
          <w:rFonts w:ascii="Calibri" w:hAnsi="Calibri" w:cs="Calibri"/>
          <w:b/>
          <w:bCs/>
          <w:sz w:val="22"/>
          <w:szCs w:val="22"/>
          <w:lang w:val="nl-NL"/>
        </w:rPr>
      </w:pPr>
    </w:p>
    <w:p w:rsidRPr="00110B06" w:rsidR="00133A37" w:rsidP="00133A37" w:rsidRDefault="00133A37" w14:paraId="768D996C" w14:textId="0CC3DA2F">
      <w:pPr>
        <w:pStyle w:val="standaard-tekst"/>
        <w:rPr>
          <w:rFonts w:ascii="Calibri" w:hAnsi="Calibri" w:cs="Calibri"/>
          <w:sz w:val="22"/>
          <w:szCs w:val="22"/>
          <w:lang w:val="nl-NL"/>
        </w:rPr>
      </w:pPr>
      <w:r w:rsidRPr="00110B06">
        <w:rPr>
          <w:rFonts w:ascii="Calibri" w:hAnsi="Calibri" w:cs="Calibri"/>
          <w:sz w:val="22"/>
          <w:szCs w:val="22"/>
          <w:u w:val="single"/>
          <w:lang w:val="nl-NL"/>
        </w:rPr>
        <w:t>Kamerstuk 36 530, nr. 28 (Boomsma): Niet-bekostigde mbo-instellingen:</w:t>
      </w:r>
      <w:r w:rsidRPr="00110B06">
        <w:rPr>
          <w:rFonts w:ascii="Calibri" w:hAnsi="Calibri" w:cs="Calibri"/>
          <w:sz w:val="22"/>
          <w:szCs w:val="22"/>
          <w:lang w:val="nl-NL"/>
        </w:rPr>
        <w:t xml:space="preserve"> </w:t>
      </w:r>
      <w:r w:rsidRPr="00110B06">
        <w:rPr>
          <w:rFonts w:ascii="Calibri" w:hAnsi="Calibri" w:cs="Calibri"/>
          <w:b/>
          <w:bCs/>
          <w:sz w:val="22"/>
          <w:szCs w:val="22"/>
          <w:lang w:val="nl-NL"/>
        </w:rPr>
        <w:t>ontraden</w:t>
      </w:r>
      <w:r w:rsidRPr="00110B06">
        <w:rPr>
          <w:rFonts w:ascii="Calibri" w:hAnsi="Calibri" w:cs="Calibri"/>
          <w:sz w:val="22"/>
          <w:szCs w:val="22"/>
          <w:lang w:val="nl-NL"/>
        </w:rPr>
        <w:t xml:space="preserve"> </w:t>
      </w:r>
    </w:p>
    <w:p w:rsidRPr="00110B06" w:rsidR="00133A37" w:rsidP="00133A37" w:rsidRDefault="00133A37" w14:paraId="3143CB2E"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Dit amendement werd tijdens het debat ingediend en hierover is kort van gedachten gewisseld met uw Kamer. Zoals ik u heb aangegeven had ik meer tijd nodig om dit amendement te bestuderen. </w:t>
      </w:r>
    </w:p>
    <w:p w:rsidRPr="00110B06" w:rsidR="00133A37" w:rsidP="00133A37" w:rsidRDefault="00133A37" w14:paraId="10D682CC" w14:textId="77777777">
      <w:pPr>
        <w:pStyle w:val="standaard-tekst"/>
        <w:rPr>
          <w:rFonts w:ascii="Calibri" w:hAnsi="Calibri" w:cs="Calibri"/>
          <w:sz w:val="22"/>
          <w:szCs w:val="22"/>
          <w:lang w:val="nl-NL"/>
        </w:rPr>
      </w:pPr>
    </w:p>
    <w:p w:rsidRPr="00110B06" w:rsidR="00133A37" w:rsidP="00133A37" w:rsidRDefault="00133A37" w14:paraId="106492D8"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Het amendement beoogt om ook niet-bekostigde mbo-instellingen onder de reikwijdte van de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-dienstverlening van de stichting te brengen. De stichting is onderdeel van het geheel aan voorzieningen binnen het stelsel van het bekostigd onderwijs waar de overheid zorg voor draagt. Eén van de kenmerken van niet-bekostigd onderwijs is logischerwijs dat de overheid niet financieel bijdraagt en ook in andersoortige ondersteuning wat meer op afstand staat. Dit betekent dat niet-bekostigde scholen en instellingen de ondersteuning van zieke leerlingen en studenten waar nodig zelf moeten regelen. Daarom moet ik dit amendement ontraden. </w:t>
      </w:r>
    </w:p>
    <w:p w:rsidRPr="00110B06" w:rsidR="00133A37" w:rsidP="00133A37" w:rsidRDefault="00133A37" w14:paraId="7D622DED"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 </w:t>
      </w:r>
    </w:p>
    <w:p w:rsidRPr="00110B06" w:rsidR="00133A37" w:rsidP="00133A37" w:rsidRDefault="00133A37" w14:paraId="3A88C58C"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Naar aanleiding van de vragen van de Kamerleden Westerveld (GroenLinks-PvdA) en Boomsma (JA21) voeg ik daar nog het volgende aan toe. Het staat de niet-bekostigde instellingen in zowel het mbo als het funderend onderwijs vrij om de ondersteuning van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-consulenten via de stichting tegen betaling in te schakelen. Artikel 3c van de Wet SLOA 2013 (in het wetsvoorstel) staat er niet aan in de weg dat de stichting ook niet-bekostigde instellingen ondersteunt, al heeft zij daartoe geen wettelijke taak. Gelet op de wens vanuit een deel van uw Kamer zou ik ruimte willen laten aan de stichting om in aanvulling op de wettelijke taak ook niet-</w:t>
      </w:r>
      <w:r w:rsidRPr="00110B06">
        <w:rPr>
          <w:rFonts w:ascii="Calibri" w:hAnsi="Calibri" w:cs="Calibri"/>
          <w:sz w:val="22"/>
          <w:szCs w:val="22"/>
          <w:lang w:val="nl-NL"/>
        </w:rPr>
        <w:lastRenderedPageBreak/>
        <w:t>bekostigde onderwijsinstellingen van dienst te zijn.</w:t>
      </w:r>
      <w:r w:rsidRPr="00110B06">
        <w:rPr>
          <w:rStyle w:val="Voetnootmarkering"/>
          <w:rFonts w:ascii="Calibri" w:hAnsi="Calibri" w:cs="Calibri"/>
          <w:sz w:val="22"/>
          <w:szCs w:val="22"/>
          <w:lang w:val="nl-NL"/>
        </w:rPr>
        <w:footnoteReference w:id="1"/>
      </w:r>
      <w:r w:rsidRPr="00110B06">
        <w:rPr>
          <w:rFonts w:ascii="Calibri" w:hAnsi="Calibri" w:cs="Calibri"/>
          <w:sz w:val="22"/>
          <w:szCs w:val="22"/>
          <w:lang w:val="nl-NL"/>
        </w:rPr>
        <w:t xml:space="preserve"> Bij de ondersteuning van niet-bekostigde instellingen zal de stichting kostendekkende tarieven hanteren, aangezien zij geen winstoogmerk heeft. Ik zie geen noodzaak om deze private contractuele relatie verder wettelijk te verankeren of te reguleren. Wel zal ik de mogelijkheid dat de stichting ook niet-bekostigde scholen en instellingen op de hiervoor genoemde wijze kan ondersteunen, ook bij de stichting onder de aandacht brengen. </w:t>
      </w:r>
    </w:p>
    <w:p w:rsidRPr="00110B06" w:rsidR="00133A37" w:rsidP="00133A37" w:rsidRDefault="00133A37" w14:paraId="2C0F6DCB" w14:textId="77777777">
      <w:pPr>
        <w:pStyle w:val="standaard-tekst"/>
        <w:rPr>
          <w:rFonts w:ascii="Calibri" w:hAnsi="Calibri" w:cs="Calibri"/>
          <w:sz w:val="22"/>
          <w:szCs w:val="22"/>
          <w:lang w:val="nl-NL"/>
        </w:rPr>
      </w:pPr>
    </w:p>
    <w:p w:rsidRPr="00110B06" w:rsidR="00133A37" w:rsidP="00133A37" w:rsidRDefault="00133A37" w14:paraId="66F3C7BB" w14:textId="66BCC63A">
      <w:pPr>
        <w:pStyle w:val="standaard-tekst"/>
        <w:rPr>
          <w:rFonts w:ascii="Calibri" w:hAnsi="Calibri" w:cs="Calibri"/>
          <w:sz w:val="22"/>
          <w:szCs w:val="22"/>
          <w:lang w:val="nl-NL"/>
        </w:rPr>
      </w:pPr>
      <w:r w:rsidRPr="00110B06">
        <w:rPr>
          <w:rFonts w:ascii="Calibri" w:hAnsi="Calibri" w:cs="Calibri"/>
          <w:sz w:val="22"/>
          <w:szCs w:val="22"/>
          <w:u w:val="single"/>
          <w:lang w:val="nl-NL"/>
        </w:rPr>
        <w:t>Kamerstuk 36 530, nr. 32 (Ceder &amp; Westerveld): Onderzoek voorkomen uitval zieke leerlingen:</w:t>
      </w:r>
      <w:r w:rsidRPr="00110B06">
        <w:rPr>
          <w:rFonts w:ascii="Calibri" w:hAnsi="Calibri" w:cs="Calibri"/>
          <w:sz w:val="22"/>
          <w:szCs w:val="22"/>
          <w:lang w:val="nl-NL"/>
        </w:rPr>
        <w:t xml:space="preserve"> </w:t>
      </w:r>
      <w:r w:rsidRPr="00110B06">
        <w:rPr>
          <w:rFonts w:ascii="Calibri" w:hAnsi="Calibri" w:cs="Calibri"/>
          <w:b/>
          <w:bCs/>
          <w:sz w:val="22"/>
          <w:szCs w:val="22"/>
          <w:lang w:val="nl-NL"/>
        </w:rPr>
        <w:t>oordeel Kamer</w:t>
      </w:r>
      <w:r w:rsidRPr="00110B06">
        <w:rPr>
          <w:rFonts w:ascii="Calibri" w:hAnsi="Calibri" w:cs="Calibri"/>
          <w:sz w:val="22"/>
          <w:szCs w:val="22"/>
          <w:lang w:val="nl-NL"/>
        </w:rPr>
        <w:t xml:space="preserve"> </w:t>
      </w:r>
    </w:p>
    <w:p w:rsidRPr="00110B06" w:rsidR="00133A37" w:rsidP="00133A37" w:rsidRDefault="00133A37" w14:paraId="3142399C"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Hierbij bevestig ik u nog volledigheidshalve dat ik het amendement in deze vorm oordeel Kamer kan geven. </w:t>
      </w:r>
    </w:p>
    <w:p w:rsidRPr="00110B06" w:rsidR="00133A37" w:rsidP="00133A37" w:rsidRDefault="00133A37" w14:paraId="54A8E5FE" w14:textId="77777777">
      <w:pPr>
        <w:pStyle w:val="standaard-tekst"/>
        <w:rPr>
          <w:rFonts w:ascii="Calibri" w:hAnsi="Calibri" w:cs="Calibri"/>
          <w:sz w:val="22"/>
          <w:szCs w:val="22"/>
          <w:lang w:val="nl-NL"/>
        </w:rPr>
      </w:pPr>
    </w:p>
    <w:p w:rsidRPr="00110B06" w:rsidR="00133A37" w:rsidP="00133A37" w:rsidRDefault="00133A37" w14:paraId="6E8C36AF" w14:textId="43E3A34F">
      <w:pPr>
        <w:pStyle w:val="standaard-tekst"/>
        <w:rPr>
          <w:rFonts w:ascii="Calibri" w:hAnsi="Calibri" w:cs="Calibri"/>
          <w:sz w:val="22"/>
          <w:szCs w:val="22"/>
          <w:lang w:val="nl-NL"/>
        </w:rPr>
      </w:pPr>
      <w:r w:rsidRPr="00110B06">
        <w:rPr>
          <w:rFonts w:ascii="Calibri" w:hAnsi="Calibri" w:cs="Calibri"/>
          <w:sz w:val="22"/>
          <w:szCs w:val="22"/>
          <w:u w:val="single"/>
          <w:lang w:val="nl-NL"/>
        </w:rPr>
        <w:t>Kamerstuk 36530, nr. 33 (Ergin): Uitbreiding doelgroep en onderwijs op afstand:</w:t>
      </w:r>
      <w:r w:rsidRPr="00110B06">
        <w:rPr>
          <w:rFonts w:ascii="Calibri" w:hAnsi="Calibri" w:cs="Calibri"/>
          <w:sz w:val="22"/>
          <w:szCs w:val="22"/>
          <w:lang w:val="nl-NL"/>
        </w:rPr>
        <w:t xml:space="preserve"> </w:t>
      </w:r>
      <w:r w:rsidRPr="00110B06">
        <w:rPr>
          <w:rFonts w:ascii="Calibri" w:hAnsi="Calibri" w:cs="Calibri"/>
          <w:b/>
          <w:bCs/>
          <w:sz w:val="22"/>
          <w:szCs w:val="22"/>
          <w:lang w:val="nl-NL"/>
        </w:rPr>
        <w:t>ontraden</w:t>
      </w:r>
      <w:r w:rsidRPr="00110B06">
        <w:rPr>
          <w:rFonts w:ascii="Calibri" w:hAnsi="Calibri" w:cs="Calibri"/>
          <w:sz w:val="22"/>
          <w:szCs w:val="22"/>
          <w:lang w:val="nl-NL"/>
        </w:rPr>
        <w:t xml:space="preserve"> </w:t>
      </w:r>
    </w:p>
    <w:p w:rsidRPr="00110B06" w:rsidR="00133A37" w:rsidP="00133A37" w:rsidRDefault="00133A37" w14:paraId="141AC99E"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Het amendement breidt de doelgroep van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 uit naar zieke leerlingen met psychische klachten. Zoals de indiener terecht opmerkt heeft de op te richten stichting die straks verantwoordelijk wordt voor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 hiervoor niet de benodigde expertise. Daarnaast is hiervoor geen budget beschikbaar. Zoals tijdens het debat met uw Kamer is besproken zal eerst nader onderzoek moeten volgen naar de mogelijkheid dat de stichting de doelgroep uitbreidt en voor welke psychische ziekten dit kan gelden. Daarbij zullen ook budgettaire consequenties moeten worden meegewogen. Het amendement op nr. 17 geeft deze ruimte via een delegatiegrondslag in de wet en heb ik daarom oordeel Kamer gegeven. Het is zeer onwenselijk om de doelgroep van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 nu reeds uit te breiden. Alleen daarom al moet ik dit amendement ontraden. </w:t>
      </w:r>
    </w:p>
    <w:p w:rsidRPr="00110B06" w:rsidR="00133A37" w:rsidP="00133A37" w:rsidRDefault="00133A37" w14:paraId="62B5778E" w14:textId="77777777">
      <w:pPr>
        <w:pStyle w:val="standaard-tekst"/>
        <w:rPr>
          <w:rFonts w:ascii="Calibri" w:hAnsi="Calibri" w:cs="Calibri"/>
          <w:sz w:val="22"/>
          <w:szCs w:val="22"/>
          <w:lang w:val="nl-NL"/>
        </w:rPr>
      </w:pPr>
    </w:p>
    <w:p w:rsidRPr="00110B06" w:rsidR="00133A37" w:rsidP="00133A37" w:rsidRDefault="00133A37" w14:paraId="66B87586"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Verder regelt dit amendement ook de optie van onderwijs op afstand voor zieke leerlingen. Zoals de indiener terecht constateert is het van groot belang dat voor zieke leerlingen en studenten onderwijs op afstand kan worden geboden. In het werk dat nu door de 18 organisaties in het kader van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 wordt uitgevoerd is dit ook vaak praktijk.  </w:t>
      </w:r>
    </w:p>
    <w:p w:rsidRPr="00110B06" w:rsidR="00133A37" w:rsidP="00133A37" w:rsidRDefault="00133A37" w14:paraId="4D8187F2" w14:textId="77777777">
      <w:pPr>
        <w:pStyle w:val="standaard-tekst"/>
        <w:rPr>
          <w:rFonts w:ascii="Calibri" w:hAnsi="Calibri" w:cs="Calibri"/>
          <w:sz w:val="22"/>
          <w:szCs w:val="22"/>
          <w:lang w:val="nl-NL"/>
        </w:rPr>
      </w:pPr>
    </w:p>
    <w:p w:rsidRPr="00110B06" w:rsidR="00133A37" w:rsidP="00133A37" w:rsidRDefault="00133A37" w14:paraId="7D4928D3"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Digitaal onderwijs is nog in ontwikkeling, maar ook al op veel plekken de praktijk. De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-consulenten kunnen hierbij een belangrijke rol spelen. Niet voor iedere zieke leerling is digitaal afstandsonderwijs de beste optie. Maar als dat zo is, dan helpt de </w:t>
      </w:r>
      <w:proofErr w:type="spellStart"/>
      <w:r w:rsidRPr="00110B06">
        <w:rPr>
          <w:rFonts w:ascii="Calibri" w:hAnsi="Calibri" w:cs="Calibri"/>
          <w:sz w:val="22"/>
          <w:szCs w:val="22"/>
          <w:lang w:val="nl-NL"/>
        </w:rPr>
        <w:t>ozl</w:t>
      </w:r>
      <w:proofErr w:type="spellEnd"/>
      <w:r w:rsidRPr="00110B06">
        <w:rPr>
          <w:rFonts w:ascii="Calibri" w:hAnsi="Calibri" w:cs="Calibri"/>
          <w:sz w:val="22"/>
          <w:szCs w:val="22"/>
          <w:lang w:val="nl-NL"/>
        </w:rPr>
        <w:t xml:space="preserve">-consulent om digitaal afstandsonderwijs te organiseren. Het is niet nodig én onwenselijk om de wijze waarop ze dit faciliteren wettelijk vast te leggen. Het wetsvoorstel regelt de wijze waarop de ondersteuning voor scholen is georganiseerd, maar treedt niet in de wijze waarop die ondersteuning wordt vormgegeven – dit amendement doet dat wel. </w:t>
      </w:r>
    </w:p>
    <w:p w:rsidRPr="00110B06" w:rsidR="00133A37" w:rsidP="00133A37" w:rsidRDefault="00133A37" w14:paraId="7AB025A7" w14:textId="77777777">
      <w:pPr>
        <w:pStyle w:val="standaard-tekst"/>
        <w:rPr>
          <w:rFonts w:ascii="Calibri" w:hAnsi="Calibri" w:cs="Calibri"/>
          <w:sz w:val="22"/>
          <w:szCs w:val="22"/>
          <w:lang w:val="nl-NL"/>
        </w:rPr>
      </w:pPr>
    </w:p>
    <w:p w:rsidRPr="00110B06" w:rsidR="00133A37" w:rsidP="00133A37" w:rsidRDefault="00133A37" w14:paraId="52A17360" w14:textId="77777777">
      <w:pPr>
        <w:pStyle w:val="standaard-tekst"/>
        <w:rPr>
          <w:rFonts w:ascii="Calibri" w:hAnsi="Calibri" w:cs="Calibri"/>
          <w:sz w:val="22"/>
          <w:szCs w:val="22"/>
          <w:lang w:val="nl-NL"/>
        </w:rPr>
      </w:pPr>
      <w:r w:rsidRPr="00110B06">
        <w:rPr>
          <w:rFonts w:ascii="Calibri" w:hAnsi="Calibri" w:cs="Calibri"/>
          <w:sz w:val="22"/>
          <w:szCs w:val="22"/>
          <w:lang w:val="nl-NL"/>
        </w:rPr>
        <w:t xml:space="preserve">Bovendien wordt al op verschillende andere manieren gewerkt aan het aanbod van digitaal afstandsonderwijs voor een grotere groep leerlingen, inclusief de zieke leerlingen. Met het Actieprogramma Digitale School stimuleren we dat scholen de kansen van digitaal afstandsonderwijs benutten voor kinderen die dat nodig </w:t>
      </w:r>
      <w:r w:rsidRPr="00110B06">
        <w:rPr>
          <w:rFonts w:ascii="Calibri" w:hAnsi="Calibri" w:cs="Calibri"/>
          <w:sz w:val="22"/>
          <w:szCs w:val="22"/>
          <w:lang w:val="nl-NL"/>
        </w:rPr>
        <w:lastRenderedPageBreak/>
        <w:t xml:space="preserve">hebben (waaronder zieke leerlingen). In dit kader wordt nu binnen een subsidieregeling door 16 coalities gewerkt aan het stimuleren van onderwijs op afstand. </w:t>
      </w:r>
    </w:p>
    <w:p w:rsidRPr="00110B06" w:rsidR="00133A37" w:rsidP="00133A37" w:rsidRDefault="00133A37" w14:paraId="16D3FF85" w14:textId="40F27ADF">
      <w:pPr>
        <w:spacing w:line="240" w:lineRule="auto"/>
        <w:rPr>
          <w:rFonts w:ascii="Calibri" w:hAnsi="Calibri" w:cs="Calibri"/>
        </w:rPr>
      </w:pPr>
    </w:p>
    <w:p w:rsidRPr="00110B06" w:rsidR="00133A37" w:rsidP="00133A37" w:rsidRDefault="00133A37" w14:paraId="5DFE5C65" w14:textId="77777777">
      <w:pPr>
        <w:pStyle w:val="standaard-tekst"/>
        <w:rPr>
          <w:rFonts w:ascii="Calibri" w:hAnsi="Calibri" w:cs="Calibri"/>
          <w:sz w:val="22"/>
          <w:szCs w:val="22"/>
          <w:lang w:val="nl-NL"/>
        </w:rPr>
      </w:pPr>
      <w:r w:rsidRPr="00110B06">
        <w:rPr>
          <w:rFonts w:ascii="Calibri" w:hAnsi="Calibri" w:cs="Calibri"/>
          <w:sz w:val="22"/>
          <w:szCs w:val="22"/>
          <w:lang w:val="nl-NL"/>
        </w:rPr>
        <w:t>Verder gaat komend voorjaar ook een wetsvoorstel in internetconsultatie dat regels bevat over de mogelijkheden waaronder onder meer afstandsonderwijs kan worden vormgegeven. Het is niet noodzakelijk en niet wenselijk om dit nu, vooruitlopend op dat wetsvoorstel, wettelijk te regelen voor een specifiekere groep - zieke - leerlingen. Mede daarom moet ik dit amendement ontraden.</w:t>
      </w:r>
    </w:p>
    <w:p w:rsidRPr="00110B06" w:rsidR="00133A37" w:rsidP="00133A37" w:rsidRDefault="00133A37" w14:paraId="022B68AF" w14:textId="77777777">
      <w:pPr>
        <w:pStyle w:val="standaard-tekst"/>
        <w:rPr>
          <w:rFonts w:ascii="Calibri" w:hAnsi="Calibri" w:cs="Calibri"/>
          <w:sz w:val="22"/>
          <w:szCs w:val="22"/>
          <w:lang w:val="nl-NL"/>
        </w:rPr>
      </w:pPr>
    </w:p>
    <w:p w:rsidRPr="00110B06" w:rsidR="00133A37" w:rsidP="00133A37" w:rsidRDefault="00133A37" w14:paraId="565BBAD2" w14:textId="77777777">
      <w:pPr>
        <w:pStyle w:val="standaard-tekst"/>
        <w:rPr>
          <w:rFonts w:ascii="Calibri" w:hAnsi="Calibri" w:cs="Calibri"/>
          <w:sz w:val="22"/>
          <w:szCs w:val="22"/>
          <w:lang w:val="nl-NL"/>
        </w:rPr>
      </w:pPr>
    </w:p>
    <w:p w:rsidRPr="00110B06" w:rsidR="00133A37" w:rsidP="00133A37" w:rsidRDefault="00133A37" w14:paraId="181ADB71" w14:textId="0209B7D5">
      <w:pPr>
        <w:pStyle w:val="standaard-tekst"/>
        <w:rPr>
          <w:rFonts w:ascii="Calibri" w:hAnsi="Calibri" w:cs="Calibri"/>
          <w:sz w:val="22"/>
          <w:szCs w:val="22"/>
          <w:lang w:val="nl-NL"/>
        </w:rPr>
      </w:pPr>
      <w:r w:rsidRPr="00110B06">
        <w:rPr>
          <w:rFonts w:ascii="Calibri" w:hAnsi="Calibri" w:cs="Calibri"/>
          <w:sz w:val="22"/>
          <w:szCs w:val="22"/>
          <w:lang w:val="nl-NL"/>
        </w:rPr>
        <w:t xml:space="preserve">De </w:t>
      </w:r>
      <w:r w:rsidR="00110B06">
        <w:rPr>
          <w:rFonts w:ascii="Calibri" w:hAnsi="Calibri" w:cs="Calibri"/>
          <w:sz w:val="22"/>
          <w:szCs w:val="22"/>
          <w:lang w:val="nl-NL"/>
        </w:rPr>
        <w:t>s</w:t>
      </w:r>
      <w:r w:rsidRPr="00110B06">
        <w:rPr>
          <w:rFonts w:ascii="Calibri" w:hAnsi="Calibri" w:cs="Calibri"/>
          <w:sz w:val="22"/>
          <w:szCs w:val="22"/>
          <w:lang w:val="nl-NL"/>
        </w:rPr>
        <w:t>taatssecretaris van Onderwijs, Cultuur en Wetenschap,</w:t>
      </w:r>
    </w:p>
    <w:p w:rsidRPr="00110B06" w:rsidR="00133A37" w:rsidP="00133A37" w:rsidRDefault="00110B06" w14:paraId="4F4423E3" w14:textId="546548C4">
      <w:pPr>
        <w:rPr>
          <w:rFonts w:ascii="Calibri" w:hAnsi="Calibri" w:cs="Calibri"/>
        </w:rPr>
      </w:pPr>
      <w:r>
        <w:rPr>
          <w:rFonts w:ascii="Calibri" w:hAnsi="Calibri" w:cs="Calibri"/>
        </w:rPr>
        <w:t xml:space="preserve">K.M. </w:t>
      </w:r>
      <w:r w:rsidRPr="00110B06" w:rsidR="00133A37">
        <w:rPr>
          <w:rFonts w:ascii="Calibri" w:hAnsi="Calibri" w:cs="Calibri"/>
        </w:rPr>
        <w:t>Becking</w:t>
      </w:r>
    </w:p>
    <w:p w:rsidRPr="00110B06" w:rsidR="00E6311E" w:rsidRDefault="00E6311E" w14:paraId="04219947" w14:textId="77777777">
      <w:pPr>
        <w:rPr>
          <w:rFonts w:ascii="Calibri" w:hAnsi="Calibri" w:cs="Calibri"/>
        </w:rPr>
      </w:pPr>
    </w:p>
    <w:sectPr w:rsidRPr="00110B06" w:rsidR="00E6311E" w:rsidSect="00133A3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54EF" w14:textId="77777777" w:rsidR="00133A37" w:rsidRDefault="00133A37" w:rsidP="00133A37">
      <w:pPr>
        <w:spacing w:after="0" w:line="240" w:lineRule="auto"/>
      </w:pPr>
      <w:r>
        <w:separator/>
      </w:r>
    </w:p>
  </w:endnote>
  <w:endnote w:type="continuationSeparator" w:id="0">
    <w:p w14:paraId="30CAE061" w14:textId="77777777" w:rsidR="00133A37" w:rsidRDefault="00133A37" w:rsidP="0013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8BDF" w14:textId="77777777" w:rsidR="00133A37" w:rsidRPr="00133A37" w:rsidRDefault="00133A37" w:rsidP="00133A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13CD" w14:textId="77777777" w:rsidR="00133A37" w:rsidRPr="00133A37" w:rsidRDefault="00133A37" w:rsidP="00133A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D6CB" w14:textId="77777777" w:rsidR="00133A37" w:rsidRPr="00133A37" w:rsidRDefault="00133A37" w:rsidP="00133A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BC07" w14:textId="77777777" w:rsidR="00133A37" w:rsidRDefault="00133A37" w:rsidP="00133A37">
      <w:pPr>
        <w:spacing w:after="0" w:line="240" w:lineRule="auto"/>
      </w:pPr>
      <w:r>
        <w:separator/>
      </w:r>
    </w:p>
  </w:footnote>
  <w:footnote w:type="continuationSeparator" w:id="0">
    <w:p w14:paraId="70D21B20" w14:textId="77777777" w:rsidR="00133A37" w:rsidRDefault="00133A37" w:rsidP="00133A37">
      <w:pPr>
        <w:spacing w:after="0" w:line="240" w:lineRule="auto"/>
      </w:pPr>
      <w:r>
        <w:continuationSeparator/>
      </w:r>
    </w:p>
  </w:footnote>
  <w:footnote w:id="1">
    <w:p w14:paraId="3967C92C" w14:textId="4F45B9B7" w:rsidR="00133A37" w:rsidRPr="005C713D" w:rsidRDefault="00133A37" w:rsidP="00133A37">
      <w:pPr>
        <w:pStyle w:val="Voetnoottekst"/>
        <w:rPr>
          <w:sz w:val="16"/>
          <w:szCs w:val="16"/>
        </w:rPr>
      </w:pPr>
      <w:r w:rsidRPr="005C713D">
        <w:rPr>
          <w:rStyle w:val="Voetnootmarkering"/>
          <w:sz w:val="16"/>
          <w:szCs w:val="16"/>
        </w:rPr>
        <w:footnoteRef/>
      </w:r>
      <w:r w:rsidRPr="005C713D">
        <w:rPr>
          <w:sz w:val="16"/>
          <w:szCs w:val="16"/>
        </w:rPr>
        <w:t xml:space="preserve"> </w:t>
      </w:r>
      <w:r w:rsidRPr="00B9083E">
        <w:rPr>
          <w:sz w:val="16"/>
          <w:szCs w:val="16"/>
        </w:rPr>
        <w:t>Dit</w:t>
      </w:r>
      <w:r>
        <w:rPr>
          <w:sz w:val="16"/>
          <w:szCs w:val="16"/>
        </w:rPr>
        <w:t xml:space="preserve"> in aanvulling op de memorie van toelichting, zie Kamerstuk 36 530, nr. 3, par. 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8AEA" w14:textId="77777777" w:rsidR="00133A37" w:rsidRPr="00133A37" w:rsidRDefault="00133A37" w:rsidP="00133A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5634" w14:textId="77777777" w:rsidR="00133A37" w:rsidRPr="00133A37" w:rsidRDefault="00133A37" w:rsidP="00133A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2D52" w14:textId="77777777" w:rsidR="00133A37" w:rsidRPr="00133A37" w:rsidRDefault="00133A37" w:rsidP="00133A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7"/>
    <w:rsid w:val="00110B06"/>
    <w:rsid w:val="00133A37"/>
    <w:rsid w:val="0025703A"/>
    <w:rsid w:val="00551675"/>
    <w:rsid w:val="006F239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0D05"/>
  <w15:chartTrackingRefBased/>
  <w15:docId w15:val="{F41B50E5-56CA-44C4-8B30-26DA7005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A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A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A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A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A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A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A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A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A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A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A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A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A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A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A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A37"/>
    <w:rPr>
      <w:rFonts w:eastAsiaTheme="majorEastAsia" w:cstheme="majorBidi"/>
      <w:color w:val="272727" w:themeColor="text1" w:themeTint="D8"/>
    </w:rPr>
  </w:style>
  <w:style w:type="paragraph" w:styleId="Titel">
    <w:name w:val="Title"/>
    <w:basedOn w:val="Standaard"/>
    <w:next w:val="Standaard"/>
    <w:link w:val="TitelChar"/>
    <w:uiPriority w:val="10"/>
    <w:qFormat/>
    <w:rsid w:val="00133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A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A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A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A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A37"/>
    <w:rPr>
      <w:i/>
      <w:iCs/>
      <w:color w:val="404040" w:themeColor="text1" w:themeTint="BF"/>
    </w:rPr>
  </w:style>
  <w:style w:type="paragraph" w:styleId="Lijstalinea">
    <w:name w:val="List Paragraph"/>
    <w:basedOn w:val="Standaard"/>
    <w:uiPriority w:val="34"/>
    <w:qFormat/>
    <w:rsid w:val="00133A37"/>
    <w:pPr>
      <w:ind w:left="720"/>
      <w:contextualSpacing/>
    </w:pPr>
  </w:style>
  <w:style w:type="character" w:styleId="Intensievebenadrukking">
    <w:name w:val="Intense Emphasis"/>
    <w:basedOn w:val="Standaardalinea-lettertype"/>
    <w:uiPriority w:val="21"/>
    <w:qFormat/>
    <w:rsid w:val="00133A37"/>
    <w:rPr>
      <w:i/>
      <w:iCs/>
      <w:color w:val="0F4761" w:themeColor="accent1" w:themeShade="BF"/>
    </w:rPr>
  </w:style>
  <w:style w:type="paragraph" w:styleId="Duidelijkcitaat">
    <w:name w:val="Intense Quote"/>
    <w:basedOn w:val="Standaard"/>
    <w:next w:val="Standaard"/>
    <w:link w:val="DuidelijkcitaatChar"/>
    <w:uiPriority w:val="30"/>
    <w:qFormat/>
    <w:rsid w:val="00133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A37"/>
    <w:rPr>
      <w:i/>
      <w:iCs/>
      <w:color w:val="0F4761" w:themeColor="accent1" w:themeShade="BF"/>
    </w:rPr>
  </w:style>
  <w:style w:type="character" w:styleId="Intensieveverwijzing">
    <w:name w:val="Intense Reference"/>
    <w:basedOn w:val="Standaardalinea-lettertype"/>
    <w:uiPriority w:val="32"/>
    <w:qFormat/>
    <w:rsid w:val="00133A37"/>
    <w:rPr>
      <w:b/>
      <w:bCs/>
      <w:smallCaps/>
      <w:color w:val="0F4761" w:themeColor="accent1" w:themeShade="BF"/>
      <w:spacing w:val="5"/>
    </w:rPr>
  </w:style>
  <w:style w:type="paragraph" w:styleId="Koptekst">
    <w:name w:val="header"/>
    <w:basedOn w:val="Standaard"/>
    <w:link w:val="KoptekstChar"/>
    <w:rsid w:val="00133A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33A3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33A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33A3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33A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3A37"/>
    <w:rPr>
      <w:rFonts w:ascii="Verdana" w:hAnsi="Verdana"/>
      <w:noProof/>
      <w:sz w:val="13"/>
      <w:szCs w:val="24"/>
      <w:lang w:eastAsia="nl-NL"/>
    </w:rPr>
  </w:style>
  <w:style w:type="paragraph" w:customStyle="1" w:styleId="Huisstijl-Gegeven">
    <w:name w:val="Huisstijl-Gegeven"/>
    <w:basedOn w:val="Standaard"/>
    <w:link w:val="Huisstijl-GegevenCharChar"/>
    <w:rsid w:val="00133A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3A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33A3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33A3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133A37"/>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semiHidden/>
    <w:unhideWhenUsed/>
    <w:rsid w:val="00133A3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133A3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133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903</ap:Words>
  <ap:Characters>4970</ap:Characters>
  <ap:DocSecurity>0</ap:DocSecurity>
  <ap:Lines>41</ap:Lines>
  <ap:Paragraphs>11</ap:Paragraphs>
  <ap:ScaleCrop>false</ap:ScaleCrop>
  <ap:LinksUpToDate>false</ap:LinksUpToDate>
  <ap:CharactersWithSpaces>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2025-12-18T14:02:00.0000000Z</dcterms:created>
  <dcterms:modified xsi:type="dcterms:W3CDTF">2025-12-18T14:02:00.0000000Z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