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9F62E6" w14:paraId="74548486" w14:textId="77777777">
      <w:r>
        <w:t>Geachte voorzitter,</w:t>
      </w:r>
    </w:p>
    <w:p w:rsidR="009F62E6" w14:paraId="696CF4F3" w14:textId="77777777"/>
    <w:p w:rsidR="00A00226" w:rsidP="00A00226" w14:paraId="13FDFA41" w14:textId="77777777">
      <w:pPr>
        <w:pStyle w:val="NoSpacing"/>
        <w:jc w:val="both"/>
        <w:rPr>
          <w:rFonts w:ascii="Verdana" w:hAnsi="Verdana"/>
          <w:sz w:val="18"/>
          <w:szCs w:val="18"/>
        </w:rPr>
      </w:pPr>
      <w:r>
        <w:rPr>
          <w:rFonts w:ascii="Verdana" w:hAnsi="Verdana"/>
          <w:sz w:val="18"/>
          <w:szCs w:val="18"/>
        </w:rPr>
        <w:t xml:space="preserve">Met deze brief informeer ik u over de verlenging van het Kustpact tot </w:t>
      </w:r>
      <w:r w:rsidR="0068091B">
        <w:rPr>
          <w:rFonts w:ascii="Verdana" w:hAnsi="Verdana"/>
          <w:sz w:val="18"/>
          <w:szCs w:val="18"/>
        </w:rPr>
        <w:t xml:space="preserve">eind </w:t>
      </w:r>
      <w:r>
        <w:rPr>
          <w:rFonts w:ascii="Verdana" w:hAnsi="Verdana"/>
          <w:sz w:val="18"/>
          <w:szCs w:val="18"/>
        </w:rPr>
        <w:t>2030</w:t>
      </w:r>
      <w:r w:rsidR="0068091B">
        <w:rPr>
          <w:rFonts w:ascii="Verdana" w:hAnsi="Verdana"/>
          <w:sz w:val="18"/>
          <w:szCs w:val="18"/>
        </w:rPr>
        <w:t xml:space="preserve"> en over de resultaten van de </w:t>
      </w:r>
      <w:r w:rsidR="00751BF8">
        <w:rPr>
          <w:rFonts w:ascii="Verdana" w:hAnsi="Verdana"/>
          <w:sz w:val="18"/>
          <w:szCs w:val="18"/>
        </w:rPr>
        <w:t>M</w:t>
      </w:r>
      <w:r w:rsidR="0068091B">
        <w:rPr>
          <w:rFonts w:ascii="Verdana" w:hAnsi="Verdana"/>
          <w:sz w:val="18"/>
          <w:szCs w:val="18"/>
        </w:rPr>
        <w:t>onitor Kustpact 2025</w:t>
      </w:r>
      <w:r>
        <w:rPr>
          <w:rFonts w:ascii="Verdana" w:hAnsi="Verdana"/>
          <w:sz w:val="18"/>
          <w:szCs w:val="18"/>
        </w:rPr>
        <w:t xml:space="preserve">. Met het Kustpact streven partijen naar een balans tussen de ontwikkeling van de kust en het beschermen van haar kernkwaliteiten en collectieve waarden. </w:t>
      </w:r>
      <w:r>
        <w:rPr>
          <w:rFonts w:ascii="Verdana" w:hAnsi="Verdana"/>
          <w:sz w:val="18"/>
          <w:szCs w:val="18"/>
        </w:rPr>
        <w:t xml:space="preserve">Op 21 februari 2017 ondertekenden 59 bij de kust betrokken overheden, maatschappelijke organisaties en </w:t>
      </w:r>
      <w:r>
        <w:rPr>
          <w:rFonts w:ascii="Verdana" w:hAnsi="Verdana"/>
          <w:sz w:val="18"/>
          <w:szCs w:val="18"/>
        </w:rPr>
        <w:t>vertegen</w:t>
      </w:r>
      <w:r w:rsidR="001D1584">
        <w:rPr>
          <w:rFonts w:ascii="Verdana" w:hAnsi="Verdana"/>
          <w:sz w:val="18"/>
          <w:szCs w:val="18"/>
        </w:rPr>
        <w:t>-</w:t>
      </w:r>
      <w:r>
        <w:rPr>
          <w:rFonts w:ascii="Verdana" w:hAnsi="Verdana"/>
          <w:sz w:val="18"/>
          <w:szCs w:val="18"/>
        </w:rPr>
        <w:t>woordigers</w:t>
      </w:r>
      <w:r>
        <w:rPr>
          <w:rFonts w:ascii="Verdana" w:hAnsi="Verdana"/>
          <w:sz w:val="18"/>
          <w:szCs w:val="18"/>
        </w:rPr>
        <w:t xml:space="preserve"> namens ondernemers </w:t>
      </w:r>
      <w:r w:rsidR="0068091B">
        <w:rPr>
          <w:rFonts w:ascii="Verdana" w:hAnsi="Verdana"/>
          <w:sz w:val="18"/>
          <w:szCs w:val="18"/>
        </w:rPr>
        <w:t xml:space="preserve">de eerste versie van </w:t>
      </w:r>
      <w:r>
        <w:rPr>
          <w:rFonts w:ascii="Verdana" w:hAnsi="Verdana"/>
          <w:sz w:val="18"/>
          <w:szCs w:val="18"/>
        </w:rPr>
        <w:t xml:space="preserve">het Kustpact. </w:t>
      </w:r>
    </w:p>
    <w:p w:rsidR="00A00226" w:rsidP="00A00226" w14:paraId="11763947" w14:textId="77777777">
      <w:pPr>
        <w:pStyle w:val="NoSpacing"/>
        <w:jc w:val="both"/>
        <w:rPr>
          <w:rFonts w:ascii="Verdana" w:hAnsi="Verdana"/>
          <w:sz w:val="18"/>
          <w:szCs w:val="18"/>
        </w:rPr>
      </w:pPr>
    </w:p>
    <w:p w:rsidR="00A00226" w:rsidP="00A00226" w14:paraId="7F800BF7" w14:textId="77777777">
      <w:pPr>
        <w:pStyle w:val="NoSpacing"/>
        <w:jc w:val="both"/>
        <w:rPr>
          <w:rFonts w:ascii="Verdana" w:hAnsi="Verdana"/>
          <w:sz w:val="18"/>
          <w:szCs w:val="18"/>
        </w:rPr>
      </w:pPr>
      <w:r>
        <w:rPr>
          <w:rFonts w:ascii="Verdana" w:hAnsi="Verdana"/>
          <w:sz w:val="18"/>
          <w:szCs w:val="18"/>
        </w:rPr>
        <w:t>Op 25 juni 2024 is de zesde voortgangsbrief over het Kustpact naar uw Kamer verstuurd. Daarin werd onder meer ingegaan op de toekomst van de samenwerking, aangezien het huidige Kustpact op 31 december 2025 afloopt. Dit jaar heb ik samen met de Kustpact partijen overleg gevoerd over de voortzetting na 2025. Met deze zevende voortgangsbrief Kustpact informeer ik u over de gemaakte afspraken.</w:t>
      </w:r>
    </w:p>
    <w:p w:rsidR="00A00226" w:rsidP="00A00226" w14:paraId="6E580541" w14:textId="77777777">
      <w:pPr>
        <w:pStyle w:val="NoSpacing"/>
        <w:jc w:val="both"/>
        <w:rPr>
          <w:rFonts w:ascii="Verdana" w:hAnsi="Verdana"/>
          <w:sz w:val="18"/>
          <w:szCs w:val="18"/>
        </w:rPr>
      </w:pPr>
    </w:p>
    <w:p w:rsidRPr="00A00226" w:rsidR="00A00226" w:rsidP="00A00226" w14:paraId="41CE78A3" w14:textId="77777777">
      <w:pPr>
        <w:pStyle w:val="NoSpacing"/>
        <w:jc w:val="both"/>
        <w:rPr>
          <w:rFonts w:ascii="Verdana" w:hAnsi="Verdana"/>
          <w:b/>
          <w:bCs/>
          <w:sz w:val="18"/>
          <w:szCs w:val="18"/>
          <w:u w:val="single"/>
        </w:rPr>
      </w:pPr>
      <w:r w:rsidRPr="00A00226">
        <w:rPr>
          <w:rFonts w:ascii="Verdana" w:hAnsi="Verdana"/>
          <w:b/>
          <w:bCs/>
          <w:sz w:val="18"/>
          <w:szCs w:val="18"/>
          <w:u w:val="single"/>
        </w:rPr>
        <w:t>Kustpact 2017-2025</w:t>
      </w:r>
    </w:p>
    <w:p w:rsidR="00A00226" w:rsidP="00A00226" w14:paraId="28F6DFF4" w14:textId="77777777">
      <w:pPr>
        <w:pStyle w:val="NoSpacing"/>
        <w:jc w:val="both"/>
        <w:rPr>
          <w:rFonts w:ascii="Verdana" w:hAnsi="Verdana"/>
          <w:sz w:val="18"/>
          <w:szCs w:val="18"/>
        </w:rPr>
      </w:pPr>
      <w:r>
        <w:rPr>
          <w:rFonts w:ascii="Verdana" w:hAnsi="Verdana"/>
          <w:sz w:val="18"/>
          <w:szCs w:val="18"/>
        </w:rPr>
        <w:t xml:space="preserve">Het Kustpact </w:t>
      </w:r>
      <w:bookmarkStart w:name="OLE_LINK4" w:id="0"/>
      <w:r>
        <w:rPr>
          <w:rFonts w:ascii="Verdana" w:hAnsi="Verdana"/>
          <w:sz w:val="18"/>
          <w:szCs w:val="18"/>
        </w:rPr>
        <w:t>kwam in 2017 tot stand naar aanleiding van maatschappelijke en politieke zorgen over toenemende recreatieve bebouwing aan de kust.</w:t>
      </w:r>
      <w:bookmarkEnd w:id="0"/>
      <w:r>
        <w:rPr>
          <w:rFonts w:ascii="Verdana" w:hAnsi="Verdana"/>
          <w:sz w:val="18"/>
          <w:szCs w:val="18"/>
        </w:rPr>
        <w:t xml:space="preserve"> De vrees bestond dat zonder gezamenlijke afspraken de kust zou worden volgebouwd met </w:t>
      </w:r>
      <w:r>
        <w:rPr>
          <w:rFonts w:ascii="Verdana" w:hAnsi="Verdana" w:eastAsia="Aptos" w:cs="Times New Roman"/>
          <w:sz w:val="18"/>
          <w:szCs w:val="18"/>
        </w:rPr>
        <w:t xml:space="preserve">vakantieparken, recreatiewoningen, strandhuisjes en hotels. Hoewel ontwikkeling van de kust kansen biedt voor de economie in de kustplaatsen, vormt juist het natuurlijke karakter van het unieke kustlandschap een van haar grootste aantrekkingskrachten. Partijen spraken daarom af een balans te bewaren tussen </w:t>
      </w:r>
      <w:bookmarkStart w:name="OLE_LINK3" w:id="1"/>
      <w:r>
        <w:rPr>
          <w:rFonts w:ascii="Verdana" w:hAnsi="Verdana" w:eastAsia="Aptos" w:cs="Times New Roman"/>
          <w:sz w:val="18"/>
          <w:szCs w:val="18"/>
        </w:rPr>
        <w:t xml:space="preserve">de ontwikkeling van recreatieve bebouwing in de kustzone enerzijds en bescherming en behoud van de natuur en het landschap anderzijds. </w:t>
      </w:r>
      <w:bookmarkEnd w:id="1"/>
      <w:r>
        <w:rPr>
          <w:rFonts w:ascii="Verdana" w:hAnsi="Verdana"/>
          <w:sz w:val="18"/>
          <w:szCs w:val="18"/>
        </w:rPr>
        <w:t>31 december 2025 werd als einddatum in het Kustpact opgenomen.</w:t>
      </w:r>
    </w:p>
    <w:p w:rsidR="00A00226" w:rsidP="00A00226" w14:paraId="21FA6C35" w14:textId="77777777">
      <w:pPr>
        <w:pStyle w:val="NoSpacing"/>
        <w:jc w:val="both"/>
        <w:rPr>
          <w:rFonts w:ascii="Verdana" w:hAnsi="Verdana"/>
          <w:sz w:val="18"/>
          <w:szCs w:val="18"/>
        </w:rPr>
      </w:pPr>
    </w:p>
    <w:p w:rsidR="00A00226" w:rsidP="00A00226" w14:paraId="1F15FB8E" w14:textId="77777777">
      <w:pPr>
        <w:pStyle w:val="p1"/>
        <w:jc w:val="both"/>
        <w:rPr>
          <w:sz w:val="18"/>
          <w:szCs w:val="18"/>
        </w:rPr>
      </w:pPr>
      <w:r>
        <w:rPr>
          <w:sz w:val="18"/>
          <w:szCs w:val="18"/>
        </w:rPr>
        <w:t>De Kustpactpartijen hebben de afgelopen jaren minimaal twee keer per jaar ambtelijk overleg gevoerd. Daarnaast vond jaarlijks bestuurlijk contact plaats, via overleg of een schriftelijke ronde. De samenwerking binnen het Kustpact heeft concrete resultaten opgeleverd, waarover in de afgelopen jaren aan uw Kamer is gerapporteerd. Samenvattend zijn de belangrijkste resultaten:</w:t>
      </w:r>
    </w:p>
    <w:p w:rsidR="00A00226" w:rsidP="00A00226" w14:paraId="2960494F" w14:textId="77777777">
      <w:pPr>
        <w:pStyle w:val="p1"/>
        <w:numPr>
          <w:ilvl w:val="0"/>
          <w:numId w:val="5"/>
        </w:numPr>
        <w:jc w:val="both"/>
        <w:rPr>
          <w:sz w:val="18"/>
          <w:szCs w:val="18"/>
        </w:rPr>
      </w:pPr>
      <w:r>
        <w:rPr>
          <w:b/>
          <w:bCs/>
          <w:sz w:val="18"/>
          <w:szCs w:val="18"/>
        </w:rPr>
        <w:t>Actualisatie van provinciaal kustbeleid</w:t>
      </w:r>
      <w:r>
        <w:rPr>
          <w:sz w:val="18"/>
          <w:szCs w:val="18"/>
        </w:rPr>
        <w:t xml:space="preserve">: De provincies hebben hun kustbeleid geactualiseerd en zoneringen ingesteld die bepalen waar wel en waar geen nieuwe recreatieve bebouwing mag plaatsvinden. </w:t>
      </w:r>
      <w:r>
        <w:rPr>
          <w:rFonts w:eastAsia="Calibri"/>
          <w:color w:val="auto"/>
          <w:sz w:val="18"/>
          <w:szCs w:val="18"/>
          <w:lang w:eastAsia="en-US"/>
        </w:rPr>
        <w:t>Deze zoneringen zijn vastgelegd in provinciale verordeningen en geven daarmee de regels voor de inhoud van gemeentelijke omgevingsplannen. Dit heeft geleid tot een zorgvuldige ruimtelijke ordening</w:t>
      </w:r>
      <w:r>
        <w:rPr>
          <w:rFonts w:eastAsia="Calibri"/>
          <w:sz w:val="18"/>
          <w:szCs w:val="18"/>
        </w:rPr>
        <w:t xml:space="preserve">. </w:t>
      </w:r>
    </w:p>
    <w:p w:rsidR="00A00226" w:rsidP="00A00226" w14:paraId="6DE9238E" w14:textId="77777777">
      <w:pPr>
        <w:pStyle w:val="p1"/>
        <w:numPr>
          <w:ilvl w:val="0"/>
          <w:numId w:val="5"/>
        </w:numPr>
        <w:jc w:val="both"/>
        <w:rPr>
          <w:sz w:val="18"/>
          <w:szCs w:val="18"/>
        </w:rPr>
      </w:pPr>
      <w:r>
        <w:rPr>
          <w:rFonts w:eastAsia="Calibri"/>
          <w:b/>
          <w:bCs/>
          <w:color w:val="auto"/>
          <w:sz w:val="18"/>
          <w:szCs w:val="18"/>
          <w:lang w:eastAsia="en-US"/>
        </w:rPr>
        <w:t>Monitor en evaluatie Kustpact:</w:t>
      </w:r>
      <w:r>
        <w:rPr>
          <w:rFonts w:eastAsia="Calibri"/>
          <w:color w:val="auto"/>
          <w:sz w:val="18"/>
          <w:szCs w:val="18"/>
          <w:lang w:eastAsia="en-US"/>
        </w:rPr>
        <w:t xml:space="preserve"> </w:t>
      </w:r>
      <w:r>
        <w:rPr>
          <w:sz w:val="18"/>
          <w:szCs w:val="18"/>
        </w:rPr>
        <w:t xml:space="preserve">In 2021, 2023 en 2025 is de Monitor Kustpact uitgevoerd om de ontwikkeling van recreatieve bebouwing en kustbeleving in beeld te brengen. </w:t>
      </w:r>
      <w:r w:rsidR="0068091B">
        <w:rPr>
          <w:sz w:val="18"/>
          <w:szCs w:val="18"/>
        </w:rPr>
        <w:t xml:space="preserve">De conclusie was dat er werking uitgaat van de gemaakte </w:t>
      </w:r>
      <w:r w:rsidR="0068091B">
        <w:rPr>
          <w:sz w:val="18"/>
          <w:szCs w:val="18"/>
        </w:rPr>
        <w:t xml:space="preserve">afspraken. </w:t>
      </w:r>
      <w:r>
        <w:rPr>
          <w:sz w:val="18"/>
          <w:szCs w:val="18"/>
        </w:rPr>
        <w:t>Daarnaast bevestigde een tussentijdse evaluatie in 2022 de brede waardering van alle partijen voor de Kustpact samenwerking.</w:t>
      </w:r>
    </w:p>
    <w:p w:rsidR="00A00226" w:rsidP="00A00226" w14:paraId="2405DFD8" w14:textId="77777777">
      <w:pPr>
        <w:pStyle w:val="p1"/>
        <w:numPr>
          <w:ilvl w:val="0"/>
          <w:numId w:val="5"/>
        </w:numPr>
        <w:jc w:val="both"/>
        <w:rPr>
          <w:sz w:val="18"/>
          <w:szCs w:val="18"/>
        </w:rPr>
      </w:pPr>
      <w:r>
        <w:rPr>
          <w:rFonts w:eastAsia="Calibri"/>
          <w:b/>
          <w:bCs/>
          <w:sz w:val="18"/>
          <w:szCs w:val="18"/>
        </w:rPr>
        <w:t>Voorkomen van diverse ruimtelijke conflicten</w:t>
      </w:r>
      <w:r>
        <w:rPr>
          <w:rFonts w:eastAsia="Calibri"/>
          <w:sz w:val="18"/>
          <w:szCs w:val="18"/>
        </w:rPr>
        <w:t xml:space="preserve">: </w:t>
      </w:r>
      <w:r>
        <w:rPr>
          <w:sz w:val="18"/>
          <w:szCs w:val="18"/>
        </w:rPr>
        <w:t xml:space="preserve">Door het structurele overleg en het opgebouwde vertrouwen </w:t>
      </w:r>
      <w:r>
        <w:rPr>
          <w:rFonts w:eastAsia="Calibri"/>
          <w:sz w:val="18"/>
          <w:szCs w:val="18"/>
        </w:rPr>
        <w:t xml:space="preserve">zijn diverse </w:t>
      </w:r>
      <w:r>
        <w:rPr>
          <w:rFonts w:eastAsia="Calibri"/>
          <w:color w:val="auto"/>
          <w:sz w:val="18"/>
          <w:szCs w:val="18"/>
          <w:lang w:eastAsia="en-US"/>
        </w:rPr>
        <w:t>ruimtelijke conflicten tussen overheden, ondernemers en natuurorganisaties</w:t>
      </w:r>
      <w:r>
        <w:rPr>
          <w:rFonts w:eastAsia="Calibri"/>
          <w:sz w:val="18"/>
          <w:szCs w:val="18"/>
        </w:rPr>
        <w:t xml:space="preserve"> voorkomen </w:t>
      </w:r>
      <w:r>
        <w:rPr>
          <w:sz w:val="18"/>
          <w:szCs w:val="18"/>
        </w:rPr>
        <w:t xml:space="preserve">in plaats van achteraf opgelost. </w:t>
      </w:r>
    </w:p>
    <w:p w:rsidR="00A00226" w:rsidP="00A00226" w14:paraId="1069329F" w14:textId="77777777">
      <w:pPr>
        <w:pStyle w:val="p1"/>
        <w:numPr>
          <w:ilvl w:val="0"/>
          <w:numId w:val="5"/>
        </w:numPr>
        <w:jc w:val="both"/>
        <w:rPr>
          <w:sz w:val="18"/>
          <w:szCs w:val="18"/>
        </w:rPr>
      </w:pPr>
      <w:r>
        <w:rPr>
          <w:b/>
          <w:bCs/>
          <w:sz w:val="18"/>
          <w:szCs w:val="18"/>
        </w:rPr>
        <w:t>Combinatie van ontwikkeling en bescherming</w:t>
      </w:r>
      <w:r>
        <w:rPr>
          <w:sz w:val="18"/>
          <w:szCs w:val="18"/>
        </w:rPr>
        <w:t xml:space="preserve">: Het Kustpact heeft geleid tot </w:t>
      </w:r>
      <w:r>
        <w:rPr>
          <w:rFonts w:eastAsia="Calibri"/>
          <w:color w:val="auto"/>
          <w:sz w:val="18"/>
          <w:szCs w:val="18"/>
          <w:lang w:eastAsia="en-US"/>
        </w:rPr>
        <w:t>gunstige ruimtelijke condities voor de vrijetijdseconomie én bescherming van natuur en landschap</w:t>
      </w:r>
      <w:r>
        <w:rPr>
          <w:rFonts w:eastAsia="Calibri"/>
          <w:sz w:val="18"/>
          <w:szCs w:val="18"/>
        </w:rPr>
        <w:t xml:space="preserve">. </w:t>
      </w:r>
    </w:p>
    <w:p w:rsidR="00A00226" w:rsidP="00A00226" w14:paraId="2EC7A660" w14:textId="77777777">
      <w:pPr>
        <w:pStyle w:val="p1"/>
        <w:numPr>
          <w:ilvl w:val="0"/>
          <w:numId w:val="5"/>
        </w:numPr>
        <w:jc w:val="both"/>
        <w:rPr>
          <w:sz w:val="18"/>
          <w:szCs w:val="18"/>
        </w:rPr>
      </w:pPr>
      <w:r>
        <w:rPr>
          <w:rFonts w:eastAsia="Aptos"/>
          <w:b/>
          <w:bCs/>
          <w:sz w:val="18"/>
          <w:szCs w:val="18"/>
        </w:rPr>
        <w:t>Brede agenderende functie</w:t>
      </w:r>
      <w:r>
        <w:rPr>
          <w:rFonts w:eastAsia="Aptos"/>
          <w:sz w:val="18"/>
          <w:szCs w:val="18"/>
        </w:rPr>
        <w:t xml:space="preserve">: </w:t>
      </w:r>
      <w:r>
        <w:rPr>
          <w:sz w:val="18"/>
          <w:szCs w:val="18"/>
        </w:rPr>
        <w:t xml:space="preserve">Het Kustpact bood een platform om actuele thema’s te bespreken, zoals de overwintering van strandpaviljoens tijdens de coronaperiode, het project </w:t>
      </w:r>
      <w:r w:rsidRPr="00A00226">
        <w:rPr>
          <w:rStyle w:val="Emphasis"/>
          <w:rFonts w:eastAsiaTheme="majorEastAsia"/>
          <w:i w:val="0"/>
          <w:iCs w:val="0"/>
          <w:sz w:val="18"/>
          <w:szCs w:val="18"/>
        </w:rPr>
        <w:t>Het Groene Strand</w:t>
      </w:r>
      <w:r w:rsidRPr="00A00226">
        <w:rPr>
          <w:i/>
          <w:iCs/>
          <w:sz w:val="18"/>
          <w:szCs w:val="18"/>
        </w:rPr>
        <w:t xml:space="preserve">, </w:t>
      </w:r>
      <w:r w:rsidRPr="00A00226">
        <w:rPr>
          <w:sz w:val="18"/>
          <w:szCs w:val="18"/>
        </w:rPr>
        <w:t xml:space="preserve">de </w:t>
      </w:r>
      <w:r w:rsidRPr="00A00226">
        <w:rPr>
          <w:rStyle w:val="Emphasis"/>
          <w:rFonts w:eastAsiaTheme="majorEastAsia"/>
          <w:i w:val="0"/>
          <w:iCs w:val="0"/>
          <w:sz w:val="18"/>
          <w:szCs w:val="18"/>
        </w:rPr>
        <w:t>Werkgroep Toekomst Strandpaviljoens</w:t>
      </w:r>
      <w:r w:rsidRPr="00A00226">
        <w:rPr>
          <w:i/>
          <w:iCs/>
          <w:sz w:val="18"/>
          <w:szCs w:val="18"/>
        </w:rPr>
        <w:t xml:space="preserve"> </w:t>
      </w:r>
      <w:r>
        <w:rPr>
          <w:sz w:val="18"/>
          <w:szCs w:val="18"/>
        </w:rPr>
        <w:t xml:space="preserve">en de verbinding met andere beleidsdossiers, zoals het Deltaprogramma en de </w:t>
      </w:r>
      <w:r w:rsidRPr="00A00226">
        <w:rPr>
          <w:rStyle w:val="Emphasis"/>
          <w:rFonts w:eastAsiaTheme="majorEastAsia"/>
          <w:i w:val="0"/>
          <w:iCs w:val="0"/>
          <w:sz w:val="18"/>
          <w:szCs w:val="18"/>
        </w:rPr>
        <w:t>Nota Ruimte</w:t>
      </w:r>
      <w:r>
        <w:rPr>
          <w:sz w:val="18"/>
          <w:szCs w:val="18"/>
        </w:rPr>
        <w:t>.</w:t>
      </w:r>
    </w:p>
    <w:p w:rsidR="00A00226" w:rsidP="00A00226" w14:paraId="3C467596" w14:textId="77777777">
      <w:pPr>
        <w:pStyle w:val="p1"/>
        <w:jc w:val="both"/>
        <w:rPr>
          <w:sz w:val="18"/>
          <w:szCs w:val="18"/>
        </w:rPr>
      </w:pPr>
    </w:p>
    <w:p w:rsidRPr="00751BF8" w:rsidR="00A00226" w:rsidP="00A00226" w14:paraId="7619C49F" w14:textId="77777777">
      <w:pPr>
        <w:pStyle w:val="NoSpacing"/>
        <w:jc w:val="both"/>
        <w:rPr>
          <w:rFonts w:ascii="Verdana" w:hAnsi="Verdana"/>
          <w:b/>
          <w:bCs/>
          <w:sz w:val="18"/>
          <w:szCs w:val="18"/>
          <w:u w:val="single"/>
        </w:rPr>
      </w:pPr>
      <w:r w:rsidRPr="00751BF8">
        <w:rPr>
          <w:rFonts w:ascii="Verdana" w:hAnsi="Verdana"/>
          <w:b/>
          <w:bCs/>
          <w:sz w:val="18"/>
          <w:szCs w:val="18"/>
          <w:u w:val="single"/>
        </w:rPr>
        <w:t>Kustpact 2026-2030</w:t>
      </w:r>
    </w:p>
    <w:p w:rsidRPr="000F6319" w:rsidR="00A00226" w:rsidP="00A00226" w14:paraId="5598EC64" w14:textId="77777777">
      <w:pPr>
        <w:pStyle w:val="NoSpacing"/>
        <w:jc w:val="both"/>
        <w:rPr>
          <w:rFonts w:ascii="Verdana" w:hAnsi="Verdana"/>
          <w:sz w:val="18"/>
          <w:szCs w:val="18"/>
        </w:rPr>
      </w:pPr>
      <w:r>
        <w:rPr>
          <w:rFonts w:ascii="Verdana" w:hAnsi="Verdana"/>
          <w:sz w:val="18"/>
          <w:szCs w:val="18"/>
        </w:rPr>
        <w:t>Hoewel de onrust uit 2017 is afgenomen, blijven de opgaven voor de kust groot. Het toerisme groeit en de recreatiebehoefte neemt toe. Uit prognoses van het Nederlands Bureau voor Toerisme en Congressen (NBTC) blijkt dat Nederland in 2023 ca. 49 miljoen verblijfsbezoekers</w:t>
      </w:r>
      <w:r>
        <w:rPr>
          <w:rStyle w:val="FootnoteReference"/>
          <w:rFonts w:ascii="Verdana" w:hAnsi="Verdana"/>
          <w:sz w:val="18"/>
          <w:szCs w:val="18"/>
        </w:rPr>
        <w:footnoteReference w:id="2"/>
      </w:r>
      <w:r>
        <w:rPr>
          <w:rFonts w:ascii="Verdana" w:hAnsi="Verdana"/>
          <w:sz w:val="18"/>
          <w:szCs w:val="18"/>
        </w:rPr>
        <w:t xml:space="preserve"> ontving. Naar verwachting zal dit aantal richting 2035 doorgroeien naar circa 61 miljoen.</w:t>
      </w:r>
      <w:r>
        <w:rPr>
          <w:rStyle w:val="FootnoteReference"/>
          <w:rFonts w:ascii="Verdana" w:hAnsi="Verdana"/>
          <w:sz w:val="18"/>
          <w:szCs w:val="18"/>
        </w:rPr>
        <w:t xml:space="preserve"> </w:t>
      </w:r>
      <w:r>
        <w:rPr>
          <w:rStyle w:val="FootnoteReference"/>
          <w:rFonts w:ascii="Verdana" w:hAnsi="Verdana"/>
          <w:sz w:val="18"/>
          <w:szCs w:val="18"/>
        </w:rPr>
        <w:footnoteReference w:id="3"/>
      </w:r>
      <w:r>
        <w:rPr>
          <w:rFonts w:ascii="Verdana" w:hAnsi="Verdana"/>
          <w:sz w:val="18"/>
          <w:szCs w:val="18"/>
        </w:rPr>
        <w:t xml:space="preserve"> Ook de kustgebieden zullen </w:t>
      </w:r>
      <w:r w:rsidRPr="000F6319">
        <w:rPr>
          <w:rFonts w:ascii="Verdana" w:hAnsi="Verdana"/>
          <w:sz w:val="18"/>
          <w:szCs w:val="18"/>
        </w:rPr>
        <w:t xml:space="preserve">volgens onderzoek een groeiend aantal bezoekers ontvangen. De uitdaging is om deze ontwikkelingen in goede banen te leiden. </w:t>
      </w:r>
    </w:p>
    <w:p w:rsidRPr="000F6319" w:rsidR="00A00226" w:rsidP="00A00226" w14:paraId="66B19011" w14:textId="77777777">
      <w:pPr>
        <w:pStyle w:val="NoSpacing"/>
        <w:jc w:val="both"/>
        <w:rPr>
          <w:rFonts w:ascii="Verdana" w:hAnsi="Verdana"/>
          <w:sz w:val="18"/>
          <w:szCs w:val="18"/>
        </w:rPr>
      </w:pPr>
    </w:p>
    <w:p w:rsidR="00A00226" w:rsidP="000F6319" w14:paraId="44F0D0EA" w14:textId="77777777">
      <w:pPr>
        <w:pStyle w:val="NoSpacing"/>
        <w:jc w:val="both"/>
      </w:pPr>
      <w:r w:rsidRPr="000F6319">
        <w:rPr>
          <w:rFonts w:ascii="Verdana" w:hAnsi="Verdana"/>
          <w:sz w:val="18"/>
          <w:szCs w:val="18"/>
        </w:rPr>
        <w:t xml:space="preserve">Op 4 maart 2025 heb ik tijdens het Bestuurlijk Overleg Kustpact met de Kustpact partijen gesproken over de mogelijke voortzetting van het Kustpact. </w:t>
      </w:r>
      <w:r w:rsidR="000F6319">
        <w:rPr>
          <w:rFonts w:ascii="Verdana" w:hAnsi="Verdana"/>
          <w:sz w:val="18"/>
          <w:szCs w:val="18"/>
        </w:rPr>
        <w:t>D</w:t>
      </w:r>
      <w:r w:rsidRPr="000F6319">
        <w:rPr>
          <w:rFonts w:ascii="Verdana" w:hAnsi="Verdana"/>
          <w:sz w:val="18"/>
          <w:szCs w:val="18"/>
        </w:rPr>
        <w:t xml:space="preserve">e Kustpactpartijen </w:t>
      </w:r>
      <w:r w:rsidRPr="000F6319" w:rsidR="001D1584">
        <w:rPr>
          <w:rFonts w:ascii="Verdana" w:hAnsi="Verdana"/>
          <w:sz w:val="18"/>
          <w:szCs w:val="18"/>
        </w:rPr>
        <w:t xml:space="preserve">zijn </w:t>
      </w:r>
      <w:r w:rsidRPr="000F6319">
        <w:rPr>
          <w:rFonts w:ascii="Verdana" w:hAnsi="Verdana"/>
          <w:sz w:val="18"/>
          <w:szCs w:val="18"/>
        </w:rPr>
        <w:t>van mening dat het behouden van een balans tussen ontwikkeling en bescherming nog steeds van groot belang is. Tegelijkertijd spelen er nieuwe uitdagingen ten opzichte van tien jaar geleden. In het licht van de huidige actualiteiten en de toekomstige ontwikkelingen aan de kust is het nodig om nieuwe afspraken te maken.</w:t>
      </w:r>
      <w:r w:rsidRPr="000F6319" w:rsidR="000F6319">
        <w:rPr>
          <w:rFonts w:ascii="Verdana" w:hAnsi="Verdana"/>
          <w:sz w:val="18"/>
          <w:szCs w:val="18"/>
        </w:rPr>
        <w:t xml:space="preserve"> </w:t>
      </w:r>
      <w:r w:rsidRPr="000F6319">
        <w:rPr>
          <w:rFonts w:ascii="Verdana" w:hAnsi="Verdana"/>
          <w:sz w:val="18"/>
          <w:szCs w:val="18"/>
        </w:rPr>
        <w:t>De Kustpactpartijen hebben daarom besloten de samenwerking voort te zetten op basis van nieuwe afspraken tot in ieder geval 31 december 2030.</w:t>
      </w:r>
      <w:r>
        <w:t xml:space="preserve"> </w:t>
      </w:r>
    </w:p>
    <w:p w:rsidR="00A00226" w:rsidP="00A00226" w14:paraId="658B7AB2" w14:textId="77777777">
      <w:pPr>
        <w:pStyle w:val="p1"/>
        <w:jc w:val="both"/>
        <w:rPr>
          <w:sz w:val="18"/>
          <w:szCs w:val="18"/>
        </w:rPr>
      </w:pPr>
    </w:p>
    <w:p w:rsidR="00A00226" w:rsidP="00A00226" w14:paraId="32EEE8C3" w14:textId="77777777">
      <w:pPr>
        <w:pStyle w:val="NoSpacing"/>
        <w:jc w:val="both"/>
        <w:rPr>
          <w:rFonts w:ascii="Verdana" w:hAnsi="Verdana"/>
          <w:sz w:val="18"/>
          <w:szCs w:val="18"/>
        </w:rPr>
      </w:pPr>
      <w:r>
        <w:rPr>
          <w:rFonts w:ascii="Verdana" w:hAnsi="Verdana"/>
          <w:sz w:val="18"/>
          <w:szCs w:val="18"/>
        </w:rPr>
        <w:t xml:space="preserve">De nieuwe afspraken zijn vastgelegd in het </w:t>
      </w:r>
      <w:r w:rsidRPr="00A00226">
        <w:rPr>
          <w:rStyle w:val="Emphasis"/>
          <w:rFonts w:ascii="Verdana" w:hAnsi="Verdana"/>
          <w:b/>
          <w:bCs/>
          <w:i w:val="0"/>
          <w:iCs w:val="0"/>
          <w:sz w:val="18"/>
          <w:szCs w:val="18"/>
        </w:rPr>
        <w:t>Kustpact 2026–2030</w:t>
      </w:r>
      <w:r>
        <w:rPr>
          <w:rFonts w:ascii="Verdana" w:hAnsi="Verdana"/>
          <w:b/>
          <w:bCs/>
          <w:sz w:val="18"/>
          <w:szCs w:val="18"/>
        </w:rPr>
        <w:t xml:space="preserve"> (zie bijlage).</w:t>
      </w:r>
      <w:r>
        <w:rPr>
          <w:rFonts w:ascii="Verdana" w:hAnsi="Verdana"/>
          <w:sz w:val="18"/>
          <w:szCs w:val="18"/>
        </w:rPr>
        <w:t xml:space="preserve"> Deze afspraken betreffen beperkte wijzigingen ten opzichte van het oorspronkelijke Kustpact, maar zijn waar nodig geactualiseerd op basis van behaalde resultaten, recente ontwikkelingen en toekomstige opgaven.</w:t>
      </w:r>
      <w:bookmarkStart w:name="OLE_LINK9" w:id="2"/>
      <w:r>
        <w:rPr>
          <w:rFonts w:ascii="Verdana" w:hAnsi="Verdana"/>
          <w:sz w:val="18"/>
          <w:szCs w:val="18"/>
        </w:rPr>
        <w:t xml:space="preserve"> De belangrijkste wijzigingen zijn:</w:t>
      </w:r>
    </w:p>
    <w:p w:rsidR="00A00226" w:rsidP="00A00226" w14:paraId="12646279" w14:textId="77777777">
      <w:pPr>
        <w:pStyle w:val="NoSpacing"/>
        <w:numPr>
          <w:ilvl w:val="0"/>
          <w:numId w:val="7"/>
        </w:numPr>
        <w:jc w:val="both"/>
        <w:rPr>
          <w:rFonts w:ascii="Verdana" w:hAnsi="Verdana"/>
          <w:sz w:val="18"/>
          <w:szCs w:val="18"/>
        </w:rPr>
      </w:pPr>
      <w:r>
        <w:rPr>
          <w:rFonts w:ascii="Verdana" w:hAnsi="Verdana"/>
          <w:b/>
          <w:bCs/>
          <w:sz w:val="18"/>
          <w:szCs w:val="18"/>
        </w:rPr>
        <w:t>Verbreding van de scope</w:t>
      </w:r>
      <w:r>
        <w:rPr>
          <w:rFonts w:ascii="Verdana" w:hAnsi="Verdana"/>
          <w:sz w:val="18"/>
          <w:szCs w:val="18"/>
        </w:rPr>
        <w:t>: Naast recreatieve bebouwing omvat het nieuwe Kustpact nu ook de ontwikkelingen ten aanzien van toerisme, recreatieve druk en de strandeconomie in relatie tot de bescherming van kernkwaliteiten en de kwaliteit van de leefomgeving.</w:t>
      </w:r>
    </w:p>
    <w:p w:rsidR="00A00226" w:rsidP="00A00226" w14:paraId="3022896F" w14:textId="77777777">
      <w:pPr>
        <w:pStyle w:val="NoSpacing"/>
        <w:numPr>
          <w:ilvl w:val="0"/>
          <w:numId w:val="7"/>
        </w:numPr>
        <w:jc w:val="both"/>
        <w:rPr>
          <w:rFonts w:ascii="Verdana" w:hAnsi="Verdana"/>
          <w:sz w:val="18"/>
          <w:szCs w:val="18"/>
        </w:rPr>
      </w:pPr>
      <w:r>
        <w:rPr>
          <w:rFonts w:ascii="Verdana" w:hAnsi="Verdana"/>
          <w:b/>
          <w:bCs/>
          <w:sz w:val="18"/>
          <w:szCs w:val="18"/>
        </w:rPr>
        <w:t>Monitor Kustpact</w:t>
      </w:r>
      <w:r>
        <w:rPr>
          <w:rFonts w:ascii="Verdana" w:hAnsi="Verdana"/>
          <w:sz w:val="18"/>
          <w:szCs w:val="18"/>
        </w:rPr>
        <w:t xml:space="preserve">: </w:t>
      </w:r>
      <w:bookmarkStart w:name="OLE_LINK10" w:id="3"/>
      <w:bookmarkEnd w:id="2"/>
      <w:r>
        <w:rPr>
          <w:rFonts w:ascii="Verdana" w:hAnsi="Verdana"/>
          <w:sz w:val="18"/>
          <w:szCs w:val="18"/>
        </w:rPr>
        <w:t xml:space="preserve">De Monitor Kustpact wordt niet meer iedere twee jaar, maar slechts eenmalig uitgevoerd in 2029, in aanloop naar een eventuele verlenging van de samenwerking na 2030. </w:t>
      </w:r>
    </w:p>
    <w:p w:rsidR="00A00226" w:rsidP="00A00226" w14:paraId="37FF3A1F" w14:textId="77777777">
      <w:pPr>
        <w:pStyle w:val="NoSpacing"/>
        <w:numPr>
          <w:ilvl w:val="0"/>
          <w:numId w:val="7"/>
        </w:numPr>
        <w:jc w:val="both"/>
        <w:rPr>
          <w:rFonts w:ascii="Verdana" w:hAnsi="Verdana"/>
          <w:sz w:val="18"/>
          <w:szCs w:val="18"/>
        </w:rPr>
      </w:pPr>
      <w:r>
        <w:rPr>
          <w:rFonts w:ascii="Verdana" w:hAnsi="Verdana"/>
          <w:b/>
          <w:bCs/>
          <w:sz w:val="18"/>
          <w:szCs w:val="18"/>
        </w:rPr>
        <w:t xml:space="preserve">Bestuurlijke borging: </w:t>
      </w:r>
      <w:bookmarkEnd w:id="3"/>
      <w:r>
        <w:rPr>
          <w:rFonts w:ascii="Verdana" w:hAnsi="Verdana"/>
          <w:sz w:val="18"/>
          <w:szCs w:val="18"/>
        </w:rPr>
        <w:t xml:space="preserve">Jaarlijks wordt bekeken of er behoefte is aan een bestuurlijk overleg. Zo niet, dan ontvangen bestuurders een schriftelijke voortgangsrapportage. Uw Kamer wordt niet meer ieder jaar geïnformeerd, </w:t>
      </w:r>
      <w:bookmarkStart w:name="OLE_LINK2" w:id="4"/>
      <w:r>
        <w:rPr>
          <w:rFonts w:ascii="Verdana" w:hAnsi="Verdana"/>
          <w:sz w:val="18"/>
          <w:szCs w:val="18"/>
        </w:rPr>
        <w:t>maar alleen als de actualiteit of urgentie daar aanleiding toe geeft.</w:t>
      </w:r>
    </w:p>
    <w:bookmarkEnd w:id="4"/>
    <w:p w:rsidR="001D1584" w:rsidP="000F6319" w14:paraId="55658616" w14:textId="77777777">
      <w:pPr>
        <w:pStyle w:val="NoSpacing"/>
        <w:jc w:val="both"/>
        <w:rPr>
          <w:rFonts w:ascii="Verdana" w:hAnsi="Verdana"/>
          <w:sz w:val="18"/>
          <w:szCs w:val="18"/>
        </w:rPr>
      </w:pPr>
    </w:p>
    <w:p w:rsidR="00A00226" w:rsidP="000F6319" w14:paraId="32D5D721" w14:textId="77777777">
      <w:pPr>
        <w:pStyle w:val="NoSpacing"/>
        <w:jc w:val="both"/>
        <w:rPr>
          <w:rFonts w:ascii="Verdana" w:hAnsi="Verdana"/>
          <w:sz w:val="18"/>
          <w:szCs w:val="18"/>
        </w:rPr>
      </w:pPr>
      <w:r>
        <w:rPr>
          <w:rFonts w:ascii="Verdana" w:hAnsi="Verdana"/>
          <w:sz w:val="18"/>
          <w:szCs w:val="18"/>
        </w:rPr>
        <w:t>D</w:t>
      </w:r>
      <w:r>
        <w:rPr>
          <w:rFonts w:ascii="Verdana" w:hAnsi="Verdana"/>
          <w:sz w:val="18"/>
          <w:szCs w:val="18"/>
        </w:rPr>
        <w:t xml:space="preserve">e formele ondertekening van het </w:t>
      </w:r>
      <w:r w:rsidRPr="00A00226">
        <w:rPr>
          <w:rStyle w:val="Emphasis"/>
          <w:rFonts w:ascii="Verdana" w:hAnsi="Verdana"/>
          <w:i w:val="0"/>
          <w:iCs w:val="0"/>
          <w:sz w:val="18"/>
          <w:szCs w:val="18"/>
        </w:rPr>
        <w:t>Kustpact 2026–2030</w:t>
      </w:r>
      <w:r>
        <w:rPr>
          <w:rFonts w:ascii="Verdana" w:hAnsi="Verdana"/>
          <w:sz w:val="18"/>
          <w:szCs w:val="18"/>
        </w:rPr>
        <w:t xml:space="preserve"> vond plaats via een bestuurlijke schriftelijke ronde. </w:t>
      </w:r>
      <w:r>
        <w:rPr>
          <w:rStyle w:val="Strong"/>
          <w:rFonts w:ascii="Verdana" w:hAnsi="Verdana"/>
          <w:sz w:val="18"/>
          <w:szCs w:val="18"/>
        </w:rPr>
        <w:t>55 partijen</w:t>
      </w:r>
      <w:r>
        <w:rPr>
          <w:rFonts w:ascii="Verdana" w:hAnsi="Verdana"/>
          <w:sz w:val="18"/>
          <w:szCs w:val="18"/>
        </w:rPr>
        <w:t xml:space="preserve"> hebben het Kustpact ondertekend — een overzicht van deze partijen vindt u in het bijgevoegde Kustpact. </w:t>
      </w:r>
    </w:p>
    <w:p w:rsidR="00A00226" w:rsidP="00A00226" w14:paraId="50AADE5C" w14:textId="77777777">
      <w:pPr>
        <w:jc w:val="both"/>
        <w:rPr>
          <w:bCs/>
        </w:rPr>
      </w:pPr>
    </w:p>
    <w:p w:rsidR="00A00226" w:rsidP="7A1C427C" w14:paraId="4621534D" w14:textId="77777777">
      <w:pPr>
        <w:jc w:val="both"/>
      </w:pPr>
      <w:r>
        <w:t xml:space="preserve">Naast de formele schriftelijke ondertekening werd de samenwerking ook symbolisch bekrachtigd tijdens de </w:t>
      </w:r>
      <w:r w:rsidRPr="00087725">
        <w:rPr>
          <w:rStyle w:val="Strong"/>
          <w:b w:val="0"/>
          <w:bCs w:val="0"/>
        </w:rPr>
        <w:t>Nederlandse Kustdagen in Noordwijk op 1 oktober 2025</w:t>
      </w:r>
      <w:r w:rsidRPr="00087725">
        <w:rPr>
          <w:b/>
          <w:bCs/>
        </w:rPr>
        <w:t xml:space="preserve">. </w:t>
      </w:r>
      <w:r w:rsidRPr="00087725">
        <w:t>Tijdens dit feestelijke</w:t>
      </w:r>
      <w:r>
        <w:t xml:space="preserve"> moment hebben de bestuurders van de Kustpact partijen hun handtekening in het zand gezet. Het Kustpact 2026-2030</w:t>
      </w:r>
      <w:r w:rsidR="30F8DC7E">
        <w:t xml:space="preserve"> </w:t>
      </w:r>
      <w:r>
        <w:t xml:space="preserve">wordt </w:t>
      </w:r>
      <w:r w:rsidR="7FDB68D5">
        <w:t xml:space="preserve">binnenkort </w:t>
      </w:r>
      <w:r>
        <w:t>online gepubliceerd op</w:t>
      </w:r>
      <w:r w:rsidR="2BBAAF46">
        <w:t xml:space="preserve"> ruimtelijkeordening.nl en in de Staatscourant</w:t>
      </w:r>
      <w:r>
        <w:t>.</w:t>
      </w:r>
    </w:p>
    <w:p w:rsidR="00A00226" w:rsidP="00A00226" w14:paraId="07858FB0" w14:textId="77777777">
      <w:pPr>
        <w:jc w:val="both"/>
        <w:rPr>
          <w:bCs/>
        </w:rPr>
      </w:pPr>
    </w:p>
    <w:p w:rsidRPr="00A00226" w:rsidR="00A00226" w:rsidP="00A00226" w14:paraId="29E5F6D4" w14:textId="77777777">
      <w:pPr>
        <w:jc w:val="both"/>
        <w:rPr>
          <w:b/>
          <w:color w:val="auto"/>
          <w:u w:val="single"/>
        </w:rPr>
      </w:pPr>
      <w:bookmarkStart w:name="OLE_LINK21" w:id="5"/>
      <w:r w:rsidRPr="00A00226">
        <w:rPr>
          <w:b/>
          <w:u w:val="single"/>
        </w:rPr>
        <w:t>Monitor Kustpact 2025</w:t>
      </w:r>
    </w:p>
    <w:p w:rsidR="00751BF8" w:rsidP="00A00226" w14:paraId="763AFD14" w14:textId="77777777">
      <w:pPr>
        <w:pStyle w:val="p1"/>
        <w:jc w:val="both"/>
        <w:rPr>
          <w:sz w:val="18"/>
          <w:szCs w:val="18"/>
        </w:rPr>
      </w:pPr>
      <w:bookmarkStart w:name="OLE_LINK28" w:id="6"/>
      <w:r>
        <w:rPr>
          <w:sz w:val="18"/>
          <w:szCs w:val="18"/>
        </w:rPr>
        <w:t xml:space="preserve">De </w:t>
      </w:r>
      <w:r w:rsidRPr="00A00226">
        <w:rPr>
          <w:rStyle w:val="Emphasis"/>
          <w:rFonts w:eastAsiaTheme="majorEastAsia"/>
          <w:i w:val="0"/>
          <w:iCs w:val="0"/>
          <w:sz w:val="18"/>
          <w:szCs w:val="18"/>
        </w:rPr>
        <w:t>Monitor Kustpact</w:t>
      </w:r>
      <w:r>
        <w:rPr>
          <w:sz w:val="18"/>
          <w:szCs w:val="18"/>
        </w:rPr>
        <w:t xml:space="preserve"> biedt inzicht in de balans tussen</w:t>
      </w:r>
      <w:r w:rsidR="00AE7CFF">
        <w:rPr>
          <w:sz w:val="18"/>
          <w:szCs w:val="18"/>
        </w:rPr>
        <w:t xml:space="preserve"> de ontwikkeling van de</w:t>
      </w:r>
      <w:r>
        <w:rPr>
          <w:sz w:val="18"/>
          <w:szCs w:val="18"/>
        </w:rPr>
        <w:t xml:space="preserve"> recreatieve </w:t>
      </w:r>
      <w:r w:rsidR="00AE7CFF">
        <w:rPr>
          <w:sz w:val="18"/>
          <w:szCs w:val="18"/>
        </w:rPr>
        <w:t>bebouwing</w:t>
      </w:r>
      <w:r>
        <w:rPr>
          <w:sz w:val="18"/>
          <w:szCs w:val="18"/>
        </w:rPr>
        <w:t xml:space="preserve"> en bescherming van de kustzone. De Monitor bestaat uit drie onderdelen: </w:t>
      </w:r>
    </w:p>
    <w:p w:rsidR="00751BF8" w:rsidP="00751BF8" w14:paraId="500BCED8" w14:textId="77777777">
      <w:pPr>
        <w:pStyle w:val="p1"/>
        <w:numPr>
          <w:ilvl w:val="0"/>
          <w:numId w:val="12"/>
        </w:numPr>
        <w:jc w:val="both"/>
        <w:rPr>
          <w:sz w:val="18"/>
          <w:szCs w:val="18"/>
        </w:rPr>
      </w:pPr>
      <w:r>
        <w:rPr>
          <w:sz w:val="18"/>
          <w:szCs w:val="18"/>
        </w:rPr>
        <w:t>O</w:t>
      </w:r>
      <w:r w:rsidR="00A00226">
        <w:rPr>
          <w:sz w:val="18"/>
          <w:szCs w:val="18"/>
        </w:rPr>
        <w:t>nderzoek van het Kadaster naar de omvang van de recreatieve bebouwing in de kustzon</w:t>
      </w:r>
      <w:r w:rsidR="0001626D">
        <w:rPr>
          <w:sz w:val="18"/>
          <w:szCs w:val="18"/>
        </w:rPr>
        <w:t>e;</w:t>
      </w:r>
    </w:p>
    <w:p w:rsidR="00751BF8" w:rsidP="00751BF8" w14:paraId="700B0191" w14:textId="77777777">
      <w:pPr>
        <w:pStyle w:val="p1"/>
        <w:numPr>
          <w:ilvl w:val="0"/>
          <w:numId w:val="12"/>
        </w:numPr>
        <w:jc w:val="both"/>
        <w:rPr>
          <w:sz w:val="18"/>
          <w:szCs w:val="18"/>
        </w:rPr>
      </w:pPr>
      <w:r>
        <w:rPr>
          <w:sz w:val="18"/>
          <w:szCs w:val="18"/>
        </w:rPr>
        <w:t>O</w:t>
      </w:r>
      <w:r w:rsidR="00A00226">
        <w:rPr>
          <w:sz w:val="18"/>
          <w:szCs w:val="18"/>
        </w:rPr>
        <w:t>nderzoek van de ANWB naar de beleving van de kust</w:t>
      </w:r>
      <w:r w:rsidR="0001626D">
        <w:rPr>
          <w:sz w:val="18"/>
          <w:szCs w:val="18"/>
        </w:rPr>
        <w:t>;</w:t>
      </w:r>
      <w:r w:rsidR="00A00226">
        <w:rPr>
          <w:sz w:val="18"/>
          <w:szCs w:val="18"/>
        </w:rPr>
        <w:t xml:space="preserve"> </w:t>
      </w:r>
    </w:p>
    <w:p w:rsidR="00751BF8" w:rsidP="00751BF8" w14:paraId="7148145B" w14:textId="77777777">
      <w:pPr>
        <w:pStyle w:val="p1"/>
        <w:numPr>
          <w:ilvl w:val="0"/>
          <w:numId w:val="12"/>
        </w:numPr>
        <w:jc w:val="both"/>
        <w:rPr>
          <w:sz w:val="18"/>
          <w:szCs w:val="18"/>
        </w:rPr>
      </w:pPr>
      <w:r>
        <w:rPr>
          <w:sz w:val="18"/>
          <w:szCs w:val="18"/>
        </w:rPr>
        <w:t>D</w:t>
      </w:r>
      <w:r w:rsidR="00A00226">
        <w:rPr>
          <w:sz w:val="18"/>
          <w:szCs w:val="18"/>
        </w:rPr>
        <w:t xml:space="preserve">uiding door het Planbureau voor de Leefomgeving (PBL) van deze onderzoeken tegen de achtergrond van de afspraken uit het Kustpact. </w:t>
      </w:r>
    </w:p>
    <w:p w:rsidRPr="00751BF8" w:rsidR="0022026B" w:rsidP="00751BF8" w14:paraId="7541CA7C" w14:textId="77777777">
      <w:pPr>
        <w:pStyle w:val="p1"/>
        <w:jc w:val="both"/>
        <w:rPr>
          <w:sz w:val="18"/>
          <w:szCs w:val="18"/>
        </w:rPr>
      </w:pPr>
      <w:r>
        <w:rPr>
          <w:sz w:val="18"/>
          <w:szCs w:val="18"/>
        </w:rPr>
        <w:t>V</w:t>
      </w:r>
      <w:r w:rsidRPr="00751BF8">
        <w:rPr>
          <w:sz w:val="18"/>
          <w:szCs w:val="18"/>
        </w:rPr>
        <w:t xml:space="preserve">ia het Kustpact 2017-2025 hebben de Kustpact partijen afgesproken de Monitor iedere twee jaar te herhalen. </w:t>
      </w:r>
      <w:r w:rsidRPr="00751BF8" w:rsidR="00A00226">
        <w:rPr>
          <w:sz w:val="18"/>
          <w:szCs w:val="18"/>
        </w:rPr>
        <w:t>I</w:t>
      </w:r>
      <w:r w:rsidRPr="00751BF8">
        <w:rPr>
          <w:sz w:val="18"/>
          <w:szCs w:val="18"/>
        </w:rPr>
        <w:t>n</w:t>
      </w:r>
      <w:r w:rsidRPr="00751BF8" w:rsidR="00A00226">
        <w:rPr>
          <w:sz w:val="18"/>
          <w:szCs w:val="18"/>
        </w:rPr>
        <w:t xml:space="preserve"> de afgelopen periode zijn</w:t>
      </w:r>
      <w:r w:rsidRPr="00751BF8">
        <w:rPr>
          <w:sz w:val="18"/>
          <w:szCs w:val="18"/>
        </w:rPr>
        <w:t xml:space="preserve"> zodoende</w:t>
      </w:r>
      <w:r w:rsidRPr="00751BF8" w:rsidR="00A00226">
        <w:rPr>
          <w:sz w:val="18"/>
          <w:szCs w:val="18"/>
        </w:rPr>
        <w:t xml:space="preserve"> drie edities van de Monitor verschenen (2021, 2023, 2025). </w:t>
      </w:r>
    </w:p>
    <w:p w:rsidR="0022026B" w:rsidP="00A00226" w14:paraId="7801F8BF" w14:textId="77777777">
      <w:pPr>
        <w:pStyle w:val="p1"/>
        <w:jc w:val="both"/>
        <w:rPr>
          <w:sz w:val="18"/>
          <w:szCs w:val="18"/>
        </w:rPr>
      </w:pPr>
    </w:p>
    <w:p w:rsidR="0022026B" w:rsidP="00A00226" w14:paraId="7EB0A168" w14:textId="77777777">
      <w:pPr>
        <w:pStyle w:val="p1"/>
        <w:jc w:val="both"/>
        <w:rPr>
          <w:sz w:val="18"/>
          <w:szCs w:val="18"/>
        </w:rPr>
      </w:pPr>
      <w:r>
        <w:rPr>
          <w:sz w:val="18"/>
          <w:szCs w:val="18"/>
        </w:rPr>
        <w:t>Over de edities uit 2021 en 2023 is eerder aan uw Kamer gerapporteerd.</w:t>
      </w:r>
      <w:r>
        <w:rPr>
          <w:sz w:val="18"/>
          <w:szCs w:val="18"/>
        </w:rPr>
        <w:t xml:space="preserve"> In deze edities is gekeken naar de data tot 2022. De duiding van het PBL uit 2023 liet destijds zien dat er toename van recreatieve bebouwing plaatsvond, maar dat die uitbreiding gebeurde binnen de daarvoor aangewezen zoneringen, zoals vastgelegd naar aanleiding van het Kustpact, en niet in zones waar dat niet is toegestaan. </w:t>
      </w:r>
    </w:p>
    <w:p w:rsidR="0022026B" w:rsidP="00A00226" w14:paraId="592D13E2" w14:textId="77777777">
      <w:pPr>
        <w:pStyle w:val="p1"/>
        <w:jc w:val="both"/>
        <w:rPr>
          <w:sz w:val="18"/>
          <w:szCs w:val="18"/>
        </w:rPr>
      </w:pPr>
    </w:p>
    <w:p w:rsidR="00134C2F" w:rsidP="0022026B" w14:paraId="31609DBE" w14:textId="77777777">
      <w:pPr>
        <w:pStyle w:val="NoSpacing"/>
        <w:spacing w:line="259" w:lineRule="auto"/>
        <w:jc w:val="both"/>
        <w:rPr>
          <w:rFonts w:ascii="Verdana" w:hAnsi="Verdana" w:eastAsia="Verdana" w:cs="Verdana"/>
          <w:color w:val="000000" w:themeColor="text1"/>
          <w:sz w:val="18"/>
          <w:szCs w:val="18"/>
        </w:rPr>
      </w:pPr>
      <w:r w:rsidRPr="0022026B">
        <w:rPr>
          <w:rFonts w:ascii="Verdana" w:hAnsi="Verdana"/>
          <w:sz w:val="18"/>
          <w:szCs w:val="18"/>
        </w:rPr>
        <w:t>In 2025 zijn de onderzoeken van het Kadaster en de ANWB herhaald.</w:t>
      </w:r>
      <w:r>
        <w:rPr>
          <w:sz w:val="18"/>
          <w:szCs w:val="18"/>
        </w:rPr>
        <w:t xml:space="preserve"> </w:t>
      </w:r>
      <w:r w:rsidRPr="398DA837">
        <w:rPr>
          <w:rFonts w:ascii="Verdana" w:hAnsi="Verdana"/>
          <w:sz w:val="18"/>
          <w:szCs w:val="18"/>
        </w:rPr>
        <w:t>De</w:t>
      </w:r>
      <w:r>
        <w:rPr>
          <w:sz w:val="18"/>
          <w:szCs w:val="18"/>
        </w:rPr>
        <w:t xml:space="preserve">ze </w:t>
      </w:r>
      <w:r w:rsidRPr="398DA837">
        <w:rPr>
          <w:rFonts w:ascii="Verdana" w:hAnsi="Verdana"/>
          <w:sz w:val="18"/>
          <w:szCs w:val="18"/>
        </w:rPr>
        <w:t xml:space="preserve">treft u aan in de </w:t>
      </w:r>
      <w:r w:rsidRPr="398DA837">
        <w:rPr>
          <w:rFonts w:ascii="Verdana" w:hAnsi="Verdana"/>
          <w:b/>
          <w:bCs/>
          <w:sz w:val="18"/>
          <w:szCs w:val="18"/>
        </w:rPr>
        <w:t xml:space="preserve">bijlagen </w:t>
      </w:r>
      <w:r w:rsidRPr="398DA837">
        <w:rPr>
          <w:rFonts w:ascii="Verdana" w:hAnsi="Verdana"/>
          <w:sz w:val="18"/>
          <w:szCs w:val="18"/>
        </w:rPr>
        <w:t xml:space="preserve">bij deze voortgangsbrief. Uit het ANWB-rapport blijkt dat de kust nog altijd zeer hoog wordt gewaardeerd (gemiddelde waardering: een 8), maar dat de drukte op bepaalde locaties toeneemt. Uit het </w:t>
      </w:r>
      <w:r w:rsidRPr="398DA837">
        <w:rPr>
          <w:rFonts w:ascii="Verdana" w:hAnsi="Verdana" w:eastAsia="Verdana" w:cs="Verdana"/>
          <w:sz w:val="18"/>
          <w:szCs w:val="18"/>
        </w:rPr>
        <w:t xml:space="preserve">Kadaster rapport blijkt dat de recreatieve bebouwing </w:t>
      </w:r>
      <w:r w:rsidRPr="398DA837">
        <w:rPr>
          <w:rFonts w:ascii="Verdana" w:hAnsi="Verdana" w:eastAsia="Verdana" w:cs="Verdana"/>
          <w:color w:val="000000" w:themeColor="text1"/>
          <w:sz w:val="18"/>
          <w:szCs w:val="18"/>
        </w:rPr>
        <w:t xml:space="preserve">in de kustzone </w:t>
      </w:r>
      <w:r w:rsidRPr="398DA837">
        <w:rPr>
          <w:rFonts w:ascii="Verdana" w:hAnsi="Verdana" w:eastAsia="Verdana" w:cs="Verdana"/>
          <w:sz w:val="18"/>
          <w:szCs w:val="18"/>
        </w:rPr>
        <w:t>t</w:t>
      </w:r>
      <w:r w:rsidRPr="398DA837">
        <w:rPr>
          <w:rFonts w:ascii="Verdana" w:hAnsi="Verdana" w:eastAsia="Verdana" w:cs="Verdana"/>
          <w:color w:val="000000" w:themeColor="text1"/>
          <w:sz w:val="18"/>
          <w:szCs w:val="18"/>
        </w:rPr>
        <w:t>ussen 2</w:t>
      </w:r>
      <w:r>
        <w:rPr>
          <w:rFonts w:ascii="Verdana" w:hAnsi="Verdana" w:eastAsia="Verdana" w:cs="Verdana"/>
          <w:color w:val="000000" w:themeColor="text1"/>
          <w:sz w:val="18"/>
          <w:szCs w:val="18"/>
        </w:rPr>
        <w:t>022</w:t>
      </w:r>
      <w:r w:rsidRPr="398DA837">
        <w:rPr>
          <w:rFonts w:ascii="Verdana" w:hAnsi="Verdana" w:eastAsia="Verdana" w:cs="Verdana"/>
          <w:color w:val="000000" w:themeColor="text1"/>
          <w:sz w:val="18"/>
          <w:szCs w:val="18"/>
        </w:rPr>
        <w:t xml:space="preserve"> en 2024 is </w:t>
      </w:r>
      <w:r w:rsidR="00C2610B">
        <w:rPr>
          <w:rFonts w:ascii="Verdana" w:hAnsi="Verdana" w:eastAsia="Verdana" w:cs="Verdana"/>
          <w:color w:val="000000" w:themeColor="text1"/>
          <w:sz w:val="18"/>
          <w:szCs w:val="18"/>
        </w:rPr>
        <w:t>gegroeid</w:t>
      </w:r>
      <w:r w:rsidRPr="398DA837">
        <w:rPr>
          <w:rFonts w:ascii="Verdana" w:hAnsi="Verdana" w:eastAsia="Verdana" w:cs="Verdana"/>
          <w:color w:val="000000" w:themeColor="text1"/>
          <w:sz w:val="18"/>
          <w:szCs w:val="18"/>
        </w:rPr>
        <w:t>.</w:t>
      </w:r>
      <w:r>
        <w:rPr>
          <w:rFonts w:ascii="Verdana" w:hAnsi="Verdana" w:eastAsia="Verdana" w:cs="Verdana"/>
          <w:color w:val="000000" w:themeColor="text1"/>
          <w:sz w:val="18"/>
          <w:szCs w:val="18"/>
        </w:rPr>
        <w:t xml:space="preserve"> </w:t>
      </w:r>
    </w:p>
    <w:p w:rsidR="00E93FEA" w:rsidP="00134C2F" w14:paraId="6290574A" w14:textId="77777777">
      <w:pPr>
        <w:pStyle w:val="NoSpacing"/>
        <w:spacing w:line="259" w:lineRule="auto"/>
        <w:jc w:val="both"/>
        <w:rPr>
          <w:rFonts w:ascii="Verdana" w:hAnsi="Verdana" w:eastAsia="Verdana" w:cs="Verdana"/>
          <w:color w:val="000000" w:themeColor="text1"/>
          <w:sz w:val="18"/>
          <w:szCs w:val="18"/>
        </w:rPr>
      </w:pPr>
    </w:p>
    <w:p w:rsidRPr="00134C2F" w:rsidR="00134C2F" w:rsidP="00134C2F" w14:paraId="5671A6D8" w14:textId="77777777">
      <w:pPr>
        <w:pStyle w:val="NoSpacing"/>
        <w:spacing w:line="259" w:lineRule="auto"/>
        <w:jc w:val="both"/>
        <w:rPr>
          <w:rFonts w:ascii="Verdana" w:hAnsi="Verdana" w:eastAsia="Verdana" w:cs="Verdana"/>
          <w:color w:val="000000" w:themeColor="text1"/>
          <w:sz w:val="18"/>
          <w:szCs w:val="18"/>
        </w:rPr>
      </w:pPr>
      <w:r w:rsidRPr="00134C2F">
        <w:rPr>
          <w:rFonts w:ascii="Verdana" w:hAnsi="Verdana" w:eastAsia="Verdana" w:cs="Verdana"/>
          <w:color w:val="000000" w:themeColor="text1"/>
          <w:sz w:val="18"/>
          <w:szCs w:val="18"/>
        </w:rPr>
        <w:t>Het PBL heeft op basis van deze cijfers een kwantitatieve duiding opgesteld. De groei van recreatiewoningen bestaat volgens de analyse deels uit vervangende nieuwbouw en deels uit volledige nieuwbouw. Een deel van de toevoegingen ligt binnen de bebouwde kom, een ander deel daarbuiten. Van de uitbreidingen buiten de bebouwde kom vallen slechts drie ontwikkelingen binnen de restrictieve zoneringen van de provincies: twee in Noord-Holland en één in Zuid-Holland. Deze locaties zijn geverifieerd bij de betreffende provincies</w:t>
      </w:r>
      <w:r w:rsidR="00E93FEA">
        <w:rPr>
          <w:rFonts w:ascii="Verdana" w:hAnsi="Verdana" w:eastAsia="Verdana" w:cs="Verdana"/>
          <w:color w:val="000000" w:themeColor="text1"/>
          <w:sz w:val="18"/>
          <w:szCs w:val="18"/>
        </w:rPr>
        <w:t xml:space="preserve"> en gemeenten: de ontwikkelingen betreffen een verplaatsing en bebouwing op een woonperceel waar een vergunning voor is verleend. De ontwikkelingen zijn dus passend binnen het beleid.</w:t>
      </w:r>
      <w:r w:rsidRPr="00134C2F">
        <w:rPr>
          <w:rFonts w:ascii="Verdana" w:hAnsi="Verdana" w:eastAsia="Verdana" w:cs="Verdana"/>
          <w:color w:val="000000" w:themeColor="text1"/>
          <w:sz w:val="18"/>
          <w:szCs w:val="18"/>
        </w:rPr>
        <w:t xml:space="preserve"> In Zeeland heeft uitbreiding uitsluitend plaatsgevonden binnen de daarvoor toegestane zoneringen. Op basis van deze kwantitatieve analyse kan dus worden gesteld dat er werking uit gaat van het Kustpact.</w:t>
      </w:r>
    </w:p>
    <w:p w:rsidRPr="00850B62" w:rsidR="009F7C77" w:rsidP="398DA837" w14:paraId="611A9B10" w14:textId="77777777">
      <w:pPr>
        <w:pStyle w:val="NoSpacing"/>
        <w:spacing w:line="259" w:lineRule="auto"/>
        <w:jc w:val="both"/>
        <w:rPr>
          <w:rFonts w:ascii="Verdana" w:hAnsi="Verdana"/>
          <w:sz w:val="18"/>
          <w:szCs w:val="18"/>
        </w:rPr>
      </w:pPr>
    </w:p>
    <w:p w:rsidR="00A00226" w:rsidP="00C2610B" w14:paraId="54BB928C" w14:textId="77777777">
      <w:pPr>
        <w:pStyle w:val="NoSpacing"/>
        <w:spacing w:line="259" w:lineRule="auto"/>
        <w:jc w:val="both"/>
        <w:rPr>
          <w:rFonts w:ascii="Verdana" w:hAnsi="Verdana"/>
          <w:sz w:val="18"/>
          <w:szCs w:val="18"/>
        </w:rPr>
      </w:pPr>
      <w:r w:rsidRPr="00850B62">
        <w:rPr>
          <w:rFonts w:ascii="Verdana" w:hAnsi="Verdana"/>
          <w:sz w:val="18"/>
          <w:szCs w:val="18"/>
        </w:rPr>
        <w:t>Echter</w:t>
      </w:r>
      <w:r w:rsidR="00C2610B">
        <w:rPr>
          <w:rFonts w:ascii="Verdana" w:hAnsi="Verdana"/>
          <w:sz w:val="18"/>
          <w:szCs w:val="18"/>
        </w:rPr>
        <w:t>, bovenstaande analyse is</w:t>
      </w:r>
      <w:r w:rsidRPr="00850B62" w:rsidR="00C2610B">
        <w:rPr>
          <w:rFonts w:ascii="Verdana" w:hAnsi="Verdana"/>
          <w:sz w:val="18"/>
          <w:szCs w:val="18"/>
        </w:rPr>
        <w:t xml:space="preserve"> </w:t>
      </w:r>
      <w:r w:rsidR="00C2610B">
        <w:rPr>
          <w:rFonts w:ascii="Verdana" w:hAnsi="Verdana"/>
          <w:sz w:val="18"/>
          <w:szCs w:val="18"/>
        </w:rPr>
        <w:t>kwantitatief van aard en</w:t>
      </w:r>
      <w:r w:rsidRPr="00850B62" w:rsidR="00C2610B">
        <w:rPr>
          <w:rFonts w:ascii="Verdana" w:hAnsi="Verdana"/>
          <w:sz w:val="18"/>
          <w:szCs w:val="18"/>
        </w:rPr>
        <w:t xml:space="preserve"> </w:t>
      </w:r>
      <w:r w:rsidR="00C2610B">
        <w:rPr>
          <w:rFonts w:ascii="Verdana" w:hAnsi="Verdana"/>
          <w:sz w:val="18"/>
          <w:szCs w:val="18"/>
        </w:rPr>
        <w:t>gebaseerd op</w:t>
      </w:r>
      <w:r w:rsidRPr="00850B62" w:rsidR="00C2610B">
        <w:rPr>
          <w:rFonts w:ascii="Verdana" w:hAnsi="Verdana"/>
          <w:sz w:val="18"/>
          <w:szCs w:val="18"/>
        </w:rPr>
        <w:t xml:space="preserve"> cijfers en statistiek</w:t>
      </w:r>
      <w:r w:rsidRPr="00C2610B" w:rsidR="00C2610B">
        <w:rPr>
          <w:rFonts w:ascii="Verdana" w:hAnsi="Verdana"/>
          <w:sz w:val="18"/>
          <w:szCs w:val="18"/>
        </w:rPr>
        <w:t>. D</w:t>
      </w:r>
      <w:r w:rsidRPr="00C2610B">
        <w:rPr>
          <w:rFonts w:ascii="Verdana" w:hAnsi="Verdana"/>
          <w:sz w:val="18"/>
          <w:szCs w:val="18"/>
        </w:rPr>
        <w:t xml:space="preserve">esondanks </w:t>
      </w:r>
      <w:r w:rsidRPr="00C2610B" w:rsidR="00C2610B">
        <w:rPr>
          <w:rFonts w:ascii="Verdana" w:hAnsi="Verdana"/>
          <w:sz w:val="18"/>
          <w:szCs w:val="18"/>
        </w:rPr>
        <w:t xml:space="preserve">zijn er ontwikkelingen rond de bescherming van het kustlandschap waar </w:t>
      </w:r>
      <w:r w:rsidR="00127E18">
        <w:rPr>
          <w:rFonts w:ascii="Verdana" w:hAnsi="Verdana"/>
          <w:sz w:val="18"/>
          <w:szCs w:val="18"/>
        </w:rPr>
        <w:t>verschillende</w:t>
      </w:r>
      <w:r w:rsidRPr="00C2610B" w:rsidR="00C2610B">
        <w:rPr>
          <w:rFonts w:ascii="Verdana" w:hAnsi="Verdana"/>
          <w:sz w:val="18"/>
          <w:szCs w:val="18"/>
        </w:rPr>
        <w:t xml:space="preserve"> Kustpactpartijen zich zorgen over maken.</w:t>
      </w:r>
      <w:r w:rsidR="00127E18">
        <w:rPr>
          <w:rFonts w:ascii="Verdana" w:hAnsi="Verdana"/>
          <w:sz w:val="18"/>
          <w:szCs w:val="18"/>
        </w:rPr>
        <w:t xml:space="preserve"> De gesignaleerde toename van de recreatieve bebouwing in de kustzone als geheel kan op gespannen voet </w:t>
      </w:r>
      <w:r w:rsidRPr="008D7F2D" w:rsidR="00127E18">
        <w:rPr>
          <w:rFonts w:ascii="Verdana" w:hAnsi="Verdana"/>
          <w:sz w:val="18"/>
          <w:szCs w:val="18"/>
        </w:rPr>
        <w:t xml:space="preserve">staan met </w:t>
      </w:r>
      <w:r w:rsidR="00127E18">
        <w:rPr>
          <w:rFonts w:ascii="Verdana" w:hAnsi="Verdana"/>
          <w:sz w:val="18"/>
          <w:szCs w:val="18"/>
        </w:rPr>
        <w:t>behoud van de kwaliteit van het (open) kustlandschap</w:t>
      </w:r>
      <w:r w:rsidR="008D7F2D">
        <w:rPr>
          <w:rFonts w:ascii="Verdana" w:hAnsi="Verdana"/>
          <w:sz w:val="18"/>
          <w:szCs w:val="18"/>
        </w:rPr>
        <w:t>, waar in het Kustpact afspraken over zijn gemaakt</w:t>
      </w:r>
      <w:r w:rsidR="00127E18">
        <w:rPr>
          <w:rFonts w:ascii="Verdana" w:hAnsi="Verdana"/>
          <w:sz w:val="18"/>
          <w:szCs w:val="18"/>
        </w:rPr>
        <w:t xml:space="preserve">. Voor de Kustpact partners is dit reden om door te gaan met </w:t>
      </w:r>
      <w:r w:rsidR="00703A6E">
        <w:rPr>
          <w:rFonts w:ascii="Verdana" w:hAnsi="Verdana"/>
          <w:sz w:val="18"/>
          <w:szCs w:val="18"/>
        </w:rPr>
        <w:t>de monitoring</w:t>
      </w:r>
      <w:r w:rsidR="00127E18">
        <w:rPr>
          <w:rFonts w:ascii="Verdana" w:hAnsi="Verdana"/>
          <w:sz w:val="18"/>
          <w:szCs w:val="18"/>
        </w:rPr>
        <w:t>.</w:t>
      </w:r>
      <w:r w:rsidR="00703A6E">
        <w:rPr>
          <w:rFonts w:ascii="Verdana" w:hAnsi="Verdana"/>
          <w:sz w:val="18"/>
          <w:szCs w:val="18"/>
        </w:rPr>
        <w:t xml:space="preserve"> </w:t>
      </w:r>
      <w:r w:rsidR="00127E18">
        <w:rPr>
          <w:rFonts w:ascii="Verdana" w:hAnsi="Verdana"/>
          <w:sz w:val="18"/>
          <w:szCs w:val="18"/>
        </w:rPr>
        <w:t xml:space="preserve">De kwantitatieve analyse </w:t>
      </w:r>
      <w:r w:rsidR="00127E18">
        <w:rPr>
          <w:rFonts w:ascii="Verdana" w:hAnsi="Verdana"/>
          <w:sz w:val="18"/>
          <w:szCs w:val="18"/>
        </w:rPr>
        <w:t>wordt éénmalig in 2029</w:t>
      </w:r>
      <w:r w:rsidR="0001626D">
        <w:rPr>
          <w:rFonts w:ascii="Verdana" w:hAnsi="Verdana"/>
          <w:sz w:val="18"/>
          <w:szCs w:val="18"/>
        </w:rPr>
        <w:t xml:space="preserve"> herhaald</w:t>
      </w:r>
      <w:r w:rsidR="00127E18">
        <w:rPr>
          <w:rFonts w:ascii="Verdana" w:hAnsi="Verdana"/>
          <w:sz w:val="18"/>
          <w:szCs w:val="18"/>
        </w:rPr>
        <w:t xml:space="preserve">, in aanloop naar het einde van het Kustpact in 2030. Daarnaast wordt </w:t>
      </w:r>
      <w:r w:rsidRPr="00C2610B" w:rsidR="00C2610B">
        <w:rPr>
          <w:rFonts w:ascii="Verdana" w:hAnsi="Verdana"/>
          <w:sz w:val="18"/>
          <w:szCs w:val="18"/>
        </w:rPr>
        <w:t>vanaf 2026 aanvullend ingezet op een kwalitatieve duiding</w:t>
      </w:r>
      <w:r w:rsidR="00C2610B">
        <w:rPr>
          <w:rFonts w:ascii="Verdana" w:hAnsi="Verdana"/>
          <w:sz w:val="18"/>
          <w:szCs w:val="18"/>
        </w:rPr>
        <w:t xml:space="preserve"> op basis van casuïstiek en</w:t>
      </w:r>
      <w:r w:rsidRPr="00C2610B" w:rsidR="00C2610B">
        <w:rPr>
          <w:rFonts w:ascii="Verdana" w:hAnsi="Verdana"/>
          <w:sz w:val="18"/>
          <w:szCs w:val="18"/>
        </w:rPr>
        <w:t xml:space="preserve"> </w:t>
      </w:r>
      <w:r w:rsidR="00C2610B">
        <w:rPr>
          <w:rFonts w:ascii="Verdana" w:hAnsi="Verdana"/>
          <w:sz w:val="18"/>
          <w:szCs w:val="18"/>
        </w:rPr>
        <w:t>een</w:t>
      </w:r>
      <w:r w:rsidRPr="00C2610B" w:rsidR="00C2610B">
        <w:rPr>
          <w:rFonts w:ascii="Verdana" w:hAnsi="Verdana"/>
          <w:sz w:val="18"/>
          <w:szCs w:val="18"/>
        </w:rPr>
        <w:t xml:space="preserve"> aantal voorbeeldlocaties</w:t>
      </w:r>
      <w:r w:rsidR="00751BF8">
        <w:rPr>
          <w:rFonts w:ascii="Verdana" w:hAnsi="Verdana"/>
          <w:sz w:val="18"/>
          <w:szCs w:val="18"/>
        </w:rPr>
        <w:t>. P</w:t>
      </w:r>
      <w:r w:rsidRPr="00C2610B" w:rsidR="00C2610B">
        <w:rPr>
          <w:rFonts w:ascii="Verdana" w:hAnsi="Verdana"/>
          <w:sz w:val="18"/>
          <w:szCs w:val="18"/>
        </w:rPr>
        <w:t xml:space="preserve">artijen </w:t>
      </w:r>
      <w:r w:rsidR="00751BF8">
        <w:rPr>
          <w:rFonts w:ascii="Verdana" w:hAnsi="Verdana"/>
          <w:sz w:val="18"/>
          <w:szCs w:val="18"/>
        </w:rPr>
        <w:t xml:space="preserve">blijven </w:t>
      </w:r>
      <w:r w:rsidRPr="00C2610B" w:rsidR="00C2610B">
        <w:rPr>
          <w:rFonts w:ascii="Verdana" w:hAnsi="Verdana"/>
          <w:sz w:val="18"/>
          <w:szCs w:val="18"/>
        </w:rPr>
        <w:t>met elkaar in gesprek over deze ontwikkelingen</w:t>
      </w:r>
      <w:r w:rsidR="00751BF8">
        <w:rPr>
          <w:rFonts w:ascii="Verdana" w:hAnsi="Verdana"/>
          <w:sz w:val="18"/>
          <w:szCs w:val="18"/>
        </w:rPr>
        <w:t xml:space="preserve"> en</w:t>
      </w:r>
      <w:r w:rsidRPr="00C2610B" w:rsidR="00C2610B">
        <w:rPr>
          <w:rFonts w:ascii="Verdana" w:hAnsi="Verdana"/>
          <w:sz w:val="18"/>
          <w:szCs w:val="18"/>
        </w:rPr>
        <w:t xml:space="preserve"> werken de aanpak hiervoor in 2026 gezamenlijk verder uit.</w:t>
      </w:r>
      <w:bookmarkEnd w:id="6"/>
    </w:p>
    <w:p w:rsidRPr="00C2610B" w:rsidR="00C2610B" w:rsidP="00C2610B" w14:paraId="3AF1E79E" w14:textId="77777777">
      <w:pPr>
        <w:pStyle w:val="NoSpacing"/>
        <w:spacing w:line="259" w:lineRule="auto"/>
        <w:jc w:val="both"/>
        <w:rPr>
          <w:rFonts w:ascii="Verdana" w:hAnsi="Verdana"/>
          <w:sz w:val="18"/>
          <w:szCs w:val="18"/>
        </w:rPr>
      </w:pPr>
    </w:p>
    <w:p w:rsidRPr="00751BF8" w:rsidR="00A34F60" w:rsidP="00A00226" w14:paraId="6D4F5B4F" w14:textId="77777777">
      <w:pPr>
        <w:jc w:val="both"/>
        <w:rPr>
          <w:b/>
          <w:u w:val="single"/>
        </w:rPr>
      </w:pPr>
      <w:r w:rsidRPr="00751BF8">
        <w:rPr>
          <w:b/>
          <w:u w:val="single"/>
        </w:rPr>
        <w:t>Toekomstige samenwerking Kustpac</w:t>
      </w:r>
      <w:r w:rsidRPr="00751BF8">
        <w:rPr>
          <w:b/>
          <w:u w:val="single"/>
        </w:rPr>
        <w:t>tpartners</w:t>
      </w:r>
    </w:p>
    <w:p w:rsidRPr="0006139F" w:rsidR="00A00226" w:rsidP="0006139F" w14:paraId="186EC769" w14:textId="77777777">
      <w:pPr>
        <w:pStyle w:val="NoSpacing"/>
        <w:jc w:val="both"/>
        <w:rPr>
          <w:rFonts w:ascii="Verdana" w:hAnsi="Verdana"/>
          <w:sz w:val="18"/>
          <w:szCs w:val="18"/>
        </w:rPr>
      </w:pPr>
      <w:r>
        <w:rPr>
          <w:rFonts w:ascii="Verdana" w:hAnsi="Verdana"/>
          <w:bCs/>
          <w:sz w:val="18"/>
          <w:szCs w:val="18"/>
        </w:rPr>
        <w:t xml:space="preserve">De Kustpactpartijen mogen trots zijn op de resultaten die de Kustpact samenwerking tussen 2017-2025 </w:t>
      </w:r>
      <w:r w:rsidR="001D1584">
        <w:rPr>
          <w:rFonts w:ascii="Verdana" w:hAnsi="Verdana"/>
          <w:bCs/>
          <w:sz w:val="18"/>
          <w:szCs w:val="18"/>
        </w:rPr>
        <w:t>heeft</w:t>
      </w:r>
      <w:r>
        <w:rPr>
          <w:rFonts w:ascii="Verdana" w:hAnsi="Verdana"/>
          <w:bCs/>
          <w:sz w:val="18"/>
          <w:szCs w:val="18"/>
        </w:rPr>
        <w:t xml:space="preserve"> opgeleverd. </w:t>
      </w:r>
      <w:r>
        <w:rPr>
          <w:rFonts w:ascii="Verdana" w:hAnsi="Verdana"/>
          <w:sz w:val="18"/>
          <w:szCs w:val="18"/>
        </w:rPr>
        <w:t xml:space="preserve">Ontwikkeling en bescherming kunnen samengaan als er vertrouwen, afstemming en gedeeld eigenaarschap is. </w:t>
      </w:r>
      <w:r>
        <w:rPr>
          <w:rFonts w:ascii="Verdana" w:hAnsi="Verdana"/>
          <w:bCs/>
          <w:sz w:val="18"/>
          <w:szCs w:val="18"/>
        </w:rPr>
        <w:t xml:space="preserve">Met het Kustpact 2026-2030 zetten we dit krachtige netwerk voort. </w:t>
      </w:r>
      <w:r>
        <w:rPr>
          <w:rFonts w:ascii="Verdana" w:hAnsi="Verdana"/>
          <w:sz w:val="18"/>
          <w:szCs w:val="18"/>
        </w:rPr>
        <w:t xml:space="preserve">Het pact blijft </w:t>
      </w:r>
      <w:r w:rsidRPr="0006139F">
        <w:rPr>
          <w:rFonts w:ascii="Verdana" w:hAnsi="Verdana"/>
          <w:sz w:val="18"/>
          <w:szCs w:val="18"/>
        </w:rPr>
        <w:t xml:space="preserve">fungeren als platform voor vroegtijdige </w:t>
      </w:r>
      <w:r w:rsidRPr="0006139F" w:rsidR="001D1584">
        <w:rPr>
          <w:rFonts w:ascii="Verdana" w:hAnsi="Verdana"/>
          <w:sz w:val="18"/>
          <w:szCs w:val="18"/>
        </w:rPr>
        <w:t>informatie-uitwisseling</w:t>
      </w:r>
      <w:r w:rsidRPr="0006139F">
        <w:rPr>
          <w:rFonts w:ascii="Verdana" w:hAnsi="Verdana"/>
          <w:sz w:val="18"/>
          <w:szCs w:val="18"/>
        </w:rPr>
        <w:t xml:space="preserve"> en overleg tussen betrokken partijen. Zo blijven overheden, ondernemers en natuurorganisaties gezamenlijk zorgen voor een balans tussen ontwikkelen en beschermen</w:t>
      </w:r>
      <w:r w:rsidRPr="0006139F" w:rsidR="0006139F">
        <w:rPr>
          <w:rFonts w:ascii="Verdana" w:hAnsi="Verdana"/>
          <w:sz w:val="18"/>
          <w:szCs w:val="18"/>
        </w:rPr>
        <w:t xml:space="preserve"> van de Kustzone</w:t>
      </w:r>
      <w:r w:rsidRPr="0006139F">
        <w:rPr>
          <w:rFonts w:ascii="Verdana" w:hAnsi="Verdana"/>
          <w:sz w:val="18"/>
          <w:szCs w:val="18"/>
        </w:rPr>
        <w:t>.</w:t>
      </w:r>
      <w:r w:rsidRPr="0006139F" w:rsidR="0006139F">
        <w:rPr>
          <w:rFonts w:ascii="Verdana" w:hAnsi="Verdana"/>
          <w:sz w:val="18"/>
          <w:szCs w:val="18"/>
        </w:rPr>
        <w:t xml:space="preserve"> </w:t>
      </w:r>
      <w:r w:rsidR="0006139F">
        <w:rPr>
          <w:rFonts w:ascii="Verdana" w:hAnsi="Verdana"/>
          <w:sz w:val="18"/>
          <w:szCs w:val="18"/>
        </w:rPr>
        <w:t>Indien nodig</w:t>
      </w:r>
      <w:r w:rsidRPr="0006139F">
        <w:rPr>
          <w:rFonts w:ascii="Verdana" w:hAnsi="Verdana"/>
          <w:sz w:val="18"/>
          <w:szCs w:val="18"/>
        </w:rPr>
        <w:t xml:space="preserve"> zal uw Kamer </w:t>
      </w:r>
      <w:r w:rsidR="0006139F">
        <w:rPr>
          <w:rFonts w:ascii="Verdana" w:hAnsi="Verdana"/>
          <w:sz w:val="18"/>
          <w:szCs w:val="18"/>
        </w:rPr>
        <w:t xml:space="preserve">over de voortgang </w:t>
      </w:r>
      <w:r w:rsidRPr="0006139F">
        <w:rPr>
          <w:rFonts w:ascii="Verdana" w:hAnsi="Verdana"/>
          <w:sz w:val="18"/>
          <w:szCs w:val="18"/>
        </w:rPr>
        <w:t>worden geïnformeerd.</w:t>
      </w:r>
      <w:bookmarkEnd w:id="5"/>
    </w:p>
    <w:p w:rsidRPr="0006139F" w:rsidR="00A00226" w:rsidP="00A00226" w14:paraId="6CE4B539" w14:textId="77777777">
      <w:pPr>
        <w:pStyle w:val="p1"/>
        <w:jc w:val="both"/>
        <w:rPr>
          <w:sz w:val="18"/>
          <w:szCs w:val="18"/>
        </w:rPr>
      </w:pPr>
    </w:p>
    <w:p w:rsidRPr="0006139F" w:rsidR="00A00226" w:rsidP="00A00226" w14:paraId="1D0940BF" w14:textId="77777777">
      <w:pPr>
        <w:pStyle w:val="p1"/>
        <w:jc w:val="both"/>
        <w:rPr>
          <w:sz w:val="18"/>
          <w:szCs w:val="18"/>
        </w:rPr>
      </w:pPr>
    </w:p>
    <w:p w:rsidR="009F62E6" w14:paraId="0705AEBD" w14:textId="77777777">
      <w:r>
        <w:t>Hoogachtend,</w:t>
      </w:r>
    </w:p>
    <w:p w:rsidR="009F62E6" w14:paraId="000D49DA" w14:textId="77777777">
      <w:pPr>
        <w:pStyle w:val="WitregelW1bodytekst"/>
      </w:pPr>
    </w:p>
    <w:p w:rsidR="009F62E6" w14:paraId="18D6E4B9" w14:textId="77777777"/>
    <w:p w:rsidR="009F62E6" w14:paraId="07114D5A" w14:textId="77777777">
      <w:r>
        <w:t xml:space="preserve">De </w:t>
      </w:r>
      <w:r w:rsidR="00FA7098">
        <w:t>m</w:t>
      </w:r>
      <w:r>
        <w:t>inister van Volkshuisvesting en Ruimtelijke Ordening</w:t>
      </w:r>
      <w:r>
        <w:rPr>
          <w:i/>
        </w:rPr>
        <w:t>,</w:t>
      </w:r>
    </w:p>
    <w:p w:rsidR="009F62E6" w14:paraId="3DD1230C" w14:textId="77777777"/>
    <w:p w:rsidR="009F62E6" w14:paraId="1B3A513B" w14:textId="77777777"/>
    <w:p w:rsidR="009F62E6" w14:paraId="274B0BD8" w14:textId="77777777"/>
    <w:p w:rsidR="009F62E6" w14:paraId="051214EB" w14:textId="77777777"/>
    <w:p w:rsidR="001D1584" w:rsidP="001D1584" w14:paraId="21B93EBC" w14:textId="77777777">
      <w:r>
        <w:t>M.C.G. Keijzer</w:t>
      </w:r>
      <w:r>
        <w:t xml:space="preserve"> </w:t>
      </w:r>
    </w:p>
    <w:p w:rsidR="001D1584" w:rsidP="001D1584" w14:paraId="5AA87116" w14:textId="77777777"/>
    <w:p w:rsidR="001D1584" w:rsidP="001D1584" w14:paraId="0B073B14" w14:textId="77777777"/>
    <w:p w:rsidR="001D1584" w:rsidP="001D1584" w14:paraId="2F7218D4" w14:textId="77777777"/>
    <w:p w:rsidR="001D1584" w:rsidP="001D1584" w14:paraId="472F3716" w14:textId="77777777"/>
    <w:p w:rsidR="001D1584" w:rsidP="001D1584" w14:paraId="79611810" w14:textId="77777777"/>
    <w:p w:rsidR="001D1584" w:rsidP="001D1584" w14:paraId="1CE50C2F" w14:textId="77777777"/>
    <w:p w:rsidR="00FA7098" w:rsidP="001D1584" w14:paraId="1A112FFB" w14:textId="77777777"/>
    <w:p w:rsidR="00FA7098" w:rsidP="001D1584" w14:paraId="206A7FE9" w14:textId="77777777"/>
    <w:p w:rsidR="00FA7098" w:rsidP="001D1584" w14:paraId="30B9CB50" w14:textId="77777777"/>
    <w:p w:rsidR="00FA7098" w:rsidP="001D1584" w14:paraId="62B98258" w14:textId="77777777"/>
    <w:p w:rsidR="00FA7098" w:rsidP="001D1584" w14:paraId="01CA5259" w14:textId="77777777"/>
    <w:p w:rsidR="00FA7098" w:rsidP="001D1584" w14:paraId="49C5D4C8" w14:textId="77777777"/>
    <w:p w:rsidR="00FA7098" w:rsidP="001D1584" w14:paraId="4580DC31" w14:textId="77777777"/>
    <w:p w:rsidR="001D1584" w:rsidP="001D1584" w14:paraId="7B8C24FB" w14:textId="77777777"/>
    <w:p w:rsidR="001D1584" w:rsidP="001D1584" w14:paraId="4A73A193" w14:textId="77777777"/>
    <w:p w:rsidR="001D1584" w:rsidP="001D1584" w14:paraId="510A6FEC" w14:textId="77777777"/>
    <w:p w:rsidR="009F62E6" w:rsidP="001D1584" w14:paraId="1874A3AD" w14:textId="77777777">
      <w:r>
        <w:t>Bijlagen</w:t>
      </w:r>
    </w:p>
    <w:tbl>
      <w:tblPr>
        <w:tblStyle w:val="TabelRijkshuisstijl"/>
        <w:tblW w:w="7541" w:type="dxa"/>
        <w:tblInd w:w="0" w:type="dxa"/>
        <w:tblLayout w:type="fixed"/>
        <w:tblLook w:val="07E0"/>
      </w:tblPr>
      <w:tblGrid>
        <w:gridCol w:w="1509"/>
        <w:gridCol w:w="3016"/>
        <w:gridCol w:w="3016"/>
      </w:tblGrid>
      <w:tr w:rsidTr="7A1C427C" w14:paraId="0B946A54" w14:textId="77777777">
        <w:tblPrEx>
          <w:tblW w:w="7541" w:type="dxa"/>
          <w:tblInd w:w="0" w:type="dxa"/>
          <w:tblLayout w:type="fixed"/>
          <w:tblLook w:val="07E0"/>
        </w:tblPrEx>
        <w:tc>
          <w:tcPr>
            <w:tcW w:w="1509" w:type="dxa"/>
          </w:tcPr>
          <w:p w:rsidR="009F62E6" w14:paraId="4DB7EFC0" w14:textId="77777777">
            <w:r>
              <w:t>Volgnummer</w:t>
            </w:r>
          </w:p>
        </w:tc>
        <w:tc>
          <w:tcPr>
            <w:tcW w:w="3016" w:type="dxa"/>
          </w:tcPr>
          <w:p w:rsidR="009F62E6" w14:paraId="247572AA" w14:textId="77777777">
            <w:r>
              <w:t>Naam</w:t>
            </w:r>
          </w:p>
        </w:tc>
        <w:tc>
          <w:tcPr>
            <w:tcW w:w="3016" w:type="dxa"/>
          </w:tcPr>
          <w:p w:rsidR="009F62E6" w14:paraId="48BCBC66" w14:textId="77777777">
            <w:r>
              <w:t>Classificatie</w:t>
            </w:r>
          </w:p>
        </w:tc>
      </w:tr>
      <w:tr w:rsidTr="7A1C427C" w14:paraId="7FEDA938" w14:textId="77777777">
        <w:tblPrEx>
          <w:tblW w:w="7541" w:type="dxa"/>
          <w:tblInd w:w="0" w:type="dxa"/>
          <w:tblLayout w:type="fixed"/>
          <w:tblLook w:val="07E0"/>
        </w:tblPrEx>
        <w:tc>
          <w:tcPr>
            <w:tcW w:w="1509" w:type="dxa"/>
          </w:tcPr>
          <w:p w:rsidR="009F62E6" w14:paraId="57BFC0C0" w14:textId="77777777">
            <w:r>
              <w:t>1</w:t>
            </w:r>
          </w:p>
        </w:tc>
        <w:tc>
          <w:tcPr>
            <w:tcW w:w="3016" w:type="dxa"/>
          </w:tcPr>
          <w:p w:rsidR="009F62E6" w14:paraId="72527457" w14:textId="77777777">
            <w:r>
              <w:t>Kustpact 2026-</w:t>
            </w:r>
            <w:r w:rsidR="00A00226">
              <w:t>2030</w:t>
            </w:r>
          </w:p>
        </w:tc>
        <w:tc>
          <w:tcPr>
            <w:tcW w:w="3016" w:type="dxa"/>
          </w:tcPr>
          <w:p w:rsidR="009F62E6" w14:paraId="604631B4" w14:textId="77777777">
            <w:r>
              <w:t>Openbaar</w:t>
            </w:r>
          </w:p>
        </w:tc>
      </w:tr>
      <w:tr w:rsidTr="7A1C427C" w14:paraId="519DA3ED" w14:textId="77777777">
        <w:tblPrEx>
          <w:tblW w:w="7541" w:type="dxa"/>
          <w:tblInd w:w="0" w:type="dxa"/>
          <w:tblLayout w:type="fixed"/>
          <w:tblLook w:val="07E0"/>
        </w:tblPrEx>
        <w:tc>
          <w:tcPr>
            <w:tcW w:w="1509" w:type="dxa"/>
          </w:tcPr>
          <w:p w:rsidR="00A00226" w14:paraId="5B81B996" w14:textId="77777777">
            <w:r>
              <w:t>2</w:t>
            </w:r>
          </w:p>
        </w:tc>
        <w:tc>
          <w:tcPr>
            <w:tcW w:w="3016" w:type="dxa"/>
          </w:tcPr>
          <w:p w:rsidR="00A00226" w14:paraId="1AB98D3B" w14:textId="77777777">
            <w:r>
              <w:t>Onderzoek Kadaster recreatieve bebouwing kustzone</w:t>
            </w:r>
          </w:p>
        </w:tc>
        <w:tc>
          <w:tcPr>
            <w:tcW w:w="3016" w:type="dxa"/>
          </w:tcPr>
          <w:p w:rsidR="00A00226" w14:paraId="5B6BCCD3" w14:textId="77777777">
            <w:r>
              <w:t>Openbaar</w:t>
            </w:r>
          </w:p>
        </w:tc>
      </w:tr>
      <w:tr w:rsidTr="7A1C427C" w14:paraId="1CE68995" w14:textId="77777777">
        <w:tblPrEx>
          <w:tblW w:w="7541" w:type="dxa"/>
          <w:tblInd w:w="0" w:type="dxa"/>
          <w:tblLayout w:type="fixed"/>
          <w:tblLook w:val="07E0"/>
        </w:tblPrEx>
        <w:tc>
          <w:tcPr>
            <w:tcW w:w="1509" w:type="dxa"/>
          </w:tcPr>
          <w:p w:rsidR="00A00226" w14:paraId="27A69CCE" w14:textId="77777777">
            <w:r>
              <w:t>3</w:t>
            </w:r>
          </w:p>
        </w:tc>
        <w:tc>
          <w:tcPr>
            <w:tcW w:w="3016" w:type="dxa"/>
          </w:tcPr>
          <w:p w:rsidR="00A00226" w:rsidP="7A1C427C" w14:paraId="3DDA5F48" w14:textId="77777777">
            <w:r>
              <w:t>ANWB belevingswaarde onderzoek kust</w:t>
            </w:r>
          </w:p>
        </w:tc>
        <w:tc>
          <w:tcPr>
            <w:tcW w:w="3016" w:type="dxa"/>
          </w:tcPr>
          <w:p w:rsidR="00A00226" w14:paraId="7D861BD4" w14:textId="77777777">
            <w:r>
              <w:t>Openbaar</w:t>
            </w:r>
          </w:p>
        </w:tc>
      </w:tr>
    </w:tbl>
    <w:p w:rsidR="009F62E6" w14:paraId="5338CC74"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4C2F" w14:paraId="2CD7811A" w14:textId="77777777">
    <w:pPr>
      <w:pStyle w:val="Footer"/>
    </w:pPr>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986155" cy="345440"/>
              <wp:effectExtent l="0" t="0" r="4445" b="0"/>
              <wp:wrapNone/>
              <wp:docPr id="1627964464" name="Tekstvak 2"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86155" cy="345440"/>
                      </a:xfrm>
                      <a:prstGeom prst="rect">
                        <a:avLst/>
                      </a:prstGeom>
                      <a:noFill/>
                      <a:ln>
                        <a:noFill/>
                      </a:ln>
                    </wps:spPr>
                    <wps:txbx>
                      <w:txbxContent>
                        <w:p w:rsidR="00134C2F" w:rsidRPr="00134C2F" w:rsidP="00134C2F" w14:textId="77777777">
                          <w:pPr>
                            <w:rPr>
                              <w:rFonts w:ascii="Calibri" w:eastAsia="Calibri" w:hAnsi="Calibri" w:cs="Calibri"/>
                              <w:noProof/>
                              <w:sz w:val="20"/>
                              <w:szCs w:val="20"/>
                            </w:rPr>
                          </w:pPr>
                          <w:r w:rsidRPr="00134C2F">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2" o:spid="_x0000_s2052" type="#_x0000_t202" alt="Intern gebruik" style="width:77.65pt;height:27.2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59264" filled="f" stroked="f">
              <v:textbox style="mso-fit-shape-to-text:t" inset="20pt,0,0,15pt">
                <w:txbxContent>
                  <w:p w:rsidR="00134C2F" w:rsidRPr="00134C2F" w:rsidP="00134C2F" w14:paraId="567D7596" w14:textId="77777777">
                    <w:pPr>
                      <w:rPr>
                        <w:rFonts w:ascii="Calibri" w:eastAsia="Calibri" w:hAnsi="Calibri" w:cs="Calibri"/>
                        <w:noProof/>
                        <w:sz w:val="20"/>
                        <w:szCs w:val="20"/>
                      </w:rPr>
                    </w:pPr>
                    <w:r w:rsidRPr="00134C2F">
                      <w:rPr>
                        <w:rFonts w:ascii="Calibri" w:eastAsia="Calibri" w:hAnsi="Calibri" w:cs="Calibri"/>
                        <w:noProof/>
                        <w:sz w:val="20"/>
                        <w:szCs w:val="20"/>
                      </w:rPr>
                      <w:t>Intern gebruik</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2E6" w14:paraId="799F7DB5"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7098" w14:paraId="422A2DA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C4E63" w14:paraId="62F93AAB" w14:textId="77777777">
      <w:pPr>
        <w:spacing w:line="240" w:lineRule="auto"/>
      </w:pPr>
      <w:r>
        <w:separator/>
      </w:r>
    </w:p>
  </w:footnote>
  <w:footnote w:type="continuationSeparator" w:id="1">
    <w:p w:rsidR="008C4E63" w14:paraId="2D5C831B" w14:textId="77777777">
      <w:pPr>
        <w:spacing w:line="240" w:lineRule="auto"/>
      </w:pPr>
      <w:r>
        <w:continuationSeparator/>
      </w:r>
    </w:p>
  </w:footnote>
  <w:footnote w:id="2">
    <w:p w:rsidR="00A00226" w:rsidP="00A00226" w14:paraId="00F4711E" w14:textId="77777777">
      <w:pPr>
        <w:pStyle w:val="FootnoteText"/>
      </w:pPr>
      <w:r>
        <w:rPr>
          <w:rStyle w:val="FootnoteReference"/>
        </w:rPr>
        <w:footnoteRef/>
      </w:r>
      <w:r>
        <w:t xml:space="preserve"> Verblijfsbezoek betekent minimaal 1 overnachting, door nationale en internationale bezoekers. </w:t>
      </w:r>
    </w:p>
  </w:footnote>
  <w:footnote w:id="3">
    <w:p w:rsidR="00A00226" w:rsidP="00A00226" w14:paraId="3CA44CC9" w14:textId="77777777">
      <w:pPr>
        <w:pStyle w:val="FootnoteText"/>
        <w:rPr>
          <w:lang w:val="en-US"/>
        </w:rPr>
      </w:pPr>
      <w:r>
        <w:rPr>
          <w:rStyle w:val="FootnoteReference"/>
        </w:rPr>
        <w:footnoteRef/>
      </w:r>
      <w:r>
        <w:rPr>
          <w:lang w:val="en-US"/>
        </w:rPr>
        <w:t xml:space="preserve"> NBTC Forecast 2035, </w:t>
      </w:r>
      <w:hyperlink r:id="rId1" w:history="1">
        <w:r>
          <w:rPr>
            <w:rStyle w:val="Hyperlink"/>
            <w:lang w:val="en-US"/>
          </w:rPr>
          <w:t>https://www.nbtc.nl/nl/site/download/download-nbtc-celth-forecast-2035-landelijke-prognose-nl?disposition=inline</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7098" w14:paraId="19E4253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2E6" w14:paraId="624423A7"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F62E6" w14:textId="77777777">
                          <w:pPr>
                            <w:pStyle w:val="Referentiegegevensbold"/>
                          </w:pPr>
                          <w:r>
                            <w:t>Directie Ruimtelijke Ontwikkeling</w:t>
                          </w:r>
                        </w:p>
                        <w:p w:rsidR="009F62E6" w14:textId="77777777">
                          <w:pPr>
                            <w:pStyle w:val="Referentiegegevens"/>
                          </w:pPr>
                          <w:r>
                            <w:t>Afdeling Ruimtelijke Kwaliteit en Advies</w:t>
                          </w:r>
                        </w:p>
                        <w:p w:rsidR="009F62E6" w14:textId="77777777">
                          <w:pPr>
                            <w:pStyle w:val="WitregelW2"/>
                          </w:pPr>
                        </w:p>
                        <w:p w:rsidR="009F62E6" w14:textId="77777777">
                          <w:pPr>
                            <w:pStyle w:val="WitregelW1"/>
                          </w:pPr>
                        </w:p>
                        <w:p w:rsidR="009F62E6" w14:textId="77777777">
                          <w:pPr>
                            <w:pStyle w:val="Referentiegegevensbold"/>
                          </w:pPr>
                          <w:r>
                            <w:t>Onze referentie</w:t>
                          </w:r>
                        </w:p>
                        <w:p w:rsidR="00230CD3" w14:textId="77777777">
                          <w:pPr>
                            <w:pStyle w:val="Referentiegegevens"/>
                          </w:pPr>
                          <w:r>
                            <w:fldChar w:fldCharType="begin"/>
                          </w:r>
                          <w:r>
                            <w:instrText xml:space="preserve"> DOCPROPERTY  "Kenmerk"  \* MERGEFORMAT </w:instrText>
                          </w:r>
                          <w:r>
                            <w:fldChar w:fldCharType="separate"/>
                          </w:r>
                          <w:r w:rsidR="003F298A">
                            <w:t>2025-0000697753</w:t>
                          </w:r>
                          <w:r w:rsidR="003F298A">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9F62E6" w14:paraId="79704523" w14:textId="77777777">
                    <w:pPr>
                      <w:pStyle w:val="Referentiegegevensbold"/>
                    </w:pPr>
                    <w:r>
                      <w:t>Directie Ruimtelijke Ontwikkeling</w:t>
                    </w:r>
                  </w:p>
                  <w:p w:rsidR="009F62E6" w14:paraId="631958FB" w14:textId="77777777">
                    <w:pPr>
                      <w:pStyle w:val="Referentiegegevens"/>
                    </w:pPr>
                    <w:r>
                      <w:t>Afdeling Ruimtelijke Kwaliteit en Advies</w:t>
                    </w:r>
                  </w:p>
                  <w:p w:rsidR="009F62E6" w14:paraId="5E778C65" w14:textId="77777777">
                    <w:pPr>
                      <w:pStyle w:val="WitregelW2"/>
                    </w:pPr>
                  </w:p>
                  <w:p w:rsidR="009F62E6" w14:paraId="540BE633" w14:textId="77777777">
                    <w:pPr>
                      <w:pStyle w:val="WitregelW1"/>
                    </w:pPr>
                  </w:p>
                  <w:p w:rsidR="009F62E6" w14:paraId="678B253E" w14:textId="77777777">
                    <w:pPr>
                      <w:pStyle w:val="Referentiegegevensbold"/>
                    </w:pPr>
                    <w:r>
                      <w:t>Onze referentie</w:t>
                    </w:r>
                  </w:p>
                  <w:p w:rsidR="00230CD3" w14:paraId="602098E2" w14:textId="77777777">
                    <w:pPr>
                      <w:pStyle w:val="Referentiegegevens"/>
                    </w:pPr>
                    <w:r>
                      <w:fldChar w:fldCharType="begin"/>
                    </w:r>
                    <w:r>
                      <w:instrText xml:space="preserve"> DOCPROPERTY  "Kenmerk"  \* MERGEFORMAT </w:instrText>
                    </w:r>
                    <w:r>
                      <w:fldChar w:fldCharType="separate"/>
                    </w:r>
                    <w:r w:rsidR="003F298A">
                      <w:t>2025-0000697753</w:t>
                    </w:r>
                    <w:r w:rsidR="003F298A">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57559D"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57559D" w14:paraId="5DFFECC1"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30CD3"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230CD3" w14:paraId="00AE34F8"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2E6" w14:paraId="6D2EB8C4"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9F62E6" w14:textId="77777777">
                          <w:r>
                            <w:t>Tweede Kamer</w:t>
                          </w:r>
                        </w:p>
                        <w:p w:rsidR="009F62E6" w14:textId="19C31DF8">
                          <w:r>
                            <w:t xml:space="preserve">Postbus </w:t>
                          </w:r>
                          <w:r w:rsidR="003F298A">
                            <w:t>20018</w:t>
                          </w:r>
                        </w:p>
                        <w:p w:rsidR="009F62E6" w14:textId="77777777">
                          <w:r>
                            <w:t>2594 AC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3"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9F62E6" w14:paraId="0BAA28A1" w14:textId="77777777">
                    <w:r>
                      <w:t>Tweede Kamer</w:t>
                    </w:r>
                  </w:p>
                  <w:p w:rsidR="009F62E6" w14:paraId="19E54EB4" w14:textId="19C31DF8">
                    <w:r>
                      <w:t xml:space="preserve">Postbus </w:t>
                    </w:r>
                    <w:r w:rsidR="003F298A">
                      <w:t>20018</w:t>
                    </w:r>
                  </w:p>
                  <w:p w:rsidR="009F62E6" w14:paraId="0D091B4C" w14:textId="77777777">
                    <w:r>
                      <w:t>2594 AC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70693A3C" w14:textId="77777777">
                            <w:tblPrEx>
                              <w:tblW w:w="0" w:type="auto"/>
                              <w:tblInd w:w="-120" w:type="dxa"/>
                              <w:tblLayout w:type="fixed"/>
                              <w:tblLook w:val="07E0"/>
                            </w:tblPrEx>
                            <w:trPr>
                              <w:trHeight w:val="240"/>
                            </w:trPr>
                            <w:tc>
                              <w:tcPr>
                                <w:tcW w:w="1140" w:type="dxa"/>
                              </w:tcPr>
                              <w:p w:rsidR="009F62E6" w14:textId="77777777">
                                <w:r>
                                  <w:t>Datum</w:t>
                                </w:r>
                              </w:p>
                            </w:tc>
                            <w:tc>
                              <w:tcPr>
                                <w:tcW w:w="5918" w:type="dxa"/>
                              </w:tcPr>
                              <w:p w:rsidR="009F62E6" w:rsidRPr="00CA265D" w14:textId="4C020836">
                                <w:sdt>
                                  <w:sdtPr>
                                    <w:id w:val="804511440"/>
                                    <w:date w:fullDate="2025-12-15T00:00:00Z">
                                      <w:dateFormat w:val="d MMMM yyyy"/>
                                      <w:lid w:val="nl"/>
                                      <w:storeMappedDataAs w:val="dateTime"/>
                                      <w:calendar w:val="gregorian"/>
                                    </w:date>
                                  </w:sdtPr>
                                  <w:sdtContent>
                                    <w:r w:rsidR="003F298A">
                                      <w:rPr>
                                        <w:lang w:val="nl"/>
                                      </w:rPr>
                                      <w:t>15 december 2025</w:t>
                                    </w:r>
                                  </w:sdtContent>
                                </w:sdt>
                              </w:p>
                            </w:tc>
                          </w:tr>
                          <w:tr w14:paraId="4686208D" w14:textId="77777777">
                            <w:tblPrEx>
                              <w:tblW w:w="0" w:type="auto"/>
                              <w:tblInd w:w="-120" w:type="dxa"/>
                              <w:tblLayout w:type="fixed"/>
                              <w:tblLook w:val="07E0"/>
                            </w:tblPrEx>
                            <w:trPr>
                              <w:trHeight w:val="240"/>
                            </w:trPr>
                            <w:tc>
                              <w:tcPr>
                                <w:tcW w:w="1140" w:type="dxa"/>
                              </w:tcPr>
                              <w:p w:rsidR="009F62E6" w14:textId="77777777">
                                <w:r>
                                  <w:t>Betreft</w:t>
                                </w:r>
                              </w:p>
                            </w:tc>
                            <w:tc>
                              <w:tcPr>
                                <w:tcW w:w="5918" w:type="dxa"/>
                              </w:tcPr>
                              <w:p w:rsidR="009F62E6" w14:textId="77777777">
                                <w:r>
                                  <w:t xml:space="preserve">Voortgang Kustpact </w:t>
                                </w:r>
                              </w:p>
                            </w:tc>
                          </w:tr>
                        </w:tbl>
                        <w:p w:rsidR="0057559D" w14:textId="77777777"/>
                      </w:txbxContent>
                    </wps:txbx>
                    <wps:bodyPr vert="horz" wrap="square" lIns="0" tIns="0" rIns="0" bIns="0" anchor="t" anchorCtr="0"/>
                  </wps:wsp>
                </a:graphicData>
              </a:graphic>
            </wp:anchor>
          </w:drawing>
        </mc:Choice>
        <mc:Fallback>
          <w:pict>
            <v:shape id="46feebd0-aa3c-11ea-a756-beb5f67e67be" o:spid="_x0000_s2054" type="#_x0000_t202" style="width:377pt;height:25.5pt;margin-top:264.15pt;margin-left:79.45pt;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70693A3B" w14:textId="77777777">
                      <w:tblPrEx>
                        <w:tblW w:w="0" w:type="auto"/>
                        <w:tblInd w:w="-120" w:type="dxa"/>
                        <w:tblLayout w:type="fixed"/>
                        <w:tblLook w:val="07E0"/>
                      </w:tblPrEx>
                      <w:trPr>
                        <w:trHeight w:val="240"/>
                      </w:trPr>
                      <w:tc>
                        <w:tcPr>
                          <w:tcW w:w="1140" w:type="dxa"/>
                        </w:tcPr>
                        <w:p w:rsidR="009F62E6" w14:paraId="20528B89" w14:textId="77777777">
                          <w:r>
                            <w:t>Datum</w:t>
                          </w:r>
                        </w:p>
                      </w:tc>
                      <w:tc>
                        <w:tcPr>
                          <w:tcW w:w="5918" w:type="dxa"/>
                        </w:tcPr>
                        <w:p w:rsidR="009F62E6" w:rsidRPr="00CA265D" w14:paraId="19BFDC0A" w14:textId="4C020836">
                          <w:sdt>
                            <w:sdtPr>
                              <w:id w:val="1811368933"/>
                              <w:date w:fullDate="2025-12-15T00:00:00Z">
                                <w:dateFormat w:val="d MMMM yyyy"/>
                                <w:lid w:val="nl"/>
                                <w:storeMappedDataAs w:val="dateTime"/>
                                <w:calendar w:val="gregorian"/>
                              </w:date>
                            </w:sdtPr>
                            <w:sdtContent>
                              <w:r w:rsidR="003F298A">
                                <w:rPr>
                                  <w:lang w:val="nl"/>
                                </w:rPr>
                                <w:t>15 december 2025</w:t>
                              </w:r>
                            </w:sdtContent>
                          </w:sdt>
                        </w:p>
                      </w:tc>
                    </w:tr>
                    <w:tr w14:paraId="4686208C" w14:textId="77777777">
                      <w:tblPrEx>
                        <w:tblW w:w="0" w:type="auto"/>
                        <w:tblInd w:w="-120" w:type="dxa"/>
                        <w:tblLayout w:type="fixed"/>
                        <w:tblLook w:val="07E0"/>
                      </w:tblPrEx>
                      <w:trPr>
                        <w:trHeight w:val="240"/>
                      </w:trPr>
                      <w:tc>
                        <w:tcPr>
                          <w:tcW w:w="1140" w:type="dxa"/>
                        </w:tcPr>
                        <w:p w:rsidR="009F62E6" w14:paraId="0FEBD808" w14:textId="77777777">
                          <w:r>
                            <w:t>Betreft</w:t>
                          </w:r>
                        </w:p>
                      </w:tc>
                      <w:tc>
                        <w:tcPr>
                          <w:tcW w:w="5918" w:type="dxa"/>
                        </w:tcPr>
                        <w:p w:rsidR="009F62E6" w14:paraId="65CB6247" w14:textId="77777777">
                          <w:r>
                            <w:t xml:space="preserve">Voortgang Kustpact </w:t>
                          </w:r>
                        </w:p>
                      </w:tc>
                    </w:tr>
                  </w:tbl>
                  <w:p w:rsidR="0057559D" w14:paraId="229B8423"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F62E6" w14:textId="77777777">
                          <w:pPr>
                            <w:pStyle w:val="Referentiegegevensbold"/>
                          </w:pPr>
                          <w:r>
                            <w:t>Directie Ruimtelijke Ontwikkeling</w:t>
                          </w:r>
                        </w:p>
                        <w:p w:rsidR="009F62E6" w14:textId="77777777">
                          <w:pPr>
                            <w:pStyle w:val="Referentiegegevens"/>
                          </w:pPr>
                          <w:r>
                            <w:t>Afdeling Ruimtelijke Kwaliteit en Advies</w:t>
                          </w:r>
                        </w:p>
                        <w:p w:rsidR="009F62E6" w14:textId="77777777">
                          <w:pPr>
                            <w:pStyle w:val="WitregelW1"/>
                          </w:pPr>
                        </w:p>
                        <w:p w:rsidR="009F62E6" w:rsidRPr="00900903" w14:textId="77777777">
                          <w:pPr>
                            <w:pStyle w:val="Referentiegegevens"/>
                            <w:rPr>
                              <w:lang w:val="de-DE"/>
                            </w:rPr>
                          </w:pPr>
                          <w:r w:rsidRPr="00900903">
                            <w:rPr>
                              <w:lang w:val="de-DE"/>
                            </w:rPr>
                            <w:t>Turfmarkt</w:t>
                          </w:r>
                          <w:r w:rsidRPr="00900903">
                            <w:rPr>
                              <w:lang w:val="de-DE"/>
                            </w:rPr>
                            <w:t xml:space="preserve"> 147</w:t>
                          </w:r>
                        </w:p>
                        <w:p w:rsidR="009F62E6" w:rsidRPr="00900903" w14:textId="77777777">
                          <w:pPr>
                            <w:pStyle w:val="Referentiegegevens"/>
                            <w:rPr>
                              <w:lang w:val="de-DE"/>
                            </w:rPr>
                          </w:pPr>
                          <w:r w:rsidRPr="00900903">
                            <w:rPr>
                              <w:lang w:val="de-DE"/>
                            </w:rPr>
                            <w:t>2511 DP Den Haag</w:t>
                          </w:r>
                        </w:p>
                        <w:p w:rsidR="009F62E6" w:rsidRPr="00900903" w14:textId="77777777">
                          <w:pPr>
                            <w:pStyle w:val="Referentiegegevens"/>
                            <w:rPr>
                              <w:lang w:val="de-DE"/>
                            </w:rPr>
                          </w:pPr>
                          <w:r w:rsidRPr="00900903">
                            <w:rPr>
                              <w:lang w:val="de-DE"/>
                            </w:rPr>
                            <w:t>Postbus 20011</w:t>
                          </w:r>
                        </w:p>
                        <w:p w:rsidR="009F62E6" w14:textId="77777777">
                          <w:pPr>
                            <w:pStyle w:val="Referentiegegevens"/>
                          </w:pPr>
                          <w:r>
                            <w:t>2500 EA  Den Haag</w:t>
                          </w:r>
                        </w:p>
                        <w:p w:rsidR="009F62E6" w14:textId="77777777">
                          <w:pPr>
                            <w:pStyle w:val="WitregelW2"/>
                          </w:pPr>
                        </w:p>
                        <w:p w:rsidR="009F62E6" w14:textId="77777777">
                          <w:pPr>
                            <w:pStyle w:val="Referentiegegevensbold"/>
                          </w:pPr>
                          <w:r>
                            <w:t>Onze referentie</w:t>
                          </w:r>
                        </w:p>
                        <w:p w:rsidR="00230CD3" w14:textId="77777777">
                          <w:pPr>
                            <w:pStyle w:val="Referentiegegevens"/>
                          </w:pPr>
                          <w:r>
                            <w:fldChar w:fldCharType="begin"/>
                          </w:r>
                          <w:r>
                            <w:instrText xml:space="preserve"> DOCPROPERTY  "Kenmerk"  \* MERGEFORMAT </w:instrText>
                          </w:r>
                          <w:r>
                            <w:fldChar w:fldCharType="separate"/>
                          </w:r>
                          <w:r w:rsidR="003F298A">
                            <w:t>2025-0000697753</w:t>
                          </w:r>
                          <w:r w:rsidR="003F298A">
                            <w:fldChar w:fldCharType="end"/>
                          </w:r>
                        </w:p>
                        <w:p w:rsidR="009F62E6" w14:textId="77777777">
                          <w:pPr>
                            <w:pStyle w:val="WitregelW1"/>
                          </w:pPr>
                        </w:p>
                        <w:p w:rsidR="009F62E6" w14:textId="77777777">
                          <w:pPr>
                            <w:pStyle w:val="Referentiegegevensbold"/>
                          </w:pPr>
                          <w:r>
                            <w:t>Bijlage(n)</w:t>
                          </w:r>
                        </w:p>
                        <w:p w:rsidR="009F62E6" w14:textId="77777777">
                          <w:pPr>
                            <w:pStyle w:val="Referentiegegevens"/>
                          </w:pPr>
                          <w:r w:rsidRPr="00CA265D">
                            <w:t>3</w:t>
                          </w:r>
                        </w:p>
                        <w:p w:rsidR="009F62E6" w14:textId="77777777">
                          <w:pPr>
                            <w:pStyle w:val="WitregelW2"/>
                          </w:pPr>
                        </w:p>
                        <w:p w:rsidR="009F62E6" w14:textId="77777777"/>
                      </w:txbxContent>
                    </wps:txbx>
                    <wps:bodyPr vert="horz" wrap="square" lIns="0" tIns="0" rIns="0" bIns="0" anchor="t" anchorCtr="0"/>
                  </wps:wsp>
                </a:graphicData>
              </a:graphic>
            </wp:anchor>
          </w:drawing>
        </mc:Choice>
        <mc:Fallback>
          <w:pict>
            <v:shape id="46feec20-aa3c-11ea-a756-beb5f67e67be" o:spid="_x0000_s2055"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9F62E6" w14:paraId="144189E5" w14:textId="77777777">
                    <w:pPr>
                      <w:pStyle w:val="Referentiegegevensbold"/>
                    </w:pPr>
                    <w:r>
                      <w:t>Directie Ruimtelijke Ontwikkeling</w:t>
                    </w:r>
                  </w:p>
                  <w:p w:rsidR="009F62E6" w14:paraId="3153E4DE" w14:textId="77777777">
                    <w:pPr>
                      <w:pStyle w:val="Referentiegegevens"/>
                    </w:pPr>
                    <w:r>
                      <w:t>Afdeling Ruimtelijke Kwaliteit en Advies</w:t>
                    </w:r>
                  </w:p>
                  <w:p w:rsidR="009F62E6" w14:paraId="7A7FE7D8" w14:textId="77777777">
                    <w:pPr>
                      <w:pStyle w:val="WitregelW1"/>
                    </w:pPr>
                  </w:p>
                  <w:p w:rsidR="009F62E6" w:rsidRPr="00900903" w14:paraId="17EE4973" w14:textId="77777777">
                    <w:pPr>
                      <w:pStyle w:val="Referentiegegevens"/>
                      <w:rPr>
                        <w:lang w:val="de-DE"/>
                      </w:rPr>
                    </w:pPr>
                    <w:r w:rsidRPr="00900903">
                      <w:rPr>
                        <w:lang w:val="de-DE"/>
                      </w:rPr>
                      <w:t>Turfmarkt</w:t>
                    </w:r>
                    <w:r w:rsidRPr="00900903">
                      <w:rPr>
                        <w:lang w:val="de-DE"/>
                      </w:rPr>
                      <w:t xml:space="preserve"> 147</w:t>
                    </w:r>
                  </w:p>
                  <w:p w:rsidR="009F62E6" w:rsidRPr="00900903" w14:paraId="2B847D8C" w14:textId="77777777">
                    <w:pPr>
                      <w:pStyle w:val="Referentiegegevens"/>
                      <w:rPr>
                        <w:lang w:val="de-DE"/>
                      </w:rPr>
                    </w:pPr>
                    <w:r w:rsidRPr="00900903">
                      <w:rPr>
                        <w:lang w:val="de-DE"/>
                      </w:rPr>
                      <w:t>2511 DP Den Haag</w:t>
                    </w:r>
                  </w:p>
                  <w:p w:rsidR="009F62E6" w:rsidRPr="00900903" w14:paraId="14D12340" w14:textId="77777777">
                    <w:pPr>
                      <w:pStyle w:val="Referentiegegevens"/>
                      <w:rPr>
                        <w:lang w:val="de-DE"/>
                      </w:rPr>
                    </w:pPr>
                    <w:r w:rsidRPr="00900903">
                      <w:rPr>
                        <w:lang w:val="de-DE"/>
                      </w:rPr>
                      <w:t>Postbus 20011</w:t>
                    </w:r>
                  </w:p>
                  <w:p w:rsidR="009F62E6" w14:paraId="36421B5A" w14:textId="77777777">
                    <w:pPr>
                      <w:pStyle w:val="Referentiegegevens"/>
                    </w:pPr>
                    <w:r>
                      <w:t>2500 EA  Den Haag</w:t>
                    </w:r>
                  </w:p>
                  <w:p w:rsidR="009F62E6" w14:paraId="21202204" w14:textId="77777777">
                    <w:pPr>
                      <w:pStyle w:val="WitregelW2"/>
                    </w:pPr>
                  </w:p>
                  <w:p w:rsidR="009F62E6" w14:paraId="68C5B084" w14:textId="77777777">
                    <w:pPr>
                      <w:pStyle w:val="Referentiegegevensbold"/>
                    </w:pPr>
                    <w:r>
                      <w:t>Onze referentie</w:t>
                    </w:r>
                  </w:p>
                  <w:p w:rsidR="00230CD3" w14:paraId="0311B995" w14:textId="77777777">
                    <w:pPr>
                      <w:pStyle w:val="Referentiegegevens"/>
                    </w:pPr>
                    <w:r>
                      <w:fldChar w:fldCharType="begin"/>
                    </w:r>
                    <w:r>
                      <w:instrText xml:space="preserve"> DOCPROPERTY  "Kenmerk"  \* MERGEFORMAT </w:instrText>
                    </w:r>
                    <w:r>
                      <w:fldChar w:fldCharType="separate"/>
                    </w:r>
                    <w:r w:rsidR="003F298A">
                      <w:t>2025-0000697753</w:t>
                    </w:r>
                    <w:r w:rsidR="003F298A">
                      <w:fldChar w:fldCharType="end"/>
                    </w:r>
                  </w:p>
                  <w:p w:rsidR="009F62E6" w14:paraId="5A0945BF" w14:textId="77777777">
                    <w:pPr>
                      <w:pStyle w:val="WitregelW1"/>
                    </w:pPr>
                  </w:p>
                  <w:p w:rsidR="009F62E6" w14:paraId="30C58835" w14:textId="77777777">
                    <w:pPr>
                      <w:pStyle w:val="Referentiegegevensbold"/>
                    </w:pPr>
                    <w:r>
                      <w:t>Bijlage(n)</w:t>
                    </w:r>
                  </w:p>
                  <w:p w:rsidR="009F62E6" w14:paraId="25071F3D" w14:textId="77777777">
                    <w:pPr>
                      <w:pStyle w:val="Referentiegegevens"/>
                    </w:pPr>
                    <w:r w:rsidRPr="00CA265D">
                      <w:t>3</w:t>
                    </w:r>
                  </w:p>
                  <w:p w:rsidR="009F62E6" w14:paraId="1D4633AA" w14:textId="77777777">
                    <w:pPr>
                      <w:pStyle w:val="WitregelW2"/>
                    </w:pPr>
                  </w:p>
                  <w:p w:rsidR="009F62E6" w14:paraId="2938C5B2"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7559D" w14:textId="77777777"/>
                      </w:txbxContent>
                    </wps:txbx>
                    <wps:bodyPr vert="horz" wrap="square" lIns="0" tIns="0" rIns="0" bIns="0" anchor="t" anchorCtr="0"/>
                  </wps:wsp>
                </a:graphicData>
              </a:graphic>
            </wp:anchor>
          </w:drawing>
        </mc:Choice>
        <mc:Fallback>
          <w:pict>
            <v:shape id="46feec6f-aa3c-11ea-a756-beb5f67e67be" o:spid="_x0000_s2056"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57559D" w14:paraId="1344BC83"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30CD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7"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230CD3" w14:paraId="6607B3A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9F62E6" w14:textId="77777777">
                          <w:pPr>
                            <w:spacing w:line="240" w:lineRule="auto"/>
                          </w:pPr>
                          <w:r>
                            <w:rPr>
                              <w:noProof/>
                            </w:rPr>
                            <w:drawing>
                              <wp:inline distT="0" distB="0" distL="0" distR="0">
                                <wp:extent cx="467995" cy="1583865"/>
                                <wp:effectExtent l="0" t="0" r="0" b="0"/>
                                <wp:docPr id="177370990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77370990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8"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9F62E6" w14:paraId="7C4D4286" w14:textId="77777777">
                    <w:pPr>
                      <w:spacing w:line="240" w:lineRule="auto"/>
                    </w:pPr>
                    <w:drawing>
                      <wp:inline distT="0" distB="0" distL="0" distR="0">
                        <wp:extent cx="467995" cy="1583865"/>
                        <wp:effectExtent l="0" t="0" r="0" b="0"/>
                        <wp:docPr id="72387324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2387324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9F62E6" w14:textId="77777777">
                          <w:pPr>
                            <w:spacing w:line="240" w:lineRule="auto"/>
                          </w:pPr>
                          <w:r>
                            <w:rPr>
                              <w:noProof/>
                            </w:rPr>
                            <w:drawing>
                              <wp:inline distT="0" distB="0" distL="0" distR="0">
                                <wp:extent cx="2339975" cy="1582834"/>
                                <wp:effectExtent l="0" t="0" r="0" b="0"/>
                                <wp:docPr id="175771560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75771560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9"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9F62E6" w14:paraId="3F122B56" w14:textId="77777777">
                    <w:pPr>
                      <w:spacing w:line="240" w:lineRule="auto"/>
                    </w:pPr>
                    <w:drawing>
                      <wp:inline distT="0" distB="0" distL="0" distR="0">
                        <wp:extent cx="2339975" cy="1582834"/>
                        <wp:effectExtent l="0" t="0" r="0" b="0"/>
                        <wp:docPr id="753889840"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753889840"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F62E6"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60"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9F62E6" w14:paraId="47389D4C"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EC100D8"/>
    <w:multiLevelType w:val="multilevel"/>
    <w:tmpl w:val="AB5A5765"/>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EA3CAD6D"/>
    <w:multiLevelType w:val="multilevel"/>
    <w:tmpl w:val="2E3A328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0758D2BD"/>
    <w:multiLevelType w:val="multilevel"/>
    <w:tmpl w:val="92DFF3A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083638CF"/>
    <w:multiLevelType w:val="hybridMultilevel"/>
    <w:tmpl w:val="44223F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74E43B1"/>
    <w:multiLevelType w:val="hybridMultilevel"/>
    <w:tmpl w:val="2DFA57D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2C4D4BD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464C14B2"/>
    <w:multiLevelType w:val="hybridMultilevel"/>
    <w:tmpl w:val="0B702238"/>
    <w:lvl w:ilvl="0">
      <w:start w:val="1"/>
      <w:numFmt w:val="decimal"/>
      <w:lvlText w:val="%1."/>
      <w:lvlJc w:val="left"/>
      <w:pPr>
        <w:ind w:left="720" w:hanging="360"/>
      </w:pPr>
      <w:rPr>
        <w:rFonts w:ascii="Verdana" w:hAnsi="Verdana" w:eastAsia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EDDE070"/>
    <w:multiLevelType w:val="hybridMultilevel"/>
    <w:tmpl w:val="94E4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667C61B7"/>
    <w:multiLevelType w:val="hybridMultilevel"/>
    <w:tmpl w:val="FA9CD6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28DA34C"/>
    <w:multiLevelType w:val="multilevel"/>
    <w:tmpl w:val="29328843"/>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nsid w:val="781753AC"/>
    <w:multiLevelType w:val="hybridMultilevel"/>
    <w:tmpl w:val="80745E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14072538">
    <w:abstractNumId w:val="1"/>
  </w:num>
  <w:num w:numId="2" w16cid:durableId="1664508367">
    <w:abstractNumId w:val="2"/>
  </w:num>
  <w:num w:numId="3" w16cid:durableId="427312987">
    <w:abstractNumId w:val="0"/>
  </w:num>
  <w:num w:numId="4" w16cid:durableId="343703408">
    <w:abstractNumId w:val="9"/>
  </w:num>
  <w:num w:numId="5" w16cid:durableId="466048127">
    <w:abstractNumId w:val="4"/>
  </w:num>
  <w:num w:numId="6" w16cid:durableId="11191090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007231">
    <w:abstractNumId w:val="3"/>
  </w:num>
  <w:num w:numId="8" w16cid:durableId="916981402">
    <w:abstractNumId w:val="10"/>
  </w:num>
  <w:num w:numId="9" w16cid:durableId="2113356442">
    <w:abstractNumId w:val="7"/>
  </w:num>
  <w:num w:numId="10" w16cid:durableId="1127548698">
    <w:abstractNumId w:val="5"/>
  </w:num>
  <w:num w:numId="11" w16cid:durableId="1800798709">
    <w:abstractNumId w:val="6"/>
  </w:num>
  <w:num w:numId="12" w16cid:durableId="12530107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903"/>
    <w:rsid w:val="0001626D"/>
    <w:rsid w:val="000432EB"/>
    <w:rsid w:val="0006139F"/>
    <w:rsid w:val="00065A52"/>
    <w:rsid w:val="00087725"/>
    <w:rsid w:val="000F6319"/>
    <w:rsid w:val="00112BF6"/>
    <w:rsid w:val="00127E18"/>
    <w:rsid w:val="00134C2F"/>
    <w:rsid w:val="001543D0"/>
    <w:rsid w:val="001D1584"/>
    <w:rsid w:val="001F79FD"/>
    <w:rsid w:val="0022026B"/>
    <w:rsid w:val="00230CD3"/>
    <w:rsid w:val="002D48E3"/>
    <w:rsid w:val="00313C70"/>
    <w:rsid w:val="0032474E"/>
    <w:rsid w:val="003C02B9"/>
    <w:rsid w:val="003F298A"/>
    <w:rsid w:val="00474E4E"/>
    <w:rsid w:val="00546BC9"/>
    <w:rsid w:val="0057559D"/>
    <w:rsid w:val="00576859"/>
    <w:rsid w:val="005A1681"/>
    <w:rsid w:val="005F09FC"/>
    <w:rsid w:val="0068091B"/>
    <w:rsid w:val="006863EA"/>
    <w:rsid w:val="006C04C0"/>
    <w:rsid w:val="006E0D32"/>
    <w:rsid w:val="0070111D"/>
    <w:rsid w:val="00703A6E"/>
    <w:rsid w:val="00722955"/>
    <w:rsid w:val="00751BF8"/>
    <w:rsid w:val="00795028"/>
    <w:rsid w:val="00827250"/>
    <w:rsid w:val="00850B62"/>
    <w:rsid w:val="008C4E63"/>
    <w:rsid w:val="008D7F2D"/>
    <w:rsid w:val="00900903"/>
    <w:rsid w:val="00934DA5"/>
    <w:rsid w:val="00985100"/>
    <w:rsid w:val="009869FF"/>
    <w:rsid w:val="009F62E6"/>
    <w:rsid w:val="009F7C77"/>
    <w:rsid w:val="00A00226"/>
    <w:rsid w:val="00A34F60"/>
    <w:rsid w:val="00AC5AEE"/>
    <w:rsid w:val="00AE6A44"/>
    <w:rsid w:val="00AE7CFF"/>
    <w:rsid w:val="00B10258"/>
    <w:rsid w:val="00BA36CB"/>
    <w:rsid w:val="00C2610B"/>
    <w:rsid w:val="00CA265D"/>
    <w:rsid w:val="00CA5F11"/>
    <w:rsid w:val="00CB1A2D"/>
    <w:rsid w:val="00E46D27"/>
    <w:rsid w:val="00E93FEA"/>
    <w:rsid w:val="00ED16BA"/>
    <w:rsid w:val="00F36B79"/>
    <w:rsid w:val="00F720C9"/>
    <w:rsid w:val="00F83A63"/>
    <w:rsid w:val="00FA7098"/>
    <w:rsid w:val="0B619FEF"/>
    <w:rsid w:val="24EB0FFD"/>
    <w:rsid w:val="26D2FFC3"/>
    <w:rsid w:val="280999EE"/>
    <w:rsid w:val="28C0E957"/>
    <w:rsid w:val="28CD6317"/>
    <w:rsid w:val="2BBAAF46"/>
    <w:rsid w:val="30F8DC7E"/>
    <w:rsid w:val="3109DD7A"/>
    <w:rsid w:val="398DA837"/>
    <w:rsid w:val="3B924F43"/>
    <w:rsid w:val="3C514E33"/>
    <w:rsid w:val="3E0743F5"/>
    <w:rsid w:val="48BDED04"/>
    <w:rsid w:val="5101100A"/>
    <w:rsid w:val="524EFD60"/>
    <w:rsid w:val="5EDBACCE"/>
    <w:rsid w:val="69D33CA7"/>
    <w:rsid w:val="7A1C427C"/>
    <w:rsid w:val="7A512932"/>
    <w:rsid w:val="7F081932"/>
    <w:rsid w:val="7F3E2BB5"/>
    <w:rsid w:val="7FDB68D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4602808"/>
  <w15:docId w15:val="{E1C8A188-B9BB-4468-8AD3-C1BE79182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900903"/>
    <w:pPr>
      <w:tabs>
        <w:tab w:val="center" w:pos="4536"/>
        <w:tab w:val="right" w:pos="9072"/>
      </w:tabs>
      <w:spacing w:line="240" w:lineRule="auto"/>
    </w:pPr>
  </w:style>
  <w:style w:type="character" w:customStyle="1" w:styleId="KoptekstChar">
    <w:name w:val="Koptekst Char"/>
    <w:basedOn w:val="DefaultParagraphFont"/>
    <w:link w:val="Header"/>
    <w:uiPriority w:val="99"/>
    <w:rsid w:val="00900903"/>
    <w:rPr>
      <w:rFonts w:ascii="Verdana" w:hAnsi="Verdana"/>
      <w:color w:val="000000"/>
      <w:sz w:val="18"/>
      <w:szCs w:val="18"/>
    </w:rPr>
  </w:style>
  <w:style w:type="paragraph" w:styleId="Footer">
    <w:name w:val="footer"/>
    <w:basedOn w:val="Normal"/>
    <w:link w:val="VoettekstChar"/>
    <w:uiPriority w:val="99"/>
    <w:unhideWhenUsed/>
    <w:rsid w:val="00900903"/>
    <w:pPr>
      <w:tabs>
        <w:tab w:val="center" w:pos="4536"/>
        <w:tab w:val="right" w:pos="9072"/>
      </w:tabs>
      <w:spacing w:line="240" w:lineRule="auto"/>
    </w:pPr>
  </w:style>
  <w:style w:type="character" w:customStyle="1" w:styleId="VoettekstChar">
    <w:name w:val="Voettekst Char"/>
    <w:basedOn w:val="DefaultParagraphFont"/>
    <w:link w:val="Footer"/>
    <w:uiPriority w:val="99"/>
    <w:rsid w:val="00900903"/>
    <w:rPr>
      <w:rFonts w:ascii="Verdana" w:hAnsi="Verdana"/>
      <w:color w:val="000000"/>
      <w:sz w:val="18"/>
      <w:szCs w:val="18"/>
    </w:rPr>
  </w:style>
  <w:style w:type="paragraph" w:styleId="NoSpacing">
    <w:name w:val="No Spacing"/>
    <w:uiPriority w:val="1"/>
    <w:qFormat/>
    <w:rsid w:val="00A00226"/>
    <w:pPr>
      <w:autoSpaceDN/>
      <w:textAlignment w:val="auto"/>
    </w:pPr>
    <w:rPr>
      <w:rFonts w:asciiTheme="minorHAnsi" w:eastAsiaTheme="minorHAnsi" w:hAnsiTheme="minorHAnsi" w:cstheme="minorBidi"/>
      <w:kern w:val="2"/>
      <w:sz w:val="24"/>
      <w:szCs w:val="24"/>
      <w:lang w:eastAsia="en-US"/>
      <w14:ligatures w14:val="standardContextual"/>
    </w:rPr>
  </w:style>
  <w:style w:type="paragraph" w:customStyle="1" w:styleId="p1">
    <w:name w:val="p1"/>
    <w:basedOn w:val="Normal"/>
    <w:rsid w:val="00A00226"/>
    <w:pPr>
      <w:autoSpaceDN/>
      <w:spacing w:line="240" w:lineRule="auto"/>
      <w:textAlignment w:val="auto"/>
    </w:pPr>
    <w:rPr>
      <w:rFonts w:eastAsia="Times New Roman" w:cs="Times New Roman"/>
      <w:sz w:val="14"/>
      <w:szCs w:val="14"/>
    </w:rPr>
  </w:style>
  <w:style w:type="character" w:styleId="Emphasis">
    <w:name w:val="Emphasis"/>
    <w:basedOn w:val="DefaultParagraphFont"/>
    <w:uiPriority w:val="20"/>
    <w:qFormat/>
    <w:rsid w:val="00A00226"/>
    <w:rPr>
      <w:i/>
      <w:iCs/>
    </w:rPr>
  </w:style>
  <w:style w:type="paragraph" w:styleId="FootnoteText">
    <w:name w:val="footnote text"/>
    <w:basedOn w:val="Normal"/>
    <w:link w:val="VoetnoottekstChar"/>
    <w:uiPriority w:val="99"/>
    <w:semiHidden/>
    <w:unhideWhenUsed/>
    <w:rsid w:val="00A00226"/>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A00226"/>
    <w:rPr>
      <w:rFonts w:asciiTheme="minorHAnsi" w:eastAsiaTheme="minorHAnsi" w:hAnsiTheme="minorHAnsi" w:cstheme="minorBidi"/>
      <w:kern w:val="2"/>
      <w:lang w:eastAsia="en-US"/>
      <w14:ligatures w14:val="standardContextual"/>
    </w:rPr>
  </w:style>
  <w:style w:type="paragraph" w:styleId="ListParagraph">
    <w:name w:val="List Paragraph"/>
    <w:basedOn w:val="Normal"/>
    <w:uiPriority w:val="34"/>
    <w:qFormat/>
    <w:rsid w:val="00A00226"/>
    <w:pPr>
      <w:autoSpaceDN/>
      <w:spacing w:after="160" w:line="276"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character" w:styleId="FootnoteReference">
    <w:name w:val="footnote reference"/>
    <w:basedOn w:val="DefaultParagraphFont"/>
    <w:uiPriority w:val="99"/>
    <w:semiHidden/>
    <w:unhideWhenUsed/>
    <w:rsid w:val="00A00226"/>
    <w:rPr>
      <w:vertAlign w:val="superscript"/>
    </w:rPr>
  </w:style>
  <w:style w:type="character" w:styleId="Strong">
    <w:name w:val="Strong"/>
    <w:basedOn w:val="DefaultParagraphFont"/>
    <w:uiPriority w:val="22"/>
    <w:qFormat/>
    <w:rsid w:val="00A00226"/>
    <w:rPr>
      <w:b/>
      <w:bCs/>
    </w:rPr>
  </w:style>
  <w:style w:type="character" w:styleId="CommentReference">
    <w:name w:val="annotation reference"/>
    <w:basedOn w:val="DefaultParagraphFont"/>
    <w:uiPriority w:val="99"/>
    <w:semiHidden/>
    <w:unhideWhenUsed/>
    <w:rsid w:val="00A00226"/>
    <w:rPr>
      <w:sz w:val="16"/>
      <w:szCs w:val="16"/>
    </w:rPr>
  </w:style>
  <w:style w:type="paragraph" w:styleId="CommentText">
    <w:name w:val="annotation text"/>
    <w:basedOn w:val="Normal"/>
    <w:link w:val="TekstopmerkingChar"/>
    <w:uiPriority w:val="99"/>
    <w:unhideWhenUsed/>
    <w:rsid w:val="00A00226"/>
    <w:pPr>
      <w:spacing w:line="240" w:lineRule="auto"/>
    </w:pPr>
    <w:rPr>
      <w:sz w:val="20"/>
      <w:szCs w:val="20"/>
    </w:rPr>
  </w:style>
  <w:style w:type="character" w:customStyle="1" w:styleId="TekstopmerkingChar">
    <w:name w:val="Tekst opmerking Char"/>
    <w:basedOn w:val="DefaultParagraphFont"/>
    <w:link w:val="CommentText"/>
    <w:uiPriority w:val="99"/>
    <w:rsid w:val="00A00226"/>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A00226"/>
    <w:rPr>
      <w:b/>
      <w:bCs/>
    </w:rPr>
  </w:style>
  <w:style w:type="character" w:customStyle="1" w:styleId="OnderwerpvanopmerkingChar">
    <w:name w:val="Onderwerp van opmerking Char"/>
    <w:basedOn w:val="TekstopmerkingChar"/>
    <w:link w:val="CommentSubject"/>
    <w:uiPriority w:val="99"/>
    <w:semiHidden/>
    <w:rsid w:val="00A00226"/>
    <w:rPr>
      <w:rFonts w:ascii="Verdana" w:hAnsi="Verdana"/>
      <w:b/>
      <w:bCs/>
      <w:color w:val="000000"/>
    </w:rPr>
  </w:style>
  <w:style w:type="paragraph" w:customStyle="1" w:styleId="FmhProcesVerbaalProjectgegevens">
    <w:name w:val="Fmh_Proces_Verbaal_Projectgegevens"/>
    <w:next w:val="Normal"/>
    <w:rsid w:val="00AE7CFF"/>
    <w:pPr>
      <w:tabs>
        <w:tab w:val="left" w:pos="2965"/>
      </w:tabs>
      <w:spacing w:line="240" w:lineRule="exact"/>
    </w:pPr>
    <w:rPr>
      <w:rFonts w:ascii="Verdana" w:hAnsi="Verdana"/>
      <w:color w:val="000000"/>
      <w:sz w:val="18"/>
      <w:szCs w:val="18"/>
    </w:rPr>
  </w:style>
  <w:style w:type="paragraph" w:styleId="NormalWeb">
    <w:name w:val="Normal (Web)"/>
    <w:basedOn w:val="Normal"/>
    <w:uiPriority w:val="99"/>
    <w:semiHidden/>
    <w:unhideWhenUsed/>
    <w:rsid w:val="00134C2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nbtc.nl/nl/site/download/download-nbtc-celth-forecast-2035-landelijke-prognose-nl?disposition=inline"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4</ap:Pages>
  <ap:Words>1622</ap:Words>
  <ap:Characters>8922</ap:Characters>
  <ap:DocSecurity>0</ap:DocSecurity>
  <ap:Lines>74</ap:Lines>
  <ap:Paragraphs>21</ap:Paragraphs>
  <ap:ScaleCrop>false</ap:ScaleCrop>
  <ap:HeadingPairs>
    <vt:vector baseType="variant" size="2">
      <vt:variant>
        <vt:lpstr>Titel</vt:lpstr>
      </vt:variant>
      <vt:variant>
        <vt:i4>1</vt:i4>
      </vt:variant>
    </vt:vector>
  </ap:HeadingPairs>
  <ap:TitlesOfParts>
    <vt:vector baseType="lpstr" size="1">
      <vt:lpstr>Brief aan Parlement - Voortgang Kustpact 2026-2030</vt:lpstr>
    </vt:vector>
  </ap:TitlesOfParts>
  <ap:LinksUpToDate>false</ap:LinksUpToDate>
  <ap:CharactersWithSpaces>10523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2025-12-15T11:05:00.0000000Z</dcterms:created>
  <dcterms:modified xsi:type="dcterms:W3CDTF">2025-12-15T11:13:00.0000000Z</dcterms:modified>
  <dc:creator/>
  <lastModifiedBy/>
  <dc:description>------------------------</dc:description>
  <dc:subject/>
  <keywords/>
  <version/>
  <category/>
</coreProperties>
</file>