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F09" w:rsidRDefault="002D320F" w14:paraId="7C95BC1A" w14:textId="77777777">
      <w:pPr>
        <w:pStyle w:val="StandaardAanhef"/>
      </w:pPr>
      <w:r>
        <w:t>Geachte voorzitter,</w:t>
      </w:r>
    </w:p>
    <w:p w:rsidR="000771DD" w:rsidP="000771DD" w:rsidRDefault="000771DD" w14:paraId="35D81E89" w14:textId="77777777">
      <w:r w:rsidRPr="00E16217">
        <w:t>Sinds de opkomst van onlineplatformen is het aantal e-commercezendingen naar de Europese Unie</w:t>
      </w:r>
      <w:r>
        <w:t xml:space="preserve"> </w:t>
      </w:r>
      <w:r w:rsidRPr="00E16217">
        <w:t>(EU) sterk toegenomen. Het gaat hierbij om zendingen met een lage waarde (</w:t>
      </w:r>
      <w:r>
        <w:t>tot en met</w:t>
      </w:r>
      <w:r w:rsidRPr="00E16217">
        <w:t xml:space="preserve"> €</w:t>
      </w:r>
      <w:r>
        <w:t xml:space="preserve"> </w:t>
      </w:r>
      <w:r w:rsidRPr="00E16217">
        <w:t>150) die</w:t>
      </w:r>
      <w:r>
        <w:t xml:space="preserve"> </w:t>
      </w:r>
      <w:r w:rsidRPr="00E16217">
        <w:t>via vereenvoudigde douaneaangifte rechtstreeks aan consumenten worden geleverd. Nederland is</w:t>
      </w:r>
      <w:r>
        <w:t xml:space="preserve"> </w:t>
      </w:r>
      <w:r w:rsidRPr="00E16217">
        <w:t xml:space="preserve">een van de belangrijkste toegangspoorten voor deze zendingen; </w:t>
      </w:r>
      <w:r>
        <w:t>een kwart van deze zendingen komt de EU binnen via de luchthaven Schiphol en de Rotterdamse haven</w:t>
      </w:r>
      <w:r w:rsidRPr="00E16217">
        <w:t>. De massale instroom van deze zendingen brengt</w:t>
      </w:r>
      <w:r>
        <w:t xml:space="preserve"> grote </w:t>
      </w:r>
      <w:r w:rsidRPr="00E16217">
        <w:t>uitdagingen met zich mee op het gebied van douaneafhandeling, naleving van</w:t>
      </w:r>
      <w:r>
        <w:t xml:space="preserve"> </w:t>
      </w:r>
      <w:r w:rsidRPr="00E16217">
        <w:t>productveiligheidseisen en fiscale handhaving. Bovendien leidt dit tot oneerlijke concurrentie voor</w:t>
      </w:r>
      <w:r>
        <w:t xml:space="preserve"> </w:t>
      </w:r>
      <w:r w:rsidRPr="00E16217">
        <w:t>(Europese) bedrijven die wel aan de wet- en regelgeving voldoen.</w:t>
      </w:r>
      <w:r>
        <w:t xml:space="preserve"> </w:t>
      </w:r>
    </w:p>
    <w:p w:rsidR="000771DD" w:rsidP="000771DD" w:rsidRDefault="000771DD" w14:paraId="3F18462F" w14:textId="77777777"/>
    <w:p w:rsidRPr="00B53193" w:rsidR="000771DD" w:rsidP="000771DD" w:rsidRDefault="000771DD" w14:paraId="21495FCE" w14:textId="77777777">
      <w:pPr>
        <w:rPr>
          <w:i/>
          <w:iCs/>
        </w:rPr>
      </w:pPr>
      <w:r>
        <w:rPr>
          <w:i/>
          <w:iCs/>
        </w:rPr>
        <w:t>Europese handling fee</w:t>
      </w:r>
    </w:p>
    <w:p w:rsidR="000771DD" w:rsidP="000771DD" w:rsidRDefault="000771DD" w14:paraId="16ED1670" w14:textId="3B09D00D">
      <w:r w:rsidRPr="00E16217">
        <w:t>Om de kosten van het toezicht op deze e-commercestroom te financieren, introduceert het nieuwe Douanewetboek van de Unie een EU-brede handelingskostenvergoeding</w:t>
      </w:r>
      <w:r>
        <w:t xml:space="preserve"> (</w:t>
      </w:r>
      <w:r>
        <w:rPr>
          <w:i/>
          <w:iCs/>
        </w:rPr>
        <w:t>EU-handling fee)</w:t>
      </w:r>
      <w:r w:rsidRPr="00E16217">
        <w:t>.</w:t>
      </w:r>
      <w:r>
        <w:t xml:space="preserve"> Deze vergoeding wordt naar verwachting per 1 november 2026 in rekening gebracht. Nederland is voorstander van de invoering van handelingskostenvergoeding ter dekking van de additionele kosten voor toezicht op de stroom e-commerce goederen door de invoering van een EU-handling fee zoals opgenomen in het voorstel voor het nieuwe Douanewetboek van de Unie.</w:t>
      </w:r>
    </w:p>
    <w:p w:rsidR="000771DD" w:rsidP="000771DD" w:rsidRDefault="000771DD" w14:paraId="20828DCC" w14:textId="77777777"/>
    <w:p w:rsidRPr="00B53193" w:rsidR="000771DD" w:rsidP="000771DD" w:rsidRDefault="000771DD" w14:paraId="4B868D0C" w14:textId="77777777">
      <w:pPr>
        <w:rPr>
          <w:i/>
          <w:iCs/>
        </w:rPr>
      </w:pPr>
      <w:r>
        <w:rPr>
          <w:i/>
          <w:iCs/>
        </w:rPr>
        <w:t>Nationale handling fee</w:t>
      </w:r>
    </w:p>
    <w:p w:rsidR="00EF47DA" w:rsidP="00EF47DA" w:rsidRDefault="000771DD" w14:paraId="74FA4BCE" w14:textId="77777777">
      <w:r>
        <w:t xml:space="preserve">Vooruitlopend op de Europese handling fee hebben Frankrijk, België en Luxemburg aangegeven een </w:t>
      </w:r>
      <w:r w:rsidRPr="00E16217">
        <w:t xml:space="preserve">nationale </w:t>
      </w:r>
      <w:r w:rsidRPr="00B53193">
        <w:t>handelingskostenvergoeding</w:t>
      </w:r>
      <w:r>
        <w:rPr>
          <w:i/>
          <w:iCs/>
        </w:rPr>
        <w:t xml:space="preserve"> </w:t>
      </w:r>
      <w:r>
        <w:t>(</w:t>
      </w:r>
      <w:r w:rsidRPr="00B53193">
        <w:rPr>
          <w:i/>
          <w:iCs/>
        </w:rPr>
        <w:t>nationale handling fee</w:t>
      </w:r>
      <w:r>
        <w:t xml:space="preserve">) te willen invoeren. </w:t>
      </w:r>
      <w:r w:rsidR="00EF47DA">
        <w:t>Ik volg de ontwikkelingen in deze landen op de voet. Deze hebben aangegeven hun nationale handling fee niet voor 1 februari in te voeren.</w:t>
      </w:r>
    </w:p>
    <w:p w:rsidR="00EF47DA" w:rsidP="000771DD" w:rsidRDefault="00EF47DA" w14:paraId="7E184E0F" w14:textId="77777777"/>
    <w:p w:rsidR="000771DD" w:rsidP="000771DD" w:rsidRDefault="000771DD" w14:paraId="03DDD935" w14:textId="496C4D84">
      <w:r>
        <w:t>Zoals toegelicht in het Commissiedebat Eurogroep/</w:t>
      </w:r>
      <w:proofErr w:type="spellStart"/>
      <w:r>
        <w:t>Ecofinraad</w:t>
      </w:r>
      <w:proofErr w:type="spellEnd"/>
      <w:r>
        <w:t xml:space="preserve"> op 3 december jongstleden (jl.) en in het schriftelijk overleg over de algemene Raadsinzet van het nieuwe Douanewetboek van de Unie van 9 oktober jl.</w:t>
      </w:r>
      <w:r>
        <w:rPr>
          <w:rStyle w:val="Voetnootmarkering"/>
        </w:rPr>
        <w:footnoteReference w:id="1"/>
      </w:r>
      <w:r>
        <w:t xml:space="preserve">, tref ik op dit moment </w:t>
      </w:r>
      <w:r>
        <w:lastRenderedPageBreak/>
        <w:t xml:space="preserve">de voorbereidingen voor de invoering van een nationale handling fee, zodat het kabinet kan </w:t>
      </w:r>
      <w:r w:rsidR="00EF47DA">
        <w:t xml:space="preserve">overwegen </w:t>
      </w:r>
      <w:r>
        <w:t xml:space="preserve">om deze landen te volgen </w:t>
      </w:r>
      <w:proofErr w:type="gramStart"/>
      <w:r>
        <w:t>indien</w:t>
      </w:r>
      <w:proofErr w:type="gramEnd"/>
      <w:r>
        <w:t xml:space="preserve"> zij daadwerkelijk overgaan tot invoering. Hiertoe heeft uw Kamer het kabinet ook opgeroepen in de motie van het lid </w:t>
      </w:r>
      <w:proofErr w:type="spellStart"/>
      <w:r>
        <w:t>Grinwis</w:t>
      </w:r>
      <w:proofErr w:type="spellEnd"/>
      <w:r>
        <w:t>.</w:t>
      </w:r>
      <w:r>
        <w:rPr>
          <w:rStyle w:val="Voetnootmarkering"/>
        </w:rPr>
        <w:footnoteReference w:id="2"/>
      </w:r>
      <w:r>
        <w:t xml:space="preserve"> </w:t>
      </w:r>
    </w:p>
    <w:p w:rsidR="000771DD" w:rsidP="000771DD" w:rsidRDefault="000771DD" w14:paraId="70E2838B" w14:textId="77777777"/>
    <w:p w:rsidR="000771DD" w:rsidP="000771DD" w:rsidRDefault="000771DD" w14:paraId="3CDD5BAA" w14:textId="77777777">
      <w:r>
        <w:t>Tijdens het CD Eurogroep/</w:t>
      </w:r>
      <w:proofErr w:type="spellStart"/>
      <w:r>
        <w:t>Ecofinraad</w:t>
      </w:r>
      <w:proofErr w:type="spellEnd"/>
      <w:r>
        <w:t xml:space="preserve"> heb ik uw Kamer ook gemeld dat Nederland volgend is voor wat betreft de </w:t>
      </w:r>
      <w:r w:rsidRPr="00E16217">
        <w:t xml:space="preserve">nationale </w:t>
      </w:r>
      <w:r w:rsidRPr="00520657">
        <w:t>handelingskostenvergoeding</w:t>
      </w:r>
      <w:r>
        <w:t xml:space="preserve">, en dat Nederland bij een positief besluit van de ministerraad, voorbereid is om op 1 januari 2026 in werking te laten treden. Recent heb ik signalen ontvangen dat de genoemde landen inderdaad overgaan tot invoering van een nationale variant, maar dat de daadwerkelijke inwerkingtreding in deze landen nog even op zich laat wachten. Invoering van de nationale handling fee in deze landen vindt op zijn vroegst op 1 februari 2026 plaats. </w:t>
      </w:r>
    </w:p>
    <w:p w:rsidRPr="00B53193" w:rsidR="000771DD" w:rsidP="000771DD" w:rsidRDefault="000771DD" w14:paraId="57A88C98" w14:textId="77777777"/>
    <w:p w:rsidR="000771DD" w:rsidP="000771DD" w:rsidRDefault="000771DD" w14:paraId="78268812" w14:textId="31DC69F3">
      <w:r>
        <w:t xml:space="preserve">De wijziging van het </w:t>
      </w:r>
      <w:r w:rsidRPr="00B53193">
        <w:t xml:space="preserve">Algemeen douanebesluit in verband met de invoering van een handelingskostenvergoeding voor e-commercezendingen </w:t>
      </w:r>
      <w:r>
        <w:t xml:space="preserve">ligt op dit moment voor advisering voor bij de Raad van State. Ik verwacht deze week het advies van de Raad van State op deze versie. Het advies neem ik uiteraard grondig in overweging voordat ik het aangepaste concept AMvB medio januari aan de ministerraad zal voorleggen ter </w:t>
      </w:r>
      <w:r w:rsidR="00217FE6">
        <w:t>b</w:t>
      </w:r>
      <w:r>
        <w:t xml:space="preserve">esluitvorming. </w:t>
      </w:r>
    </w:p>
    <w:p w:rsidR="000771DD" w:rsidP="000771DD" w:rsidRDefault="000771DD" w14:paraId="793F071B" w14:textId="77777777"/>
    <w:p w:rsidR="000771DD" w:rsidP="000771DD" w:rsidRDefault="000771DD" w14:paraId="02009EA8" w14:textId="77777777">
      <w:pPr>
        <w:rPr>
          <w:i/>
          <w:iCs/>
        </w:rPr>
      </w:pPr>
      <w:r>
        <w:rPr>
          <w:i/>
          <w:iCs/>
        </w:rPr>
        <w:t>Afschaffing de-</w:t>
      </w:r>
      <w:proofErr w:type="spellStart"/>
      <w:r>
        <w:rPr>
          <w:i/>
          <w:iCs/>
        </w:rPr>
        <w:t>minimis</w:t>
      </w:r>
      <w:proofErr w:type="spellEnd"/>
      <w:r>
        <w:rPr>
          <w:i/>
          <w:iCs/>
        </w:rPr>
        <w:t xml:space="preserve"> </w:t>
      </w:r>
    </w:p>
    <w:p w:rsidRPr="005A0749" w:rsidR="000771DD" w:rsidP="000771DD" w:rsidRDefault="000771DD" w14:paraId="6CD352A5" w14:textId="32E9FFCB">
      <w:r>
        <w:t xml:space="preserve">Op vrijdag 12 december jl. heeft de Raad </w:t>
      </w:r>
      <w:proofErr w:type="spellStart"/>
      <w:r>
        <w:t>Ecofin</w:t>
      </w:r>
      <w:proofErr w:type="spellEnd"/>
      <w:r>
        <w:t xml:space="preserve"> een politiek akkoord bereikt over de afschaffing van de </w:t>
      </w:r>
      <w:proofErr w:type="gramStart"/>
      <w:r w:rsidR="00217FE6">
        <w:t xml:space="preserve">EU </w:t>
      </w:r>
      <w:r>
        <w:t>vrijstelling</w:t>
      </w:r>
      <w:proofErr w:type="gramEnd"/>
      <w:r>
        <w:t xml:space="preserve"> voor goederen tot en met € 150 (de zogenoemde de-minimisregeling) en de </w:t>
      </w:r>
      <w:r w:rsidR="00217FE6">
        <w:t xml:space="preserve">voorlopige </w:t>
      </w:r>
      <w:r>
        <w:t>invoering van een vast tarief van € 3 per aangifteregel</w:t>
      </w:r>
      <w:r w:rsidR="0038451E">
        <w:t xml:space="preserve"> (productsoort)</w:t>
      </w:r>
      <w:r>
        <w:t>.</w:t>
      </w:r>
      <w:r w:rsidR="00E81589">
        <w:t xml:space="preserve"> Dit tarief staat los van </w:t>
      </w:r>
      <w:r w:rsidR="00CA778C">
        <w:t>voornoemde</w:t>
      </w:r>
      <w:r w:rsidR="00E81589">
        <w:t xml:space="preserve"> Europese en nationale handling </w:t>
      </w:r>
      <w:proofErr w:type="spellStart"/>
      <w:r w:rsidR="00E81589">
        <w:t>fees</w:t>
      </w:r>
      <w:proofErr w:type="spellEnd"/>
      <w:r w:rsidR="00E81589">
        <w:t>.</w:t>
      </w:r>
      <w:r>
        <w:t xml:space="preserve"> De voorziene ingangsdatum is 1 juli 2026. Uw Kamer wordt in januari nader over geïnformeerd over de afschaffing van deze fiscale vrijstelling. </w:t>
      </w:r>
    </w:p>
    <w:p w:rsidR="00121F09" w:rsidRDefault="002D320F" w14:paraId="7C95BC1C" w14:textId="77777777">
      <w:pPr>
        <w:pStyle w:val="StandaardSlotzin"/>
      </w:pPr>
      <w:r>
        <w:t>Hoogachtend,</w:t>
      </w:r>
    </w:p>
    <w:p w:rsidR="00121F09" w:rsidRDefault="00121F09" w14:paraId="7C95BC1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21F09" w14:paraId="7C95BC20" w14:textId="77777777">
        <w:tc>
          <w:tcPr>
            <w:tcW w:w="3592" w:type="dxa"/>
          </w:tcPr>
          <w:p w:rsidR="00121F09" w:rsidRDefault="002D320F" w14:paraId="7C95BC1E"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121F09" w:rsidRDefault="00121F09" w14:paraId="7C95BC1F" w14:textId="77777777"/>
        </w:tc>
      </w:tr>
      <w:tr w:rsidR="00121F09" w14:paraId="7C95BC23" w14:textId="77777777">
        <w:tc>
          <w:tcPr>
            <w:tcW w:w="3592" w:type="dxa"/>
          </w:tcPr>
          <w:p w:rsidR="00121F09" w:rsidRDefault="00121F09" w14:paraId="7C95BC21" w14:textId="77777777"/>
        </w:tc>
        <w:tc>
          <w:tcPr>
            <w:tcW w:w="3892" w:type="dxa"/>
          </w:tcPr>
          <w:p w:rsidR="00121F09" w:rsidRDefault="00121F09" w14:paraId="7C95BC22" w14:textId="77777777"/>
        </w:tc>
      </w:tr>
      <w:tr w:rsidR="00121F09" w14:paraId="7C95BC26" w14:textId="77777777">
        <w:tc>
          <w:tcPr>
            <w:tcW w:w="3592" w:type="dxa"/>
          </w:tcPr>
          <w:p w:rsidR="00121F09" w:rsidRDefault="00121F09" w14:paraId="7C95BC24" w14:textId="77777777"/>
        </w:tc>
        <w:tc>
          <w:tcPr>
            <w:tcW w:w="3892" w:type="dxa"/>
          </w:tcPr>
          <w:p w:rsidR="00121F09" w:rsidRDefault="00121F09" w14:paraId="7C95BC25" w14:textId="77777777"/>
        </w:tc>
      </w:tr>
    </w:tbl>
    <w:p w:rsidR="00121F09" w:rsidRDefault="00121F09" w14:paraId="7C95BC4B" w14:textId="77777777">
      <w:pPr>
        <w:pStyle w:val="Verdana7"/>
      </w:pPr>
    </w:p>
    <w:sectPr w:rsidR="00121F0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A853" w14:textId="77777777" w:rsidR="00F87F79" w:rsidRDefault="00F87F79">
      <w:pPr>
        <w:spacing w:line="240" w:lineRule="auto"/>
      </w:pPr>
      <w:r>
        <w:separator/>
      </w:r>
    </w:p>
  </w:endnote>
  <w:endnote w:type="continuationSeparator" w:id="0">
    <w:p w14:paraId="481A3C90" w14:textId="77777777" w:rsidR="00F87F79" w:rsidRDefault="00F87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8D36" w14:textId="77777777" w:rsidR="00F87F79" w:rsidRDefault="00F87F79">
      <w:pPr>
        <w:spacing w:line="240" w:lineRule="auto"/>
      </w:pPr>
      <w:r>
        <w:separator/>
      </w:r>
    </w:p>
  </w:footnote>
  <w:footnote w:type="continuationSeparator" w:id="0">
    <w:p w14:paraId="14EA77BE" w14:textId="77777777" w:rsidR="00F87F79" w:rsidRDefault="00F87F79">
      <w:pPr>
        <w:spacing w:line="240" w:lineRule="auto"/>
      </w:pPr>
      <w:r>
        <w:continuationSeparator/>
      </w:r>
    </w:p>
  </w:footnote>
  <w:footnote w:id="1">
    <w:p w14:paraId="021665F4" w14:textId="77777777" w:rsidR="000771DD" w:rsidRPr="00E474A7" w:rsidRDefault="000771DD" w:rsidP="000771DD">
      <w:pPr>
        <w:pStyle w:val="Voetnoottekst"/>
        <w:rPr>
          <w:sz w:val="16"/>
          <w:szCs w:val="16"/>
        </w:rPr>
      </w:pPr>
      <w:r>
        <w:rPr>
          <w:rStyle w:val="Voetnootmarkering"/>
        </w:rPr>
        <w:footnoteRef/>
      </w:r>
      <w:r>
        <w:t xml:space="preserve"> </w:t>
      </w:r>
      <w:r w:rsidRPr="00E474A7">
        <w:rPr>
          <w:sz w:val="16"/>
          <w:szCs w:val="16"/>
        </w:rPr>
        <w:t>Tweede Kamer, vergaderjaar 2025–2026, 31 934, Nr. 4185</w:t>
      </w:r>
    </w:p>
  </w:footnote>
  <w:footnote w:id="2">
    <w:p w14:paraId="3051FC50" w14:textId="77777777" w:rsidR="000771DD" w:rsidRDefault="000771DD" w:rsidP="000771DD">
      <w:pPr>
        <w:pStyle w:val="Voetnoottekst"/>
      </w:pPr>
      <w:r>
        <w:rPr>
          <w:rStyle w:val="Voetnootmarkering"/>
        </w:rPr>
        <w:footnoteRef/>
      </w:r>
      <w:r>
        <w:t xml:space="preserve"> </w:t>
      </w:r>
      <w:r w:rsidRPr="00E474A7">
        <w:rPr>
          <w:sz w:val="16"/>
          <w:szCs w:val="16"/>
        </w:rPr>
        <w:t>Tweede Kamer, vergaderjaar 2025–2026, 36 812,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BC4C" w14:textId="77777777" w:rsidR="00121F09" w:rsidRDefault="002D320F">
    <w:r>
      <w:rPr>
        <w:noProof/>
      </w:rPr>
      <mc:AlternateContent>
        <mc:Choice Requires="wps">
          <w:drawing>
            <wp:anchor distT="0" distB="0" distL="0" distR="0" simplePos="0" relativeHeight="251652096" behindDoc="0" locked="1" layoutInCell="1" allowOverlap="1" wp14:anchorId="7C95BC50" wp14:editId="7C95BC5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95BC88" w14:textId="77777777" w:rsidR="00121F09" w:rsidRDefault="002D320F">
                          <w:pPr>
                            <w:pStyle w:val="StandaardReferentiegegevensKop"/>
                          </w:pPr>
                          <w:r>
                            <w:t>Ons kenmerk</w:t>
                          </w:r>
                        </w:p>
                        <w:p w14:paraId="7C95BC89" w14:textId="15F49A09" w:rsidR="00121F09" w:rsidRDefault="000771DD">
                          <w:pPr>
                            <w:pStyle w:val="StandaardReferentiegegevens"/>
                          </w:pPr>
                          <w:fldSimple w:instr=" DOCPROPERTY  &quot;Kenmerk&quot;  \* MERGEFORMAT ">
                            <w:r w:rsidR="00DB4D2A">
                              <w:t>2025-0000615196</w:t>
                            </w:r>
                          </w:fldSimple>
                        </w:p>
                      </w:txbxContent>
                    </wps:txbx>
                    <wps:bodyPr vert="horz" wrap="square" lIns="0" tIns="0" rIns="0" bIns="0" anchor="t" anchorCtr="0"/>
                  </wps:wsp>
                </a:graphicData>
              </a:graphic>
            </wp:anchor>
          </w:drawing>
        </mc:Choice>
        <mc:Fallback>
          <w:pict>
            <v:shapetype w14:anchorId="7C95BC5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C95BC88" w14:textId="77777777" w:rsidR="00121F09" w:rsidRDefault="002D320F">
                    <w:pPr>
                      <w:pStyle w:val="StandaardReferentiegegevensKop"/>
                    </w:pPr>
                    <w:r>
                      <w:t>Ons kenmerk</w:t>
                    </w:r>
                  </w:p>
                  <w:p w14:paraId="7C95BC89" w14:textId="15F49A09" w:rsidR="00121F09" w:rsidRDefault="000771DD">
                    <w:pPr>
                      <w:pStyle w:val="StandaardReferentiegegevens"/>
                    </w:pPr>
                    <w:fldSimple w:instr=" DOCPROPERTY  &quot;Kenmerk&quot;  \* MERGEFORMAT ">
                      <w:r w:rsidR="00DB4D2A">
                        <w:t>2025-0000615196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C95BC52" wp14:editId="7C95BC5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95BC8A" w14:textId="758630AC" w:rsidR="00121F09" w:rsidRDefault="002D320F">
                          <w:pPr>
                            <w:pStyle w:val="StandaardReferentiegegevens"/>
                          </w:pPr>
                          <w:r>
                            <w:t xml:space="preserve">Pagina </w:t>
                          </w:r>
                          <w:r>
                            <w:fldChar w:fldCharType="begin"/>
                          </w:r>
                          <w:r>
                            <w:instrText>PAGE</w:instrText>
                          </w:r>
                          <w:r>
                            <w:fldChar w:fldCharType="separate"/>
                          </w:r>
                          <w:r w:rsidR="000771DD">
                            <w:rPr>
                              <w:noProof/>
                            </w:rPr>
                            <w:t>2</w:t>
                          </w:r>
                          <w:r>
                            <w:fldChar w:fldCharType="end"/>
                          </w:r>
                          <w:r>
                            <w:t xml:space="preserve"> van </w:t>
                          </w:r>
                          <w:r>
                            <w:fldChar w:fldCharType="begin"/>
                          </w:r>
                          <w:r>
                            <w:instrText>NUMPAGES</w:instrText>
                          </w:r>
                          <w:r>
                            <w:fldChar w:fldCharType="separate"/>
                          </w:r>
                          <w:r w:rsidR="000771DD">
                            <w:rPr>
                              <w:noProof/>
                            </w:rPr>
                            <w:t>2</w:t>
                          </w:r>
                          <w:r>
                            <w:fldChar w:fldCharType="end"/>
                          </w:r>
                        </w:p>
                      </w:txbxContent>
                    </wps:txbx>
                    <wps:bodyPr vert="horz" wrap="square" lIns="0" tIns="0" rIns="0" bIns="0" anchor="t" anchorCtr="0"/>
                  </wps:wsp>
                </a:graphicData>
              </a:graphic>
            </wp:anchor>
          </w:drawing>
        </mc:Choice>
        <mc:Fallback>
          <w:pict>
            <v:shape w14:anchorId="7C95BC5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C95BC8A" w14:textId="758630AC" w:rsidR="00121F09" w:rsidRDefault="002D320F">
                    <w:pPr>
                      <w:pStyle w:val="StandaardReferentiegegevens"/>
                    </w:pPr>
                    <w:r>
                      <w:t xml:space="preserve">Pagina </w:t>
                    </w:r>
                    <w:r>
                      <w:fldChar w:fldCharType="begin"/>
                    </w:r>
                    <w:r>
                      <w:instrText>PAGE</w:instrText>
                    </w:r>
                    <w:r>
                      <w:fldChar w:fldCharType="separate"/>
                    </w:r>
                    <w:r w:rsidR="000771DD">
                      <w:rPr>
                        <w:noProof/>
                      </w:rPr>
                      <w:t>2</w:t>
                    </w:r>
                    <w:r>
                      <w:fldChar w:fldCharType="end"/>
                    </w:r>
                    <w:r>
                      <w:t xml:space="preserve"> van </w:t>
                    </w:r>
                    <w:r>
                      <w:fldChar w:fldCharType="begin"/>
                    </w:r>
                    <w:r>
                      <w:instrText>NUMPAGES</w:instrText>
                    </w:r>
                    <w:r>
                      <w:fldChar w:fldCharType="separate"/>
                    </w:r>
                    <w:r w:rsidR="000771DD">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C95BC54" wp14:editId="7C95BC5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C95BC8B" w14:textId="41798CA4" w:rsidR="00121F09" w:rsidRDefault="002D320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95BC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C95BC8B" w14:textId="41798CA4" w:rsidR="00121F09" w:rsidRDefault="002D320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BC4E" w14:textId="77777777" w:rsidR="00121F09" w:rsidRDefault="002D320F">
    <w:pPr>
      <w:spacing w:after="7029" w:line="14" w:lineRule="exact"/>
    </w:pPr>
    <w:r>
      <w:rPr>
        <w:noProof/>
      </w:rPr>
      <mc:AlternateContent>
        <mc:Choice Requires="wps">
          <w:drawing>
            <wp:anchor distT="0" distB="0" distL="0" distR="0" simplePos="0" relativeHeight="251655168" behindDoc="0" locked="1" layoutInCell="1" allowOverlap="1" wp14:anchorId="7C95BC56" wp14:editId="7C95BC5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C95BC68" w14:textId="77777777" w:rsidR="00121F09" w:rsidRDefault="002D320F">
                          <w:pPr>
                            <w:spacing w:line="240" w:lineRule="auto"/>
                          </w:pPr>
                          <w:r>
                            <w:rPr>
                              <w:noProof/>
                            </w:rPr>
                            <w:drawing>
                              <wp:inline distT="0" distB="0" distL="0" distR="0" wp14:anchorId="7C95BC8C" wp14:editId="7C95BC8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95BC5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C95BC68" w14:textId="77777777" w:rsidR="00121F09" w:rsidRDefault="002D320F">
                    <w:pPr>
                      <w:spacing w:line="240" w:lineRule="auto"/>
                    </w:pPr>
                    <w:r>
                      <w:rPr>
                        <w:noProof/>
                      </w:rPr>
                      <w:drawing>
                        <wp:inline distT="0" distB="0" distL="0" distR="0" wp14:anchorId="7C95BC8C" wp14:editId="7C95BC8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C95BC58" wp14:editId="7C95BC5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C95BC8D" w14:textId="77777777" w:rsidR="002D320F" w:rsidRDefault="002D320F"/>
                      </w:txbxContent>
                    </wps:txbx>
                    <wps:bodyPr vert="horz" wrap="square" lIns="0" tIns="0" rIns="0" bIns="0" anchor="t" anchorCtr="0"/>
                  </wps:wsp>
                </a:graphicData>
              </a:graphic>
            </wp:anchor>
          </w:drawing>
        </mc:Choice>
        <mc:Fallback>
          <w:pict>
            <v:shape w14:anchorId="7C95BC5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C95BC8D" w14:textId="77777777" w:rsidR="002D320F" w:rsidRDefault="002D320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C95BC5A" wp14:editId="7C95BC5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C95BC69" w14:textId="77777777" w:rsidR="00121F09" w:rsidRDefault="002D320F">
                          <w:pPr>
                            <w:pStyle w:val="StandaardReferentiegegevens"/>
                          </w:pPr>
                          <w:r>
                            <w:t>Korte Voorhout 7</w:t>
                          </w:r>
                        </w:p>
                        <w:p w14:paraId="7C95BC6A" w14:textId="77777777" w:rsidR="00121F09" w:rsidRDefault="002D320F">
                          <w:pPr>
                            <w:pStyle w:val="StandaardReferentiegegevens"/>
                          </w:pPr>
                          <w:r>
                            <w:t>2511 CW  's-Gravenhage</w:t>
                          </w:r>
                        </w:p>
                        <w:p w14:paraId="7C95BC6B" w14:textId="77777777" w:rsidR="00121F09" w:rsidRDefault="002D320F">
                          <w:pPr>
                            <w:pStyle w:val="StandaardReferentiegegevens"/>
                          </w:pPr>
                          <w:r>
                            <w:t>POSTBUS 20201</w:t>
                          </w:r>
                        </w:p>
                        <w:p w14:paraId="7C95BC6C" w14:textId="77777777" w:rsidR="00121F09" w:rsidRPr="000771DD" w:rsidRDefault="002D320F">
                          <w:pPr>
                            <w:pStyle w:val="StandaardReferentiegegevens"/>
                            <w:rPr>
                              <w:lang w:val="es-ES"/>
                            </w:rPr>
                          </w:pPr>
                          <w:r w:rsidRPr="000771DD">
                            <w:rPr>
                              <w:lang w:val="es-ES"/>
                            </w:rPr>
                            <w:t xml:space="preserve">2500 </w:t>
                          </w:r>
                          <w:proofErr w:type="gramStart"/>
                          <w:r w:rsidRPr="000771DD">
                            <w:rPr>
                              <w:lang w:val="es-ES"/>
                            </w:rPr>
                            <w:t>EE  '</w:t>
                          </w:r>
                          <w:proofErr w:type="gramEnd"/>
                          <w:r w:rsidRPr="000771DD">
                            <w:rPr>
                              <w:lang w:val="es-ES"/>
                            </w:rPr>
                            <w:t>s-</w:t>
                          </w:r>
                          <w:proofErr w:type="spellStart"/>
                          <w:r w:rsidRPr="000771DD">
                            <w:rPr>
                              <w:lang w:val="es-ES"/>
                            </w:rPr>
                            <w:t>Gravenhage</w:t>
                          </w:r>
                          <w:proofErr w:type="spellEnd"/>
                        </w:p>
                        <w:p w14:paraId="7C95BC6D" w14:textId="77777777" w:rsidR="00121F09" w:rsidRPr="000771DD" w:rsidRDefault="002D320F">
                          <w:pPr>
                            <w:pStyle w:val="StandaardReferentiegegevens"/>
                            <w:rPr>
                              <w:lang w:val="es-ES"/>
                            </w:rPr>
                          </w:pPr>
                          <w:r w:rsidRPr="000771DD">
                            <w:rPr>
                              <w:lang w:val="es-ES"/>
                            </w:rPr>
                            <w:t>www.rijksoverheid.nl/fin</w:t>
                          </w:r>
                        </w:p>
                        <w:p w14:paraId="7C95BC6E" w14:textId="77777777" w:rsidR="00121F09" w:rsidRPr="000771DD" w:rsidRDefault="00121F09">
                          <w:pPr>
                            <w:pStyle w:val="WitregelW2"/>
                            <w:rPr>
                              <w:lang w:val="es-ES"/>
                            </w:rPr>
                          </w:pPr>
                        </w:p>
                        <w:p w14:paraId="7C95BC6F" w14:textId="77777777" w:rsidR="00121F09" w:rsidRDefault="002D320F">
                          <w:pPr>
                            <w:pStyle w:val="StandaardReferentiegegevensKop"/>
                          </w:pPr>
                          <w:r>
                            <w:t>Ons kenmerk</w:t>
                          </w:r>
                        </w:p>
                        <w:p w14:paraId="7C95BC70" w14:textId="1D442FD7" w:rsidR="00121F09" w:rsidRDefault="000771DD">
                          <w:pPr>
                            <w:pStyle w:val="StandaardReferentiegegevens"/>
                          </w:pPr>
                          <w:fldSimple w:instr=" DOCPROPERTY  &quot;Kenmerk&quot;  \* MERGEFORMAT ">
                            <w:r w:rsidR="00DB4D2A">
                              <w:t>2025-0000615196</w:t>
                            </w:r>
                          </w:fldSimple>
                        </w:p>
                        <w:p w14:paraId="7C95BC71" w14:textId="77777777" w:rsidR="00121F09" w:rsidRDefault="00121F09">
                          <w:pPr>
                            <w:pStyle w:val="WitregelW1"/>
                          </w:pPr>
                        </w:p>
                        <w:p w14:paraId="7C95BC72" w14:textId="77777777" w:rsidR="00121F09" w:rsidRDefault="002D320F">
                          <w:pPr>
                            <w:pStyle w:val="StandaardReferentiegegevensKop"/>
                          </w:pPr>
                          <w:r>
                            <w:t>Uw brief (kenmerk)</w:t>
                          </w:r>
                        </w:p>
                        <w:p w14:paraId="7C95BC73" w14:textId="0A94C925" w:rsidR="00121F09" w:rsidRDefault="002D320F">
                          <w:pPr>
                            <w:pStyle w:val="StandaardReferentiegegevens"/>
                          </w:pPr>
                          <w:r>
                            <w:fldChar w:fldCharType="begin"/>
                          </w:r>
                          <w:r>
                            <w:instrText xml:space="preserve"> DOCPROPERTY  "UwKenmerk"  \* MERGEFORMAT </w:instrText>
                          </w:r>
                          <w:r>
                            <w:fldChar w:fldCharType="end"/>
                          </w:r>
                        </w:p>
                        <w:p w14:paraId="7C95BC74" w14:textId="77777777" w:rsidR="00121F09" w:rsidRDefault="00121F09">
                          <w:pPr>
                            <w:pStyle w:val="WitregelW1"/>
                          </w:pPr>
                        </w:p>
                        <w:p w14:paraId="7C95BC75" w14:textId="77777777" w:rsidR="00121F09" w:rsidRDefault="002D320F">
                          <w:pPr>
                            <w:pStyle w:val="StandaardReferentiegegevensKop"/>
                          </w:pPr>
                          <w:r>
                            <w:t>Bijlagen</w:t>
                          </w:r>
                        </w:p>
                        <w:p w14:paraId="7C95BC76" w14:textId="77777777" w:rsidR="00121F09" w:rsidRDefault="002D320F">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C95BC5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C95BC69" w14:textId="77777777" w:rsidR="00121F09" w:rsidRDefault="002D320F">
                    <w:pPr>
                      <w:pStyle w:val="StandaardReferentiegegevens"/>
                    </w:pPr>
                    <w:r>
                      <w:t>Korte Voorhout 7</w:t>
                    </w:r>
                  </w:p>
                  <w:p w14:paraId="7C95BC6A" w14:textId="77777777" w:rsidR="00121F09" w:rsidRDefault="002D320F">
                    <w:pPr>
                      <w:pStyle w:val="StandaardReferentiegegevens"/>
                    </w:pPr>
                    <w:r>
                      <w:t>2511 CW  's-Gravenhage</w:t>
                    </w:r>
                  </w:p>
                  <w:p w14:paraId="7C95BC6B" w14:textId="77777777" w:rsidR="00121F09" w:rsidRDefault="002D320F">
                    <w:pPr>
                      <w:pStyle w:val="StandaardReferentiegegevens"/>
                    </w:pPr>
                    <w:r>
                      <w:t>POSTBUS 20201</w:t>
                    </w:r>
                  </w:p>
                  <w:p w14:paraId="7C95BC6C" w14:textId="77777777" w:rsidR="00121F09" w:rsidRPr="000771DD" w:rsidRDefault="002D320F">
                    <w:pPr>
                      <w:pStyle w:val="StandaardReferentiegegevens"/>
                      <w:rPr>
                        <w:lang w:val="es-ES"/>
                      </w:rPr>
                    </w:pPr>
                    <w:r w:rsidRPr="000771DD">
                      <w:rPr>
                        <w:lang w:val="es-ES"/>
                      </w:rPr>
                      <w:t xml:space="preserve">2500 </w:t>
                    </w:r>
                    <w:proofErr w:type="gramStart"/>
                    <w:r w:rsidRPr="000771DD">
                      <w:rPr>
                        <w:lang w:val="es-ES"/>
                      </w:rPr>
                      <w:t>EE  '</w:t>
                    </w:r>
                    <w:proofErr w:type="gramEnd"/>
                    <w:r w:rsidRPr="000771DD">
                      <w:rPr>
                        <w:lang w:val="es-ES"/>
                      </w:rPr>
                      <w:t>s-</w:t>
                    </w:r>
                    <w:proofErr w:type="spellStart"/>
                    <w:r w:rsidRPr="000771DD">
                      <w:rPr>
                        <w:lang w:val="es-ES"/>
                      </w:rPr>
                      <w:t>Gravenhage</w:t>
                    </w:r>
                    <w:proofErr w:type="spellEnd"/>
                  </w:p>
                  <w:p w14:paraId="7C95BC6D" w14:textId="77777777" w:rsidR="00121F09" w:rsidRPr="000771DD" w:rsidRDefault="002D320F">
                    <w:pPr>
                      <w:pStyle w:val="StandaardReferentiegegevens"/>
                      <w:rPr>
                        <w:lang w:val="es-ES"/>
                      </w:rPr>
                    </w:pPr>
                    <w:r w:rsidRPr="000771DD">
                      <w:rPr>
                        <w:lang w:val="es-ES"/>
                      </w:rPr>
                      <w:t>www.rijksoverheid.nl/fin</w:t>
                    </w:r>
                  </w:p>
                  <w:p w14:paraId="7C95BC6E" w14:textId="77777777" w:rsidR="00121F09" w:rsidRPr="000771DD" w:rsidRDefault="00121F09">
                    <w:pPr>
                      <w:pStyle w:val="WitregelW2"/>
                      <w:rPr>
                        <w:lang w:val="es-ES"/>
                      </w:rPr>
                    </w:pPr>
                  </w:p>
                  <w:p w14:paraId="7C95BC6F" w14:textId="77777777" w:rsidR="00121F09" w:rsidRDefault="002D320F">
                    <w:pPr>
                      <w:pStyle w:val="StandaardReferentiegegevensKop"/>
                    </w:pPr>
                    <w:r>
                      <w:t>Ons kenmerk</w:t>
                    </w:r>
                  </w:p>
                  <w:p w14:paraId="7C95BC70" w14:textId="1D442FD7" w:rsidR="00121F09" w:rsidRDefault="000771DD">
                    <w:pPr>
                      <w:pStyle w:val="StandaardReferentiegegevens"/>
                    </w:pPr>
                    <w:fldSimple w:instr=" DOCPROPERTY  &quot;Kenmerk&quot;  \* MERGEFORMAT ">
                      <w:r w:rsidR="00DB4D2A">
                        <w:t>2025-0000615196</w:t>
                      </w:r>
                    </w:fldSimple>
                  </w:p>
                  <w:p w14:paraId="7C95BC71" w14:textId="77777777" w:rsidR="00121F09" w:rsidRDefault="00121F09">
                    <w:pPr>
                      <w:pStyle w:val="WitregelW1"/>
                    </w:pPr>
                  </w:p>
                  <w:p w14:paraId="7C95BC72" w14:textId="77777777" w:rsidR="00121F09" w:rsidRDefault="002D320F">
                    <w:pPr>
                      <w:pStyle w:val="StandaardReferentiegegevensKop"/>
                    </w:pPr>
                    <w:r>
                      <w:t>Uw brief (kenmerk)</w:t>
                    </w:r>
                  </w:p>
                  <w:p w14:paraId="7C95BC73" w14:textId="0A94C925" w:rsidR="00121F09" w:rsidRDefault="002D320F">
                    <w:pPr>
                      <w:pStyle w:val="StandaardReferentiegegevens"/>
                    </w:pPr>
                    <w:r>
                      <w:fldChar w:fldCharType="begin"/>
                    </w:r>
                    <w:r>
                      <w:instrText xml:space="preserve"> DOCPROPERTY  "UwKenmerk"  \* MERGEFORMAT </w:instrText>
                    </w:r>
                    <w:r>
                      <w:fldChar w:fldCharType="end"/>
                    </w:r>
                  </w:p>
                  <w:p w14:paraId="7C95BC74" w14:textId="77777777" w:rsidR="00121F09" w:rsidRDefault="00121F09">
                    <w:pPr>
                      <w:pStyle w:val="WitregelW1"/>
                    </w:pPr>
                  </w:p>
                  <w:p w14:paraId="7C95BC75" w14:textId="77777777" w:rsidR="00121F09" w:rsidRDefault="002D320F">
                    <w:pPr>
                      <w:pStyle w:val="StandaardReferentiegegevensKop"/>
                    </w:pPr>
                    <w:r>
                      <w:t>Bijlagen</w:t>
                    </w:r>
                  </w:p>
                  <w:p w14:paraId="7C95BC76" w14:textId="77777777" w:rsidR="00121F09" w:rsidRDefault="002D320F">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C95BC5C" wp14:editId="7C95BC5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C95BC77" w14:textId="77777777" w:rsidR="00121F09" w:rsidRDefault="002D320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C95BC5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C95BC77" w14:textId="77777777" w:rsidR="00121F09" w:rsidRDefault="002D320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C95BC5E" wp14:editId="7C95BC5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C95BC78" w14:textId="456092DA" w:rsidR="00121F09" w:rsidRDefault="002D320F">
                          <w:pPr>
                            <w:pStyle w:val="Rubricering"/>
                          </w:pPr>
                          <w:r>
                            <w:fldChar w:fldCharType="begin"/>
                          </w:r>
                          <w:r>
                            <w:instrText xml:space="preserve"> DOCPROPERTY  "Rubricering"  \* MERGEFORMAT </w:instrText>
                          </w:r>
                          <w:r>
                            <w:fldChar w:fldCharType="end"/>
                          </w:r>
                        </w:p>
                        <w:p w14:paraId="7C95BC79" w14:textId="6F201BDF" w:rsidR="00121F09" w:rsidRDefault="002D320F">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7C95BC5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C95BC78" w14:textId="456092DA" w:rsidR="00121F09" w:rsidRDefault="002D320F">
                    <w:pPr>
                      <w:pStyle w:val="Rubricering"/>
                    </w:pPr>
                    <w:r>
                      <w:fldChar w:fldCharType="begin"/>
                    </w:r>
                    <w:r>
                      <w:instrText xml:space="preserve"> DOCPROPERTY  "Rubricering"  \* MERGEFORMAT </w:instrText>
                    </w:r>
                    <w:r>
                      <w:fldChar w:fldCharType="end"/>
                    </w:r>
                  </w:p>
                  <w:p w14:paraId="7C95BC79" w14:textId="6F201BDF" w:rsidR="00121F09" w:rsidRDefault="002D320F">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C95BC60" wp14:editId="7C95BC6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C95BC7A" w14:textId="0B024CF9" w:rsidR="00121F09" w:rsidRDefault="002D320F">
                          <w:pPr>
                            <w:pStyle w:val="StandaardReferentiegegevens"/>
                          </w:pPr>
                          <w:r>
                            <w:t xml:space="preserve">Pagina </w:t>
                          </w:r>
                          <w:r>
                            <w:fldChar w:fldCharType="begin"/>
                          </w:r>
                          <w:r>
                            <w:instrText>PAGE</w:instrText>
                          </w:r>
                          <w:r>
                            <w:fldChar w:fldCharType="separate"/>
                          </w:r>
                          <w:r w:rsidR="000771DD">
                            <w:rPr>
                              <w:noProof/>
                            </w:rPr>
                            <w:t>1</w:t>
                          </w:r>
                          <w:r>
                            <w:fldChar w:fldCharType="end"/>
                          </w:r>
                          <w:r>
                            <w:t xml:space="preserve"> van </w:t>
                          </w:r>
                          <w:r>
                            <w:fldChar w:fldCharType="begin"/>
                          </w:r>
                          <w:r>
                            <w:instrText>NUMPAGES</w:instrText>
                          </w:r>
                          <w:r>
                            <w:fldChar w:fldCharType="separate"/>
                          </w:r>
                          <w:r w:rsidR="000771DD">
                            <w:rPr>
                              <w:noProof/>
                            </w:rPr>
                            <w:t>2</w:t>
                          </w:r>
                          <w:r>
                            <w:fldChar w:fldCharType="end"/>
                          </w:r>
                        </w:p>
                      </w:txbxContent>
                    </wps:txbx>
                    <wps:bodyPr vert="horz" wrap="square" lIns="0" tIns="0" rIns="0" bIns="0" anchor="t" anchorCtr="0"/>
                  </wps:wsp>
                </a:graphicData>
              </a:graphic>
            </wp:anchor>
          </w:drawing>
        </mc:Choice>
        <mc:Fallback>
          <w:pict>
            <v:shape w14:anchorId="7C95BC6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C95BC7A" w14:textId="0B024CF9" w:rsidR="00121F09" w:rsidRDefault="002D320F">
                    <w:pPr>
                      <w:pStyle w:val="StandaardReferentiegegevens"/>
                    </w:pPr>
                    <w:r>
                      <w:t xml:space="preserve">Pagina </w:t>
                    </w:r>
                    <w:r>
                      <w:fldChar w:fldCharType="begin"/>
                    </w:r>
                    <w:r>
                      <w:instrText>PAGE</w:instrText>
                    </w:r>
                    <w:r>
                      <w:fldChar w:fldCharType="separate"/>
                    </w:r>
                    <w:r w:rsidR="000771DD">
                      <w:rPr>
                        <w:noProof/>
                      </w:rPr>
                      <w:t>1</w:t>
                    </w:r>
                    <w:r>
                      <w:fldChar w:fldCharType="end"/>
                    </w:r>
                    <w:r>
                      <w:t xml:space="preserve"> van </w:t>
                    </w:r>
                    <w:r>
                      <w:fldChar w:fldCharType="begin"/>
                    </w:r>
                    <w:r>
                      <w:instrText>NUMPAGES</w:instrText>
                    </w:r>
                    <w:r>
                      <w:fldChar w:fldCharType="separate"/>
                    </w:r>
                    <w:r w:rsidR="000771DD">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C95BC62" wp14:editId="7C95BC6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21F09" w14:paraId="7C95BC7D" w14:textId="77777777">
                            <w:trPr>
                              <w:trHeight w:val="200"/>
                            </w:trPr>
                            <w:tc>
                              <w:tcPr>
                                <w:tcW w:w="1140" w:type="dxa"/>
                              </w:tcPr>
                              <w:p w14:paraId="7C95BC7B" w14:textId="77777777" w:rsidR="00121F09" w:rsidRDefault="00121F09"/>
                            </w:tc>
                            <w:tc>
                              <w:tcPr>
                                <w:tcW w:w="5400" w:type="dxa"/>
                              </w:tcPr>
                              <w:p w14:paraId="7C95BC7C" w14:textId="77777777" w:rsidR="00121F09" w:rsidRDefault="00121F09"/>
                            </w:tc>
                          </w:tr>
                          <w:tr w:rsidR="00121F09" w14:paraId="7C95BC80" w14:textId="77777777">
                            <w:trPr>
                              <w:trHeight w:val="240"/>
                            </w:trPr>
                            <w:tc>
                              <w:tcPr>
                                <w:tcW w:w="1140" w:type="dxa"/>
                              </w:tcPr>
                              <w:p w14:paraId="7C95BC7E" w14:textId="77777777" w:rsidR="00121F09" w:rsidRDefault="002D320F">
                                <w:r>
                                  <w:t>Datum</w:t>
                                </w:r>
                              </w:p>
                            </w:tc>
                            <w:tc>
                              <w:tcPr>
                                <w:tcW w:w="5400" w:type="dxa"/>
                              </w:tcPr>
                              <w:p w14:paraId="7C95BC7F" w14:textId="57D48BC0" w:rsidR="00121F09" w:rsidRDefault="004B7DCE">
                                <w:r>
                                  <w:t>15 december 2025</w:t>
                                </w:r>
                              </w:p>
                            </w:tc>
                          </w:tr>
                          <w:tr w:rsidR="00121F09" w14:paraId="7C95BC83" w14:textId="77777777">
                            <w:trPr>
                              <w:trHeight w:val="240"/>
                            </w:trPr>
                            <w:tc>
                              <w:tcPr>
                                <w:tcW w:w="1140" w:type="dxa"/>
                              </w:tcPr>
                              <w:p w14:paraId="7C95BC81" w14:textId="77777777" w:rsidR="00121F09" w:rsidRDefault="002D320F">
                                <w:r>
                                  <w:t>Betreft</w:t>
                                </w:r>
                              </w:p>
                            </w:tc>
                            <w:tc>
                              <w:tcPr>
                                <w:tcW w:w="5400" w:type="dxa"/>
                              </w:tcPr>
                              <w:p w14:paraId="7C95BC82" w14:textId="73C51218" w:rsidR="00121F09" w:rsidRDefault="000771DD">
                                <w:fldSimple w:instr=" DOCPROPERTY  &quot;Onderwerp&quot;  \* MERGEFORMAT ">
                                  <w:r w:rsidR="00DB4D2A">
                                    <w:t>Stand van zaken handelingskostenvergoeding e-commercezendingen</w:t>
                                  </w:r>
                                </w:fldSimple>
                              </w:p>
                            </w:tc>
                          </w:tr>
                          <w:tr w:rsidR="00121F09" w14:paraId="7C95BC86" w14:textId="77777777">
                            <w:trPr>
                              <w:trHeight w:val="200"/>
                            </w:trPr>
                            <w:tc>
                              <w:tcPr>
                                <w:tcW w:w="1140" w:type="dxa"/>
                              </w:tcPr>
                              <w:p w14:paraId="7C95BC84" w14:textId="77777777" w:rsidR="00121F09" w:rsidRDefault="00121F09"/>
                            </w:tc>
                            <w:tc>
                              <w:tcPr>
                                <w:tcW w:w="4738" w:type="dxa"/>
                              </w:tcPr>
                              <w:p w14:paraId="7C95BC85" w14:textId="77777777" w:rsidR="00121F09" w:rsidRDefault="00121F09"/>
                            </w:tc>
                          </w:tr>
                        </w:tbl>
                        <w:p w14:paraId="7C95BC93" w14:textId="77777777" w:rsidR="002D320F" w:rsidRDefault="002D320F"/>
                      </w:txbxContent>
                    </wps:txbx>
                    <wps:bodyPr vert="horz" wrap="square" lIns="0" tIns="0" rIns="0" bIns="0" anchor="t" anchorCtr="0"/>
                  </wps:wsp>
                </a:graphicData>
              </a:graphic>
            </wp:anchor>
          </w:drawing>
        </mc:Choice>
        <mc:Fallback>
          <w:pict>
            <v:shape w14:anchorId="7C95BC6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21F09" w14:paraId="7C95BC7D" w14:textId="77777777">
                      <w:trPr>
                        <w:trHeight w:val="200"/>
                      </w:trPr>
                      <w:tc>
                        <w:tcPr>
                          <w:tcW w:w="1140" w:type="dxa"/>
                        </w:tcPr>
                        <w:p w14:paraId="7C95BC7B" w14:textId="77777777" w:rsidR="00121F09" w:rsidRDefault="00121F09"/>
                      </w:tc>
                      <w:tc>
                        <w:tcPr>
                          <w:tcW w:w="5400" w:type="dxa"/>
                        </w:tcPr>
                        <w:p w14:paraId="7C95BC7C" w14:textId="77777777" w:rsidR="00121F09" w:rsidRDefault="00121F09"/>
                      </w:tc>
                    </w:tr>
                    <w:tr w:rsidR="00121F09" w14:paraId="7C95BC80" w14:textId="77777777">
                      <w:trPr>
                        <w:trHeight w:val="240"/>
                      </w:trPr>
                      <w:tc>
                        <w:tcPr>
                          <w:tcW w:w="1140" w:type="dxa"/>
                        </w:tcPr>
                        <w:p w14:paraId="7C95BC7E" w14:textId="77777777" w:rsidR="00121F09" w:rsidRDefault="002D320F">
                          <w:r>
                            <w:t>Datum</w:t>
                          </w:r>
                        </w:p>
                      </w:tc>
                      <w:tc>
                        <w:tcPr>
                          <w:tcW w:w="5400" w:type="dxa"/>
                        </w:tcPr>
                        <w:p w14:paraId="7C95BC7F" w14:textId="57D48BC0" w:rsidR="00121F09" w:rsidRDefault="004B7DCE">
                          <w:r>
                            <w:t>15 december 2025</w:t>
                          </w:r>
                        </w:p>
                      </w:tc>
                    </w:tr>
                    <w:tr w:rsidR="00121F09" w14:paraId="7C95BC83" w14:textId="77777777">
                      <w:trPr>
                        <w:trHeight w:val="240"/>
                      </w:trPr>
                      <w:tc>
                        <w:tcPr>
                          <w:tcW w:w="1140" w:type="dxa"/>
                        </w:tcPr>
                        <w:p w14:paraId="7C95BC81" w14:textId="77777777" w:rsidR="00121F09" w:rsidRDefault="002D320F">
                          <w:r>
                            <w:t>Betreft</w:t>
                          </w:r>
                        </w:p>
                      </w:tc>
                      <w:tc>
                        <w:tcPr>
                          <w:tcW w:w="5400" w:type="dxa"/>
                        </w:tcPr>
                        <w:p w14:paraId="7C95BC82" w14:textId="73C51218" w:rsidR="00121F09" w:rsidRDefault="000771DD">
                          <w:fldSimple w:instr=" DOCPROPERTY  &quot;Onderwerp&quot;  \* MERGEFORMAT ">
                            <w:r w:rsidR="00DB4D2A">
                              <w:t>Stand van zaken handelingskostenvergoeding e-commercezendingen</w:t>
                            </w:r>
                          </w:fldSimple>
                        </w:p>
                      </w:tc>
                    </w:tr>
                    <w:tr w:rsidR="00121F09" w14:paraId="7C95BC86" w14:textId="77777777">
                      <w:trPr>
                        <w:trHeight w:val="200"/>
                      </w:trPr>
                      <w:tc>
                        <w:tcPr>
                          <w:tcW w:w="1140" w:type="dxa"/>
                        </w:tcPr>
                        <w:p w14:paraId="7C95BC84" w14:textId="77777777" w:rsidR="00121F09" w:rsidRDefault="00121F09"/>
                      </w:tc>
                      <w:tc>
                        <w:tcPr>
                          <w:tcW w:w="4738" w:type="dxa"/>
                        </w:tcPr>
                        <w:p w14:paraId="7C95BC85" w14:textId="77777777" w:rsidR="00121F09" w:rsidRDefault="00121F09"/>
                      </w:tc>
                    </w:tr>
                  </w:tbl>
                  <w:p w14:paraId="7C95BC93" w14:textId="77777777" w:rsidR="002D320F" w:rsidRDefault="002D320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C95BC64" wp14:editId="7C95BC6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C95BC87" w14:textId="350994BB" w:rsidR="00121F09" w:rsidRDefault="002D320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95BC6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C95BC87" w14:textId="350994BB" w:rsidR="00121F09" w:rsidRDefault="002D320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C95BC66" wp14:editId="7C95BC6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C95BC96" w14:textId="77777777" w:rsidR="002D320F" w:rsidRDefault="002D320F"/>
                      </w:txbxContent>
                    </wps:txbx>
                    <wps:bodyPr vert="horz" wrap="square" lIns="0" tIns="0" rIns="0" bIns="0" anchor="t" anchorCtr="0"/>
                  </wps:wsp>
                </a:graphicData>
              </a:graphic>
            </wp:anchor>
          </w:drawing>
        </mc:Choice>
        <mc:Fallback>
          <w:pict>
            <v:shape w14:anchorId="7C95BC6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C95BC96" w14:textId="77777777" w:rsidR="002D320F" w:rsidRDefault="002D320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47C71"/>
    <w:multiLevelType w:val="multilevel"/>
    <w:tmpl w:val="6106888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15388A"/>
    <w:multiLevelType w:val="multilevel"/>
    <w:tmpl w:val="CFDC1F6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0F951F"/>
    <w:multiLevelType w:val="multilevel"/>
    <w:tmpl w:val="4FE0385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44415"/>
    <w:multiLevelType w:val="multilevel"/>
    <w:tmpl w:val="79E0DA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7B7DEB"/>
    <w:multiLevelType w:val="multilevel"/>
    <w:tmpl w:val="FC89BA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79D0D0D"/>
    <w:multiLevelType w:val="multilevel"/>
    <w:tmpl w:val="C209FE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70448944">
    <w:abstractNumId w:val="3"/>
  </w:num>
  <w:num w:numId="2" w16cid:durableId="960385241">
    <w:abstractNumId w:val="2"/>
  </w:num>
  <w:num w:numId="3" w16cid:durableId="1014308377">
    <w:abstractNumId w:val="5"/>
  </w:num>
  <w:num w:numId="4" w16cid:durableId="92481223">
    <w:abstractNumId w:val="4"/>
  </w:num>
  <w:num w:numId="5" w16cid:durableId="1967924040">
    <w:abstractNumId w:val="0"/>
  </w:num>
  <w:num w:numId="6" w16cid:durableId="80624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09"/>
    <w:rsid w:val="00020791"/>
    <w:rsid w:val="00042DA7"/>
    <w:rsid w:val="000771DD"/>
    <w:rsid w:val="00121F09"/>
    <w:rsid w:val="00217FE6"/>
    <w:rsid w:val="002474F6"/>
    <w:rsid w:val="002D320F"/>
    <w:rsid w:val="0038451E"/>
    <w:rsid w:val="004B7DCE"/>
    <w:rsid w:val="004C0768"/>
    <w:rsid w:val="00520E3F"/>
    <w:rsid w:val="00677F94"/>
    <w:rsid w:val="008D67EE"/>
    <w:rsid w:val="008F18BE"/>
    <w:rsid w:val="009304E3"/>
    <w:rsid w:val="00957F8E"/>
    <w:rsid w:val="00974BA2"/>
    <w:rsid w:val="00BA424A"/>
    <w:rsid w:val="00C82506"/>
    <w:rsid w:val="00CA778C"/>
    <w:rsid w:val="00D827AE"/>
    <w:rsid w:val="00D87E8B"/>
    <w:rsid w:val="00DB4D2A"/>
    <w:rsid w:val="00E81589"/>
    <w:rsid w:val="00EF47DA"/>
    <w:rsid w:val="00F87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BC1A"/>
  <w15:docId w15:val="{B7675E6E-C9E4-4647-BC06-B337DC6F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771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71DD"/>
    <w:rPr>
      <w:rFonts w:ascii="Verdana" w:hAnsi="Verdana"/>
      <w:color w:val="000000"/>
      <w:sz w:val="18"/>
      <w:szCs w:val="18"/>
    </w:rPr>
  </w:style>
  <w:style w:type="paragraph" w:styleId="Voettekst">
    <w:name w:val="footer"/>
    <w:basedOn w:val="Standaard"/>
    <w:link w:val="VoettekstChar"/>
    <w:uiPriority w:val="99"/>
    <w:unhideWhenUsed/>
    <w:rsid w:val="000771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71DD"/>
    <w:rPr>
      <w:rFonts w:ascii="Verdana" w:hAnsi="Verdana"/>
      <w:color w:val="000000"/>
      <w:sz w:val="18"/>
      <w:szCs w:val="18"/>
    </w:rPr>
  </w:style>
  <w:style w:type="paragraph" w:styleId="Voetnoottekst">
    <w:name w:val="footnote text"/>
    <w:basedOn w:val="Standaard"/>
    <w:link w:val="VoetnoottekstChar"/>
    <w:uiPriority w:val="99"/>
    <w:semiHidden/>
    <w:unhideWhenUsed/>
    <w:rsid w:val="000771D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771DD"/>
    <w:rPr>
      <w:rFonts w:ascii="Verdana" w:hAnsi="Verdana"/>
      <w:color w:val="000000"/>
    </w:rPr>
  </w:style>
  <w:style w:type="character" w:styleId="Voetnootmarkering">
    <w:name w:val="footnote reference"/>
    <w:basedOn w:val="Standaardalinea-lettertype"/>
    <w:uiPriority w:val="99"/>
    <w:semiHidden/>
    <w:unhideWhenUsed/>
    <w:rsid w:val="000771DD"/>
    <w:rPr>
      <w:vertAlign w:val="superscript"/>
    </w:rPr>
  </w:style>
  <w:style w:type="paragraph" w:styleId="Revisie">
    <w:name w:val="Revision"/>
    <w:hidden/>
    <w:uiPriority w:val="99"/>
    <w:semiHidden/>
    <w:rsid w:val="00E8158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F47DA"/>
    <w:rPr>
      <w:sz w:val="16"/>
      <w:szCs w:val="16"/>
    </w:rPr>
  </w:style>
  <w:style w:type="paragraph" w:styleId="Tekstopmerking">
    <w:name w:val="annotation text"/>
    <w:basedOn w:val="Standaard"/>
    <w:link w:val="TekstopmerkingChar"/>
    <w:uiPriority w:val="99"/>
    <w:unhideWhenUsed/>
    <w:rsid w:val="00EF47DA"/>
    <w:pPr>
      <w:spacing w:line="240" w:lineRule="auto"/>
    </w:pPr>
    <w:rPr>
      <w:sz w:val="20"/>
      <w:szCs w:val="20"/>
    </w:rPr>
  </w:style>
  <w:style w:type="character" w:customStyle="1" w:styleId="TekstopmerkingChar">
    <w:name w:val="Tekst opmerking Char"/>
    <w:basedOn w:val="Standaardalinea-lettertype"/>
    <w:link w:val="Tekstopmerking"/>
    <w:uiPriority w:val="99"/>
    <w:rsid w:val="00EF47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47DA"/>
    <w:rPr>
      <w:b/>
      <w:bCs/>
    </w:rPr>
  </w:style>
  <w:style w:type="character" w:customStyle="1" w:styleId="OnderwerpvanopmerkingChar">
    <w:name w:val="Onderwerp van opmerking Char"/>
    <w:basedOn w:val="TekstopmerkingChar"/>
    <w:link w:val="Onderwerpvanopmerking"/>
    <w:uiPriority w:val="99"/>
    <w:semiHidden/>
    <w:rsid w:val="00EF47D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584</ap:Words>
  <ap:Characters>3215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handelingskostenvergoeding e-commercezendingen</vt:lpstr>
    </vt:vector>
  </ap:TitlesOfParts>
  <ap:LinksUpToDate>false</ap:LinksUpToDate>
  <ap:CharactersWithSpaces>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2025-12-15T14:16:00.0000000Z</lastPrinted>
  <dcterms:created xsi:type="dcterms:W3CDTF">2025-12-15T14:15:00.0000000Z</dcterms:created>
  <dcterms:modified xsi:type="dcterms:W3CDTF">2025-12-15T14:17:00.0000000Z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handelingskostenvergoeding e-commercezendingen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2025-0000615196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handelingskostenvergoeding e-commercezendingen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2025-12-15T08:39:39Z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ada1b031-d34c-4d67-902e-964bf6b9b12c</vt:lpwstr>
  </property>
  <property fmtid="{D5CDD505-2E9C-101B-9397-08002B2CF9AE}" pid="37" name="MSIP_Label_b2aa6e22-2c82-48c6-bf24-1790f4b9c128_ContentBits">
    <vt:lpwstr>0</vt:lpwstr>
  </property>
</Properties>
</file>