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D5473" w14:paraId="3F386C85" w14:textId="77777777"/>
    <w:p w:rsidR="00E90BAA" w:rsidP="00E90BAA" w14:paraId="72A80713" w14:textId="77777777"/>
    <w:p w:rsidRPr="00975218" w:rsidR="00E90BAA" w:rsidP="00E90BAA" w14:paraId="33245F29" w14:textId="77777777">
      <w:r w:rsidRPr="00975218">
        <w:t>De Comptabiliteitswet schrijft voor dat alle majeure wijzigingen die na de tweede suppletoire begroting zijn opgetreden, uiterlijk drie dagen voor aanvang van het Kerstreces gemeld moeten worden aan beide Kamers der Staten-Generaal. Hierbij informeer ik uw Kamer over zaken die bij de realisatie van de begroting 202</w:t>
      </w:r>
      <w:r>
        <w:t>5</w:t>
      </w:r>
      <w:r w:rsidRPr="00975218">
        <w:t xml:space="preserve"> raken aan het artikelniveau in de begrotingen Staten-Generaal (IIA), Overige Hoge Colleges van Staat, Kabinetten van de Gouverneurs en de Kiesraad (IIB), Koninkrijksrelaties (IV), BES-fonds (H), Binnenlandse Zaken en Koninkrijksrelaties (VII), Gemeentefonds (B) en Provinciefonds (C) voor zowel de verplichtingen, de </w:t>
      </w:r>
      <w:r w:rsidRPr="00975218">
        <w:t>uitgaven</w:t>
      </w:r>
      <w:r w:rsidRPr="00975218">
        <w:t xml:space="preserve"> als de ontvangsten. </w:t>
      </w:r>
    </w:p>
    <w:p w:rsidR="00E90BAA" w:rsidP="00E90BAA" w14:paraId="15637A18" w14:textId="77777777"/>
    <w:p w:rsidRPr="00975218" w:rsidR="00E90BAA" w:rsidP="00E90BAA" w14:paraId="244FA829" w14:textId="77777777">
      <w:r w:rsidRPr="00975218">
        <w:t>De hieronder genoemde onderwerpen hebben zich voorgedaan na de besluitvorming over de Najaarsnota 202</w:t>
      </w:r>
      <w:r>
        <w:t>5</w:t>
      </w:r>
      <w:r w:rsidRPr="00975218">
        <w:t xml:space="preserve"> en maken geen onderdeel uit van de tweede suppletoire begrotingen 202</w:t>
      </w:r>
      <w:r>
        <w:t>5</w:t>
      </w:r>
      <w:r w:rsidRPr="00975218">
        <w:t>. De onderwerpen zullen als onderdeel van de realisatie van de begroting 202</w:t>
      </w:r>
      <w:r>
        <w:t>5</w:t>
      </w:r>
      <w:r w:rsidRPr="00975218">
        <w:t xml:space="preserve">, in de </w:t>
      </w:r>
      <w:r w:rsidRPr="00975218">
        <w:t>Slotwet</w:t>
      </w:r>
      <w:r w:rsidRPr="00975218">
        <w:t xml:space="preserve"> 202</w:t>
      </w:r>
      <w:r>
        <w:t>5</w:t>
      </w:r>
      <w:r w:rsidRPr="00975218">
        <w:t xml:space="preserve"> worden verwerkt.</w:t>
      </w:r>
    </w:p>
    <w:p w:rsidR="00E90BAA" w:rsidP="00E90BAA" w14:paraId="1EF304A3" w14:textId="77777777"/>
    <w:p w:rsidRPr="0055708D" w:rsidR="00E90BAA" w:rsidP="00E90BAA" w14:paraId="6C05AF96" w14:textId="77777777">
      <w:pPr>
        <w:pStyle w:val="ListParagraph"/>
        <w:numPr>
          <w:ilvl w:val="0"/>
          <w:numId w:val="5"/>
        </w:numPr>
        <w:rPr>
          <w:b/>
          <w:bCs/>
        </w:rPr>
      </w:pPr>
      <w:r w:rsidRPr="0055708D">
        <w:rPr>
          <w:b/>
          <w:bCs/>
        </w:rPr>
        <w:t>Staten-Generaal (IIA)</w:t>
      </w:r>
    </w:p>
    <w:p w:rsidR="00E90BAA" w:rsidP="00E90BAA" w14:paraId="312E0D8C" w14:textId="77777777"/>
    <w:p w:rsidRPr="00280536" w:rsidR="00E90BAA" w:rsidP="00E90BAA" w14:paraId="4ECA77AB" w14:textId="77777777">
      <w:pPr>
        <w:rPr>
          <w:b/>
          <w:bCs/>
        </w:rPr>
      </w:pPr>
      <w:r w:rsidRPr="00280536">
        <w:rPr>
          <w:b/>
          <w:bCs/>
        </w:rPr>
        <w:t xml:space="preserve">Artikel 4 – </w:t>
      </w:r>
      <w:r>
        <w:rPr>
          <w:b/>
          <w:bCs/>
        </w:rPr>
        <w:t>W</w:t>
      </w:r>
      <w:r w:rsidRPr="00280536">
        <w:rPr>
          <w:b/>
          <w:bCs/>
        </w:rPr>
        <w:t xml:space="preserve">etgeving en controle Eerste en Tweede Kamer </w:t>
      </w:r>
    </w:p>
    <w:p w:rsidRPr="00F27AF4" w:rsidR="00E90BAA" w:rsidP="00E90BAA" w14:paraId="485DC3B9" w14:textId="77777777">
      <w:r w:rsidRPr="00280536">
        <w:t>De verplichtingenstand wordt</w:t>
      </w:r>
      <w:r w:rsidR="007F6C03">
        <w:t xml:space="preserve"> naar verwachting</w:t>
      </w:r>
      <w:r w:rsidRPr="00280536">
        <w:t xml:space="preserve"> met </w:t>
      </w:r>
      <w:r w:rsidRPr="00280536">
        <w:t>circa</w:t>
      </w:r>
      <w:r w:rsidRPr="00280536">
        <w:t xml:space="preserve"> € 50K </w:t>
      </w:r>
      <w:r w:rsidR="00597831">
        <w:t>overschreden</w:t>
      </w:r>
      <w:r w:rsidRPr="00280536">
        <w:t xml:space="preserve"> vanwege een al aangegane verplichting voor 2026 voor het Interparlementair </w:t>
      </w:r>
      <w:r w:rsidRPr="00280536">
        <w:t>Koninkrijksoverleg</w:t>
      </w:r>
      <w:r w:rsidRPr="00280536">
        <w:t xml:space="preserve"> (IPKO). Dit </w:t>
      </w:r>
      <w:r>
        <w:t>leidt niet tot aanpassing van het uitgavenritme in latere jaren.</w:t>
      </w:r>
      <w:r w:rsidRPr="00F27AF4">
        <w:t xml:space="preserve"> </w:t>
      </w:r>
    </w:p>
    <w:p w:rsidR="00E90BAA" w:rsidP="00E90BAA" w14:paraId="502A5990" w14:textId="77777777"/>
    <w:p w:rsidRPr="0055708D" w:rsidR="00E90BAA" w:rsidP="00E90BAA" w14:paraId="03BABC7D" w14:textId="77777777">
      <w:pPr>
        <w:pStyle w:val="ListParagraph"/>
        <w:numPr>
          <w:ilvl w:val="0"/>
          <w:numId w:val="5"/>
        </w:numPr>
        <w:rPr>
          <w:b/>
          <w:bCs/>
        </w:rPr>
      </w:pPr>
      <w:r w:rsidRPr="0055708D">
        <w:rPr>
          <w:b/>
          <w:bCs/>
        </w:rPr>
        <w:t xml:space="preserve">Overige Hoge </w:t>
      </w:r>
      <w:r>
        <w:rPr>
          <w:b/>
          <w:bCs/>
        </w:rPr>
        <w:t>C</w:t>
      </w:r>
      <w:r w:rsidRPr="0055708D">
        <w:rPr>
          <w:b/>
          <w:bCs/>
        </w:rPr>
        <w:t>olleges van Staat, Kabinetten van de Gouverneurs en de Kiesraad (IIB)</w:t>
      </w:r>
    </w:p>
    <w:p w:rsidR="00E90BAA" w:rsidP="00E90BAA" w14:paraId="2DDDAC5A" w14:textId="77777777"/>
    <w:p w:rsidR="00E90BAA" w:rsidP="00E90BAA" w14:paraId="2C29C13A" w14:textId="77777777">
      <w:pPr>
        <w:rPr>
          <w:b/>
          <w:bCs/>
        </w:rPr>
      </w:pPr>
      <w:r>
        <w:rPr>
          <w:b/>
          <w:bCs/>
        </w:rPr>
        <w:t xml:space="preserve">Artikel 3 – Nationale Ombudsman </w:t>
      </w:r>
    </w:p>
    <w:p w:rsidR="00E90BAA" w:rsidP="00E90BAA" w14:paraId="58E6A150" w14:textId="77777777">
      <w:r w:rsidRPr="00280536">
        <w:t xml:space="preserve">Het uitgavenbudget voor de Nationale Ombudsman wordt </w:t>
      </w:r>
      <w:r w:rsidR="007F6C03">
        <w:t xml:space="preserve">naar verwachting </w:t>
      </w:r>
      <w:r w:rsidRPr="00280536">
        <w:t xml:space="preserve">met </w:t>
      </w:r>
      <w:r w:rsidRPr="00280536">
        <w:t>circa</w:t>
      </w:r>
      <w:r w:rsidRPr="00280536">
        <w:t xml:space="preserve"> € 1,2 mln.  </w:t>
      </w:r>
      <w:r w:rsidRPr="00280536">
        <w:t>overschreden</w:t>
      </w:r>
      <w:r w:rsidRPr="00280536">
        <w:t>. Dit komt door de noodzaak van onvoorziene inhuur, hogere kosten (</w:t>
      </w:r>
      <w:r>
        <w:t xml:space="preserve">als gevolg van duurder uitgevallen </w:t>
      </w:r>
      <w:r w:rsidRPr="00280536">
        <w:t xml:space="preserve">offertes) en de </w:t>
      </w:r>
      <w:r>
        <w:t xml:space="preserve">sneller dan voorziene </w:t>
      </w:r>
      <w:r w:rsidRPr="00280536">
        <w:t xml:space="preserve">uitvoering van een project. </w:t>
      </w:r>
    </w:p>
    <w:p w:rsidR="00E90BAA" w:rsidP="00E90BAA" w14:paraId="22C772B3" w14:textId="77777777"/>
    <w:p w:rsidR="00E90BAA" w:rsidP="00E90BAA" w14:paraId="58880170" w14:textId="77777777">
      <w:pPr>
        <w:rPr>
          <w:b/>
          <w:bCs/>
        </w:rPr>
      </w:pPr>
      <w:r>
        <w:rPr>
          <w:b/>
          <w:bCs/>
        </w:rPr>
        <w:t xml:space="preserve">Artikel 8 – Kabinet van de Gouverneur van Sint-Maarten </w:t>
      </w:r>
    </w:p>
    <w:p w:rsidR="00E90BAA" w:rsidP="00E90BAA" w14:paraId="74ABF94E" w14:textId="77777777">
      <w:r>
        <w:t xml:space="preserve">Het uitgavenbudget en verplichtingenbudget van het Kabinet van de Gouverneur van Sint-Maarten wordt </w:t>
      </w:r>
      <w:r w:rsidR="007F6C03">
        <w:t xml:space="preserve">naar verwachting </w:t>
      </w:r>
      <w:r>
        <w:t xml:space="preserve">met </w:t>
      </w:r>
      <w:r>
        <w:t>circa</w:t>
      </w:r>
      <w:r>
        <w:t xml:space="preserve"> € 50K overschreden. Dit komt door onvoorziene kosten voor reparaties aan het kantoorgebouw. </w:t>
      </w:r>
    </w:p>
    <w:p w:rsidR="00E90BAA" w:rsidP="00E90BAA" w14:paraId="04881A74" w14:textId="77777777">
      <w:pPr>
        <w:rPr>
          <w:b/>
          <w:bCs/>
        </w:rPr>
      </w:pPr>
      <w:r>
        <w:rPr>
          <w:b/>
          <w:bCs/>
        </w:rPr>
        <w:t xml:space="preserve">Artikel 9 – Kiesraad </w:t>
      </w:r>
    </w:p>
    <w:p w:rsidR="00E90BAA" w:rsidP="00E90BAA" w14:paraId="746B8404" w14:textId="77777777">
      <w:r w:rsidRPr="00444720">
        <w:t xml:space="preserve">In september 2025 heeft de rechtbank uitspraak gedaan in de bodemprocedure die de Kiesraad aanhangig had gemaakt. De Kiesraad wordt in de uitspraak van de rechtbank in het gelijkgesteld, </w:t>
      </w:r>
      <w:r w:rsidRPr="00444720">
        <w:t>tevens</w:t>
      </w:r>
      <w:r w:rsidRPr="00444720">
        <w:t xml:space="preserve"> blijkt uit dit vonnis dat de leverancier het vooruitbetaalde voorschot dient terug te storten. </w:t>
      </w:r>
      <w:r>
        <w:t xml:space="preserve">Hierdoor heeft de Kiesraad </w:t>
      </w:r>
      <w:r>
        <w:t>circa</w:t>
      </w:r>
      <w:r>
        <w:t xml:space="preserve"> € 3 mln. meer ontvang</w:t>
      </w:r>
      <w:r w:rsidR="007F6C03">
        <w:t>en</w:t>
      </w:r>
      <w:r>
        <w:t xml:space="preserve"> dan geraamd.</w:t>
      </w:r>
    </w:p>
    <w:p w:rsidR="00E90BAA" w:rsidP="00E90BAA" w14:paraId="5BB49047" w14:textId="77777777">
      <w:r w:rsidRPr="006F668C">
        <w:t xml:space="preserve"> </w:t>
      </w:r>
    </w:p>
    <w:p w:rsidRPr="0055708D" w:rsidR="00E90BAA" w:rsidP="00E90BAA" w14:paraId="390FD354" w14:textId="77777777">
      <w:pPr>
        <w:pStyle w:val="ListParagraph"/>
        <w:numPr>
          <w:ilvl w:val="0"/>
          <w:numId w:val="5"/>
        </w:numPr>
        <w:rPr>
          <w:b/>
          <w:bCs/>
        </w:rPr>
      </w:pPr>
      <w:r w:rsidRPr="0055708D">
        <w:rPr>
          <w:b/>
          <w:bCs/>
        </w:rPr>
        <w:t>Koninkrijksrelaties (IV)</w:t>
      </w:r>
    </w:p>
    <w:p w:rsidR="00E90BAA" w:rsidP="00E90BAA" w14:paraId="2F2B07B2" w14:textId="77777777"/>
    <w:p w:rsidRPr="00AC5AA4" w:rsidR="00E90BAA" w:rsidP="00E90BAA" w14:paraId="20D30AC3" w14:textId="77777777">
      <w:pPr>
        <w:rPr>
          <w:b/>
          <w:bCs/>
        </w:rPr>
      </w:pPr>
      <w:r w:rsidRPr="00AC5AA4">
        <w:rPr>
          <w:b/>
          <w:bCs/>
        </w:rPr>
        <w:t>Artikel 5 – Schuldsanering/lopende inschrijving/leningen</w:t>
      </w:r>
    </w:p>
    <w:p w:rsidRPr="00A8629A" w:rsidR="00E90BAA" w:rsidP="00E90BAA" w14:paraId="5B509F2C" w14:textId="77777777">
      <w:r w:rsidRPr="00A8629A">
        <w:t>Door een technische fout is de raming van de renteontvangsten</w:t>
      </w:r>
      <w:r>
        <w:t xml:space="preserve"> </w:t>
      </w:r>
      <w:r w:rsidRPr="00A8629A">
        <w:t>niet correct verwerkt</w:t>
      </w:r>
      <w:r>
        <w:t xml:space="preserve"> in de begroting</w:t>
      </w:r>
      <w:r w:rsidRPr="00A8629A">
        <w:t>. Daarnaast</w:t>
      </w:r>
      <w:r>
        <w:t xml:space="preserve"> heeft Curaçao</w:t>
      </w:r>
      <w:r w:rsidRPr="00A8629A">
        <w:t xml:space="preserve"> incidente</w:t>
      </w:r>
      <w:r>
        <w:t>el</w:t>
      </w:r>
      <w:r w:rsidRPr="00A8629A">
        <w:t xml:space="preserve"> </w:t>
      </w:r>
      <w:r>
        <w:t xml:space="preserve">extra </w:t>
      </w:r>
      <w:r w:rsidRPr="00A8629A">
        <w:t>af</w:t>
      </w:r>
      <w:r>
        <w:t>ge</w:t>
      </w:r>
      <w:r w:rsidRPr="00A8629A">
        <w:t>los</w:t>
      </w:r>
      <w:r>
        <w:t>t op de leningen</w:t>
      </w:r>
      <w:r w:rsidRPr="00A8629A">
        <w:t xml:space="preserve">. </w:t>
      </w:r>
      <w:bookmarkStart w:name="_Hlk216275514" w:id="0"/>
      <w:r w:rsidRPr="00A8629A">
        <w:t xml:space="preserve">Om deze reden </w:t>
      </w:r>
      <w:r w:rsidR="00597831">
        <w:t>zijn</w:t>
      </w:r>
      <w:r w:rsidRPr="00A8629A">
        <w:t xml:space="preserve"> </w:t>
      </w:r>
      <w:r w:rsidR="00A5793C">
        <w:t xml:space="preserve">naar verwachting </w:t>
      </w:r>
      <w:r w:rsidRPr="00A8629A">
        <w:t xml:space="preserve">de ontvangsten in 2025 </w:t>
      </w:r>
      <w:r>
        <w:t>circa</w:t>
      </w:r>
      <w:r>
        <w:t xml:space="preserve"> </w:t>
      </w:r>
      <w:r w:rsidRPr="00A8629A">
        <w:t>€ 1</w:t>
      </w:r>
      <w:r>
        <w:t>10</w:t>
      </w:r>
      <w:r w:rsidRPr="00A8629A">
        <w:t xml:space="preserve"> mln. </w:t>
      </w:r>
      <w:r w:rsidR="00597831">
        <w:t>hoger dan geraamd</w:t>
      </w:r>
      <w:r w:rsidRPr="00A8629A">
        <w:t xml:space="preserve">.  </w:t>
      </w:r>
      <w:bookmarkEnd w:id="0"/>
    </w:p>
    <w:p w:rsidR="00E90BAA" w:rsidP="00E90BAA" w14:paraId="3EF74E00" w14:textId="77777777"/>
    <w:p w:rsidRPr="00AC5AA4" w:rsidR="00E90BAA" w:rsidP="00E90BAA" w14:paraId="307828DF" w14:textId="77777777">
      <w:pPr>
        <w:rPr>
          <w:b/>
          <w:bCs/>
        </w:rPr>
      </w:pPr>
      <w:r w:rsidRPr="00AC5AA4">
        <w:rPr>
          <w:b/>
          <w:bCs/>
        </w:rPr>
        <w:t>Artikel 6 – Apparaat</w:t>
      </w:r>
    </w:p>
    <w:p w:rsidRPr="0055174D" w:rsidR="00E90BAA" w:rsidP="00E90BAA" w14:paraId="0CC4C8CF" w14:textId="77777777">
      <w:r>
        <w:t>Het verplichtingenbudget</w:t>
      </w:r>
      <w:r w:rsidRPr="0055174D">
        <w:t xml:space="preserve"> wordt </w:t>
      </w:r>
      <w:r w:rsidR="007F6C03">
        <w:t xml:space="preserve">naar verwachting </w:t>
      </w:r>
      <w:r w:rsidRPr="0055174D">
        <w:t xml:space="preserve">met </w:t>
      </w:r>
      <w:r w:rsidRPr="0055174D">
        <w:t>circa</w:t>
      </w:r>
      <w:r w:rsidRPr="0055174D">
        <w:t xml:space="preserve"> € 5 mln. o</w:t>
      </w:r>
      <w:r>
        <w:t>verschreden</w:t>
      </w:r>
      <w:r w:rsidRPr="0055174D">
        <w:t>. Dit betreft onder andere het aangaan van meerjarige contracten die op het verplichtingenbudget in 2025 drukken. Dit leidt niet tot meerjarige bijstellingen in de kasraming.</w:t>
      </w:r>
    </w:p>
    <w:p w:rsidR="00E90BAA" w:rsidP="00E90BAA" w14:paraId="74585FD9" w14:textId="77777777"/>
    <w:p w:rsidR="00E90BAA" w:rsidP="00E90BAA" w14:paraId="7D61FFF0" w14:textId="77777777">
      <w:pPr>
        <w:pStyle w:val="ListParagraph"/>
        <w:numPr>
          <w:ilvl w:val="0"/>
          <w:numId w:val="5"/>
        </w:numPr>
        <w:rPr>
          <w:b/>
          <w:bCs/>
        </w:rPr>
      </w:pPr>
      <w:r w:rsidRPr="0055708D">
        <w:rPr>
          <w:b/>
          <w:bCs/>
        </w:rPr>
        <w:t>BES-fonds (H)</w:t>
      </w:r>
    </w:p>
    <w:p w:rsidRPr="004B1C69" w:rsidR="00E90BAA" w:rsidP="00E90BAA" w14:paraId="33A4A0FC" w14:textId="77777777">
      <w:pPr>
        <w:rPr>
          <w:b/>
          <w:bCs/>
        </w:rPr>
      </w:pPr>
    </w:p>
    <w:p w:rsidRPr="00EC6070" w:rsidR="00E90BAA" w:rsidP="00E90BAA" w14:paraId="4DC0B4B2" w14:textId="77777777">
      <w:bookmarkStart w:name="_Hlk216099702" w:id="1"/>
      <w:r>
        <w:t>Er worden geen overschrijdingen verwacht op het BES-fonds.</w:t>
      </w:r>
      <w:bookmarkEnd w:id="1"/>
    </w:p>
    <w:p w:rsidR="00E90BAA" w:rsidP="00E90BAA" w14:paraId="74E0DFA3" w14:textId="77777777"/>
    <w:p w:rsidRPr="00C725DC" w:rsidR="00E90BAA" w:rsidP="00E90BAA" w14:paraId="71F05B49" w14:textId="77777777">
      <w:pPr>
        <w:pStyle w:val="ListParagraph"/>
        <w:numPr>
          <w:ilvl w:val="0"/>
          <w:numId w:val="5"/>
        </w:numPr>
        <w:rPr>
          <w:b/>
          <w:bCs/>
        </w:rPr>
      </w:pPr>
      <w:r w:rsidRPr="0055708D">
        <w:rPr>
          <w:b/>
          <w:bCs/>
        </w:rPr>
        <w:t>Binnenlandse Zaken en Koninkrijksrelaties (VII)</w:t>
      </w:r>
      <w:r w:rsidRPr="00C725DC">
        <w:rPr>
          <w:b/>
          <w:bCs/>
        </w:rPr>
        <w:t xml:space="preserve"> </w:t>
      </w:r>
    </w:p>
    <w:p w:rsidR="00E90BAA" w:rsidP="00E90BAA" w14:paraId="2CEAEF17" w14:textId="77777777"/>
    <w:p w:rsidR="00E90BAA" w:rsidP="00E90BAA" w14:paraId="4BE30AAA" w14:textId="77777777">
      <w:pPr>
        <w:rPr>
          <w:u w:val="single"/>
        </w:rPr>
      </w:pPr>
      <w:r w:rsidRPr="000F707F">
        <w:rPr>
          <w:u w:val="single"/>
        </w:rPr>
        <w:t>Overboekingen naar het Btw-compensatiefonds</w:t>
      </w:r>
    </w:p>
    <w:p w:rsidR="00E90BAA" w:rsidP="00E90BAA" w14:paraId="601CF645" w14:textId="77777777">
      <w:r>
        <w:t xml:space="preserve">Medeoverheden kunnen – </w:t>
      </w:r>
      <w:r>
        <w:t>indien</w:t>
      </w:r>
      <w:r>
        <w:t xml:space="preserve"> zij voldoen aan bepaalde voorwaarden – de door hen betaalde btw terugvragen via het Btw-compensatiefonds (BCF). Vaak kan pas na het toekennen van de jaarlijkse aanvragen bepaald worden welk bedrag overgeboekt moet worden naar het BCF. Daarom vindt er bij </w:t>
      </w:r>
      <w:r>
        <w:t>Slotwet</w:t>
      </w:r>
      <w:r>
        <w:t xml:space="preserve"> 2025 op de volgende regeling nog een overboeking plaats naar het BC</w:t>
      </w:r>
      <w:r w:rsidR="00A5793C">
        <w:t>F</w:t>
      </w:r>
      <w:r>
        <w:t>:</w:t>
      </w:r>
    </w:p>
    <w:p w:rsidRPr="000F707F" w:rsidR="00E90BAA" w:rsidP="00E90BAA" w14:paraId="52209F17" w14:textId="77777777"/>
    <w:p w:rsidR="00E90BAA" w:rsidP="00E90BAA" w14:paraId="48841005" w14:textId="77777777">
      <w:r w:rsidRPr="000F707F">
        <w:t>Artikel 15 – Een veilig Groningen met perspectief</w:t>
      </w:r>
    </w:p>
    <w:p w:rsidRPr="000F707F" w:rsidR="00E90BAA" w:rsidP="00E90BAA" w14:paraId="0D67616B" w14:textId="77777777">
      <w:pPr>
        <w:pStyle w:val="ListParagraph"/>
        <w:numPr>
          <w:ilvl w:val="0"/>
          <w:numId w:val="6"/>
        </w:numPr>
      </w:pPr>
      <w:r>
        <w:t>11</w:t>
      </w:r>
      <w:r w:rsidRPr="0050347F">
        <w:rPr>
          <w:vertAlign w:val="superscript"/>
        </w:rPr>
        <w:t>e</w:t>
      </w:r>
      <w:r>
        <w:t xml:space="preserve"> tranche Nationaal Programma Groningen </w:t>
      </w:r>
      <w:r>
        <w:tab/>
      </w:r>
      <w:r>
        <w:tab/>
        <w:t xml:space="preserve">€ 1,818 mln. </w:t>
      </w:r>
    </w:p>
    <w:p w:rsidR="00E90BAA" w:rsidP="00E90BAA" w14:paraId="5210F1EE" w14:textId="77777777"/>
    <w:p w:rsidRPr="000F707F" w:rsidR="00E90BAA" w:rsidP="00E90BAA" w14:paraId="6F1E09CE" w14:textId="77777777">
      <w:pPr>
        <w:rPr>
          <w:b/>
          <w:bCs/>
        </w:rPr>
      </w:pPr>
      <w:r w:rsidRPr="000F707F">
        <w:rPr>
          <w:b/>
          <w:bCs/>
        </w:rPr>
        <w:t>Artikel 6 – Overheidsdienstverlening en informatiesamenleving</w:t>
      </w:r>
    </w:p>
    <w:p w:rsidR="00E90BAA" w:rsidP="00E90BAA" w14:paraId="6E6B1593" w14:textId="77777777">
      <w:r w:rsidRPr="00115978">
        <w:t xml:space="preserve">Het verplichtingenbudget op artikel 6 </w:t>
      </w:r>
      <w:r>
        <w:t>wordt mogelijk</w:t>
      </w:r>
      <w:r w:rsidRPr="00115978">
        <w:t xml:space="preserve"> met </w:t>
      </w:r>
      <w:r w:rsidRPr="00115978">
        <w:t>circa</w:t>
      </w:r>
      <w:r w:rsidRPr="00115978">
        <w:t xml:space="preserve"> € 6 mln. </w:t>
      </w:r>
      <w:r>
        <w:t>overschreden</w:t>
      </w:r>
      <w:r w:rsidRPr="00115978">
        <w:t xml:space="preserve"> als gevolg van diverse subsidies o.a. in het kader van Overheidsdienstverlening en bijdragen o.a. aan ICTU in het kader van de Nederlandse Digitaliseringsstrategie (NDS).</w:t>
      </w:r>
    </w:p>
    <w:p w:rsidR="00E90BAA" w:rsidP="00E90BAA" w14:paraId="1D279E6B" w14:textId="77777777"/>
    <w:p w:rsidR="00E90BAA" w:rsidP="00E90BAA" w14:paraId="13F525A6" w14:textId="77777777">
      <w:pPr>
        <w:rPr>
          <w:b/>
          <w:bCs/>
        </w:rPr>
      </w:pPr>
      <w:r>
        <w:rPr>
          <w:b/>
          <w:bCs/>
        </w:rPr>
        <w:t>Artikel 11- apparaat</w:t>
      </w:r>
    </w:p>
    <w:p w:rsidRPr="007F4AA9" w:rsidR="00E90BAA" w:rsidP="00E90BAA" w14:paraId="3EB1FC50" w14:textId="77777777">
      <w:pPr>
        <w:pStyle w:val="NoSpacing"/>
      </w:pPr>
      <w:bookmarkStart w:name="_Hlk216108767" w:id="2"/>
      <w:r>
        <w:t xml:space="preserve">Het </w:t>
      </w:r>
      <w:r w:rsidRPr="007F4AA9">
        <w:t>verplichting</w:t>
      </w:r>
      <w:r>
        <w:t>budget</w:t>
      </w:r>
      <w:r w:rsidRPr="007F4AA9">
        <w:t xml:space="preserve"> </w:t>
      </w:r>
      <w:r>
        <w:t>wordt mogelijk met</w:t>
      </w:r>
      <w:r w:rsidRPr="007F4AA9">
        <w:t xml:space="preserve"> </w:t>
      </w:r>
      <w:r w:rsidRPr="007F4AA9">
        <w:t>circa</w:t>
      </w:r>
      <w:r w:rsidRPr="007F4AA9">
        <w:t xml:space="preserve"> € 10 mln. </w:t>
      </w:r>
      <w:r>
        <w:t>overschreden.</w:t>
      </w:r>
      <w:r w:rsidRPr="007F4AA9">
        <w:t xml:space="preserve"> Dit komt met name door de hogere kosten voor bedrijfsvoering </w:t>
      </w:r>
      <w:r>
        <w:t>door</w:t>
      </w:r>
      <w:r w:rsidRPr="007F4AA9">
        <w:t xml:space="preserve"> tussentijdse tariefwijzigingen van dienstverleners</w:t>
      </w:r>
      <w:r>
        <w:t xml:space="preserve"> en </w:t>
      </w:r>
      <w:r w:rsidRPr="007F4AA9">
        <w:t>het aangaan van contracten externe inhuur voor volgend jaar waarvan de verplichting dit jaar aangegaan moet worden</w:t>
      </w:r>
      <w:r>
        <w:t>.</w:t>
      </w:r>
    </w:p>
    <w:bookmarkEnd w:id="2"/>
    <w:p w:rsidRPr="00DD5364" w:rsidR="00E90BAA" w:rsidP="00E90BAA" w14:paraId="4D296CF1" w14:textId="77777777">
      <w:pPr>
        <w:pStyle w:val="NoSpacing"/>
        <w:rPr>
          <w:b/>
          <w:bCs/>
          <w:highlight w:val="yellow"/>
        </w:rPr>
      </w:pPr>
    </w:p>
    <w:p w:rsidRPr="002F1B2A" w:rsidR="00E90BAA" w:rsidP="00E90BAA" w14:paraId="49453843" w14:textId="77777777">
      <w:pPr>
        <w:pStyle w:val="NoSpacing"/>
        <w:rPr>
          <w:b/>
          <w:bCs/>
          <w:u w:val="single"/>
        </w:rPr>
      </w:pPr>
      <w:r>
        <w:t xml:space="preserve">De ontvangsten zijn naar verwachting </w:t>
      </w:r>
      <w:r>
        <w:t>circa</w:t>
      </w:r>
      <w:r>
        <w:t xml:space="preserve"> € 22 mln. lager dan </w:t>
      </w:r>
      <w:bookmarkStart w:name="_Hlk216108941" w:id="3"/>
      <w:r>
        <w:t>geraamd.</w:t>
      </w:r>
      <w:bookmarkEnd w:id="3"/>
      <w:r>
        <w:t xml:space="preserve"> Dit is het gevolg van het niet tijdig ontvangen van factuurbetalingen van de </w:t>
      </w:r>
      <w:bookmarkStart w:name="_Hlk216108880" w:id="4"/>
      <w:r>
        <w:t>Rijksorganisatie voor Informatiehuishouding (</w:t>
      </w:r>
      <w:r>
        <w:t>RvIHH</w:t>
      </w:r>
      <w:r>
        <w:t>)</w:t>
      </w:r>
      <w:bookmarkEnd w:id="4"/>
      <w:r>
        <w:t>. De niet ontvangen ontvangsten schuiven door naar 2026.</w:t>
      </w:r>
    </w:p>
    <w:p w:rsidRPr="000F707F" w:rsidR="00E90BAA" w:rsidP="00E90BAA" w14:paraId="7F8C2C97" w14:textId="77777777">
      <w:pPr>
        <w:rPr>
          <w:b/>
          <w:bCs/>
        </w:rPr>
      </w:pPr>
    </w:p>
    <w:p w:rsidR="00E90BAA" w:rsidP="00E90BAA" w14:paraId="3F979D48" w14:textId="77777777">
      <w:r w:rsidRPr="000F707F">
        <w:rPr>
          <w:b/>
          <w:bCs/>
        </w:rPr>
        <w:t xml:space="preserve">Artikel 15 – </w:t>
      </w:r>
      <w:bookmarkStart w:name="_Hlk216100035" w:id="5"/>
      <w:r w:rsidRPr="000F707F">
        <w:rPr>
          <w:b/>
          <w:bCs/>
        </w:rPr>
        <w:t>Een veilig Groningen met perspectie</w:t>
      </w:r>
      <w:r w:rsidRPr="00923F9A">
        <w:rPr>
          <w:b/>
          <w:bCs/>
        </w:rPr>
        <w:t>f</w:t>
      </w:r>
      <w:bookmarkEnd w:id="5"/>
    </w:p>
    <w:p w:rsidR="00E90BAA" w:rsidP="00E90BAA" w14:paraId="3679B9E2" w14:textId="77777777">
      <w:pPr>
        <w:rPr>
          <w:b/>
          <w:bCs/>
        </w:rPr>
      </w:pPr>
      <w:r>
        <w:t>D</w:t>
      </w:r>
      <w:bookmarkStart w:name="_Hlk216100083" w:id="6"/>
      <w:r w:rsidRPr="000F707F">
        <w:t>e</w:t>
      </w:r>
      <w:r>
        <w:t xml:space="preserve"> </w:t>
      </w:r>
      <w:r w:rsidRPr="000F707F">
        <w:t>ontvangsten</w:t>
      </w:r>
      <w:r>
        <w:t xml:space="preserve"> afkomstig van de</w:t>
      </w:r>
      <w:r w:rsidRPr="000F707F">
        <w:t xml:space="preserve"> NAM</w:t>
      </w:r>
      <w:r>
        <w:t xml:space="preserve"> </w:t>
      </w:r>
      <w:r w:rsidRPr="000F707F">
        <w:t xml:space="preserve">voor de kosten voor schade en versterken Groningen zijn naar verwachting </w:t>
      </w:r>
      <w:r>
        <w:t>circa</w:t>
      </w:r>
      <w:r>
        <w:t xml:space="preserve"> € </w:t>
      </w:r>
      <w:r w:rsidRPr="000F707F">
        <w:t>156 mln</w:t>
      </w:r>
      <w:r>
        <w:t>.</w:t>
      </w:r>
      <w:r w:rsidRPr="000F707F">
        <w:t xml:space="preserve"> lager dan </w:t>
      </w:r>
      <w:r>
        <w:t>geraamd</w:t>
      </w:r>
      <w:r w:rsidRPr="000F707F">
        <w:t>. De uitgaven voor de schadeafhandeling en versterkingsoperatie worden via een heffing bij de NAM in rekening gebracht. Als gevolg van lager gerealiseerde uitgaven bij</w:t>
      </w:r>
      <w:r>
        <w:t xml:space="preserve"> het</w:t>
      </w:r>
      <w:r w:rsidRPr="000F707F">
        <w:t xml:space="preserve"> IMG</w:t>
      </w:r>
      <w:r>
        <w:t xml:space="preserve"> in 2024</w:t>
      </w:r>
      <w:r w:rsidRPr="000F707F">
        <w:t xml:space="preserve"> zijn de verwachte ontvangsten </w:t>
      </w:r>
      <w:r>
        <w:t xml:space="preserve">voor 2025 </w:t>
      </w:r>
      <w:r w:rsidRPr="000F707F">
        <w:t>ook lager</w:t>
      </w:r>
      <w:r w:rsidRPr="00A5793C">
        <w:t>.</w:t>
      </w:r>
    </w:p>
    <w:bookmarkEnd w:id="6"/>
    <w:p w:rsidRPr="000F707F" w:rsidR="00E90BAA" w:rsidP="00E90BAA" w14:paraId="76DCEE10" w14:textId="77777777">
      <w:pPr>
        <w:rPr>
          <w:b/>
          <w:bCs/>
        </w:rPr>
      </w:pPr>
    </w:p>
    <w:p w:rsidRPr="009B4634" w:rsidR="00E90BAA" w:rsidP="00E90BAA" w14:paraId="14A5C949" w14:textId="77777777">
      <w:pPr>
        <w:autoSpaceDN/>
        <w:spacing w:line="240" w:lineRule="auto"/>
        <w:textAlignment w:val="auto"/>
        <w:rPr>
          <w:rFonts w:eastAsia="Times New Roman" w:cs="Times New Roman"/>
        </w:rPr>
      </w:pPr>
      <w:bookmarkStart w:name="_Hlk216100146" w:id="7"/>
      <w:r w:rsidRPr="009B4634">
        <w:rPr>
          <w:rFonts w:eastAsia="Times New Roman" w:cs="Times New Roman"/>
        </w:rPr>
        <w:t xml:space="preserve">De ontvangsten afkomstig van de NAM voor het Nationaal Programma Groningen zijn naar verwachting </w:t>
      </w:r>
      <w:r w:rsidRPr="009B4634">
        <w:rPr>
          <w:rFonts w:eastAsia="Times New Roman" w:cs="Times New Roman"/>
        </w:rPr>
        <w:t>circa</w:t>
      </w:r>
      <w:r w:rsidRPr="009B4634">
        <w:rPr>
          <w:rFonts w:eastAsia="Times New Roman" w:cs="Times New Roman"/>
        </w:rPr>
        <w:t xml:space="preserve"> € 25 mln. lager dan geraamd, omdat de NAM heeft aangegeven de factuur niet te zullen betalen. De Staat onderzoekt op dit moment de juridische mogelijkheden om de betaling af te dwingen. </w:t>
      </w:r>
      <w:bookmarkEnd w:id="7"/>
      <w:r w:rsidRPr="009B4634">
        <w:rPr>
          <w:rFonts w:eastAsia="Times New Roman" w:cs="Times New Roman"/>
        </w:rPr>
        <w:t> </w:t>
      </w:r>
    </w:p>
    <w:p w:rsidRPr="009B4634" w:rsidR="00E90BAA" w:rsidP="00E90BAA" w14:paraId="3727B788" w14:textId="77777777">
      <w:pPr>
        <w:autoSpaceDN/>
        <w:spacing w:line="240" w:lineRule="auto"/>
        <w:textAlignment w:val="auto"/>
        <w:rPr>
          <w:rFonts w:eastAsia="Times New Roman" w:cs="Times New Roman"/>
        </w:rPr>
      </w:pPr>
    </w:p>
    <w:p w:rsidRPr="009B4634" w:rsidR="00E90BAA" w:rsidP="00E90BAA" w14:paraId="09B8B739" w14:textId="77777777">
      <w:pPr>
        <w:autoSpaceDN/>
        <w:spacing w:line="240" w:lineRule="auto"/>
        <w:textAlignment w:val="auto"/>
        <w:rPr>
          <w:rFonts w:eastAsia="Times New Roman" w:cs="Times New Roman"/>
        </w:rPr>
      </w:pPr>
      <w:r w:rsidRPr="009B4634">
        <w:rPr>
          <w:rFonts w:eastAsia="Times New Roman" w:cs="Times New Roman"/>
        </w:rPr>
        <w:t xml:space="preserve">De verplichtingenruimte </w:t>
      </w:r>
      <w:r>
        <w:rPr>
          <w:rFonts w:eastAsia="Times New Roman" w:cs="Times New Roman"/>
        </w:rPr>
        <w:t>op artikel 15 w</w:t>
      </w:r>
      <w:r w:rsidRPr="009B4634">
        <w:rPr>
          <w:rFonts w:eastAsia="Times New Roman" w:cs="Times New Roman"/>
        </w:rPr>
        <w:t>ordt</w:t>
      </w:r>
      <w:r w:rsidR="007F6C03">
        <w:rPr>
          <w:rFonts w:eastAsia="Times New Roman" w:cs="Times New Roman"/>
        </w:rPr>
        <w:t xml:space="preserve"> naar verwachting</w:t>
      </w:r>
      <w:r w:rsidRPr="009B4634">
        <w:rPr>
          <w:rFonts w:eastAsia="Times New Roman" w:cs="Times New Roman"/>
        </w:rPr>
        <w:t xml:space="preserve"> in 2025 met </w:t>
      </w:r>
      <w:r w:rsidRPr="009B4634">
        <w:rPr>
          <w:rFonts w:eastAsia="Times New Roman" w:cs="Times New Roman"/>
        </w:rPr>
        <w:t>circa</w:t>
      </w:r>
      <w:r w:rsidRPr="009B4634">
        <w:rPr>
          <w:rFonts w:eastAsia="Times New Roman" w:cs="Times New Roman"/>
        </w:rPr>
        <w:t xml:space="preserve"> € 21 mln. overschreden. Reden hiervoor is dat er per abuis</w:t>
      </w:r>
      <w:r>
        <w:rPr>
          <w:rFonts w:eastAsia="Times New Roman" w:cs="Times New Roman"/>
        </w:rPr>
        <w:t xml:space="preserve"> </w:t>
      </w:r>
      <w:r w:rsidRPr="009B4634">
        <w:rPr>
          <w:rFonts w:eastAsia="Times New Roman" w:cs="Times New Roman"/>
        </w:rPr>
        <w:t>minder verplichtingenbudget beschikbaar is dan kasbudget</w:t>
      </w:r>
      <w:r>
        <w:rPr>
          <w:rFonts w:eastAsia="Times New Roman" w:cs="Times New Roman"/>
        </w:rPr>
        <w:t xml:space="preserve"> voor </w:t>
      </w:r>
      <w:r w:rsidRPr="009B4634">
        <w:rPr>
          <w:rFonts w:eastAsia="Times New Roman" w:cs="Times New Roman"/>
        </w:rPr>
        <w:t>de bijdrage aan clustering en</w:t>
      </w:r>
      <w:r>
        <w:rPr>
          <w:rFonts w:eastAsia="Times New Roman" w:cs="Times New Roman"/>
        </w:rPr>
        <w:t xml:space="preserve"> gebiedsfonds.</w:t>
      </w:r>
    </w:p>
    <w:p w:rsidRPr="00632E73" w:rsidR="00E90BAA" w:rsidP="00E90BAA" w14:paraId="0E59BEE1" w14:textId="77777777">
      <w:pPr>
        <w:autoSpaceDN/>
        <w:spacing w:line="240" w:lineRule="auto"/>
        <w:textAlignment w:val="auto"/>
        <w:rPr>
          <w:rFonts w:ascii="Aptos Narrow" w:hAnsi="Aptos Narrow" w:eastAsia="Times New Roman" w:cs="Times New Roman"/>
          <w:sz w:val="22"/>
          <w:szCs w:val="22"/>
        </w:rPr>
      </w:pPr>
    </w:p>
    <w:p w:rsidRPr="00472131" w:rsidR="00E90BAA" w:rsidP="00E90BAA" w14:paraId="23FC87EB" w14:textId="77777777">
      <w:pPr>
        <w:pStyle w:val="ListParagraph"/>
        <w:numPr>
          <w:ilvl w:val="0"/>
          <w:numId w:val="5"/>
        </w:numPr>
      </w:pPr>
      <w:r w:rsidRPr="001D5C74">
        <w:rPr>
          <w:b/>
          <w:bCs/>
        </w:rPr>
        <w:t xml:space="preserve">Gemeentefonds (B) </w:t>
      </w:r>
      <w:bookmarkStart w:name="_Hlk216099680" w:id="8"/>
    </w:p>
    <w:p w:rsidRPr="00482EB2" w:rsidR="00E90BAA" w:rsidP="00E90BAA" w14:paraId="29F71578" w14:textId="77777777"/>
    <w:p w:rsidRPr="00EC6070" w:rsidR="00E90BAA" w:rsidP="00E90BAA" w14:paraId="06FF60EF" w14:textId="77777777">
      <w:r w:rsidRPr="004B1C69">
        <w:t>Er worden geen overschrijdingen verwacht op het gemeentefonds.</w:t>
      </w:r>
    </w:p>
    <w:bookmarkEnd w:id="8"/>
    <w:p w:rsidR="00E90BAA" w:rsidP="00E90BAA" w14:paraId="0E36571E" w14:textId="77777777">
      <w:pPr>
        <w:spacing w:line="240" w:lineRule="auto"/>
      </w:pPr>
    </w:p>
    <w:p w:rsidRPr="000B456B" w:rsidR="00E90BAA" w:rsidP="00E90BAA" w14:paraId="55B8C668" w14:textId="77777777">
      <w:pPr>
        <w:pStyle w:val="ListParagraph"/>
        <w:numPr>
          <w:ilvl w:val="0"/>
          <w:numId w:val="5"/>
        </w:numPr>
        <w:spacing w:line="240" w:lineRule="auto"/>
        <w:rPr>
          <w:b/>
          <w:bCs/>
        </w:rPr>
      </w:pPr>
      <w:r w:rsidRPr="000B456B">
        <w:rPr>
          <w:b/>
          <w:bCs/>
        </w:rPr>
        <w:t>Provinciefonds (C)</w:t>
      </w:r>
    </w:p>
    <w:p w:rsidR="00E90BAA" w:rsidP="00E90BAA" w14:paraId="2CA05993" w14:textId="77777777"/>
    <w:p w:rsidRPr="00472131" w:rsidR="00E90BAA" w:rsidP="00E90BAA" w14:paraId="1E99356B" w14:textId="77777777">
      <w:bookmarkStart w:name="_Hlk216100176" w:id="9"/>
      <w:r w:rsidRPr="00472131">
        <w:t>Vanuit het ministerie van I&amp;W wordt er voor het uitkeringsjaar 2025 een bijdrage gedaan van € 7 mln. aan de provincie Limburg middels een decentralisatie-uitkering via het provinciefonds, ten behoeve voor gedecentraliseerde treindiensten. Bij het opstellen van de Najaarsnota was er nog geen duidelijkheid over de bijdrage. Met de provincie is begin november overeenstemming bereikt over de definitieve afspraken.</w:t>
      </w:r>
    </w:p>
    <w:bookmarkEnd w:id="9"/>
    <w:p w:rsidRPr="001D5C74" w:rsidR="00E90BAA" w:rsidP="00E90BAA" w14:paraId="76A31B9D" w14:textId="77777777"/>
    <w:p w:rsidR="00E90BAA" w:rsidP="00E90BAA" w14:paraId="6A675CC1" w14:textId="77777777"/>
    <w:p w:rsidR="00E90BAA" w:rsidP="00E90BAA" w14:paraId="1A5E48BC" w14:textId="77777777">
      <w:r>
        <w:t xml:space="preserve">Mede namens de </w:t>
      </w:r>
      <w:r w:rsidR="00FC102A">
        <w:t>s</w:t>
      </w:r>
      <w:r>
        <w:t>taatssecretaris van Binnenlandse Zaken en Koninkrijksrelaties</w:t>
      </w:r>
      <w:r w:rsidR="00EC7BE8">
        <w:t>,</w:t>
      </w:r>
    </w:p>
    <w:p w:rsidR="00E90BAA" w:rsidP="00E90BAA" w14:paraId="2E190800" w14:textId="77777777"/>
    <w:p w:rsidR="00E90BAA" w:rsidP="00E90BAA" w14:paraId="1154A837" w14:textId="77777777"/>
    <w:p w:rsidR="00E90BAA" w:rsidP="00E90BAA" w14:paraId="77C61301" w14:textId="77777777">
      <w:r>
        <w:t xml:space="preserve">De </w:t>
      </w:r>
      <w:r w:rsidR="00FC102A">
        <w:t>m</w:t>
      </w:r>
      <w:r>
        <w:t>inister van Binnenlandse Zaken en Koninkrijksrelaties,</w:t>
      </w:r>
    </w:p>
    <w:p w:rsidR="00E90BAA" w:rsidP="00E90BAA" w14:paraId="04D40314" w14:textId="77777777"/>
    <w:p w:rsidR="00E90BAA" w:rsidP="00E90BAA" w14:paraId="5486D787" w14:textId="77777777"/>
    <w:p w:rsidR="00E90BAA" w:rsidP="00E90BAA" w14:paraId="540737E6" w14:textId="77777777"/>
    <w:p w:rsidR="00E90BAA" w:rsidP="00E90BAA" w14:paraId="33F854F0" w14:textId="77777777"/>
    <w:p w:rsidR="00E90BAA" w:rsidP="00E90BAA" w14:paraId="58DF419E" w14:textId="77777777"/>
    <w:p w:rsidR="00E90BAA" w:rsidP="00E90BAA" w14:paraId="07E540B7" w14:textId="77777777"/>
    <w:p w:rsidR="00E90BAA" w:rsidP="00E90BAA" w14:paraId="00F058B1" w14:textId="77777777">
      <w:r>
        <w:t>F. Rijkaart</w:t>
      </w:r>
    </w:p>
    <w:p w:rsidR="00E90BAA" w:rsidP="00E90BAA" w14:paraId="1F873839" w14:textId="77777777"/>
    <w:p w:rsidR="00ED5473" w:rsidP="00E90BAA" w14:paraId="2184A5D9" w14:textId="77777777"/>
    <w:sectPr>
      <w:headerReference w:type="default" r:id="rId6"/>
      <w:footerReference w:type="default" r:id="rId7"/>
      <w:headerReference w:type="first" r:id="rId8"/>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5473" w14:paraId="79864986"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5473" w14:paraId="2597F5F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B24CD"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1B24CD" w14:paraId="6072CE88"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D5473" w14:textId="77777777">
                          <w:pPr>
                            <w:pStyle w:val="Referentiegegevensbold"/>
                          </w:pPr>
                          <w:r>
                            <w:t>Ministerie van Binnenlandse Zaken en Koninkrijksrelaties</w:t>
                          </w:r>
                        </w:p>
                        <w:p w:rsidR="00ED5473" w14:textId="77777777">
                          <w:pPr>
                            <w:pStyle w:val="WitregelW2"/>
                          </w:pPr>
                        </w:p>
                        <w:p w:rsidR="00ED5473" w14:textId="77777777">
                          <w:pPr>
                            <w:pStyle w:val="Referentiegegevensbold"/>
                          </w:pPr>
                          <w:r>
                            <w:t>Datum</w:t>
                          </w:r>
                        </w:p>
                        <w:p w:rsidR="00ED5473" w14:textId="77777777">
                          <w:pPr>
                            <w:pStyle w:val="WitregelW1"/>
                          </w:pPr>
                        </w:p>
                        <w:p w:rsidR="003D3E11" w:rsidRPr="003D3E11" w:rsidP="003D3E11" w14:textId="77777777"/>
                        <w:p w:rsidR="00ED5473" w14:textId="77777777">
                          <w:pPr>
                            <w:pStyle w:val="Referentiegegevensbold"/>
                          </w:pPr>
                          <w:r>
                            <w:t>Onze referentie</w:t>
                          </w:r>
                        </w:p>
                        <w:p w:rsidR="0050312C" w14:textId="77777777">
                          <w:pPr>
                            <w:pStyle w:val="Referentiegegevens"/>
                          </w:pPr>
                          <w:r>
                            <w:fldChar w:fldCharType="begin"/>
                          </w:r>
                          <w:r>
                            <w:instrText xml:space="preserve"> DOCPROPERTY  "Kenmerk"  \* MERGEFORMAT </w:instrText>
                          </w:r>
                          <w:r>
                            <w:fldChar w:fldCharType="separate"/>
                          </w:r>
                          <w:r w:rsidR="0086709C">
                            <w:t>2025-0000693132</w:t>
                          </w:r>
                          <w:r w:rsidR="0086709C">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ED5473" w14:paraId="150FF972" w14:textId="77777777">
                    <w:pPr>
                      <w:pStyle w:val="Referentiegegevensbold"/>
                    </w:pPr>
                    <w:r>
                      <w:t>Ministerie van Binnenlandse Zaken en Koninkrijksrelaties</w:t>
                    </w:r>
                  </w:p>
                  <w:p w:rsidR="00ED5473" w14:paraId="20E155A5" w14:textId="77777777">
                    <w:pPr>
                      <w:pStyle w:val="WitregelW2"/>
                    </w:pPr>
                  </w:p>
                  <w:p w:rsidR="00ED5473" w14:paraId="7F9F5C80" w14:textId="77777777">
                    <w:pPr>
                      <w:pStyle w:val="Referentiegegevensbold"/>
                    </w:pPr>
                    <w:r>
                      <w:t>Datum</w:t>
                    </w:r>
                  </w:p>
                  <w:p w:rsidR="00ED5473" w14:paraId="1FAC983B" w14:textId="77777777">
                    <w:pPr>
                      <w:pStyle w:val="WitregelW1"/>
                    </w:pPr>
                  </w:p>
                  <w:p w:rsidR="003D3E11" w:rsidRPr="003D3E11" w:rsidP="003D3E11" w14:paraId="3B58E17B" w14:textId="77777777"/>
                  <w:p w:rsidR="00ED5473" w14:paraId="5BCF018D" w14:textId="77777777">
                    <w:pPr>
                      <w:pStyle w:val="Referentiegegevensbold"/>
                    </w:pPr>
                    <w:r>
                      <w:t>Onze referentie</w:t>
                    </w:r>
                  </w:p>
                  <w:p w:rsidR="0050312C" w14:paraId="2F7B5E35" w14:textId="77777777">
                    <w:pPr>
                      <w:pStyle w:val="Referentiegegevens"/>
                    </w:pPr>
                    <w:r>
                      <w:fldChar w:fldCharType="begin"/>
                    </w:r>
                    <w:r>
                      <w:instrText xml:space="preserve"> DOCPROPERTY  "Kenmerk"  \* MERGEFORMAT </w:instrText>
                    </w:r>
                    <w:r>
                      <w:fldChar w:fldCharType="separate"/>
                    </w:r>
                    <w:r w:rsidR="0086709C">
                      <w:t>2025-0000693132</w:t>
                    </w:r>
                    <w:r w:rsidR="0086709C">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B24CD"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1B24CD" w14:paraId="042E6C7A"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0312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50312C" w14:paraId="2DFAA00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5473" w14:paraId="62A4FA43"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D5473" w14:textId="77777777">
                          <w:pPr>
                            <w:spacing w:line="240" w:lineRule="auto"/>
                          </w:pPr>
                          <w:r>
                            <w:rPr>
                              <w:noProof/>
                            </w:rPr>
                            <w:drawing>
                              <wp:inline distT="0" distB="0" distL="0" distR="0">
                                <wp:extent cx="467995" cy="1583865"/>
                                <wp:effectExtent l="0" t="0" r="0" b="0"/>
                                <wp:docPr id="97508609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7508609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ED5473" w14:paraId="73612E79"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D5473" w14:textId="77777777">
                          <w:pPr>
                            <w:spacing w:line="240" w:lineRule="auto"/>
                          </w:pPr>
                          <w:r>
                            <w:rPr>
                              <w:noProof/>
                            </w:rPr>
                            <w:drawing>
                              <wp:inline distT="0" distB="0" distL="0" distR="0">
                                <wp:extent cx="2339975" cy="1582834"/>
                                <wp:effectExtent l="0" t="0" r="0" b="0"/>
                                <wp:docPr id="113257600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3257600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ED5473" w14:paraId="383C58FD"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D547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ED5473" w14:paraId="5F7E6219"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978535</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D5473" w14:textId="77777777">
                          <w:r>
                            <w:t xml:space="preserve"> </w:t>
                          </w:r>
                          <w:r w:rsidRPr="008D476A">
                            <w:t xml:space="preserve">Aan de Voorzitter van de </w:t>
                          </w:r>
                          <w:r w:rsidR="001B24CD">
                            <w:t>Tweede Kamer der Staten-Generaal</w:t>
                          </w:r>
                        </w:p>
                        <w:p w:rsidR="008D476A" w14:textId="77777777">
                          <w:r>
                            <w:t xml:space="preserve">Postbus 20018  </w:t>
                          </w:r>
                        </w:p>
                        <w:p w:rsidR="00ED5473"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7.05pt;mso-position-horizontal-relative:page;mso-wrap-distance-bottom:0;mso-wrap-distance-left:0;mso-wrap-distance-right:0;mso-wrap-distance-top:0;mso-wrap-style:square;position:absolute;v-text-anchor:top;visibility:visible;z-index:251673600" filled="f" stroked="f">
              <v:textbox inset="0,0,0,0">
                <w:txbxContent>
                  <w:p w:rsidR="00ED5473" w14:paraId="4D39DAF5" w14:textId="77777777">
                    <w:r>
                      <w:t xml:space="preserve"> </w:t>
                    </w:r>
                    <w:r w:rsidRPr="008D476A">
                      <w:t xml:space="preserve">Aan de Voorzitter van de </w:t>
                    </w:r>
                    <w:r w:rsidR="001B24CD">
                      <w:t>Tweede Kamer der Staten-Generaal</w:t>
                    </w:r>
                  </w:p>
                  <w:p w:rsidR="008D476A" w14:paraId="3F91CD7C" w14:textId="77777777">
                    <w:r>
                      <w:t xml:space="preserve">Postbus 20018  </w:t>
                    </w:r>
                  </w:p>
                  <w:p w:rsidR="00ED5473" w14:paraId="5784D7C6"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7620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62000"/>
                      </a:xfrm>
                      <a:prstGeom prst="rect">
                        <a:avLst/>
                      </a:prstGeom>
                      <a:noFill/>
                    </wps:spPr>
                    <wps:txbx>
                      <w:txbxContent>
                        <w:tbl>
                          <w:tblPr>
                            <w:tblW w:w="0" w:type="auto"/>
                            <w:tblInd w:w="-120" w:type="dxa"/>
                            <w:tblLayout w:type="fixed"/>
                            <w:tblLook w:val="07E0"/>
                          </w:tblPr>
                          <w:tblGrid>
                            <w:gridCol w:w="1140"/>
                            <w:gridCol w:w="5918"/>
                          </w:tblGrid>
                          <w:tr w14:paraId="31ED13B2" w14:textId="77777777">
                            <w:tblPrEx>
                              <w:tblW w:w="0" w:type="auto"/>
                              <w:tblInd w:w="-120" w:type="dxa"/>
                              <w:tblLayout w:type="fixed"/>
                              <w:tblLook w:val="07E0"/>
                            </w:tblPrEx>
                            <w:trPr>
                              <w:trHeight w:val="240"/>
                            </w:trPr>
                            <w:tc>
                              <w:tcPr>
                                <w:tcW w:w="1140" w:type="dxa"/>
                              </w:tcPr>
                              <w:p w:rsidR="00ED5473" w14:textId="77777777">
                                <w:r>
                                  <w:t>Datum</w:t>
                                </w:r>
                              </w:p>
                            </w:tc>
                            <w:tc>
                              <w:tcPr>
                                <w:tcW w:w="5918" w:type="dxa"/>
                              </w:tcPr>
                              <w:p w:rsidR="00ED5473" w14:textId="76C57832">
                                <w:r>
                                  <w:t>15 december 2025</w:t>
                                </w:r>
                              </w:p>
                            </w:tc>
                          </w:tr>
                          <w:tr w14:paraId="35D14EE9" w14:textId="77777777">
                            <w:tblPrEx>
                              <w:tblW w:w="0" w:type="auto"/>
                              <w:tblInd w:w="-120" w:type="dxa"/>
                              <w:tblLayout w:type="fixed"/>
                              <w:tblLook w:val="07E0"/>
                            </w:tblPrEx>
                            <w:trPr>
                              <w:trHeight w:val="240"/>
                            </w:trPr>
                            <w:tc>
                              <w:tcPr>
                                <w:tcW w:w="1140" w:type="dxa"/>
                              </w:tcPr>
                              <w:p w:rsidR="00ED5473" w14:textId="77777777">
                                <w:r>
                                  <w:t>Betreft</w:t>
                                </w:r>
                              </w:p>
                            </w:tc>
                            <w:tc>
                              <w:tcPr>
                                <w:tcW w:w="5918" w:type="dxa"/>
                              </w:tcPr>
                              <w:p w:rsidR="00ED5473" w14:textId="77777777">
                                <w:r>
                                  <w:t xml:space="preserve">Uitvoering begrotingen 2025, </w:t>
                                </w:r>
                                <w:r>
                                  <w:t>Staten Generaal</w:t>
                                </w:r>
                                <w:r>
                                  <w:t>, Overige Hoge Colleges van Staat, Kabinetten van de Gouverneur en de Kiesraad, Koninkrijksrelaties, BES-fonds, BZK, Gemeentefonds en Provinciefonds</w:t>
                                </w:r>
                              </w:p>
                            </w:tc>
                          </w:tr>
                        </w:tbl>
                        <w:p w:rsidR="001B24CD"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60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31ED13B1" w14:textId="77777777">
                      <w:tblPrEx>
                        <w:tblW w:w="0" w:type="auto"/>
                        <w:tblInd w:w="-120" w:type="dxa"/>
                        <w:tblLayout w:type="fixed"/>
                        <w:tblLook w:val="07E0"/>
                      </w:tblPrEx>
                      <w:trPr>
                        <w:trHeight w:val="240"/>
                      </w:trPr>
                      <w:tc>
                        <w:tcPr>
                          <w:tcW w:w="1140" w:type="dxa"/>
                        </w:tcPr>
                        <w:p w:rsidR="00ED5473" w14:paraId="009B469E" w14:textId="77777777">
                          <w:r>
                            <w:t>Datum</w:t>
                          </w:r>
                        </w:p>
                      </w:tc>
                      <w:tc>
                        <w:tcPr>
                          <w:tcW w:w="5918" w:type="dxa"/>
                        </w:tcPr>
                        <w:p w:rsidR="00ED5473" w14:paraId="5FF0BF70" w14:textId="76C57832">
                          <w:r>
                            <w:t>15 december 2025</w:t>
                          </w:r>
                        </w:p>
                      </w:tc>
                    </w:tr>
                    <w:tr w14:paraId="35D14EE8" w14:textId="77777777">
                      <w:tblPrEx>
                        <w:tblW w:w="0" w:type="auto"/>
                        <w:tblInd w:w="-120" w:type="dxa"/>
                        <w:tblLayout w:type="fixed"/>
                        <w:tblLook w:val="07E0"/>
                      </w:tblPrEx>
                      <w:trPr>
                        <w:trHeight w:val="240"/>
                      </w:trPr>
                      <w:tc>
                        <w:tcPr>
                          <w:tcW w:w="1140" w:type="dxa"/>
                        </w:tcPr>
                        <w:p w:rsidR="00ED5473" w14:paraId="6F1930BC" w14:textId="77777777">
                          <w:r>
                            <w:t>Betreft</w:t>
                          </w:r>
                        </w:p>
                      </w:tc>
                      <w:tc>
                        <w:tcPr>
                          <w:tcW w:w="5918" w:type="dxa"/>
                        </w:tcPr>
                        <w:p w:rsidR="00ED5473" w14:paraId="346F886B" w14:textId="77777777">
                          <w:r>
                            <w:t xml:space="preserve">Uitvoering begrotingen 2025, </w:t>
                          </w:r>
                          <w:r>
                            <w:t>Staten Generaal</w:t>
                          </w:r>
                          <w:r>
                            <w:t>, Overige Hoge Colleges van Staat, Kabinetten van de Gouverneur en de Kiesraad, Koninkrijksrelaties, BES-fonds, BZK, Gemeentefonds en Provinciefonds</w:t>
                          </w:r>
                        </w:p>
                      </w:tc>
                    </w:tr>
                  </w:tbl>
                  <w:p w:rsidR="001B24CD" w14:paraId="39CCF28C"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D5473" w14:textId="77777777">
                          <w:pPr>
                            <w:pStyle w:val="Referentiegegevensbold"/>
                          </w:pPr>
                          <w:r>
                            <w:t>Ministerie van Binnenlandse Zaken en Koninkrijksrelaties</w:t>
                          </w:r>
                        </w:p>
                        <w:p w:rsidR="00ED5473" w14:textId="77777777">
                          <w:pPr>
                            <w:pStyle w:val="WitregelW1"/>
                          </w:pPr>
                        </w:p>
                        <w:p w:rsidR="00ED5473" w:rsidRPr="002C11DC" w14:textId="77777777">
                          <w:pPr>
                            <w:pStyle w:val="Referentiegegevens"/>
                            <w:rPr>
                              <w:lang w:val="de-DE"/>
                            </w:rPr>
                          </w:pPr>
                          <w:r w:rsidRPr="002C11DC">
                            <w:rPr>
                              <w:lang w:val="de-DE"/>
                            </w:rPr>
                            <w:t>Turfmarkt</w:t>
                          </w:r>
                          <w:r w:rsidRPr="002C11DC">
                            <w:rPr>
                              <w:lang w:val="de-DE"/>
                            </w:rPr>
                            <w:t xml:space="preserve"> 147</w:t>
                          </w:r>
                        </w:p>
                        <w:p w:rsidR="00ED5473" w:rsidRPr="002C11DC" w14:textId="77777777">
                          <w:pPr>
                            <w:pStyle w:val="Referentiegegevens"/>
                            <w:rPr>
                              <w:lang w:val="de-DE"/>
                            </w:rPr>
                          </w:pPr>
                          <w:r w:rsidRPr="002C11DC">
                            <w:rPr>
                              <w:lang w:val="de-DE"/>
                            </w:rPr>
                            <w:t>2511 DP Den Haag</w:t>
                          </w:r>
                        </w:p>
                        <w:p w:rsidR="00ED5473" w:rsidRPr="002C11DC" w14:textId="77777777">
                          <w:pPr>
                            <w:pStyle w:val="Referentiegegevens"/>
                            <w:rPr>
                              <w:lang w:val="de-DE"/>
                            </w:rPr>
                          </w:pPr>
                          <w:r w:rsidRPr="002C11DC">
                            <w:rPr>
                              <w:lang w:val="de-DE"/>
                            </w:rPr>
                            <w:t>Postbus 20011</w:t>
                          </w:r>
                        </w:p>
                        <w:p w:rsidR="00ED5473" w14:textId="77777777">
                          <w:pPr>
                            <w:pStyle w:val="Referentiegegevens"/>
                          </w:pPr>
                          <w:r>
                            <w:t>2500 EA  Den Haag</w:t>
                          </w:r>
                        </w:p>
                        <w:p w:rsidR="00ED5473" w14:textId="77777777">
                          <w:pPr>
                            <w:pStyle w:val="WitregelW1"/>
                          </w:pPr>
                        </w:p>
                        <w:p w:rsidR="00ED5473" w14:textId="77777777">
                          <w:pPr>
                            <w:pStyle w:val="Referentiegegevensbold"/>
                          </w:pPr>
                          <w:r>
                            <w:t>Onze referentie</w:t>
                          </w:r>
                        </w:p>
                        <w:p w:rsidR="0050312C" w14:textId="77777777">
                          <w:pPr>
                            <w:pStyle w:val="Referentiegegevens"/>
                          </w:pPr>
                          <w:r>
                            <w:fldChar w:fldCharType="begin"/>
                          </w:r>
                          <w:r>
                            <w:instrText xml:space="preserve"> DOCPROPERTY  "Kenmerk"  \* MERGEFORMAT </w:instrText>
                          </w:r>
                          <w:r>
                            <w:fldChar w:fldCharType="separate"/>
                          </w:r>
                          <w:r w:rsidR="0086709C">
                            <w:t>2025-0000693132</w:t>
                          </w:r>
                          <w:r w:rsidR="0086709C">
                            <w:fldChar w:fldCharType="end"/>
                          </w:r>
                        </w:p>
                        <w:p w:rsidR="00ED5473" w14:textId="77777777">
                          <w:pPr>
                            <w:pStyle w:val="WitregelW1"/>
                          </w:pPr>
                        </w:p>
                        <w:p w:rsidR="00ED5473"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ED5473" w14:paraId="3A556C83" w14:textId="77777777">
                    <w:pPr>
                      <w:pStyle w:val="Referentiegegevensbold"/>
                    </w:pPr>
                    <w:r>
                      <w:t>Ministerie van Binnenlandse Zaken en Koninkrijksrelaties</w:t>
                    </w:r>
                  </w:p>
                  <w:p w:rsidR="00ED5473" w14:paraId="7A30A3F2" w14:textId="77777777">
                    <w:pPr>
                      <w:pStyle w:val="WitregelW1"/>
                    </w:pPr>
                  </w:p>
                  <w:p w:rsidR="00ED5473" w:rsidRPr="002C11DC" w14:paraId="370E6A42" w14:textId="77777777">
                    <w:pPr>
                      <w:pStyle w:val="Referentiegegevens"/>
                      <w:rPr>
                        <w:lang w:val="de-DE"/>
                      </w:rPr>
                    </w:pPr>
                    <w:r w:rsidRPr="002C11DC">
                      <w:rPr>
                        <w:lang w:val="de-DE"/>
                      </w:rPr>
                      <w:t>Turfmarkt</w:t>
                    </w:r>
                    <w:r w:rsidRPr="002C11DC">
                      <w:rPr>
                        <w:lang w:val="de-DE"/>
                      </w:rPr>
                      <w:t xml:space="preserve"> 147</w:t>
                    </w:r>
                  </w:p>
                  <w:p w:rsidR="00ED5473" w:rsidRPr="002C11DC" w14:paraId="3F0F3CD2" w14:textId="77777777">
                    <w:pPr>
                      <w:pStyle w:val="Referentiegegevens"/>
                      <w:rPr>
                        <w:lang w:val="de-DE"/>
                      </w:rPr>
                    </w:pPr>
                    <w:r w:rsidRPr="002C11DC">
                      <w:rPr>
                        <w:lang w:val="de-DE"/>
                      </w:rPr>
                      <w:t>2511 DP Den Haag</w:t>
                    </w:r>
                  </w:p>
                  <w:p w:rsidR="00ED5473" w:rsidRPr="002C11DC" w14:paraId="469D0BC5" w14:textId="77777777">
                    <w:pPr>
                      <w:pStyle w:val="Referentiegegevens"/>
                      <w:rPr>
                        <w:lang w:val="de-DE"/>
                      </w:rPr>
                    </w:pPr>
                    <w:r w:rsidRPr="002C11DC">
                      <w:rPr>
                        <w:lang w:val="de-DE"/>
                      </w:rPr>
                      <w:t>Postbus 20011</w:t>
                    </w:r>
                  </w:p>
                  <w:p w:rsidR="00ED5473" w14:paraId="11D96959" w14:textId="77777777">
                    <w:pPr>
                      <w:pStyle w:val="Referentiegegevens"/>
                    </w:pPr>
                    <w:r>
                      <w:t>2500 EA  Den Haag</w:t>
                    </w:r>
                  </w:p>
                  <w:p w:rsidR="00ED5473" w14:paraId="5CAB3A92" w14:textId="77777777">
                    <w:pPr>
                      <w:pStyle w:val="WitregelW1"/>
                    </w:pPr>
                  </w:p>
                  <w:p w:rsidR="00ED5473" w14:paraId="2FF2D891" w14:textId="77777777">
                    <w:pPr>
                      <w:pStyle w:val="Referentiegegevensbold"/>
                    </w:pPr>
                    <w:r>
                      <w:t>Onze referentie</w:t>
                    </w:r>
                  </w:p>
                  <w:p w:rsidR="0050312C" w14:paraId="126B113D" w14:textId="77777777">
                    <w:pPr>
                      <w:pStyle w:val="Referentiegegevens"/>
                    </w:pPr>
                    <w:r>
                      <w:fldChar w:fldCharType="begin"/>
                    </w:r>
                    <w:r>
                      <w:instrText xml:space="preserve"> DOCPROPERTY  "Kenmerk"  \* MERGEFORMAT </w:instrText>
                    </w:r>
                    <w:r>
                      <w:fldChar w:fldCharType="separate"/>
                    </w:r>
                    <w:r w:rsidR="0086709C">
                      <w:t>2025-0000693132</w:t>
                    </w:r>
                    <w:r w:rsidR="0086709C">
                      <w:fldChar w:fldCharType="end"/>
                    </w:r>
                  </w:p>
                  <w:p w:rsidR="00ED5473" w14:paraId="30810D7B" w14:textId="77777777">
                    <w:pPr>
                      <w:pStyle w:val="WitregelW1"/>
                    </w:pPr>
                  </w:p>
                  <w:p w:rsidR="00ED5473" w14:paraId="61EEE3A0"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0312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50312C" w14:paraId="0FD7A2B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B24CD"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1B24CD" w14:paraId="6D21CADD"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B9FF584"/>
    <w:multiLevelType w:val="multilevel"/>
    <w:tmpl w:val="680AADB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C6919F18"/>
    <w:multiLevelType w:val="multilevel"/>
    <w:tmpl w:val="F0DA906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C476EC6"/>
    <w:multiLevelType w:val="multilevel"/>
    <w:tmpl w:val="9E8035A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360529B1"/>
    <w:multiLevelType w:val="multilevel"/>
    <w:tmpl w:val="373CE4F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3D61681E"/>
    <w:multiLevelType w:val="hybridMultilevel"/>
    <w:tmpl w:val="3F6A4D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A7B102A"/>
    <w:multiLevelType w:val="hybridMultilevel"/>
    <w:tmpl w:val="7600702C"/>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90314573">
    <w:abstractNumId w:val="2"/>
  </w:num>
  <w:num w:numId="2" w16cid:durableId="1352611237">
    <w:abstractNumId w:val="3"/>
  </w:num>
  <w:num w:numId="3" w16cid:durableId="1013337856">
    <w:abstractNumId w:val="1"/>
  </w:num>
  <w:num w:numId="4" w16cid:durableId="244385252">
    <w:abstractNumId w:val="0"/>
  </w:num>
  <w:num w:numId="5" w16cid:durableId="969290653">
    <w:abstractNumId w:val="4"/>
  </w:num>
  <w:num w:numId="6" w16cid:durableId="159009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DC"/>
    <w:rsid w:val="00081693"/>
    <w:rsid w:val="000B456B"/>
    <w:rsid w:val="000D7C19"/>
    <w:rsid w:val="000F707F"/>
    <w:rsid w:val="00115978"/>
    <w:rsid w:val="00173679"/>
    <w:rsid w:val="001B24CD"/>
    <w:rsid w:val="001C6616"/>
    <w:rsid w:val="001D5C74"/>
    <w:rsid w:val="001F7095"/>
    <w:rsid w:val="0020617D"/>
    <w:rsid w:val="00280536"/>
    <w:rsid w:val="002A1BE1"/>
    <w:rsid w:val="002C11DC"/>
    <w:rsid w:val="002C4ABA"/>
    <w:rsid w:val="002C572C"/>
    <w:rsid w:val="002F1B2A"/>
    <w:rsid w:val="00314D3B"/>
    <w:rsid w:val="0032367F"/>
    <w:rsid w:val="003D3E11"/>
    <w:rsid w:val="00444720"/>
    <w:rsid w:val="00462035"/>
    <w:rsid w:val="00472131"/>
    <w:rsid w:val="00482EB2"/>
    <w:rsid w:val="004B1C69"/>
    <w:rsid w:val="0050312C"/>
    <w:rsid w:val="0050347F"/>
    <w:rsid w:val="0055174D"/>
    <w:rsid w:val="0055708D"/>
    <w:rsid w:val="00597831"/>
    <w:rsid w:val="005B5A65"/>
    <w:rsid w:val="005C330A"/>
    <w:rsid w:val="0060051E"/>
    <w:rsid w:val="00632E73"/>
    <w:rsid w:val="006F18B0"/>
    <w:rsid w:val="006F668C"/>
    <w:rsid w:val="00793AD4"/>
    <w:rsid w:val="007F4AA9"/>
    <w:rsid w:val="007F6C03"/>
    <w:rsid w:val="00837F05"/>
    <w:rsid w:val="0086709C"/>
    <w:rsid w:val="008B2DA4"/>
    <w:rsid w:val="008D476A"/>
    <w:rsid w:val="00923F9A"/>
    <w:rsid w:val="00975218"/>
    <w:rsid w:val="009B4634"/>
    <w:rsid w:val="009D4A25"/>
    <w:rsid w:val="00A5793C"/>
    <w:rsid w:val="00A8629A"/>
    <w:rsid w:val="00AB4380"/>
    <w:rsid w:val="00AC5AA4"/>
    <w:rsid w:val="00B505BB"/>
    <w:rsid w:val="00BD5D4B"/>
    <w:rsid w:val="00BE405F"/>
    <w:rsid w:val="00C725DC"/>
    <w:rsid w:val="00C72F5A"/>
    <w:rsid w:val="00CF75EC"/>
    <w:rsid w:val="00D33FCD"/>
    <w:rsid w:val="00D5473A"/>
    <w:rsid w:val="00D90C43"/>
    <w:rsid w:val="00D911B9"/>
    <w:rsid w:val="00DD5364"/>
    <w:rsid w:val="00E1332C"/>
    <w:rsid w:val="00E90BAA"/>
    <w:rsid w:val="00EC6070"/>
    <w:rsid w:val="00EC7BE8"/>
    <w:rsid w:val="00ED5473"/>
    <w:rsid w:val="00EF16D6"/>
    <w:rsid w:val="00F27AF4"/>
    <w:rsid w:val="00F529FC"/>
    <w:rsid w:val="00F71BDE"/>
    <w:rsid w:val="00FC102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49095B2"/>
  <w15:docId w15:val="{DF267526-6853-4A97-9224-272BF63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BAA"/>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C11DC"/>
    <w:pPr>
      <w:tabs>
        <w:tab w:val="center" w:pos="4536"/>
        <w:tab w:val="right" w:pos="9072"/>
      </w:tabs>
      <w:spacing w:line="240" w:lineRule="auto"/>
    </w:pPr>
  </w:style>
  <w:style w:type="character" w:customStyle="1" w:styleId="KoptekstChar">
    <w:name w:val="Koptekst Char"/>
    <w:basedOn w:val="DefaultParagraphFont"/>
    <w:link w:val="Header"/>
    <w:uiPriority w:val="99"/>
    <w:rsid w:val="002C11DC"/>
    <w:rPr>
      <w:rFonts w:ascii="Verdana" w:hAnsi="Verdana"/>
      <w:color w:val="000000"/>
      <w:sz w:val="18"/>
      <w:szCs w:val="18"/>
    </w:rPr>
  </w:style>
  <w:style w:type="paragraph" w:styleId="Footer">
    <w:name w:val="footer"/>
    <w:basedOn w:val="Normal"/>
    <w:link w:val="VoettekstChar"/>
    <w:uiPriority w:val="99"/>
    <w:unhideWhenUsed/>
    <w:rsid w:val="002C11DC"/>
    <w:pPr>
      <w:tabs>
        <w:tab w:val="center" w:pos="4536"/>
        <w:tab w:val="right" w:pos="9072"/>
      </w:tabs>
      <w:spacing w:line="240" w:lineRule="auto"/>
    </w:pPr>
  </w:style>
  <w:style w:type="character" w:customStyle="1" w:styleId="VoettekstChar">
    <w:name w:val="Voettekst Char"/>
    <w:basedOn w:val="DefaultParagraphFont"/>
    <w:link w:val="Footer"/>
    <w:uiPriority w:val="99"/>
    <w:rsid w:val="002C11DC"/>
    <w:rPr>
      <w:rFonts w:ascii="Verdana" w:hAnsi="Verdana"/>
      <w:color w:val="000000"/>
      <w:sz w:val="18"/>
      <w:szCs w:val="18"/>
    </w:rPr>
  </w:style>
  <w:style w:type="paragraph" w:styleId="ListParagraph">
    <w:name w:val="List Paragraph"/>
    <w:basedOn w:val="Normal"/>
    <w:uiPriority w:val="34"/>
    <w:semiHidden/>
    <w:rsid w:val="002C11DC"/>
    <w:pPr>
      <w:ind w:left="720"/>
      <w:contextualSpacing/>
    </w:pPr>
  </w:style>
  <w:style w:type="character" w:styleId="CommentReference">
    <w:name w:val="annotation reference"/>
    <w:basedOn w:val="DefaultParagraphFont"/>
    <w:uiPriority w:val="99"/>
    <w:semiHidden/>
    <w:unhideWhenUsed/>
    <w:rsid w:val="002C11DC"/>
    <w:rPr>
      <w:sz w:val="16"/>
      <w:szCs w:val="16"/>
    </w:rPr>
  </w:style>
  <w:style w:type="paragraph" w:styleId="CommentText">
    <w:name w:val="annotation text"/>
    <w:basedOn w:val="Normal"/>
    <w:link w:val="TekstopmerkingChar"/>
    <w:uiPriority w:val="99"/>
    <w:unhideWhenUsed/>
    <w:rsid w:val="002C11DC"/>
    <w:pPr>
      <w:spacing w:line="240" w:lineRule="auto"/>
    </w:pPr>
    <w:rPr>
      <w:sz w:val="20"/>
      <w:szCs w:val="20"/>
    </w:rPr>
  </w:style>
  <w:style w:type="character" w:customStyle="1" w:styleId="TekstopmerkingChar">
    <w:name w:val="Tekst opmerking Char"/>
    <w:basedOn w:val="DefaultParagraphFont"/>
    <w:link w:val="CommentText"/>
    <w:uiPriority w:val="99"/>
    <w:rsid w:val="002C11DC"/>
    <w:rPr>
      <w:rFonts w:ascii="Verdana" w:hAnsi="Verdana"/>
      <w:color w:val="000000"/>
    </w:rPr>
  </w:style>
  <w:style w:type="paragraph" w:styleId="NoSpacing">
    <w:name w:val="No Spacing"/>
    <w:uiPriority w:val="1"/>
    <w:qFormat/>
    <w:rsid w:val="002C11DC"/>
    <w:pPr>
      <w:autoSpaceDN/>
      <w:textAlignment w:val="auto"/>
    </w:pPr>
    <w:rPr>
      <w:rFonts w:ascii="Verdana" w:hAnsi="Verdana" w:eastAsiaTheme="minorHAnsi" w:cstheme="minorBidi"/>
      <w:kern w:val="2"/>
      <w:sz w:val="18"/>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9).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947</ap:Words>
  <ap:Characters>5210</ap:Characters>
  <ap:DocSecurity>0</ap:DocSecurity>
  <ap:Lines>43</ap:Lines>
  <ap:Paragraphs>12</ap:Paragraphs>
  <ap:ScaleCrop>false</ap:ScaleCrop>
  <ap:LinksUpToDate>false</ap:LinksUpToDate>
  <ap:CharactersWithSpaces>6145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2025-12-15T14:33:00.0000000Z</dcterms:created>
  <dcterms:modified xsi:type="dcterms:W3CDTF">2025-12-15T14:33:00.0000000Z</dcterms:modified>
  <dc:creator/>
  <lastModifiedBy/>
  <dc:description>------------------------</dc:description>
  <dc:subject/>
  <keywords/>
  <version/>
  <category/>
</coreProperties>
</file>