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201" w:rsidP="00E42201" w:rsidRDefault="00E42201" w14:paraId="1CB4EEC8" w14:textId="77777777">
      <w:pPr>
        <w:pStyle w:val="StandaardAanhef"/>
      </w:pPr>
      <w:bookmarkStart w:name="_Hlk211430563" w:id="0"/>
      <w:bookmarkEnd w:id="0"/>
      <w:r>
        <w:t>Geachte voorzitter,</w:t>
      </w:r>
    </w:p>
    <w:p w:rsidR="00E42201" w:rsidP="00E42201" w:rsidRDefault="00E42201" w14:paraId="6439419A" w14:textId="77777777">
      <w:r>
        <w:t>In de afgelopen jaren hebben achtereenvolgende kabinetten veel maatregelen genomen tegen belastingontwijking door multinationals. Het kabinet vindt het belangrijk om de effecten van deze maatregelen zo goed mogelijk inzichtelijk te maken. Het kabinet informeert uw Kamer daarom in deze jaarlijkse brief over de effecten van de genomen maatregelen.</w:t>
      </w:r>
    </w:p>
    <w:p w:rsidR="00E42201" w:rsidP="00E42201" w:rsidRDefault="00E42201" w14:paraId="03968DB6" w14:textId="77777777"/>
    <w:p w:rsidR="00E42201" w:rsidP="00E42201" w:rsidRDefault="00E42201" w14:paraId="41C72DA6" w14:textId="77777777">
      <w:r w:rsidRPr="00F0553D">
        <w:t xml:space="preserve">Een aantal belangrijke maatregelen blijkt effectief te zijn in de aanpak van belastingontwijking. Uit deze editie van de monitoringsbrief blijkt dat de bronbelasting zeer effectief </w:t>
      </w:r>
      <w:r>
        <w:t>blijft</w:t>
      </w:r>
      <w:r w:rsidRPr="00F0553D">
        <w:t xml:space="preserve"> in de bestrijding van rente- en royaltystromen, al is</w:t>
      </w:r>
      <w:r>
        <w:t xml:space="preserve"> er</w:t>
      </w:r>
      <w:r w:rsidRPr="00F0553D">
        <w:t xml:space="preserve"> </w:t>
      </w:r>
      <w:r>
        <w:t>weinig effect</w:t>
      </w:r>
      <w:r w:rsidRPr="00F0553D">
        <w:t xml:space="preserve"> zichtbaar in de dividendstromen naar </w:t>
      </w:r>
      <w:proofErr w:type="spellStart"/>
      <w:r w:rsidRPr="00F0553D">
        <w:t>laagbelastende</w:t>
      </w:r>
      <w:proofErr w:type="spellEnd"/>
      <w:r w:rsidRPr="00F0553D">
        <w:t xml:space="preserve"> jurisdicties. </w:t>
      </w:r>
      <w:r>
        <w:t xml:space="preserve">Dit jaar is voor het eerst het effect van de </w:t>
      </w:r>
      <w:r w:rsidRPr="00DD3B7F">
        <w:t xml:space="preserve">maatregel tegen mismatches bij toepassing van het zakelijkheidsbeginsel </w:t>
      </w:r>
      <w:r>
        <w:t xml:space="preserve">onderzocht. Deze maatregel blijkt </w:t>
      </w:r>
      <w:r w:rsidRPr="00DD3B7F">
        <w:t>effectief</w:t>
      </w:r>
      <w:r>
        <w:t xml:space="preserve"> in het tegengaan van</w:t>
      </w:r>
      <w:r w:rsidRPr="00DD3B7F">
        <w:t xml:space="preserve"> dubbele niet-heffing</w:t>
      </w:r>
      <w:r>
        <w:t>.</w:t>
      </w:r>
      <w:r w:rsidRPr="00F0553D">
        <w:t xml:space="preserve"> De gegevens over directe buitenlandse investeringen duiden ook op een effectieve </w:t>
      </w:r>
      <w:r>
        <w:t xml:space="preserve">nationale en </w:t>
      </w:r>
      <w:r w:rsidRPr="00F0553D">
        <w:t>internationale aanpak van belastingontwijking.</w:t>
      </w:r>
    </w:p>
    <w:p w:rsidR="00E42201" w:rsidP="00E42201" w:rsidRDefault="00E42201" w14:paraId="112F0B6E" w14:textId="77777777"/>
    <w:p w:rsidR="00E42201" w:rsidP="00E42201" w:rsidRDefault="00E42201" w14:paraId="54D6316F" w14:textId="77777777">
      <w:r w:rsidRPr="00303A0E">
        <w:t xml:space="preserve">Paragrafen 1, 2 en 3 bevatten de effectmonitoring van de maatregelen die </w:t>
      </w:r>
      <w:proofErr w:type="gramStart"/>
      <w:r w:rsidRPr="00303A0E">
        <w:t>worden</w:t>
      </w:r>
      <w:proofErr w:type="gramEnd"/>
      <w:r w:rsidRPr="00303A0E">
        <w:t xml:space="preserve"> </w:t>
      </w:r>
      <w:r>
        <w:t>gemeten</w:t>
      </w:r>
      <w:r w:rsidRPr="00303A0E">
        <w:t xml:space="preserve">. Paragraaf 4 beschrijft enkele inzichten vanuit de statistiek van </w:t>
      </w:r>
      <w:r>
        <w:t xml:space="preserve">de </w:t>
      </w:r>
      <w:r w:rsidRPr="00303A0E">
        <w:t>directe buitenlandse investeringen. Paragraaf 5 beschrijft de ontwikkelingen in de Europese en internationale wet- en regelgeving op het vlak van belastingontwijking.</w:t>
      </w:r>
    </w:p>
    <w:p w:rsidR="00E42201" w:rsidP="00E42201" w:rsidRDefault="00E42201" w14:paraId="38334B30" w14:textId="77777777"/>
    <w:p w:rsidR="00E42201" w:rsidP="00E42201" w:rsidRDefault="00E42201" w14:paraId="22D83E71" w14:textId="77777777">
      <w:r>
        <w:t>In onderstaande tabel zijn de oordelen samengevat over de effectiviteit van de maatregelen tegen belastingontwijking die gemonitord worden. In de monitoringsbrief van vorig jaar</w:t>
      </w:r>
      <w:r>
        <w:rPr>
          <w:rStyle w:val="Voetnootmarkering"/>
        </w:rPr>
        <w:footnoteReference w:id="1"/>
      </w:r>
      <w:r>
        <w:t xml:space="preserve"> zijn de effectanalyses van ATAD1 en ATAD2 gepresenteerd. Hieruit bleek dat de </w:t>
      </w:r>
      <w:proofErr w:type="spellStart"/>
      <w:r>
        <w:t>earningsstrippingmaatregel</w:t>
      </w:r>
      <w:proofErr w:type="spellEnd"/>
      <w:r>
        <w:t xml:space="preserve"> (ATAD1) en de aanpak van hybridemismatches (ATAD2) effectief belastingontwijking tegengaan. Dit sterkt het kabinet in de overtuiging dat de aanpak van belastingontwijking ons belastingstelsel robuuster heeft gemaakt tegen belastingontwijking. </w:t>
      </w:r>
    </w:p>
    <w:p w:rsidRPr="0034074F" w:rsidR="00E42201" w:rsidP="00E42201" w:rsidRDefault="00E42201" w14:paraId="5CE02BE6" w14:textId="77777777">
      <w:pPr>
        <w:rPr>
          <w:highlight w:val="yellow"/>
        </w:rPr>
      </w:pPr>
    </w:p>
    <w:tbl>
      <w:tblPr>
        <w:tblStyle w:val="Tabelraster"/>
        <w:tblW w:w="7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2410"/>
        <w:gridCol w:w="2273"/>
      </w:tblGrid>
      <w:tr w:rsidR="00E42201" w:rsidTr="003A490B" w14:paraId="4A499185" w14:textId="77777777">
        <w:trPr>
          <w:tblHeader/>
        </w:trPr>
        <w:tc>
          <w:tcPr>
            <w:tcW w:w="2830" w:type="dxa"/>
            <w:tcBorders>
              <w:top w:val="single" w:color="auto" w:sz="4" w:space="0"/>
              <w:bottom w:val="single" w:color="auto" w:sz="4" w:space="0"/>
            </w:tcBorders>
          </w:tcPr>
          <w:p w:rsidRPr="009A1E33" w:rsidR="00E42201" w:rsidP="003A490B" w:rsidRDefault="00E42201" w14:paraId="1F00EEE6" w14:textId="77777777">
            <w:pPr>
              <w:rPr>
                <w:b/>
                <w:bCs/>
              </w:rPr>
            </w:pPr>
            <w:r w:rsidRPr="009A1E33">
              <w:rPr>
                <w:b/>
                <w:bCs/>
              </w:rPr>
              <w:lastRenderedPageBreak/>
              <w:t>Maatregel</w:t>
            </w:r>
          </w:p>
        </w:tc>
        <w:tc>
          <w:tcPr>
            <w:tcW w:w="2410" w:type="dxa"/>
            <w:tcBorders>
              <w:top w:val="single" w:color="auto" w:sz="4" w:space="0"/>
              <w:bottom w:val="single" w:color="auto" w:sz="4" w:space="0"/>
            </w:tcBorders>
          </w:tcPr>
          <w:p w:rsidRPr="009A1E33" w:rsidR="00E42201" w:rsidP="003A490B" w:rsidRDefault="00E42201" w14:paraId="01D9A6F4" w14:textId="77777777">
            <w:pPr>
              <w:rPr>
                <w:b/>
                <w:bCs/>
              </w:rPr>
            </w:pPr>
            <w:r w:rsidRPr="009A1E33">
              <w:rPr>
                <w:b/>
                <w:bCs/>
              </w:rPr>
              <w:t>Doel</w:t>
            </w:r>
          </w:p>
        </w:tc>
        <w:tc>
          <w:tcPr>
            <w:tcW w:w="2273" w:type="dxa"/>
            <w:tcBorders>
              <w:top w:val="single" w:color="auto" w:sz="4" w:space="0"/>
              <w:bottom w:val="single" w:color="auto" w:sz="4" w:space="0"/>
            </w:tcBorders>
          </w:tcPr>
          <w:p w:rsidRPr="009A1E33" w:rsidR="00E42201" w:rsidP="003A490B" w:rsidRDefault="00E42201" w14:paraId="15E6975D" w14:textId="77777777">
            <w:pPr>
              <w:rPr>
                <w:b/>
                <w:bCs/>
              </w:rPr>
            </w:pPr>
            <w:r w:rsidRPr="009A1E33">
              <w:rPr>
                <w:b/>
                <w:bCs/>
              </w:rPr>
              <w:t>Oordeel effectiviteit</w:t>
            </w:r>
          </w:p>
        </w:tc>
      </w:tr>
      <w:tr w:rsidR="00E42201" w:rsidTr="003A490B" w14:paraId="25FDBC7B" w14:textId="77777777">
        <w:tc>
          <w:tcPr>
            <w:tcW w:w="2830" w:type="dxa"/>
            <w:tcBorders>
              <w:top w:val="single" w:color="auto" w:sz="4" w:space="0"/>
            </w:tcBorders>
            <w:vAlign w:val="center"/>
          </w:tcPr>
          <w:p w:rsidR="00E42201" w:rsidP="003A490B" w:rsidRDefault="00E42201" w14:paraId="036077C8" w14:textId="77777777">
            <w:r>
              <w:t>Bronbelasting op renten en royalty’s</w:t>
            </w:r>
          </w:p>
        </w:tc>
        <w:tc>
          <w:tcPr>
            <w:tcW w:w="2410" w:type="dxa"/>
            <w:tcBorders>
              <w:top w:val="single" w:color="auto" w:sz="4" w:space="0"/>
            </w:tcBorders>
            <w:vAlign w:val="center"/>
          </w:tcPr>
          <w:p w:rsidR="00E42201" w:rsidP="003A490B" w:rsidRDefault="00E42201" w14:paraId="26DFECAE" w14:textId="77777777">
            <w:r>
              <w:t>Voorkomen belastingontwijking</w:t>
            </w:r>
          </w:p>
        </w:tc>
        <w:tc>
          <w:tcPr>
            <w:tcW w:w="2273" w:type="dxa"/>
            <w:tcBorders>
              <w:top w:val="single" w:color="auto" w:sz="4" w:space="0"/>
            </w:tcBorders>
            <w:vAlign w:val="center"/>
          </w:tcPr>
          <w:p w:rsidR="00E42201" w:rsidP="003A490B" w:rsidRDefault="00E42201" w14:paraId="77878B73" w14:textId="77777777">
            <w:r>
              <w:t>Effectief</w:t>
            </w:r>
          </w:p>
        </w:tc>
      </w:tr>
      <w:tr w:rsidR="00E42201" w:rsidTr="003A490B" w14:paraId="27721634" w14:textId="77777777">
        <w:tc>
          <w:tcPr>
            <w:tcW w:w="2830" w:type="dxa"/>
            <w:vAlign w:val="center"/>
          </w:tcPr>
          <w:p w:rsidR="00E42201" w:rsidP="003A490B" w:rsidRDefault="00E42201" w14:paraId="12347E59" w14:textId="77777777">
            <w:r>
              <w:t>Bronbelasting op dividenden</w:t>
            </w:r>
          </w:p>
        </w:tc>
        <w:tc>
          <w:tcPr>
            <w:tcW w:w="2410" w:type="dxa"/>
            <w:vAlign w:val="center"/>
          </w:tcPr>
          <w:p w:rsidR="00E42201" w:rsidP="003A490B" w:rsidRDefault="00E42201" w14:paraId="02DFD0A3" w14:textId="77777777">
            <w:r>
              <w:t>Voorkomen belastingontwijking</w:t>
            </w:r>
          </w:p>
        </w:tc>
        <w:tc>
          <w:tcPr>
            <w:tcW w:w="2273" w:type="dxa"/>
            <w:vAlign w:val="center"/>
          </w:tcPr>
          <w:p w:rsidR="00E42201" w:rsidP="003A490B" w:rsidRDefault="00E42201" w14:paraId="5F53A872" w14:textId="77777777">
            <w:r>
              <w:t>Geen duidelijk effect zichtbaar</w:t>
            </w:r>
          </w:p>
        </w:tc>
      </w:tr>
      <w:tr w:rsidR="00E42201" w:rsidTr="003A490B" w14:paraId="7579F368" w14:textId="77777777">
        <w:tc>
          <w:tcPr>
            <w:tcW w:w="2830" w:type="dxa"/>
            <w:vAlign w:val="center"/>
          </w:tcPr>
          <w:p w:rsidR="00E42201" w:rsidP="003A490B" w:rsidRDefault="00E42201" w14:paraId="5ECA8BE0" w14:textId="77777777">
            <w:proofErr w:type="spellStart"/>
            <w:r>
              <w:t>Earningsstripping</w:t>
            </w:r>
            <w:proofErr w:type="spellEnd"/>
            <w:r>
              <w:t xml:space="preserve"> (ATAD1)</w:t>
            </w:r>
          </w:p>
        </w:tc>
        <w:tc>
          <w:tcPr>
            <w:tcW w:w="2410" w:type="dxa"/>
            <w:vAlign w:val="center"/>
          </w:tcPr>
          <w:p w:rsidR="00E42201" w:rsidP="003A490B" w:rsidRDefault="00E42201" w14:paraId="1B64F90D" w14:textId="77777777">
            <w:r>
              <w:t>Voorkomen belastingontwijking</w:t>
            </w:r>
          </w:p>
        </w:tc>
        <w:tc>
          <w:tcPr>
            <w:tcW w:w="2273" w:type="dxa"/>
            <w:vAlign w:val="center"/>
          </w:tcPr>
          <w:p w:rsidR="00E42201" w:rsidP="003A490B" w:rsidRDefault="00E42201" w14:paraId="0BB3380D" w14:textId="77777777">
            <w:r>
              <w:t>Effectief</w:t>
            </w:r>
          </w:p>
        </w:tc>
      </w:tr>
      <w:tr w:rsidR="00E42201" w:rsidTr="003A490B" w14:paraId="682709FA" w14:textId="77777777">
        <w:tc>
          <w:tcPr>
            <w:tcW w:w="2830" w:type="dxa"/>
            <w:vAlign w:val="center"/>
          </w:tcPr>
          <w:p w:rsidR="00E42201" w:rsidP="003A490B" w:rsidRDefault="00E42201" w14:paraId="627BCED2" w14:textId="77777777">
            <w:proofErr w:type="spellStart"/>
            <w:r>
              <w:t>Earningsstripping</w:t>
            </w:r>
            <w:proofErr w:type="spellEnd"/>
            <w:r>
              <w:t xml:space="preserve"> (ATAD1)</w:t>
            </w:r>
          </w:p>
        </w:tc>
        <w:tc>
          <w:tcPr>
            <w:tcW w:w="2410" w:type="dxa"/>
            <w:vAlign w:val="center"/>
          </w:tcPr>
          <w:p w:rsidR="00E42201" w:rsidP="003A490B" w:rsidRDefault="00E42201" w14:paraId="42BA39D0" w14:textId="77777777">
            <w:r>
              <w:t>Stimuleren financiering met eigen vermogen</w:t>
            </w:r>
          </w:p>
        </w:tc>
        <w:tc>
          <w:tcPr>
            <w:tcW w:w="2273" w:type="dxa"/>
            <w:vAlign w:val="center"/>
          </w:tcPr>
          <w:p w:rsidR="00E42201" w:rsidP="003A490B" w:rsidRDefault="00E42201" w14:paraId="7D48AD23" w14:textId="77777777">
            <w:r>
              <w:t>Beperkt effectief</w:t>
            </w:r>
          </w:p>
        </w:tc>
      </w:tr>
      <w:tr w:rsidR="00E42201" w:rsidTr="003A490B" w14:paraId="102E3820" w14:textId="77777777">
        <w:tc>
          <w:tcPr>
            <w:tcW w:w="2830" w:type="dxa"/>
            <w:vAlign w:val="center"/>
          </w:tcPr>
          <w:p w:rsidR="00E42201" w:rsidP="003A490B" w:rsidRDefault="00E42201" w14:paraId="3CB6BC2C" w14:textId="77777777">
            <w:r>
              <w:t>Aanvullende CFC-maatregel (ATAD1)</w:t>
            </w:r>
          </w:p>
        </w:tc>
        <w:tc>
          <w:tcPr>
            <w:tcW w:w="2410" w:type="dxa"/>
            <w:vAlign w:val="center"/>
          </w:tcPr>
          <w:p w:rsidR="00E42201" w:rsidP="003A490B" w:rsidRDefault="00E42201" w14:paraId="495DC398" w14:textId="77777777">
            <w:r>
              <w:t>Voorkomen belastingontwijking</w:t>
            </w:r>
          </w:p>
        </w:tc>
        <w:tc>
          <w:tcPr>
            <w:tcW w:w="2273" w:type="dxa"/>
            <w:vAlign w:val="center"/>
          </w:tcPr>
          <w:p w:rsidR="00E42201" w:rsidP="003A490B" w:rsidRDefault="00E42201" w14:paraId="2D256F5E" w14:textId="77777777">
            <w:r>
              <w:t>Niet te bepalen</w:t>
            </w:r>
          </w:p>
        </w:tc>
      </w:tr>
      <w:tr w:rsidRPr="00970203" w:rsidR="00E42201" w:rsidTr="003A490B" w14:paraId="4812CDBE" w14:textId="77777777">
        <w:tc>
          <w:tcPr>
            <w:tcW w:w="2830" w:type="dxa"/>
            <w:vAlign w:val="center"/>
          </w:tcPr>
          <w:p w:rsidRPr="009A1E33" w:rsidR="00E42201" w:rsidP="003A490B" w:rsidRDefault="00E42201" w14:paraId="582BE855" w14:textId="77777777">
            <w:pPr>
              <w:rPr>
                <w:lang w:val="en-US"/>
              </w:rPr>
            </w:pPr>
            <w:proofErr w:type="spellStart"/>
            <w:r w:rsidRPr="009A1E33">
              <w:rPr>
                <w:lang w:val="en-US"/>
              </w:rPr>
              <w:t>Aanpak</w:t>
            </w:r>
            <w:proofErr w:type="spellEnd"/>
            <w:r w:rsidRPr="009A1E33">
              <w:rPr>
                <w:lang w:val="en-US"/>
              </w:rPr>
              <w:t xml:space="preserve"> </w:t>
            </w:r>
            <w:proofErr w:type="spellStart"/>
            <w:r w:rsidRPr="009A1E33">
              <w:rPr>
                <w:lang w:val="en-US"/>
              </w:rPr>
              <w:t>hybride</w:t>
            </w:r>
            <w:proofErr w:type="spellEnd"/>
            <w:r w:rsidRPr="009A1E33">
              <w:rPr>
                <w:lang w:val="en-US"/>
              </w:rPr>
              <w:t xml:space="preserve"> mismatches: cv/</w:t>
            </w:r>
            <w:proofErr w:type="spellStart"/>
            <w:r w:rsidRPr="009A1E33">
              <w:rPr>
                <w:lang w:val="en-US"/>
              </w:rPr>
              <w:t>bv</w:t>
            </w:r>
            <w:proofErr w:type="spellEnd"/>
            <w:r>
              <w:rPr>
                <w:lang w:val="en-US"/>
              </w:rPr>
              <w:t xml:space="preserve"> (ATAD2)</w:t>
            </w:r>
          </w:p>
        </w:tc>
        <w:tc>
          <w:tcPr>
            <w:tcW w:w="2410" w:type="dxa"/>
            <w:vAlign w:val="center"/>
          </w:tcPr>
          <w:p w:rsidRPr="009A1E33" w:rsidR="00E42201" w:rsidP="003A490B" w:rsidRDefault="00E42201" w14:paraId="277CF460" w14:textId="77777777">
            <w:pPr>
              <w:rPr>
                <w:lang w:val="en-US"/>
              </w:rPr>
            </w:pPr>
            <w:proofErr w:type="spellStart"/>
            <w:r>
              <w:rPr>
                <w:lang w:val="en-US"/>
              </w:rPr>
              <w:t>Voorkomen</w:t>
            </w:r>
            <w:proofErr w:type="spellEnd"/>
            <w:r>
              <w:rPr>
                <w:lang w:val="en-US"/>
              </w:rPr>
              <w:t xml:space="preserve"> </w:t>
            </w:r>
            <w:proofErr w:type="spellStart"/>
            <w:r>
              <w:rPr>
                <w:lang w:val="en-US"/>
              </w:rPr>
              <w:t>belastingontwijking</w:t>
            </w:r>
            <w:proofErr w:type="spellEnd"/>
          </w:p>
        </w:tc>
        <w:tc>
          <w:tcPr>
            <w:tcW w:w="2273" w:type="dxa"/>
            <w:vAlign w:val="center"/>
          </w:tcPr>
          <w:p w:rsidRPr="009A1E33" w:rsidR="00E42201" w:rsidP="003A490B" w:rsidRDefault="00E42201" w14:paraId="7FB7C523" w14:textId="77777777">
            <w:pPr>
              <w:rPr>
                <w:lang w:val="en-US"/>
              </w:rPr>
            </w:pPr>
            <w:proofErr w:type="spellStart"/>
            <w:r>
              <w:rPr>
                <w:lang w:val="en-US"/>
              </w:rPr>
              <w:t>Effectief</w:t>
            </w:r>
            <w:proofErr w:type="spellEnd"/>
          </w:p>
        </w:tc>
      </w:tr>
      <w:tr w:rsidRPr="00970203" w:rsidR="00E42201" w:rsidTr="003A490B" w14:paraId="4A97D542" w14:textId="77777777">
        <w:tc>
          <w:tcPr>
            <w:tcW w:w="2830" w:type="dxa"/>
            <w:vAlign w:val="center"/>
          </w:tcPr>
          <w:p w:rsidRPr="009A1E33" w:rsidR="00E42201" w:rsidP="003A490B" w:rsidRDefault="00E42201" w14:paraId="146BDFF2" w14:textId="77777777">
            <w:pPr>
              <w:rPr>
                <w:lang w:val="en-US"/>
              </w:rPr>
            </w:pPr>
            <w:proofErr w:type="spellStart"/>
            <w:r>
              <w:rPr>
                <w:lang w:val="en-US"/>
              </w:rPr>
              <w:t>Beperking</w:t>
            </w:r>
            <w:proofErr w:type="spellEnd"/>
            <w:r>
              <w:rPr>
                <w:lang w:val="en-US"/>
              </w:rPr>
              <w:t xml:space="preserve"> </w:t>
            </w:r>
            <w:proofErr w:type="spellStart"/>
            <w:r>
              <w:rPr>
                <w:lang w:val="en-US"/>
              </w:rPr>
              <w:t>liquidatie</w:t>
            </w:r>
            <w:proofErr w:type="spellEnd"/>
            <w:r>
              <w:rPr>
                <w:lang w:val="en-US"/>
              </w:rPr>
              <w:t xml:space="preserve">- en </w:t>
            </w:r>
            <w:proofErr w:type="spellStart"/>
            <w:r>
              <w:rPr>
                <w:lang w:val="en-US"/>
              </w:rPr>
              <w:t>stakingsverliesregeling</w:t>
            </w:r>
            <w:proofErr w:type="spellEnd"/>
          </w:p>
        </w:tc>
        <w:tc>
          <w:tcPr>
            <w:tcW w:w="2410" w:type="dxa"/>
            <w:vAlign w:val="center"/>
          </w:tcPr>
          <w:p w:rsidRPr="009A1E33" w:rsidR="00E42201" w:rsidP="003A490B" w:rsidRDefault="00E42201" w14:paraId="097B0C4D" w14:textId="77777777">
            <w:pPr>
              <w:rPr>
                <w:lang w:val="en-US"/>
              </w:rPr>
            </w:pPr>
            <w:proofErr w:type="spellStart"/>
            <w:r>
              <w:rPr>
                <w:lang w:val="en-US"/>
              </w:rPr>
              <w:t>Evenwichtige</w:t>
            </w:r>
            <w:proofErr w:type="spellEnd"/>
            <w:r>
              <w:rPr>
                <w:lang w:val="en-US"/>
              </w:rPr>
              <w:t xml:space="preserve"> </w:t>
            </w:r>
            <w:proofErr w:type="spellStart"/>
            <w:r>
              <w:rPr>
                <w:lang w:val="en-US"/>
              </w:rPr>
              <w:t>heffing</w:t>
            </w:r>
            <w:proofErr w:type="spellEnd"/>
            <w:r>
              <w:rPr>
                <w:lang w:val="en-US"/>
              </w:rPr>
              <w:t xml:space="preserve"> van multinationals</w:t>
            </w:r>
          </w:p>
        </w:tc>
        <w:tc>
          <w:tcPr>
            <w:tcW w:w="2273" w:type="dxa"/>
            <w:vAlign w:val="center"/>
          </w:tcPr>
          <w:p w:rsidRPr="009A1E33" w:rsidR="00E42201" w:rsidP="003A490B" w:rsidRDefault="00E42201" w14:paraId="5093A117" w14:textId="77777777">
            <w:pPr>
              <w:rPr>
                <w:lang w:val="en-US"/>
              </w:rPr>
            </w:pPr>
            <w:proofErr w:type="spellStart"/>
            <w:r>
              <w:rPr>
                <w:lang w:val="en-US"/>
              </w:rPr>
              <w:t>Effectief</w:t>
            </w:r>
            <w:proofErr w:type="spellEnd"/>
          </w:p>
        </w:tc>
      </w:tr>
      <w:tr w:rsidRPr="00970203" w:rsidR="00E42201" w:rsidTr="003A490B" w14:paraId="329A20ED" w14:textId="77777777">
        <w:tc>
          <w:tcPr>
            <w:tcW w:w="2830" w:type="dxa"/>
            <w:tcBorders>
              <w:bottom w:val="single" w:color="auto" w:sz="4" w:space="0"/>
            </w:tcBorders>
            <w:vAlign w:val="center"/>
          </w:tcPr>
          <w:p w:rsidRPr="009A1E33" w:rsidR="00E42201" w:rsidP="003A490B" w:rsidRDefault="00E42201" w14:paraId="3DDD2004" w14:textId="77777777">
            <w:r>
              <w:t>T</w:t>
            </w:r>
            <w:r w:rsidRPr="009A1E33">
              <w:t>egengaan mismatches zakelijkheidsbeginsel</w:t>
            </w:r>
          </w:p>
        </w:tc>
        <w:tc>
          <w:tcPr>
            <w:tcW w:w="2410" w:type="dxa"/>
            <w:tcBorders>
              <w:bottom w:val="single" w:color="auto" w:sz="4" w:space="0"/>
            </w:tcBorders>
            <w:vAlign w:val="center"/>
          </w:tcPr>
          <w:p w:rsidRPr="009A1E33" w:rsidR="00E42201" w:rsidP="003A490B" w:rsidRDefault="00E42201" w14:paraId="67220787" w14:textId="77777777">
            <w:r>
              <w:t xml:space="preserve">Het voorkomen van dubbele niet-heffing </w:t>
            </w:r>
          </w:p>
        </w:tc>
        <w:tc>
          <w:tcPr>
            <w:tcW w:w="2273" w:type="dxa"/>
            <w:tcBorders>
              <w:bottom w:val="single" w:color="auto" w:sz="4" w:space="0"/>
            </w:tcBorders>
            <w:vAlign w:val="center"/>
          </w:tcPr>
          <w:p w:rsidRPr="009A1E33" w:rsidR="00E42201" w:rsidP="003A490B" w:rsidRDefault="00E42201" w14:paraId="1F87AA39" w14:textId="77777777">
            <w:r>
              <w:t>Effectief</w:t>
            </w:r>
          </w:p>
        </w:tc>
      </w:tr>
    </w:tbl>
    <w:p w:rsidRPr="00B9637B" w:rsidR="00E42201" w:rsidP="00E42201" w:rsidRDefault="00E42201" w14:paraId="5DEE043B" w14:textId="77777777"/>
    <w:p w:rsidRPr="00B9637B" w:rsidR="00E42201" w:rsidP="00E42201" w:rsidRDefault="00E42201" w14:paraId="0F252700" w14:textId="77777777">
      <w:pPr>
        <w:rPr>
          <w:b/>
          <w:bCs/>
        </w:rPr>
      </w:pPr>
      <w:r w:rsidRPr="00B9637B">
        <w:rPr>
          <w:b/>
          <w:bCs/>
        </w:rPr>
        <w:t>1.</w:t>
      </w:r>
      <w:r w:rsidRPr="00B9637B">
        <w:rPr>
          <w:b/>
          <w:bCs/>
        </w:rPr>
        <w:tab/>
        <w:t>Bronbelasting op renten, royalty’s en dividenden</w:t>
      </w:r>
    </w:p>
    <w:p w:rsidRPr="00B9637B" w:rsidR="00E42201" w:rsidP="00E42201" w:rsidRDefault="00E42201" w14:paraId="1F55DD21" w14:textId="77777777"/>
    <w:p w:rsidR="00E42201" w:rsidP="00E42201" w:rsidRDefault="00E42201" w14:paraId="3C110252" w14:textId="77777777">
      <w:r>
        <w:t xml:space="preserve">Op 1 januari 2021 is de Wet bronbelasting 2021 in werking getreden. De bronbelasting heeft tot doel Nederland minder aantrekkelijk te maken voor doorstroomstructuren naar </w:t>
      </w:r>
      <w:proofErr w:type="spellStart"/>
      <w:r>
        <w:t>laagbelastende</w:t>
      </w:r>
      <w:proofErr w:type="spellEnd"/>
      <w:r>
        <w:t xml:space="preserve"> jurisdicties (</w:t>
      </w:r>
      <w:proofErr w:type="spellStart"/>
      <w:r>
        <w:t>LBJ’s</w:t>
      </w:r>
      <w:proofErr w:type="spellEnd"/>
      <w:r>
        <w:t xml:space="preserve">) en het risico van belastingontwijking door het verschuiven van (Nederlandse) belastinggrondslag naar </w:t>
      </w:r>
      <w:proofErr w:type="spellStart"/>
      <w:r>
        <w:t>LBJ’s</w:t>
      </w:r>
      <w:proofErr w:type="spellEnd"/>
      <w:r>
        <w:t xml:space="preserve"> te verkleinen. Op basis van deze wet wordt in bepaalde gevallen bronbelasting ingehouden. Het gaat om renten, royalty’s en sinds 2024 ook dividenden, die een in Nederland gevestigd lichaam betaalt aan een gelieerd lichaam dat gevestigd is in een LBJ en in misbruiksituaties. Met de uitbreiding van de bronbelasting naar dividenden per 2024 werd beoogd om twee specifieke situaties waarin geen dividendbelasting werd geheven aan bronbelasting te onderwerpen.</w:t>
      </w:r>
      <w:r>
        <w:rPr>
          <w:rStyle w:val="Voetnootmarkering"/>
        </w:rPr>
        <w:footnoteReference w:id="2"/>
      </w:r>
      <w:r>
        <w:t xml:space="preserve"> Het bronbelastingtarief</w:t>
      </w:r>
      <w:r w:rsidRPr="00ED387E">
        <w:t xml:space="preserve"> </w:t>
      </w:r>
      <w:r>
        <w:t>is gelijk aan het hoogste tarief in de vennootschapsbelasting (momenteel 25,8%).</w:t>
      </w:r>
    </w:p>
    <w:p w:rsidR="00E42201" w:rsidP="00E42201" w:rsidRDefault="00E42201" w14:paraId="7392DAA1" w14:textId="77777777"/>
    <w:p w:rsidR="00E42201" w:rsidP="00E42201" w:rsidRDefault="00E42201" w14:paraId="63DA4055" w14:textId="77777777">
      <w:r>
        <w:t xml:space="preserve">Om het effect van de bronbelasting te monitoren is in 2020 aangekondigd dat de inkomensstromen van Nederland naar </w:t>
      </w:r>
      <w:proofErr w:type="spellStart"/>
      <w:r>
        <w:t>LBJ’s</w:t>
      </w:r>
      <w:proofErr w:type="spellEnd"/>
      <w:r>
        <w:t xml:space="preserve"> gemonitord zullen worden met behulp van statistieken van DNB.</w:t>
      </w:r>
      <w:r>
        <w:rPr>
          <w:rStyle w:val="Voetnootmarkering"/>
        </w:rPr>
        <w:footnoteReference w:id="3"/>
      </w:r>
      <w:r>
        <w:t xml:space="preserve"> Dit is de vierde keer dat dit </w:t>
      </w:r>
      <w:r w:rsidR="00A21264">
        <w:t xml:space="preserve">is </w:t>
      </w:r>
      <w:r>
        <w:t xml:space="preserve">gedaan. Tabel 1 laat de Nederlandse inkomende en uitgaande inkomensstromen vanuit respectievelijk naar </w:t>
      </w:r>
      <w:proofErr w:type="spellStart"/>
      <w:r>
        <w:t>LBJ’s</w:t>
      </w:r>
      <w:proofErr w:type="spellEnd"/>
      <w:r>
        <w:t xml:space="preserve"> zien, uitgesplitst naar renten, royalty’s en dividenden en ingehouden winsten. </w:t>
      </w:r>
      <w:proofErr w:type="gramStart"/>
      <w:r>
        <w:t>Tevens</w:t>
      </w:r>
      <w:proofErr w:type="gramEnd"/>
      <w:r>
        <w:t xml:space="preserve"> laat tabel 1 de totale Nederlandse inkomende en uitgaande inkomensstromen zien. Voor de verdere specificatie naar geografie verwijs ik naar de gegevens van DNB.</w:t>
      </w:r>
      <w:r>
        <w:rPr>
          <w:rStyle w:val="Voetnootmarkering"/>
        </w:rPr>
        <w:footnoteReference w:id="4"/>
      </w:r>
    </w:p>
    <w:p w:rsidRPr="00B9637B" w:rsidR="00E42201" w:rsidP="00E42201" w:rsidRDefault="00E42201" w14:paraId="46E2E1CF" w14:textId="77777777"/>
    <w:p w:rsidRPr="004E47ED" w:rsidR="00E42201" w:rsidP="00E42201" w:rsidRDefault="00E42201" w14:paraId="08FD8F61" w14:textId="77777777">
      <w:pPr>
        <w:keepNext/>
        <w:rPr>
          <w:i/>
          <w:iCs/>
        </w:rPr>
      </w:pPr>
      <w:r w:rsidRPr="004E47ED">
        <w:rPr>
          <w:i/>
          <w:iCs/>
        </w:rPr>
        <w:lastRenderedPageBreak/>
        <w:t xml:space="preserve">Tabel 1: Inkomensstromen van en naar </w:t>
      </w:r>
      <w:proofErr w:type="spellStart"/>
      <w:r w:rsidRPr="004E47ED">
        <w:rPr>
          <w:i/>
          <w:iCs/>
        </w:rPr>
        <w:t>laagbelastende</w:t>
      </w:r>
      <w:proofErr w:type="spellEnd"/>
      <w:r w:rsidRPr="004E47ED">
        <w:rPr>
          <w:i/>
          <w:iCs/>
        </w:rPr>
        <w:t xml:space="preserve"> jurisdicties waaronder verdragslanden</w:t>
      </w:r>
      <w:r w:rsidRPr="004E47ED">
        <w:rPr>
          <w:vertAlign w:val="superscript"/>
        </w:rPr>
        <w:footnoteReference w:id="5"/>
      </w:r>
      <w:r w:rsidRPr="004E47ED">
        <w:rPr>
          <w:i/>
          <w:iCs/>
        </w:rPr>
        <w:t xml:space="preserve"> en totaal alle landen (miljard €, bron: DNB)</w:t>
      </w:r>
      <w:r w:rsidRPr="004E47ED">
        <w:rPr>
          <w:vertAlign w:val="superscript"/>
        </w:rPr>
        <w:footnoteReference w:id="6"/>
      </w:r>
    </w:p>
    <w:tbl>
      <w:tblPr>
        <w:tblStyle w:val="Tabelraster1"/>
        <w:tblW w:w="6000" w:type="pct"/>
        <w:tblInd w:w="0" w:type="dxa"/>
        <w:tblLayout w:type="fixed"/>
        <w:tblLook w:val="04A0" w:firstRow="1" w:lastRow="0" w:firstColumn="1" w:lastColumn="0" w:noHBand="0" w:noVBand="1"/>
      </w:tblPr>
      <w:tblGrid>
        <w:gridCol w:w="2125"/>
        <w:gridCol w:w="684"/>
        <w:gridCol w:w="684"/>
        <w:gridCol w:w="686"/>
        <w:gridCol w:w="684"/>
        <w:gridCol w:w="686"/>
        <w:gridCol w:w="684"/>
        <w:gridCol w:w="683"/>
        <w:gridCol w:w="685"/>
        <w:gridCol w:w="683"/>
        <w:gridCol w:w="685"/>
      </w:tblGrid>
      <w:tr w:rsidRPr="004E47ED" w:rsidR="00E42201" w:rsidTr="003A490B" w14:paraId="2F008E54" w14:textId="77777777">
        <w:tc>
          <w:tcPr>
            <w:tcW w:w="1184" w:type="pct"/>
            <w:noWrap/>
            <w:vAlign w:val="center"/>
            <w:hideMark/>
          </w:tcPr>
          <w:p w:rsidRPr="004E47ED" w:rsidR="00E42201" w:rsidP="003A490B" w:rsidRDefault="00E42201" w14:paraId="0272332A" w14:textId="77777777">
            <w:pPr>
              <w:keepNext/>
              <w:spacing w:line="240" w:lineRule="auto"/>
              <w:rPr>
                <w:b/>
                <w:bCs/>
                <w:sz w:val="16"/>
                <w:szCs w:val="16"/>
              </w:rPr>
            </w:pPr>
            <w:r w:rsidRPr="004E47ED">
              <w:rPr>
                <w:b/>
                <w:bCs/>
                <w:sz w:val="16"/>
                <w:szCs w:val="16"/>
              </w:rPr>
              <w:t>Inkomend</w:t>
            </w:r>
          </w:p>
        </w:tc>
        <w:tc>
          <w:tcPr>
            <w:tcW w:w="381" w:type="pct"/>
            <w:noWrap/>
            <w:vAlign w:val="center"/>
            <w:hideMark/>
          </w:tcPr>
          <w:p w:rsidRPr="004E47ED" w:rsidR="00E42201" w:rsidP="003A490B" w:rsidRDefault="00E42201" w14:paraId="72218B33" w14:textId="77777777">
            <w:pPr>
              <w:keepNext/>
              <w:spacing w:line="240" w:lineRule="auto"/>
              <w:jc w:val="right"/>
              <w:rPr>
                <w:b/>
                <w:bCs/>
                <w:sz w:val="16"/>
                <w:szCs w:val="16"/>
              </w:rPr>
            </w:pPr>
            <w:r w:rsidRPr="004E47ED">
              <w:rPr>
                <w:b/>
                <w:bCs/>
                <w:sz w:val="16"/>
                <w:szCs w:val="16"/>
              </w:rPr>
              <w:t>2015</w:t>
            </w:r>
          </w:p>
        </w:tc>
        <w:tc>
          <w:tcPr>
            <w:tcW w:w="381" w:type="pct"/>
            <w:noWrap/>
            <w:vAlign w:val="center"/>
            <w:hideMark/>
          </w:tcPr>
          <w:p w:rsidRPr="004E47ED" w:rsidR="00E42201" w:rsidP="003A490B" w:rsidRDefault="00E42201" w14:paraId="0BE62589" w14:textId="77777777">
            <w:pPr>
              <w:keepNext/>
              <w:spacing w:line="240" w:lineRule="auto"/>
              <w:jc w:val="right"/>
              <w:rPr>
                <w:b/>
                <w:bCs/>
                <w:sz w:val="16"/>
                <w:szCs w:val="16"/>
              </w:rPr>
            </w:pPr>
            <w:r w:rsidRPr="004E47ED">
              <w:rPr>
                <w:b/>
                <w:bCs/>
                <w:sz w:val="16"/>
                <w:szCs w:val="16"/>
              </w:rPr>
              <w:t>2016</w:t>
            </w:r>
          </w:p>
        </w:tc>
        <w:tc>
          <w:tcPr>
            <w:tcW w:w="382" w:type="pct"/>
            <w:noWrap/>
            <w:vAlign w:val="center"/>
            <w:hideMark/>
          </w:tcPr>
          <w:p w:rsidRPr="004E47ED" w:rsidR="00E42201" w:rsidP="003A490B" w:rsidRDefault="00E42201" w14:paraId="173AA282" w14:textId="77777777">
            <w:pPr>
              <w:keepNext/>
              <w:spacing w:line="240" w:lineRule="auto"/>
              <w:jc w:val="right"/>
              <w:rPr>
                <w:b/>
                <w:bCs/>
                <w:sz w:val="16"/>
                <w:szCs w:val="16"/>
              </w:rPr>
            </w:pPr>
            <w:r w:rsidRPr="004E47ED">
              <w:rPr>
                <w:b/>
                <w:bCs/>
                <w:sz w:val="16"/>
                <w:szCs w:val="16"/>
              </w:rPr>
              <w:t>2017</w:t>
            </w:r>
          </w:p>
        </w:tc>
        <w:tc>
          <w:tcPr>
            <w:tcW w:w="381" w:type="pct"/>
            <w:noWrap/>
            <w:vAlign w:val="center"/>
            <w:hideMark/>
          </w:tcPr>
          <w:p w:rsidRPr="004E47ED" w:rsidR="00E42201" w:rsidP="003A490B" w:rsidRDefault="00E42201" w14:paraId="3F790F5F" w14:textId="77777777">
            <w:pPr>
              <w:keepNext/>
              <w:spacing w:line="240" w:lineRule="auto"/>
              <w:jc w:val="right"/>
              <w:rPr>
                <w:b/>
                <w:bCs/>
                <w:sz w:val="16"/>
                <w:szCs w:val="16"/>
              </w:rPr>
            </w:pPr>
            <w:r w:rsidRPr="004E47ED">
              <w:rPr>
                <w:b/>
                <w:bCs/>
                <w:sz w:val="16"/>
                <w:szCs w:val="16"/>
              </w:rPr>
              <w:t>2018</w:t>
            </w:r>
          </w:p>
        </w:tc>
        <w:tc>
          <w:tcPr>
            <w:tcW w:w="382" w:type="pct"/>
            <w:noWrap/>
            <w:vAlign w:val="center"/>
            <w:hideMark/>
          </w:tcPr>
          <w:p w:rsidRPr="004E47ED" w:rsidR="00E42201" w:rsidP="003A490B" w:rsidRDefault="00E42201" w14:paraId="224F878E" w14:textId="77777777">
            <w:pPr>
              <w:keepNext/>
              <w:spacing w:line="240" w:lineRule="auto"/>
              <w:jc w:val="right"/>
              <w:rPr>
                <w:b/>
                <w:bCs/>
                <w:sz w:val="16"/>
                <w:szCs w:val="16"/>
              </w:rPr>
            </w:pPr>
            <w:r w:rsidRPr="004E47ED">
              <w:rPr>
                <w:b/>
                <w:bCs/>
                <w:sz w:val="16"/>
                <w:szCs w:val="16"/>
              </w:rPr>
              <w:t>2019</w:t>
            </w:r>
          </w:p>
        </w:tc>
        <w:tc>
          <w:tcPr>
            <w:tcW w:w="381" w:type="pct"/>
            <w:noWrap/>
            <w:vAlign w:val="center"/>
            <w:hideMark/>
          </w:tcPr>
          <w:p w:rsidRPr="004E47ED" w:rsidR="00E42201" w:rsidP="003A490B" w:rsidRDefault="00E42201" w14:paraId="60101678" w14:textId="77777777">
            <w:pPr>
              <w:keepNext/>
              <w:spacing w:line="240" w:lineRule="auto"/>
              <w:jc w:val="right"/>
              <w:rPr>
                <w:b/>
                <w:bCs/>
                <w:sz w:val="16"/>
                <w:szCs w:val="16"/>
              </w:rPr>
            </w:pPr>
            <w:r w:rsidRPr="004E47ED">
              <w:rPr>
                <w:b/>
                <w:bCs/>
                <w:sz w:val="16"/>
                <w:szCs w:val="16"/>
              </w:rPr>
              <w:t>2020</w:t>
            </w:r>
          </w:p>
        </w:tc>
        <w:tc>
          <w:tcPr>
            <w:tcW w:w="381" w:type="pct"/>
            <w:noWrap/>
            <w:vAlign w:val="center"/>
            <w:hideMark/>
          </w:tcPr>
          <w:p w:rsidRPr="004E47ED" w:rsidR="00E42201" w:rsidP="003A490B" w:rsidRDefault="00E42201" w14:paraId="643AE929" w14:textId="77777777">
            <w:pPr>
              <w:keepNext/>
              <w:spacing w:line="240" w:lineRule="auto"/>
              <w:jc w:val="right"/>
              <w:rPr>
                <w:b/>
                <w:bCs/>
                <w:sz w:val="16"/>
                <w:szCs w:val="16"/>
              </w:rPr>
            </w:pPr>
            <w:r w:rsidRPr="004E47ED">
              <w:rPr>
                <w:b/>
                <w:bCs/>
                <w:sz w:val="16"/>
                <w:szCs w:val="16"/>
              </w:rPr>
              <w:t>2021</w:t>
            </w:r>
          </w:p>
        </w:tc>
        <w:tc>
          <w:tcPr>
            <w:tcW w:w="382" w:type="pct"/>
            <w:vAlign w:val="center"/>
          </w:tcPr>
          <w:p w:rsidRPr="004E47ED" w:rsidR="00E42201" w:rsidP="003A490B" w:rsidRDefault="00E42201" w14:paraId="430FB57E" w14:textId="77777777">
            <w:pPr>
              <w:keepNext/>
              <w:spacing w:line="240" w:lineRule="auto"/>
              <w:jc w:val="right"/>
              <w:rPr>
                <w:b/>
                <w:bCs/>
                <w:sz w:val="16"/>
                <w:szCs w:val="16"/>
              </w:rPr>
            </w:pPr>
            <w:r w:rsidRPr="004E47ED">
              <w:rPr>
                <w:b/>
                <w:bCs/>
                <w:sz w:val="16"/>
                <w:szCs w:val="16"/>
              </w:rPr>
              <w:t>2022</w:t>
            </w:r>
          </w:p>
        </w:tc>
        <w:tc>
          <w:tcPr>
            <w:tcW w:w="381" w:type="pct"/>
            <w:vAlign w:val="center"/>
          </w:tcPr>
          <w:p w:rsidRPr="004E47ED" w:rsidR="00E42201" w:rsidP="003A490B" w:rsidRDefault="00E42201" w14:paraId="4CB27651" w14:textId="77777777">
            <w:pPr>
              <w:keepNext/>
              <w:spacing w:line="240" w:lineRule="auto"/>
              <w:jc w:val="right"/>
              <w:rPr>
                <w:b/>
                <w:bCs/>
                <w:sz w:val="16"/>
                <w:szCs w:val="16"/>
              </w:rPr>
            </w:pPr>
            <w:r w:rsidRPr="004E47ED">
              <w:rPr>
                <w:b/>
                <w:bCs/>
                <w:sz w:val="16"/>
                <w:szCs w:val="16"/>
              </w:rPr>
              <w:t>2023</w:t>
            </w:r>
          </w:p>
        </w:tc>
        <w:tc>
          <w:tcPr>
            <w:tcW w:w="382" w:type="pct"/>
            <w:vAlign w:val="center"/>
          </w:tcPr>
          <w:p w:rsidRPr="004E47ED" w:rsidR="00E42201" w:rsidP="003A490B" w:rsidRDefault="00E42201" w14:paraId="7571EF91" w14:textId="77777777">
            <w:pPr>
              <w:keepNext/>
              <w:spacing w:line="240" w:lineRule="auto"/>
              <w:jc w:val="right"/>
              <w:rPr>
                <w:b/>
                <w:bCs/>
                <w:sz w:val="16"/>
                <w:szCs w:val="16"/>
              </w:rPr>
            </w:pPr>
            <w:r w:rsidRPr="004E47ED">
              <w:rPr>
                <w:b/>
                <w:bCs/>
                <w:sz w:val="16"/>
                <w:szCs w:val="16"/>
              </w:rPr>
              <w:t>2024</w:t>
            </w:r>
          </w:p>
        </w:tc>
      </w:tr>
      <w:tr w:rsidRPr="004E47ED" w:rsidR="00E42201" w:rsidTr="003A490B" w14:paraId="041A576A" w14:textId="77777777">
        <w:tc>
          <w:tcPr>
            <w:tcW w:w="1184" w:type="pct"/>
            <w:noWrap/>
            <w:vAlign w:val="center"/>
            <w:hideMark/>
          </w:tcPr>
          <w:p w:rsidRPr="004E47ED" w:rsidR="00E42201" w:rsidP="003A490B" w:rsidRDefault="00E42201" w14:paraId="436101B6" w14:textId="77777777">
            <w:pPr>
              <w:keepNext/>
              <w:spacing w:line="240" w:lineRule="auto"/>
              <w:rPr>
                <w:sz w:val="16"/>
                <w:szCs w:val="16"/>
              </w:rPr>
            </w:pPr>
            <w:r w:rsidRPr="004E47ED">
              <w:rPr>
                <w:sz w:val="16"/>
                <w:szCs w:val="16"/>
              </w:rPr>
              <w:t>Dividend en ingehouden winst</w:t>
            </w:r>
          </w:p>
        </w:tc>
        <w:tc>
          <w:tcPr>
            <w:tcW w:w="381" w:type="pct"/>
            <w:noWrap/>
            <w:vAlign w:val="center"/>
            <w:hideMark/>
          </w:tcPr>
          <w:p w:rsidRPr="004E47ED" w:rsidR="00E42201" w:rsidP="003A490B" w:rsidRDefault="00E42201" w14:paraId="7B8B6ABF" w14:textId="77777777">
            <w:pPr>
              <w:keepNext/>
              <w:jc w:val="right"/>
              <w:rPr>
                <w:sz w:val="16"/>
                <w:szCs w:val="16"/>
              </w:rPr>
            </w:pPr>
            <w:r w:rsidRPr="004E47ED">
              <w:rPr>
                <w:sz w:val="16"/>
                <w:szCs w:val="16"/>
              </w:rPr>
              <w:t xml:space="preserve"> 11,5 </w:t>
            </w:r>
          </w:p>
        </w:tc>
        <w:tc>
          <w:tcPr>
            <w:tcW w:w="381" w:type="pct"/>
            <w:noWrap/>
            <w:vAlign w:val="center"/>
            <w:hideMark/>
          </w:tcPr>
          <w:p w:rsidRPr="004E47ED" w:rsidR="00E42201" w:rsidP="003A490B" w:rsidRDefault="00E42201" w14:paraId="2E8B141A" w14:textId="77777777">
            <w:pPr>
              <w:keepNext/>
              <w:jc w:val="right"/>
              <w:rPr>
                <w:sz w:val="16"/>
                <w:szCs w:val="16"/>
              </w:rPr>
            </w:pPr>
            <w:r w:rsidRPr="004E47ED">
              <w:rPr>
                <w:sz w:val="16"/>
                <w:szCs w:val="16"/>
              </w:rPr>
              <w:t xml:space="preserve"> 11,3 </w:t>
            </w:r>
          </w:p>
        </w:tc>
        <w:tc>
          <w:tcPr>
            <w:tcW w:w="382" w:type="pct"/>
            <w:noWrap/>
            <w:vAlign w:val="center"/>
            <w:hideMark/>
          </w:tcPr>
          <w:p w:rsidRPr="004E47ED" w:rsidR="00E42201" w:rsidP="003A490B" w:rsidRDefault="00E42201" w14:paraId="288F06E2" w14:textId="77777777">
            <w:pPr>
              <w:keepNext/>
              <w:jc w:val="right"/>
              <w:rPr>
                <w:sz w:val="16"/>
                <w:szCs w:val="16"/>
              </w:rPr>
            </w:pPr>
            <w:r w:rsidRPr="004E47ED">
              <w:rPr>
                <w:sz w:val="16"/>
                <w:szCs w:val="16"/>
              </w:rPr>
              <w:t xml:space="preserve"> 10,0 </w:t>
            </w:r>
          </w:p>
        </w:tc>
        <w:tc>
          <w:tcPr>
            <w:tcW w:w="381" w:type="pct"/>
            <w:noWrap/>
            <w:vAlign w:val="center"/>
            <w:hideMark/>
          </w:tcPr>
          <w:p w:rsidRPr="004E47ED" w:rsidR="00E42201" w:rsidP="003A490B" w:rsidRDefault="00E42201" w14:paraId="1207D2FD" w14:textId="77777777">
            <w:pPr>
              <w:keepNext/>
              <w:jc w:val="right"/>
              <w:rPr>
                <w:sz w:val="16"/>
                <w:szCs w:val="16"/>
              </w:rPr>
            </w:pPr>
            <w:r w:rsidRPr="004E47ED">
              <w:rPr>
                <w:sz w:val="16"/>
                <w:szCs w:val="16"/>
              </w:rPr>
              <w:t xml:space="preserve"> 11,6 </w:t>
            </w:r>
          </w:p>
        </w:tc>
        <w:tc>
          <w:tcPr>
            <w:tcW w:w="382" w:type="pct"/>
            <w:noWrap/>
            <w:vAlign w:val="center"/>
            <w:hideMark/>
          </w:tcPr>
          <w:p w:rsidRPr="004E47ED" w:rsidR="00E42201" w:rsidP="003A490B" w:rsidRDefault="00E42201" w14:paraId="5135E0F1" w14:textId="77777777">
            <w:pPr>
              <w:keepNext/>
              <w:jc w:val="right"/>
              <w:rPr>
                <w:sz w:val="16"/>
                <w:szCs w:val="16"/>
              </w:rPr>
            </w:pPr>
            <w:r w:rsidRPr="004E47ED">
              <w:rPr>
                <w:sz w:val="16"/>
                <w:szCs w:val="16"/>
              </w:rPr>
              <w:t xml:space="preserve"> 9,6 </w:t>
            </w:r>
          </w:p>
        </w:tc>
        <w:tc>
          <w:tcPr>
            <w:tcW w:w="381" w:type="pct"/>
            <w:noWrap/>
            <w:vAlign w:val="center"/>
            <w:hideMark/>
          </w:tcPr>
          <w:p w:rsidRPr="004E47ED" w:rsidR="00E42201" w:rsidP="003A490B" w:rsidRDefault="00E42201" w14:paraId="1B035DC3" w14:textId="77777777">
            <w:pPr>
              <w:keepNext/>
              <w:jc w:val="right"/>
              <w:rPr>
                <w:sz w:val="16"/>
                <w:szCs w:val="16"/>
              </w:rPr>
            </w:pPr>
            <w:r w:rsidRPr="004E47ED">
              <w:rPr>
                <w:sz w:val="16"/>
                <w:szCs w:val="16"/>
              </w:rPr>
              <w:t xml:space="preserve"> 4,7 </w:t>
            </w:r>
          </w:p>
        </w:tc>
        <w:tc>
          <w:tcPr>
            <w:tcW w:w="381" w:type="pct"/>
            <w:noWrap/>
            <w:vAlign w:val="center"/>
            <w:hideMark/>
          </w:tcPr>
          <w:p w:rsidRPr="004E47ED" w:rsidR="00E42201" w:rsidP="003A490B" w:rsidRDefault="00E42201" w14:paraId="6B30BE01" w14:textId="77777777">
            <w:pPr>
              <w:keepNext/>
              <w:jc w:val="right"/>
              <w:rPr>
                <w:sz w:val="16"/>
                <w:szCs w:val="16"/>
              </w:rPr>
            </w:pPr>
            <w:r w:rsidRPr="004E47ED">
              <w:rPr>
                <w:sz w:val="16"/>
                <w:szCs w:val="16"/>
              </w:rPr>
              <w:t xml:space="preserve"> 10,6 </w:t>
            </w:r>
          </w:p>
        </w:tc>
        <w:tc>
          <w:tcPr>
            <w:tcW w:w="382" w:type="pct"/>
            <w:vAlign w:val="center"/>
          </w:tcPr>
          <w:p w:rsidRPr="004E47ED" w:rsidR="00E42201" w:rsidP="003A490B" w:rsidRDefault="00E42201" w14:paraId="47F62718" w14:textId="77777777">
            <w:pPr>
              <w:keepNext/>
              <w:jc w:val="right"/>
              <w:rPr>
                <w:sz w:val="16"/>
                <w:szCs w:val="16"/>
              </w:rPr>
            </w:pPr>
            <w:r w:rsidRPr="004E47ED">
              <w:rPr>
                <w:sz w:val="16"/>
                <w:szCs w:val="16"/>
              </w:rPr>
              <w:t xml:space="preserve"> 5,9 </w:t>
            </w:r>
          </w:p>
        </w:tc>
        <w:tc>
          <w:tcPr>
            <w:tcW w:w="381" w:type="pct"/>
            <w:vAlign w:val="center"/>
          </w:tcPr>
          <w:p w:rsidRPr="004E47ED" w:rsidR="00E42201" w:rsidP="003A490B" w:rsidRDefault="00E42201" w14:paraId="4946B1F0" w14:textId="77777777">
            <w:pPr>
              <w:keepNext/>
              <w:jc w:val="right"/>
              <w:rPr>
                <w:sz w:val="16"/>
                <w:szCs w:val="16"/>
              </w:rPr>
            </w:pPr>
            <w:r w:rsidRPr="004E47ED">
              <w:rPr>
                <w:sz w:val="16"/>
                <w:szCs w:val="16"/>
              </w:rPr>
              <w:t xml:space="preserve"> 9,2 </w:t>
            </w:r>
          </w:p>
        </w:tc>
        <w:tc>
          <w:tcPr>
            <w:tcW w:w="382" w:type="pct"/>
            <w:vAlign w:val="center"/>
          </w:tcPr>
          <w:p w:rsidRPr="004E47ED" w:rsidR="00E42201" w:rsidP="003A490B" w:rsidRDefault="00E42201" w14:paraId="38252572" w14:textId="77777777">
            <w:pPr>
              <w:keepNext/>
              <w:jc w:val="right"/>
              <w:rPr>
                <w:sz w:val="16"/>
                <w:szCs w:val="16"/>
              </w:rPr>
            </w:pPr>
            <w:r w:rsidRPr="004E47ED">
              <w:rPr>
                <w:sz w:val="16"/>
                <w:szCs w:val="16"/>
              </w:rPr>
              <w:t xml:space="preserve"> 13,7 </w:t>
            </w:r>
          </w:p>
        </w:tc>
      </w:tr>
      <w:tr w:rsidRPr="004E47ED" w:rsidR="00E42201" w:rsidTr="003A490B" w14:paraId="3912C8A3" w14:textId="77777777">
        <w:tc>
          <w:tcPr>
            <w:tcW w:w="1184" w:type="pct"/>
            <w:noWrap/>
            <w:vAlign w:val="center"/>
            <w:hideMark/>
          </w:tcPr>
          <w:p w:rsidRPr="004E47ED" w:rsidR="00E42201" w:rsidP="003A490B" w:rsidRDefault="00E42201" w14:paraId="01983E8D" w14:textId="77777777">
            <w:pPr>
              <w:keepNext/>
              <w:spacing w:line="240" w:lineRule="auto"/>
              <w:rPr>
                <w:sz w:val="16"/>
                <w:szCs w:val="16"/>
              </w:rPr>
            </w:pPr>
            <w:r w:rsidRPr="004E47ED">
              <w:rPr>
                <w:sz w:val="16"/>
                <w:szCs w:val="16"/>
              </w:rPr>
              <w:t>Rente</w:t>
            </w:r>
            <w:r>
              <w:rPr>
                <w:sz w:val="16"/>
                <w:szCs w:val="16"/>
              </w:rPr>
              <w:t>n</w:t>
            </w:r>
          </w:p>
        </w:tc>
        <w:tc>
          <w:tcPr>
            <w:tcW w:w="381" w:type="pct"/>
            <w:noWrap/>
            <w:vAlign w:val="center"/>
            <w:hideMark/>
          </w:tcPr>
          <w:p w:rsidRPr="004E47ED" w:rsidR="00E42201" w:rsidP="003A490B" w:rsidRDefault="00E42201" w14:paraId="48A44DCF" w14:textId="77777777">
            <w:pPr>
              <w:keepNext/>
              <w:jc w:val="right"/>
              <w:rPr>
                <w:sz w:val="16"/>
                <w:szCs w:val="16"/>
              </w:rPr>
            </w:pPr>
            <w:r w:rsidRPr="004E47ED">
              <w:rPr>
                <w:sz w:val="16"/>
                <w:szCs w:val="16"/>
              </w:rPr>
              <w:t xml:space="preserve"> 1,4 </w:t>
            </w:r>
          </w:p>
        </w:tc>
        <w:tc>
          <w:tcPr>
            <w:tcW w:w="381" w:type="pct"/>
            <w:noWrap/>
            <w:vAlign w:val="center"/>
            <w:hideMark/>
          </w:tcPr>
          <w:p w:rsidRPr="004E47ED" w:rsidR="00E42201" w:rsidP="003A490B" w:rsidRDefault="00E42201" w14:paraId="6249ECF1" w14:textId="77777777">
            <w:pPr>
              <w:keepNext/>
              <w:jc w:val="right"/>
              <w:rPr>
                <w:sz w:val="16"/>
                <w:szCs w:val="16"/>
              </w:rPr>
            </w:pPr>
            <w:r w:rsidRPr="004E47ED">
              <w:rPr>
                <w:sz w:val="16"/>
                <w:szCs w:val="16"/>
              </w:rPr>
              <w:t xml:space="preserve"> 1,2 </w:t>
            </w:r>
          </w:p>
        </w:tc>
        <w:tc>
          <w:tcPr>
            <w:tcW w:w="382" w:type="pct"/>
            <w:noWrap/>
            <w:vAlign w:val="center"/>
            <w:hideMark/>
          </w:tcPr>
          <w:p w:rsidRPr="004E47ED" w:rsidR="00E42201" w:rsidP="003A490B" w:rsidRDefault="00E42201" w14:paraId="4913D0B0" w14:textId="77777777">
            <w:pPr>
              <w:keepNext/>
              <w:jc w:val="right"/>
              <w:rPr>
                <w:sz w:val="16"/>
                <w:szCs w:val="16"/>
              </w:rPr>
            </w:pPr>
            <w:r w:rsidRPr="004E47ED">
              <w:rPr>
                <w:sz w:val="16"/>
                <w:szCs w:val="16"/>
              </w:rPr>
              <w:t xml:space="preserve"> 1,0 </w:t>
            </w:r>
          </w:p>
        </w:tc>
        <w:tc>
          <w:tcPr>
            <w:tcW w:w="381" w:type="pct"/>
            <w:noWrap/>
            <w:vAlign w:val="center"/>
            <w:hideMark/>
          </w:tcPr>
          <w:p w:rsidRPr="004E47ED" w:rsidR="00E42201" w:rsidP="003A490B" w:rsidRDefault="00E42201" w14:paraId="1839C270" w14:textId="77777777">
            <w:pPr>
              <w:keepNext/>
              <w:jc w:val="right"/>
              <w:rPr>
                <w:sz w:val="16"/>
                <w:szCs w:val="16"/>
              </w:rPr>
            </w:pPr>
            <w:r w:rsidRPr="004E47ED">
              <w:rPr>
                <w:sz w:val="16"/>
                <w:szCs w:val="16"/>
              </w:rPr>
              <w:t xml:space="preserve"> 1,0 </w:t>
            </w:r>
          </w:p>
        </w:tc>
        <w:tc>
          <w:tcPr>
            <w:tcW w:w="382" w:type="pct"/>
            <w:noWrap/>
            <w:vAlign w:val="center"/>
            <w:hideMark/>
          </w:tcPr>
          <w:p w:rsidRPr="004E47ED" w:rsidR="00E42201" w:rsidP="003A490B" w:rsidRDefault="00E42201" w14:paraId="7AE4F5A3" w14:textId="77777777">
            <w:pPr>
              <w:keepNext/>
              <w:jc w:val="right"/>
              <w:rPr>
                <w:sz w:val="16"/>
                <w:szCs w:val="16"/>
              </w:rPr>
            </w:pPr>
            <w:r w:rsidRPr="004E47ED">
              <w:rPr>
                <w:sz w:val="16"/>
                <w:szCs w:val="16"/>
              </w:rPr>
              <w:t xml:space="preserve"> 1,8 </w:t>
            </w:r>
          </w:p>
        </w:tc>
        <w:tc>
          <w:tcPr>
            <w:tcW w:w="381" w:type="pct"/>
            <w:noWrap/>
            <w:vAlign w:val="center"/>
            <w:hideMark/>
          </w:tcPr>
          <w:p w:rsidRPr="004E47ED" w:rsidR="00E42201" w:rsidP="003A490B" w:rsidRDefault="00E42201" w14:paraId="3CB05BD6" w14:textId="77777777">
            <w:pPr>
              <w:keepNext/>
              <w:jc w:val="right"/>
              <w:rPr>
                <w:sz w:val="16"/>
                <w:szCs w:val="16"/>
              </w:rPr>
            </w:pPr>
            <w:r w:rsidRPr="004E47ED">
              <w:rPr>
                <w:sz w:val="16"/>
                <w:szCs w:val="16"/>
              </w:rPr>
              <w:t xml:space="preserve"> 1,0 </w:t>
            </w:r>
          </w:p>
        </w:tc>
        <w:tc>
          <w:tcPr>
            <w:tcW w:w="381" w:type="pct"/>
            <w:noWrap/>
            <w:vAlign w:val="center"/>
            <w:hideMark/>
          </w:tcPr>
          <w:p w:rsidRPr="004E47ED" w:rsidR="00E42201" w:rsidP="003A490B" w:rsidRDefault="00E42201" w14:paraId="54BFF0B1" w14:textId="77777777">
            <w:pPr>
              <w:keepNext/>
              <w:jc w:val="right"/>
              <w:rPr>
                <w:sz w:val="16"/>
                <w:szCs w:val="16"/>
              </w:rPr>
            </w:pPr>
            <w:r w:rsidRPr="004E47ED">
              <w:rPr>
                <w:sz w:val="16"/>
                <w:szCs w:val="16"/>
              </w:rPr>
              <w:t xml:space="preserve"> 0,4 </w:t>
            </w:r>
          </w:p>
        </w:tc>
        <w:tc>
          <w:tcPr>
            <w:tcW w:w="382" w:type="pct"/>
            <w:vAlign w:val="center"/>
          </w:tcPr>
          <w:p w:rsidRPr="004E47ED" w:rsidR="00E42201" w:rsidP="003A490B" w:rsidRDefault="00E42201" w14:paraId="628188DF" w14:textId="77777777">
            <w:pPr>
              <w:keepNext/>
              <w:jc w:val="right"/>
              <w:rPr>
                <w:sz w:val="16"/>
                <w:szCs w:val="16"/>
              </w:rPr>
            </w:pPr>
            <w:r w:rsidRPr="004E47ED">
              <w:rPr>
                <w:sz w:val="16"/>
                <w:szCs w:val="16"/>
              </w:rPr>
              <w:t xml:space="preserve"> 0,4 </w:t>
            </w:r>
          </w:p>
        </w:tc>
        <w:tc>
          <w:tcPr>
            <w:tcW w:w="381" w:type="pct"/>
            <w:vAlign w:val="center"/>
          </w:tcPr>
          <w:p w:rsidRPr="004E47ED" w:rsidR="00E42201" w:rsidP="003A490B" w:rsidRDefault="00E42201" w14:paraId="1E6CB34C" w14:textId="77777777">
            <w:pPr>
              <w:keepNext/>
              <w:jc w:val="right"/>
              <w:rPr>
                <w:sz w:val="16"/>
                <w:szCs w:val="16"/>
              </w:rPr>
            </w:pPr>
            <w:r w:rsidRPr="004E47ED">
              <w:rPr>
                <w:sz w:val="16"/>
                <w:szCs w:val="16"/>
              </w:rPr>
              <w:t xml:space="preserve"> 1,4 </w:t>
            </w:r>
          </w:p>
        </w:tc>
        <w:tc>
          <w:tcPr>
            <w:tcW w:w="382" w:type="pct"/>
            <w:vAlign w:val="center"/>
          </w:tcPr>
          <w:p w:rsidRPr="004E47ED" w:rsidR="00E42201" w:rsidP="003A490B" w:rsidRDefault="00E42201" w14:paraId="4B272DBF" w14:textId="77777777">
            <w:pPr>
              <w:keepNext/>
              <w:jc w:val="right"/>
              <w:rPr>
                <w:sz w:val="16"/>
                <w:szCs w:val="16"/>
              </w:rPr>
            </w:pPr>
            <w:r w:rsidRPr="004E47ED">
              <w:rPr>
                <w:sz w:val="16"/>
                <w:szCs w:val="16"/>
              </w:rPr>
              <w:t xml:space="preserve"> 0,7 </w:t>
            </w:r>
          </w:p>
        </w:tc>
      </w:tr>
      <w:tr w:rsidRPr="004E47ED" w:rsidR="00E42201" w:rsidTr="003A490B" w14:paraId="64A70C49" w14:textId="77777777">
        <w:tc>
          <w:tcPr>
            <w:tcW w:w="1184" w:type="pct"/>
            <w:noWrap/>
            <w:vAlign w:val="center"/>
            <w:hideMark/>
          </w:tcPr>
          <w:p w:rsidRPr="004E47ED" w:rsidR="00E42201" w:rsidP="003A490B" w:rsidRDefault="00E42201" w14:paraId="20A7DD4C" w14:textId="77777777">
            <w:pPr>
              <w:keepNext/>
              <w:spacing w:line="240" w:lineRule="auto"/>
              <w:rPr>
                <w:sz w:val="16"/>
                <w:szCs w:val="16"/>
              </w:rPr>
            </w:pPr>
            <w:r w:rsidRPr="004E47ED">
              <w:rPr>
                <w:sz w:val="16"/>
                <w:szCs w:val="16"/>
              </w:rPr>
              <w:t>Royalty’s</w:t>
            </w:r>
          </w:p>
        </w:tc>
        <w:tc>
          <w:tcPr>
            <w:tcW w:w="381" w:type="pct"/>
            <w:noWrap/>
            <w:vAlign w:val="center"/>
            <w:hideMark/>
          </w:tcPr>
          <w:p w:rsidRPr="004E47ED" w:rsidR="00E42201" w:rsidP="003A490B" w:rsidRDefault="00E42201" w14:paraId="62E17C68" w14:textId="77777777">
            <w:pPr>
              <w:keepNext/>
              <w:jc w:val="right"/>
              <w:rPr>
                <w:sz w:val="16"/>
                <w:szCs w:val="16"/>
              </w:rPr>
            </w:pPr>
            <w:r w:rsidRPr="004E47ED">
              <w:rPr>
                <w:sz w:val="16"/>
                <w:szCs w:val="16"/>
              </w:rPr>
              <w:t xml:space="preserve"> 1,0 </w:t>
            </w:r>
          </w:p>
        </w:tc>
        <w:tc>
          <w:tcPr>
            <w:tcW w:w="381" w:type="pct"/>
            <w:noWrap/>
            <w:vAlign w:val="center"/>
            <w:hideMark/>
          </w:tcPr>
          <w:p w:rsidRPr="004E47ED" w:rsidR="00E42201" w:rsidP="003A490B" w:rsidRDefault="00E42201" w14:paraId="7F6E8CC6" w14:textId="77777777">
            <w:pPr>
              <w:keepNext/>
              <w:jc w:val="right"/>
              <w:rPr>
                <w:sz w:val="16"/>
                <w:szCs w:val="16"/>
              </w:rPr>
            </w:pPr>
            <w:r w:rsidRPr="004E47ED">
              <w:rPr>
                <w:sz w:val="16"/>
                <w:szCs w:val="16"/>
              </w:rPr>
              <w:t xml:space="preserve"> 1,4 </w:t>
            </w:r>
          </w:p>
        </w:tc>
        <w:tc>
          <w:tcPr>
            <w:tcW w:w="382" w:type="pct"/>
            <w:noWrap/>
            <w:vAlign w:val="center"/>
            <w:hideMark/>
          </w:tcPr>
          <w:p w:rsidRPr="004E47ED" w:rsidR="00E42201" w:rsidP="003A490B" w:rsidRDefault="00E42201" w14:paraId="4F1B96D1" w14:textId="77777777">
            <w:pPr>
              <w:keepNext/>
              <w:jc w:val="right"/>
              <w:rPr>
                <w:sz w:val="16"/>
                <w:szCs w:val="16"/>
              </w:rPr>
            </w:pPr>
            <w:r w:rsidRPr="004E47ED">
              <w:rPr>
                <w:sz w:val="16"/>
                <w:szCs w:val="16"/>
              </w:rPr>
              <w:t xml:space="preserve"> 2,2 </w:t>
            </w:r>
          </w:p>
        </w:tc>
        <w:tc>
          <w:tcPr>
            <w:tcW w:w="381" w:type="pct"/>
            <w:noWrap/>
            <w:vAlign w:val="center"/>
            <w:hideMark/>
          </w:tcPr>
          <w:p w:rsidRPr="004E47ED" w:rsidR="00E42201" w:rsidP="003A490B" w:rsidRDefault="00E42201" w14:paraId="7075B8BF" w14:textId="77777777">
            <w:pPr>
              <w:keepNext/>
              <w:jc w:val="right"/>
              <w:rPr>
                <w:sz w:val="16"/>
                <w:szCs w:val="16"/>
              </w:rPr>
            </w:pPr>
            <w:r w:rsidRPr="004E47ED">
              <w:rPr>
                <w:sz w:val="16"/>
                <w:szCs w:val="16"/>
              </w:rPr>
              <w:t xml:space="preserve"> 1,0 </w:t>
            </w:r>
          </w:p>
        </w:tc>
        <w:tc>
          <w:tcPr>
            <w:tcW w:w="382" w:type="pct"/>
            <w:noWrap/>
            <w:vAlign w:val="center"/>
            <w:hideMark/>
          </w:tcPr>
          <w:p w:rsidRPr="004E47ED" w:rsidR="00E42201" w:rsidP="003A490B" w:rsidRDefault="00E42201" w14:paraId="6F3D7C02" w14:textId="77777777">
            <w:pPr>
              <w:keepNext/>
              <w:jc w:val="right"/>
              <w:rPr>
                <w:sz w:val="16"/>
                <w:szCs w:val="16"/>
              </w:rPr>
            </w:pPr>
            <w:r w:rsidRPr="004E47ED">
              <w:rPr>
                <w:sz w:val="16"/>
                <w:szCs w:val="16"/>
              </w:rPr>
              <w:t xml:space="preserve"> 1,1 </w:t>
            </w:r>
          </w:p>
        </w:tc>
        <w:tc>
          <w:tcPr>
            <w:tcW w:w="381" w:type="pct"/>
            <w:noWrap/>
            <w:vAlign w:val="center"/>
            <w:hideMark/>
          </w:tcPr>
          <w:p w:rsidRPr="004E47ED" w:rsidR="00E42201" w:rsidP="003A490B" w:rsidRDefault="00E42201" w14:paraId="24CB460D" w14:textId="77777777">
            <w:pPr>
              <w:keepNext/>
              <w:jc w:val="right"/>
              <w:rPr>
                <w:sz w:val="16"/>
                <w:szCs w:val="16"/>
              </w:rPr>
            </w:pPr>
            <w:r w:rsidRPr="004E47ED">
              <w:rPr>
                <w:sz w:val="16"/>
                <w:szCs w:val="16"/>
              </w:rPr>
              <w:t xml:space="preserve"> 0,4 </w:t>
            </w:r>
          </w:p>
        </w:tc>
        <w:tc>
          <w:tcPr>
            <w:tcW w:w="381" w:type="pct"/>
            <w:noWrap/>
            <w:vAlign w:val="center"/>
            <w:hideMark/>
          </w:tcPr>
          <w:p w:rsidRPr="004E47ED" w:rsidR="00E42201" w:rsidP="003A490B" w:rsidRDefault="00E42201" w14:paraId="254B14CD" w14:textId="77777777">
            <w:pPr>
              <w:keepNext/>
              <w:jc w:val="right"/>
              <w:rPr>
                <w:sz w:val="16"/>
                <w:szCs w:val="16"/>
              </w:rPr>
            </w:pPr>
            <w:r w:rsidRPr="004E47ED">
              <w:rPr>
                <w:sz w:val="16"/>
                <w:szCs w:val="16"/>
              </w:rPr>
              <w:t xml:space="preserve"> 0,5 </w:t>
            </w:r>
          </w:p>
        </w:tc>
        <w:tc>
          <w:tcPr>
            <w:tcW w:w="382" w:type="pct"/>
            <w:vAlign w:val="center"/>
          </w:tcPr>
          <w:p w:rsidRPr="004E47ED" w:rsidR="00E42201" w:rsidP="003A490B" w:rsidRDefault="00E42201" w14:paraId="4C69B92A" w14:textId="77777777">
            <w:pPr>
              <w:keepNext/>
              <w:jc w:val="right"/>
              <w:rPr>
                <w:sz w:val="16"/>
                <w:szCs w:val="16"/>
              </w:rPr>
            </w:pPr>
            <w:r w:rsidRPr="004E47ED">
              <w:rPr>
                <w:sz w:val="16"/>
                <w:szCs w:val="16"/>
              </w:rPr>
              <w:t xml:space="preserve"> 0,6 </w:t>
            </w:r>
          </w:p>
        </w:tc>
        <w:tc>
          <w:tcPr>
            <w:tcW w:w="381" w:type="pct"/>
            <w:vAlign w:val="center"/>
          </w:tcPr>
          <w:p w:rsidRPr="004E47ED" w:rsidR="00E42201" w:rsidP="003A490B" w:rsidRDefault="00E42201" w14:paraId="0EF15F0C" w14:textId="77777777">
            <w:pPr>
              <w:keepNext/>
              <w:jc w:val="right"/>
              <w:rPr>
                <w:sz w:val="16"/>
                <w:szCs w:val="16"/>
              </w:rPr>
            </w:pPr>
            <w:r w:rsidRPr="004E47ED">
              <w:rPr>
                <w:sz w:val="16"/>
                <w:szCs w:val="16"/>
              </w:rPr>
              <w:t xml:space="preserve"> 0,7 </w:t>
            </w:r>
          </w:p>
        </w:tc>
        <w:tc>
          <w:tcPr>
            <w:tcW w:w="382" w:type="pct"/>
            <w:vAlign w:val="center"/>
          </w:tcPr>
          <w:p w:rsidRPr="004E47ED" w:rsidR="00E42201" w:rsidP="003A490B" w:rsidRDefault="00E42201" w14:paraId="5CD7FA38" w14:textId="77777777">
            <w:pPr>
              <w:keepNext/>
              <w:jc w:val="right"/>
              <w:rPr>
                <w:sz w:val="16"/>
                <w:szCs w:val="16"/>
              </w:rPr>
            </w:pPr>
            <w:r w:rsidRPr="004E47ED">
              <w:rPr>
                <w:sz w:val="16"/>
                <w:szCs w:val="16"/>
              </w:rPr>
              <w:t xml:space="preserve"> 0,4 </w:t>
            </w:r>
          </w:p>
        </w:tc>
      </w:tr>
      <w:tr w:rsidRPr="004E47ED" w:rsidR="00E42201" w:rsidTr="003A490B" w14:paraId="67E895A5" w14:textId="77777777">
        <w:tc>
          <w:tcPr>
            <w:tcW w:w="1184" w:type="pct"/>
            <w:noWrap/>
            <w:vAlign w:val="center"/>
          </w:tcPr>
          <w:p w:rsidRPr="004E47ED" w:rsidR="00E42201" w:rsidP="003A490B" w:rsidRDefault="00E42201" w14:paraId="778F3378" w14:textId="77777777">
            <w:pPr>
              <w:keepNext/>
              <w:spacing w:line="240" w:lineRule="auto"/>
              <w:rPr>
                <w:sz w:val="16"/>
                <w:szCs w:val="16"/>
              </w:rPr>
            </w:pPr>
            <w:r w:rsidRPr="004E47ED">
              <w:rPr>
                <w:sz w:val="16"/>
                <w:szCs w:val="16"/>
              </w:rPr>
              <w:t>Overig inkomen</w:t>
            </w:r>
          </w:p>
        </w:tc>
        <w:tc>
          <w:tcPr>
            <w:tcW w:w="381" w:type="pct"/>
            <w:noWrap/>
            <w:vAlign w:val="center"/>
          </w:tcPr>
          <w:p w:rsidRPr="004E47ED" w:rsidR="00E42201" w:rsidP="003A490B" w:rsidRDefault="00E42201" w14:paraId="4BB67276" w14:textId="77777777">
            <w:pPr>
              <w:keepNext/>
              <w:jc w:val="right"/>
              <w:rPr>
                <w:sz w:val="16"/>
                <w:szCs w:val="16"/>
              </w:rPr>
            </w:pPr>
            <w:r w:rsidRPr="004E47ED">
              <w:rPr>
                <w:sz w:val="16"/>
                <w:szCs w:val="16"/>
              </w:rPr>
              <w:t xml:space="preserve"> 0,1 </w:t>
            </w:r>
          </w:p>
        </w:tc>
        <w:tc>
          <w:tcPr>
            <w:tcW w:w="381" w:type="pct"/>
            <w:noWrap/>
            <w:vAlign w:val="center"/>
          </w:tcPr>
          <w:p w:rsidRPr="004E47ED" w:rsidR="00E42201" w:rsidP="003A490B" w:rsidRDefault="00E42201" w14:paraId="3151FA0D" w14:textId="77777777">
            <w:pPr>
              <w:keepNext/>
              <w:jc w:val="right"/>
              <w:rPr>
                <w:sz w:val="16"/>
                <w:szCs w:val="16"/>
              </w:rPr>
            </w:pPr>
            <w:r w:rsidRPr="004E47ED">
              <w:rPr>
                <w:sz w:val="16"/>
                <w:szCs w:val="16"/>
              </w:rPr>
              <w:t xml:space="preserve"> 0,1 </w:t>
            </w:r>
          </w:p>
        </w:tc>
        <w:tc>
          <w:tcPr>
            <w:tcW w:w="382" w:type="pct"/>
            <w:noWrap/>
            <w:vAlign w:val="center"/>
          </w:tcPr>
          <w:p w:rsidRPr="004E47ED" w:rsidR="00E42201" w:rsidP="003A490B" w:rsidRDefault="00E42201" w14:paraId="30F28EC1" w14:textId="77777777">
            <w:pPr>
              <w:keepNext/>
              <w:jc w:val="right"/>
              <w:rPr>
                <w:sz w:val="16"/>
                <w:szCs w:val="16"/>
              </w:rPr>
            </w:pPr>
            <w:r w:rsidRPr="004E47ED">
              <w:rPr>
                <w:sz w:val="16"/>
                <w:szCs w:val="16"/>
              </w:rPr>
              <w:t xml:space="preserve"> 0,1 </w:t>
            </w:r>
          </w:p>
        </w:tc>
        <w:tc>
          <w:tcPr>
            <w:tcW w:w="381" w:type="pct"/>
            <w:noWrap/>
            <w:vAlign w:val="center"/>
          </w:tcPr>
          <w:p w:rsidRPr="004E47ED" w:rsidR="00E42201" w:rsidP="003A490B" w:rsidRDefault="00E42201" w14:paraId="645B4745" w14:textId="77777777">
            <w:pPr>
              <w:keepNext/>
              <w:jc w:val="right"/>
              <w:rPr>
                <w:sz w:val="16"/>
                <w:szCs w:val="16"/>
              </w:rPr>
            </w:pPr>
            <w:r w:rsidRPr="004E47ED">
              <w:rPr>
                <w:sz w:val="16"/>
                <w:szCs w:val="16"/>
              </w:rPr>
              <w:t xml:space="preserve"> 0,1 </w:t>
            </w:r>
          </w:p>
        </w:tc>
        <w:tc>
          <w:tcPr>
            <w:tcW w:w="382" w:type="pct"/>
            <w:noWrap/>
            <w:vAlign w:val="center"/>
          </w:tcPr>
          <w:p w:rsidRPr="004E47ED" w:rsidR="00E42201" w:rsidP="003A490B" w:rsidRDefault="00E42201" w14:paraId="1CCA1502" w14:textId="77777777">
            <w:pPr>
              <w:keepNext/>
              <w:jc w:val="right"/>
              <w:rPr>
                <w:sz w:val="16"/>
                <w:szCs w:val="16"/>
              </w:rPr>
            </w:pPr>
            <w:r w:rsidRPr="004E47ED">
              <w:rPr>
                <w:sz w:val="16"/>
                <w:szCs w:val="16"/>
              </w:rPr>
              <w:t xml:space="preserve"> 0,1 </w:t>
            </w:r>
          </w:p>
        </w:tc>
        <w:tc>
          <w:tcPr>
            <w:tcW w:w="381" w:type="pct"/>
            <w:noWrap/>
            <w:vAlign w:val="center"/>
          </w:tcPr>
          <w:p w:rsidRPr="004E47ED" w:rsidR="00E42201" w:rsidP="003A490B" w:rsidRDefault="00E42201" w14:paraId="0F94B9A2" w14:textId="77777777">
            <w:pPr>
              <w:keepNext/>
              <w:jc w:val="right"/>
              <w:rPr>
                <w:sz w:val="16"/>
                <w:szCs w:val="16"/>
              </w:rPr>
            </w:pPr>
            <w:r w:rsidRPr="004E47ED">
              <w:rPr>
                <w:sz w:val="16"/>
                <w:szCs w:val="16"/>
              </w:rPr>
              <w:t xml:space="preserve"> 0,0 </w:t>
            </w:r>
          </w:p>
        </w:tc>
        <w:tc>
          <w:tcPr>
            <w:tcW w:w="381" w:type="pct"/>
            <w:noWrap/>
            <w:vAlign w:val="center"/>
          </w:tcPr>
          <w:p w:rsidRPr="004E47ED" w:rsidR="00E42201" w:rsidP="003A490B" w:rsidRDefault="00E42201" w14:paraId="57A22F67" w14:textId="77777777">
            <w:pPr>
              <w:keepNext/>
              <w:jc w:val="right"/>
              <w:rPr>
                <w:sz w:val="16"/>
                <w:szCs w:val="16"/>
              </w:rPr>
            </w:pPr>
            <w:r w:rsidRPr="004E47ED">
              <w:rPr>
                <w:sz w:val="16"/>
                <w:szCs w:val="16"/>
              </w:rPr>
              <w:t xml:space="preserve"> 0,0 </w:t>
            </w:r>
          </w:p>
        </w:tc>
        <w:tc>
          <w:tcPr>
            <w:tcW w:w="382" w:type="pct"/>
            <w:vAlign w:val="center"/>
          </w:tcPr>
          <w:p w:rsidRPr="004E47ED" w:rsidR="00E42201" w:rsidP="003A490B" w:rsidRDefault="00E42201" w14:paraId="04015B10" w14:textId="77777777">
            <w:pPr>
              <w:keepNext/>
              <w:jc w:val="right"/>
              <w:rPr>
                <w:sz w:val="16"/>
                <w:szCs w:val="16"/>
              </w:rPr>
            </w:pPr>
            <w:r w:rsidRPr="004E47ED">
              <w:rPr>
                <w:sz w:val="16"/>
                <w:szCs w:val="16"/>
              </w:rPr>
              <w:t xml:space="preserve"> 0,0 </w:t>
            </w:r>
          </w:p>
        </w:tc>
        <w:tc>
          <w:tcPr>
            <w:tcW w:w="381" w:type="pct"/>
            <w:vAlign w:val="center"/>
          </w:tcPr>
          <w:p w:rsidRPr="004E47ED" w:rsidR="00E42201" w:rsidP="003A490B" w:rsidRDefault="00E42201" w14:paraId="430F23B8" w14:textId="77777777">
            <w:pPr>
              <w:keepNext/>
              <w:jc w:val="right"/>
              <w:rPr>
                <w:sz w:val="16"/>
                <w:szCs w:val="16"/>
              </w:rPr>
            </w:pPr>
            <w:r w:rsidRPr="004E47ED">
              <w:rPr>
                <w:sz w:val="16"/>
                <w:szCs w:val="16"/>
              </w:rPr>
              <w:t xml:space="preserve"> 0,0 </w:t>
            </w:r>
          </w:p>
        </w:tc>
        <w:tc>
          <w:tcPr>
            <w:tcW w:w="382" w:type="pct"/>
            <w:vAlign w:val="center"/>
          </w:tcPr>
          <w:p w:rsidRPr="004E47ED" w:rsidR="00E42201" w:rsidP="003A490B" w:rsidRDefault="00E42201" w14:paraId="36DA1872" w14:textId="77777777">
            <w:pPr>
              <w:keepNext/>
              <w:jc w:val="right"/>
              <w:rPr>
                <w:sz w:val="16"/>
                <w:szCs w:val="16"/>
              </w:rPr>
            </w:pPr>
            <w:r w:rsidRPr="004E47ED">
              <w:rPr>
                <w:sz w:val="16"/>
                <w:szCs w:val="16"/>
              </w:rPr>
              <w:t xml:space="preserve"> 0,0 </w:t>
            </w:r>
          </w:p>
        </w:tc>
      </w:tr>
      <w:tr w:rsidRPr="004E47ED" w:rsidR="00E42201" w:rsidTr="003A490B" w14:paraId="4F85DD12" w14:textId="77777777">
        <w:tc>
          <w:tcPr>
            <w:tcW w:w="1184" w:type="pct"/>
            <w:noWrap/>
            <w:vAlign w:val="center"/>
            <w:hideMark/>
          </w:tcPr>
          <w:p w:rsidRPr="004E47ED" w:rsidR="00E42201" w:rsidP="003A490B" w:rsidRDefault="00E42201" w14:paraId="60C1B8AD" w14:textId="77777777">
            <w:pPr>
              <w:keepNext/>
              <w:spacing w:line="240" w:lineRule="auto"/>
              <w:rPr>
                <w:b/>
                <w:bCs/>
                <w:sz w:val="16"/>
                <w:szCs w:val="16"/>
              </w:rPr>
            </w:pPr>
            <w:r w:rsidRPr="004E47ED">
              <w:rPr>
                <w:b/>
                <w:bCs/>
                <w:sz w:val="16"/>
                <w:szCs w:val="16"/>
              </w:rPr>
              <w:t xml:space="preserve">Totaal </w:t>
            </w:r>
            <w:proofErr w:type="spellStart"/>
            <w:r w:rsidRPr="004E47ED">
              <w:rPr>
                <w:b/>
                <w:bCs/>
                <w:sz w:val="16"/>
                <w:szCs w:val="16"/>
              </w:rPr>
              <w:t>LBJ’s</w:t>
            </w:r>
            <w:proofErr w:type="spellEnd"/>
          </w:p>
        </w:tc>
        <w:tc>
          <w:tcPr>
            <w:tcW w:w="381" w:type="pct"/>
            <w:noWrap/>
            <w:vAlign w:val="center"/>
            <w:hideMark/>
          </w:tcPr>
          <w:p w:rsidRPr="004E47ED" w:rsidR="00E42201" w:rsidP="003A490B" w:rsidRDefault="00E42201" w14:paraId="02D6A79B" w14:textId="77777777">
            <w:pPr>
              <w:keepNext/>
              <w:jc w:val="right"/>
              <w:rPr>
                <w:b/>
                <w:bCs/>
                <w:sz w:val="16"/>
                <w:szCs w:val="16"/>
              </w:rPr>
            </w:pPr>
            <w:r w:rsidRPr="004E47ED">
              <w:rPr>
                <w:b/>
                <w:bCs/>
                <w:sz w:val="16"/>
                <w:szCs w:val="16"/>
              </w:rPr>
              <w:t xml:space="preserve"> 14,0 </w:t>
            </w:r>
          </w:p>
        </w:tc>
        <w:tc>
          <w:tcPr>
            <w:tcW w:w="381" w:type="pct"/>
            <w:noWrap/>
            <w:vAlign w:val="center"/>
            <w:hideMark/>
          </w:tcPr>
          <w:p w:rsidRPr="004E47ED" w:rsidR="00E42201" w:rsidP="003A490B" w:rsidRDefault="00E42201" w14:paraId="7FE8A837" w14:textId="77777777">
            <w:pPr>
              <w:keepNext/>
              <w:jc w:val="right"/>
              <w:rPr>
                <w:b/>
                <w:bCs/>
                <w:sz w:val="16"/>
                <w:szCs w:val="16"/>
              </w:rPr>
            </w:pPr>
            <w:r w:rsidRPr="004E47ED">
              <w:rPr>
                <w:b/>
                <w:bCs/>
                <w:sz w:val="16"/>
                <w:szCs w:val="16"/>
              </w:rPr>
              <w:t xml:space="preserve"> 14,0 </w:t>
            </w:r>
          </w:p>
        </w:tc>
        <w:tc>
          <w:tcPr>
            <w:tcW w:w="382" w:type="pct"/>
            <w:noWrap/>
            <w:vAlign w:val="center"/>
            <w:hideMark/>
          </w:tcPr>
          <w:p w:rsidRPr="004E47ED" w:rsidR="00E42201" w:rsidP="003A490B" w:rsidRDefault="00E42201" w14:paraId="1B8A4E0E" w14:textId="77777777">
            <w:pPr>
              <w:keepNext/>
              <w:jc w:val="right"/>
              <w:rPr>
                <w:b/>
                <w:bCs/>
                <w:sz w:val="16"/>
                <w:szCs w:val="16"/>
              </w:rPr>
            </w:pPr>
            <w:r w:rsidRPr="004E47ED">
              <w:rPr>
                <w:b/>
                <w:bCs/>
                <w:sz w:val="16"/>
                <w:szCs w:val="16"/>
              </w:rPr>
              <w:t xml:space="preserve"> 13,2 </w:t>
            </w:r>
          </w:p>
        </w:tc>
        <w:tc>
          <w:tcPr>
            <w:tcW w:w="381" w:type="pct"/>
            <w:noWrap/>
            <w:vAlign w:val="center"/>
            <w:hideMark/>
          </w:tcPr>
          <w:p w:rsidRPr="004E47ED" w:rsidR="00E42201" w:rsidP="003A490B" w:rsidRDefault="00E42201" w14:paraId="23E1343F" w14:textId="77777777">
            <w:pPr>
              <w:keepNext/>
              <w:jc w:val="right"/>
              <w:rPr>
                <w:b/>
                <w:bCs/>
                <w:sz w:val="16"/>
                <w:szCs w:val="16"/>
              </w:rPr>
            </w:pPr>
            <w:r w:rsidRPr="004E47ED">
              <w:rPr>
                <w:b/>
                <w:bCs/>
                <w:sz w:val="16"/>
                <w:szCs w:val="16"/>
              </w:rPr>
              <w:t xml:space="preserve"> 13,7 </w:t>
            </w:r>
          </w:p>
        </w:tc>
        <w:tc>
          <w:tcPr>
            <w:tcW w:w="382" w:type="pct"/>
            <w:noWrap/>
            <w:vAlign w:val="center"/>
            <w:hideMark/>
          </w:tcPr>
          <w:p w:rsidRPr="004E47ED" w:rsidR="00E42201" w:rsidP="003A490B" w:rsidRDefault="00E42201" w14:paraId="119E2177" w14:textId="77777777">
            <w:pPr>
              <w:keepNext/>
              <w:jc w:val="right"/>
              <w:rPr>
                <w:b/>
                <w:bCs/>
                <w:sz w:val="16"/>
                <w:szCs w:val="16"/>
              </w:rPr>
            </w:pPr>
            <w:r w:rsidRPr="004E47ED">
              <w:rPr>
                <w:b/>
                <w:bCs/>
                <w:sz w:val="16"/>
                <w:szCs w:val="16"/>
              </w:rPr>
              <w:t xml:space="preserve"> 12,6 </w:t>
            </w:r>
          </w:p>
        </w:tc>
        <w:tc>
          <w:tcPr>
            <w:tcW w:w="381" w:type="pct"/>
            <w:noWrap/>
            <w:vAlign w:val="center"/>
            <w:hideMark/>
          </w:tcPr>
          <w:p w:rsidRPr="004E47ED" w:rsidR="00E42201" w:rsidP="003A490B" w:rsidRDefault="00E42201" w14:paraId="7A769E21" w14:textId="77777777">
            <w:pPr>
              <w:keepNext/>
              <w:jc w:val="right"/>
              <w:rPr>
                <w:b/>
                <w:bCs/>
                <w:sz w:val="16"/>
                <w:szCs w:val="16"/>
              </w:rPr>
            </w:pPr>
            <w:r w:rsidRPr="004E47ED">
              <w:rPr>
                <w:b/>
                <w:bCs/>
                <w:sz w:val="16"/>
                <w:szCs w:val="16"/>
              </w:rPr>
              <w:t xml:space="preserve"> 6,1 </w:t>
            </w:r>
          </w:p>
        </w:tc>
        <w:tc>
          <w:tcPr>
            <w:tcW w:w="381" w:type="pct"/>
            <w:noWrap/>
            <w:vAlign w:val="center"/>
            <w:hideMark/>
          </w:tcPr>
          <w:p w:rsidRPr="004E47ED" w:rsidR="00E42201" w:rsidP="003A490B" w:rsidRDefault="00E42201" w14:paraId="339D5844" w14:textId="77777777">
            <w:pPr>
              <w:keepNext/>
              <w:jc w:val="right"/>
              <w:rPr>
                <w:b/>
                <w:bCs/>
                <w:sz w:val="16"/>
                <w:szCs w:val="16"/>
              </w:rPr>
            </w:pPr>
            <w:r w:rsidRPr="004E47ED">
              <w:rPr>
                <w:b/>
                <w:bCs/>
                <w:sz w:val="16"/>
                <w:szCs w:val="16"/>
              </w:rPr>
              <w:t xml:space="preserve"> 11,5 </w:t>
            </w:r>
          </w:p>
        </w:tc>
        <w:tc>
          <w:tcPr>
            <w:tcW w:w="382" w:type="pct"/>
            <w:vAlign w:val="center"/>
          </w:tcPr>
          <w:p w:rsidRPr="004E47ED" w:rsidR="00E42201" w:rsidP="003A490B" w:rsidRDefault="00E42201" w14:paraId="36500158" w14:textId="77777777">
            <w:pPr>
              <w:keepNext/>
              <w:jc w:val="right"/>
              <w:rPr>
                <w:b/>
                <w:bCs/>
                <w:sz w:val="16"/>
                <w:szCs w:val="16"/>
              </w:rPr>
            </w:pPr>
            <w:r w:rsidRPr="004E47ED">
              <w:rPr>
                <w:b/>
                <w:bCs/>
                <w:sz w:val="16"/>
                <w:szCs w:val="16"/>
              </w:rPr>
              <w:t xml:space="preserve"> 6,9 </w:t>
            </w:r>
          </w:p>
        </w:tc>
        <w:tc>
          <w:tcPr>
            <w:tcW w:w="381" w:type="pct"/>
            <w:vAlign w:val="center"/>
          </w:tcPr>
          <w:p w:rsidRPr="004E47ED" w:rsidR="00E42201" w:rsidP="003A490B" w:rsidRDefault="00E42201" w14:paraId="3650623D" w14:textId="77777777">
            <w:pPr>
              <w:keepNext/>
              <w:jc w:val="right"/>
              <w:rPr>
                <w:b/>
                <w:bCs/>
                <w:sz w:val="16"/>
                <w:szCs w:val="16"/>
              </w:rPr>
            </w:pPr>
            <w:r w:rsidRPr="004E47ED">
              <w:rPr>
                <w:b/>
                <w:bCs/>
                <w:sz w:val="16"/>
                <w:szCs w:val="16"/>
              </w:rPr>
              <w:t xml:space="preserve"> 11,3 </w:t>
            </w:r>
          </w:p>
        </w:tc>
        <w:tc>
          <w:tcPr>
            <w:tcW w:w="382" w:type="pct"/>
            <w:vAlign w:val="center"/>
          </w:tcPr>
          <w:p w:rsidRPr="004E47ED" w:rsidR="00E42201" w:rsidP="003A490B" w:rsidRDefault="00E42201" w14:paraId="44D58CC3" w14:textId="77777777">
            <w:pPr>
              <w:keepNext/>
              <w:jc w:val="right"/>
              <w:rPr>
                <w:b/>
                <w:bCs/>
                <w:sz w:val="16"/>
                <w:szCs w:val="16"/>
              </w:rPr>
            </w:pPr>
            <w:r w:rsidRPr="004E47ED">
              <w:rPr>
                <w:b/>
                <w:bCs/>
                <w:sz w:val="16"/>
                <w:szCs w:val="16"/>
              </w:rPr>
              <w:t xml:space="preserve"> 14,9 </w:t>
            </w:r>
          </w:p>
        </w:tc>
      </w:tr>
      <w:tr w:rsidRPr="004E47ED" w:rsidR="00E42201" w:rsidTr="003A490B" w14:paraId="24D525AC" w14:textId="77777777">
        <w:tc>
          <w:tcPr>
            <w:tcW w:w="1184" w:type="pct"/>
            <w:noWrap/>
            <w:vAlign w:val="center"/>
          </w:tcPr>
          <w:p w:rsidRPr="004E47ED" w:rsidR="00E42201" w:rsidP="003A490B" w:rsidRDefault="00E42201" w14:paraId="5D7ED946" w14:textId="77777777">
            <w:pPr>
              <w:keepNext/>
              <w:spacing w:line="240" w:lineRule="auto"/>
              <w:rPr>
                <w:sz w:val="16"/>
                <w:szCs w:val="16"/>
              </w:rPr>
            </w:pPr>
            <w:proofErr w:type="spellStart"/>
            <w:r>
              <w:rPr>
                <w:sz w:val="16"/>
                <w:szCs w:val="16"/>
              </w:rPr>
              <w:t>Wv</w:t>
            </w:r>
            <w:proofErr w:type="spellEnd"/>
            <w:r>
              <w:rPr>
                <w:sz w:val="16"/>
                <w:szCs w:val="16"/>
              </w:rPr>
              <w:t>.</w:t>
            </w:r>
            <w:r w:rsidRPr="004E47ED">
              <w:rPr>
                <w:sz w:val="16"/>
                <w:szCs w:val="16"/>
              </w:rPr>
              <w:t xml:space="preserve"> </w:t>
            </w:r>
            <w:proofErr w:type="gramStart"/>
            <w:r w:rsidRPr="004E47ED">
              <w:rPr>
                <w:sz w:val="16"/>
                <w:szCs w:val="16"/>
              </w:rPr>
              <w:t>verdragslanden</w:t>
            </w:r>
            <w:proofErr w:type="gramEnd"/>
          </w:p>
        </w:tc>
        <w:tc>
          <w:tcPr>
            <w:tcW w:w="381" w:type="pct"/>
            <w:noWrap/>
            <w:vAlign w:val="center"/>
          </w:tcPr>
          <w:p w:rsidRPr="004E47ED" w:rsidR="00E42201" w:rsidP="003A490B" w:rsidRDefault="00E42201" w14:paraId="6662352F" w14:textId="77777777">
            <w:pPr>
              <w:keepNext/>
              <w:jc w:val="right"/>
              <w:rPr>
                <w:sz w:val="16"/>
                <w:szCs w:val="16"/>
              </w:rPr>
            </w:pPr>
            <w:r w:rsidRPr="004E47ED">
              <w:rPr>
                <w:sz w:val="16"/>
                <w:szCs w:val="16"/>
              </w:rPr>
              <w:t xml:space="preserve"> 3,4 </w:t>
            </w:r>
          </w:p>
        </w:tc>
        <w:tc>
          <w:tcPr>
            <w:tcW w:w="381" w:type="pct"/>
            <w:noWrap/>
            <w:vAlign w:val="center"/>
          </w:tcPr>
          <w:p w:rsidRPr="004E47ED" w:rsidR="00E42201" w:rsidP="003A490B" w:rsidRDefault="00E42201" w14:paraId="609F3559" w14:textId="77777777">
            <w:pPr>
              <w:keepNext/>
              <w:jc w:val="right"/>
              <w:rPr>
                <w:sz w:val="16"/>
                <w:szCs w:val="16"/>
              </w:rPr>
            </w:pPr>
            <w:r w:rsidRPr="004E47ED">
              <w:rPr>
                <w:sz w:val="16"/>
                <w:szCs w:val="16"/>
              </w:rPr>
              <w:t xml:space="preserve"> 2,2 </w:t>
            </w:r>
          </w:p>
        </w:tc>
        <w:tc>
          <w:tcPr>
            <w:tcW w:w="382" w:type="pct"/>
            <w:noWrap/>
            <w:vAlign w:val="center"/>
          </w:tcPr>
          <w:p w:rsidRPr="004E47ED" w:rsidR="00E42201" w:rsidP="003A490B" w:rsidRDefault="00E42201" w14:paraId="56CE790A" w14:textId="77777777">
            <w:pPr>
              <w:keepNext/>
              <w:jc w:val="right"/>
              <w:rPr>
                <w:sz w:val="16"/>
                <w:szCs w:val="16"/>
              </w:rPr>
            </w:pPr>
            <w:r w:rsidRPr="004E47ED">
              <w:rPr>
                <w:sz w:val="16"/>
                <w:szCs w:val="16"/>
              </w:rPr>
              <w:t xml:space="preserve"> 3,2 </w:t>
            </w:r>
          </w:p>
        </w:tc>
        <w:tc>
          <w:tcPr>
            <w:tcW w:w="381" w:type="pct"/>
            <w:noWrap/>
            <w:vAlign w:val="center"/>
          </w:tcPr>
          <w:p w:rsidRPr="004E47ED" w:rsidR="00E42201" w:rsidP="003A490B" w:rsidRDefault="00E42201" w14:paraId="4A064914" w14:textId="77777777">
            <w:pPr>
              <w:keepNext/>
              <w:jc w:val="right"/>
              <w:rPr>
                <w:sz w:val="16"/>
                <w:szCs w:val="16"/>
              </w:rPr>
            </w:pPr>
            <w:r w:rsidRPr="004E47ED">
              <w:rPr>
                <w:sz w:val="16"/>
                <w:szCs w:val="16"/>
              </w:rPr>
              <w:t xml:space="preserve"> 2,4 </w:t>
            </w:r>
          </w:p>
        </w:tc>
        <w:tc>
          <w:tcPr>
            <w:tcW w:w="382" w:type="pct"/>
            <w:noWrap/>
            <w:vAlign w:val="center"/>
          </w:tcPr>
          <w:p w:rsidRPr="004E47ED" w:rsidR="00E42201" w:rsidP="003A490B" w:rsidRDefault="00E42201" w14:paraId="6E2E52F0" w14:textId="77777777">
            <w:pPr>
              <w:keepNext/>
              <w:jc w:val="right"/>
              <w:rPr>
                <w:sz w:val="16"/>
                <w:szCs w:val="16"/>
              </w:rPr>
            </w:pPr>
            <w:r w:rsidRPr="004E47ED">
              <w:rPr>
                <w:sz w:val="16"/>
                <w:szCs w:val="16"/>
              </w:rPr>
              <w:t xml:space="preserve"> 2,9 </w:t>
            </w:r>
          </w:p>
        </w:tc>
        <w:tc>
          <w:tcPr>
            <w:tcW w:w="381" w:type="pct"/>
            <w:noWrap/>
            <w:vAlign w:val="center"/>
          </w:tcPr>
          <w:p w:rsidRPr="004E47ED" w:rsidR="00E42201" w:rsidP="003A490B" w:rsidRDefault="00E42201" w14:paraId="0230B6C1" w14:textId="77777777">
            <w:pPr>
              <w:keepNext/>
              <w:jc w:val="right"/>
              <w:rPr>
                <w:sz w:val="16"/>
                <w:szCs w:val="16"/>
              </w:rPr>
            </w:pPr>
            <w:r w:rsidRPr="004E47ED">
              <w:rPr>
                <w:sz w:val="16"/>
                <w:szCs w:val="16"/>
              </w:rPr>
              <w:t xml:space="preserve"> 2,2 </w:t>
            </w:r>
          </w:p>
        </w:tc>
        <w:tc>
          <w:tcPr>
            <w:tcW w:w="381" w:type="pct"/>
            <w:noWrap/>
            <w:vAlign w:val="center"/>
          </w:tcPr>
          <w:p w:rsidRPr="004E47ED" w:rsidR="00E42201" w:rsidP="003A490B" w:rsidRDefault="00E42201" w14:paraId="21DFBD71" w14:textId="77777777">
            <w:pPr>
              <w:keepNext/>
              <w:jc w:val="right"/>
              <w:rPr>
                <w:sz w:val="16"/>
                <w:szCs w:val="16"/>
              </w:rPr>
            </w:pPr>
            <w:r w:rsidRPr="004E47ED">
              <w:rPr>
                <w:sz w:val="16"/>
                <w:szCs w:val="16"/>
              </w:rPr>
              <w:t xml:space="preserve"> 3,0 </w:t>
            </w:r>
          </w:p>
        </w:tc>
        <w:tc>
          <w:tcPr>
            <w:tcW w:w="382" w:type="pct"/>
            <w:vAlign w:val="center"/>
          </w:tcPr>
          <w:p w:rsidRPr="004E47ED" w:rsidR="00E42201" w:rsidP="003A490B" w:rsidRDefault="00E42201" w14:paraId="1F735BCA" w14:textId="77777777">
            <w:pPr>
              <w:keepNext/>
              <w:jc w:val="right"/>
              <w:rPr>
                <w:sz w:val="16"/>
                <w:szCs w:val="16"/>
              </w:rPr>
            </w:pPr>
            <w:r w:rsidRPr="004E47ED">
              <w:rPr>
                <w:sz w:val="16"/>
                <w:szCs w:val="16"/>
              </w:rPr>
              <w:t xml:space="preserve"> 4,7 </w:t>
            </w:r>
          </w:p>
        </w:tc>
        <w:tc>
          <w:tcPr>
            <w:tcW w:w="381" w:type="pct"/>
            <w:vAlign w:val="center"/>
          </w:tcPr>
          <w:p w:rsidRPr="004E47ED" w:rsidR="00E42201" w:rsidP="003A490B" w:rsidRDefault="00E42201" w14:paraId="279526A8" w14:textId="77777777">
            <w:pPr>
              <w:keepNext/>
              <w:jc w:val="right"/>
              <w:rPr>
                <w:sz w:val="16"/>
                <w:szCs w:val="16"/>
              </w:rPr>
            </w:pPr>
            <w:r w:rsidRPr="004E47ED">
              <w:rPr>
                <w:sz w:val="16"/>
                <w:szCs w:val="16"/>
              </w:rPr>
              <w:t xml:space="preserve"> 3,3 </w:t>
            </w:r>
          </w:p>
        </w:tc>
        <w:tc>
          <w:tcPr>
            <w:tcW w:w="382" w:type="pct"/>
            <w:vAlign w:val="center"/>
          </w:tcPr>
          <w:p w:rsidRPr="004E47ED" w:rsidR="00E42201" w:rsidP="003A490B" w:rsidRDefault="00E42201" w14:paraId="1FF8BF71" w14:textId="77777777">
            <w:pPr>
              <w:keepNext/>
              <w:jc w:val="right"/>
              <w:rPr>
                <w:sz w:val="16"/>
                <w:szCs w:val="16"/>
              </w:rPr>
            </w:pPr>
            <w:r w:rsidRPr="004E47ED">
              <w:rPr>
                <w:sz w:val="16"/>
                <w:szCs w:val="16"/>
              </w:rPr>
              <w:t xml:space="preserve"> 0,3 </w:t>
            </w:r>
          </w:p>
        </w:tc>
      </w:tr>
      <w:tr w:rsidRPr="004E47ED" w:rsidR="00E42201" w:rsidTr="003A490B" w14:paraId="3754B448" w14:textId="77777777">
        <w:tc>
          <w:tcPr>
            <w:tcW w:w="1184" w:type="pct"/>
            <w:noWrap/>
            <w:vAlign w:val="center"/>
          </w:tcPr>
          <w:p w:rsidRPr="004E47ED" w:rsidR="00E42201" w:rsidP="003A490B" w:rsidRDefault="00E42201" w14:paraId="2013063C" w14:textId="77777777">
            <w:pPr>
              <w:keepNext/>
              <w:spacing w:line="240" w:lineRule="auto"/>
              <w:rPr>
                <w:b/>
                <w:bCs/>
                <w:sz w:val="16"/>
                <w:szCs w:val="16"/>
              </w:rPr>
            </w:pPr>
            <w:r w:rsidRPr="004E47ED">
              <w:rPr>
                <w:b/>
                <w:bCs/>
                <w:sz w:val="16"/>
                <w:szCs w:val="16"/>
              </w:rPr>
              <w:t>Totaal alle landen</w:t>
            </w:r>
          </w:p>
        </w:tc>
        <w:tc>
          <w:tcPr>
            <w:tcW w:w="381" w:type="pct"/>
            <w:noWrap/>
            <w:vAlign w:val="center"/>
          </w:tcPr>
          <w:p w:rsidRPr="004E47ED" w:rsidR="00E42201" w:rsidP="003A490B" w:rsidRDefault="00E42201" w14:paraId="14E301F8" w14:textId="77777777">
            <w:pPr>
              <w:keepNext/>
              <w:jc w:val="right"/>
              <w:rPr>
                <w:b/>
                <w:bCs/>
                <w:sz w:val="16"/>
                <w:szCs w:val="16"/>
              </w:rPr>
            </w:pPr>
            <w:r w:rsidRPr="004E47ED">
              <w:rPr>
                <w:b/>
                <w:bCs/>
                <w:sz w:val="16"/>
                <w:szCs w:val="16"/>
              </w:rPr>
              <w:t xml:space="preserve"> 269 </w:t>
            </w:r>
          </w:p>
        </w:tc>
        <w:tc>
          <w:tcPr>
            <w:tcW w:w="381" w:type="pct"/>
            <w:noWrap/>
            <w:vAlign w:val="center"/>
          </w:tcPr>
          <w:p w:rsidRPr="004E47ED" w:rsidR="00E42201" w:rsidP="003A490B" w:rsidRDefault="00E42201" w14:paraId="63CF3639" w14:textId="77777777">
            <w:pPr>
              <w:keepNext/>
              <w:jc w:val="right"/>
              <w:rPr>
                <w:b/>
                <w:bCs/>
                <w:sz w:val="16"/>
                <w:szCs w:val="16"/>
              </w:rPr>
            </w:pPr>
            <w:r w:rsidRPr="004E47ED">
              <w:rPr>
                <w:b/>
                <w:bCs/>
                <w:sz w:val="16"/>
                <w:szCs w:val="16"/>
              </w:rPr>
              <w:t xml:space="preserve"> 259 </w:t>
            </w:r>
          </w:p>
        </w:tc>
        <w:tc>
          <w:tcPr>
            <w:tcW w:w="382" w:type="pct"/>
            <w:noWrap/>
            <w:vAlign w:val="center"/>
          </w:tcPr>
          <w:p w:rsidRPr="004E47ED" w:rsidR="00E42201" w:rsidP="003A490B" w:rsidRDefault="00E42201" w14:paraId="1F600C37" w14:textId="77777777">
            <w:pPr>
              <w:keepNext/>
              <w:jc w:val="right"/>
              <w:rPr>
                <w:b/>
                <w:bCs/>
                <w:sz w:val="16"/>
                <w:szCs w:val="16"/>
              </w:rPr>
            </w:pPr>
            <w:r w:rsidRPr="004E47ED">
              <w:rPr>
                <w:b/>
                <w:bCs/>
                <w:sz w:val="16"/>
                <w:szCs w:val="16"/>
              </w:rPr>
              <w:t xml:space="preserve"> 296 </w:t>
            </w:r>
          </w:p>
        </w:tc>
        <w:tc>
          <w:tcPr>
            <w:tcW w:w="381" w:type="pct"/>
            <w:noWrap/>
            <w:vAlign w:val="center"/>
          </w:tcPr>
          <w:p w:rsidRPr="004E47ED" w:rsidR="00E42201" w:rsidP="003A490B" w:rsidRDefault="00E42201" w14:paraId="42C155D9" w14:textId="77777777">
            <w:pPr>
              <w:keepNext/>
              <w:jc w:val="right"/>
              <w:rPr>
                <w:b/>
                <w:bCs/>
                <w:sz w:val="16"/>
                <w:szCs w:val="16"/>
              </w:rPr>
            </w:pPr>
            <w:r w:rsidRPr="004E47ED">
              <w:rPr>
                <w:b/>
                <w:bCs/>
                <w:sz w:val="16"/>
                <w:szCs w:val="16"/>
              </w:rPr>
              <w:t xml:space="preserve"> 312 </w:t>
            </w:r>
          </w:p>
        </w:tc>
        <w:tc>
          <w:tcPr>
            <w:tcW w:w="382" w:type="pct"/>
            <w:noWrap/>
            <w:vAlign w:val="center"/>
          </w:tcPr>
          <w:p w:rsidRPr="004E47ED" w:rsidR="00E42201" w:rsidP="003A490B" w:rsidRDefault="00E42201" w14:paraId="0E0744B2" w14:textId="77777777">
            <w:pPr>
              <w:keepNext/>
              <w:jc w:val="right"/>
              <w:rPr>
                <w:b/>
                <w:bCs/>
                <w:sz w:val="16"/>
                <w:szCs w:val="16"/>
              </w:rPr>
            </w:pPr>
            <w:r w:rsidRPr="004E47ED">
              <w:rPr>
                <w:b/>
                <w:bCs/>
                <w:sz w:val="16"/>
                <w:szCs w:val="16"/>
              </w:rPr>
              <w:t xml:space="preserve"> 300 </w:t>
            </w:r>
          </w:p>
        </w:tc>
        <w:tc>
          <w:tcPr>
            <w:tcW w:w="381" w:type="pct"/>
            <w:noWrap/>
            <w:vAlign w:val="center"/>
          </w:tcPr>
          <w:p w:rsidRPr="004E47ED" w:rsidR="00E42201" w:rsidP="003A490B" w:rsidRDefault="00E42201" w14:paraId="47E3127E" w14:textId="77777777">
            <w:pPr>
              <w:keepNext/>
              <w:jc w:val="right"/>
              <w:rPr>
                <w:b/>
                <w:bCs/>
                <w:sz w:val="16"/>
                <w:szCs w:val="16"/>
              </w:rPr>
            </w:pPr>
            <w:r w:rsidRPr="004E47ED">
              <w:rPr>
                <w:b/>
                <w:bCs/>
                <w:sz w:val="16"/>
                <w:szCs w:val="16"/>
              </w:rPr>
              <w:t xml:space="preserve"> 214 </w:t>
            </w:r>
          </w:p>
        </w:tc>
        <w:tc>
          <w:tcPr>
            <w:tcW w:w="381" w:type="pct"/>
            <w:noWrap/>
            <w:vAlign w:val="center"/>
          </w:tcPr>
          <w:p w:rsidRPr="004E47ED" w:rsidR="00E42201" w:rsidP="003A490B" w:rsidRDefault="00E42201" w14:paraId="6D493D98" w14:textId="77777777">
            <w:pPr>
              <w:keepNext/>
              <w:jc w:val="right"/>
              <w:rPr>
                <w:b/>
                <w:bCs/>
                <w:sz w:val="16"/>
                <w:szCs w:val="16"/>
              </w:rPr>
            </w:pPr>
            <w:r w:rsidRPr="004E47ED">
              <w:rPr>
                <w:b/>
                <w:bCs/>
                <w:sz w:val="16"/>
                <w:szCs w:val="16"/>
              </w:rPr>
              <w:t xml:space="preserve"> 285 </w:t>
            </w:r>
          </w:p>
        </w:tc>
        <w:tc>
          <w:tcPr>
            <w:tcW w:w="382" w:type="pct"/>
            <w:vAlign w:val="center"/>
          </w:tcPr>
          <w:p w:rsidRPr="004E47ED" w:rsidR="00E42201" w:rsidP="003A490B" w:rsidRDefault="00E42201" w14:paraId="2DCCD78C" w14:textId="77777777">
            <w:pPr>
              <w:keepNext/>
              <w:jc w:val="right"/>
              <w:rPr>
                <w:b/>
                <w:bCs/>
                <w:sz w:val="16"/>
                <w:szCs w:val="16"/>
              </w:rPr>
            </w:pPr>
            <w:r w:rsidRPr="004E47ED">
              <w:rPr>
                <w:b/>
                <w:bCs/>
                <w:sz w:val="16"/>
                <w:szCs w:val="16"/>
              </w:rPr>
              <w:t xml:space="preserve"> 355 </w:t>
            </w:r>
          </w:p>
        </w:tc>
        <w:tc>
          <w:tcPr>
            <w:tcW w:w="381" w:type="pct"/>
            <w:vAlign w:val="center"/>
          </w:tcPr>
          <w:p w:rsidRPr="004E47ED" w:rsidR="00E42201" w:rsidP="003A490B" w:rsidRDefault="00E42201" w14:paraId="2675DBEB" w14:textId="77777777">
            <w:pPr>
              <w:keepNext/>
              <w:jc w:val="right"/>
              <w:rPr>
                <w:b/>
                <w:bCs/>
                <w:sz w:val="16"/>
                <w:szCs w:val="16"/>
              </w:rPr>
            </w:pPr>
            <w:r w:rsidRPr="004E47ED">
              <w:rPr>
                <w:b/>
                <w:bCs/>
                <w:sz w:val="16"/>
                <w:szCs w:val="16"/>
              </w:rPr>
              <w:t xml:space="preserve"> 369 </w:t>
            </w:r>
          </w:p>
        </w:tc>
        <w:tc>
          <w:tcPr>
            <w:tcW w:w="382" w:type="pct"/>
            <w:vAlign w:val="center"/>
          </w:tcPr>
          <w:p w:rsidRPr="004E47ED" w:rsidR="00E42201" w:rsidP="003A490B" w:rsidRDefault="00E42201" w14:paraId="128299D8" w14:textId="77777777">
            <w:pPr>
              <w:keepNext/>
              <w:jc w:val="right"/>
              <w:rPr>
                <w:b/>
                <w:bCs/>
                <w:sz w:val="16"/>
                <w:szCs w:val="16"/>
              </w:rPr>
            </w:pPr>
            <w:r w:rsidRPr="004E47ED">
              <w:rPr>
                <w:b/>
                <w:bCs/>
                <w:sz w:val="16"/>
                <w:szCs w:val="16"/>
              </w:rPr>
              <w:t xml:space="preserve"> 348 </w:t>
            </w:r>
          </w:p>
        </w:tc>
      </w:tr>
      <w:tr w:rsidRPr="004E47ED" w:rsidR="00E42201" w:rsidTr="003A490B" w14:paraId="5FEF8CC9" w14:textId="77777777">
        <w:tc>
          <w:tcPr>
            <w:tcW w:w="1184" w:type="pct"/>
            <w:noWrap/>
            <w:vAlign w:val="center"/>
          </w:tcPr>
          <w:p w:rsidRPr="004E47ED" w:rsidR="00E42201" w:rsidP="003A490B" w:rsidRDefault="00E42201" w14:paraId="47950C91" w14:textId="77777777">
            <w:pPr>
              <w:keepNext/>
              <w:spacing w:line="240" w:lineRule="auto"/>
              <w:rPr>
                <w:b/>
                <w:bCs/>
                <w:sz w:val="16"/>
                <w:szCs w:val="16"/>
              </w:rPr>
            </w:pPr>
          </w:p>
        </w:tc>
        <w:tc>
          <w:tcPr>
            <w:tcW w:w="381" w:type="pct"/>
            <w:noWrap/>
            <w:vAlign w:val="center"/>
          </w:tcPr>
          <w:p w:rsidRPr="004E47ED" w:rsidR="00E42201" w:rsidP="003A490B" w:rsidRDefault="00E42201" w14:paraId="3C0FEB6C" w14:textId="77777777">
            <w:pPr>
              <w:keepNext/>
              <w:jc w:val="right"/>
              <w:rPr>
                <w:b/>
                <w:bCs/>
                <w:sz w:val="16"/>
                <w:szCs w:val="16"/>
              </w:rPr>
            </w:pPr>
          </w:p>
        </w:tc>
        <w:tc>
          <w:tcPr>
            <w:tcW w:w="381" w:type="pct"/>
            <w:noWrap/>
            <w:vAlign w:val="center"/>
          </w:tcPr>
          <w:p w:rsidRPr="004E47ED" w:rsidR="00E42201" w:rsidP="003A490B" w:rsidRDefault="00E42201" w14:paraId="49C7526B" w14:textId="77777777">
            <w:pPr>
              <w:keepNext/>
              <w:jc w:val="right"/>
              <w:rPr>
                <w:b/>
                <w:bCs/>
                <w:sz w:val="16"/>
                <w:szCs w:val="16"/>
              </w:rPr>
            </w:pPr>
          </w:p>
        </w:tc>
        <w:tc>
          <w:tcPr>
            <w:tcW w:w="382" w:type="pct"/>
            <w:noWrap/>
            <w:vAlign w:val="center"/>
          </w:tcPr>
          <w:p w:rsidRPr="004E47ED" w:rsidR="00E42201" w:rsidP="003A490B" w:rsidRDefault="00E42201" w14:paraId="7EB1B7F2" w14:textId="77777777">
            <w:pPr>
              <w:keepNext/>
              <w:jc w:val="right"/>
              <w:rPr>
                <w:b/>
                <w:bCs/>
                <w:sz w:val="16"/>
                <w:szCs w:val="16"/>
              </w:rPr>
            </w:pPr>
          </w:p>
        </w:tc>
        <w:tc>
          <w:tcPr>
            <w:tcW w:w="381" w:type="pct"/>
            <w:noWrap/>
            <w:vAlign w:val="center"/>
          </w:tcPr>
          <w:p w:rsidRPr="004E47ED" w:rsidR="00E42201" w:rsidP="003A490B" w:rsidRDefault="00E42201" w14:paraId="02EAC065" w14:textId="77777777">
            <w:pPr>
              <w:keepNext/>
              <w:jc w:val="right"/>
              <w:rPr>
                <w:b/>
                <w:bCs/>
                <w:sz w:val="16"/>
                <w:szCs w:val="16"/>
              </w:rPr>
            </w:pPr>
          </w:p>
        </w:tc>
        <w:tc>
          <w:tcPr>
            <w:tcW w:w="382" w:type="pct"/>
            <w:noWrap/>
            <w:vAlign w:val="center"/>
          </w:tcPr>
          <w:p w:rsidRPr="004E47ED" w:rsidR="00E42201" w:rsidP="003A490B" w:rsidRDefault="00E42201" w14:paraId="02E39160" w14:textId="77777777">
            <w:pPr>
              <w:keepNext/>
              <w:jc w:val="right"/>
              <w:rPr>
                <w:b/>
                <w:bCs/>
                <w:sz w:val="16"/>
                <w:szCs w:val="16"/>
              </w:rPr>
            </w:pPr>
          </w:p>
        </w:tc>
        <w:tc>
          <w:tcPr>
            <w:tcW w:w="381" w:type="pct"/>
            <w:noWrap/>
            <w:vAlign w:val="center"/>
          </w:tcPr>
          <w:p w:rsidRPr="004E47ED" w:rsidR="00E42201" w:rsidP="003A490B" w:rsidRDefault="00E42201" w14:paraId="6F4CC992" w14:textId="77777777">
            <w:pPr>
              <w:keepNext/>
              <w:jc w:val="right"/>
              <w:rPr>
                <w:b/>
                <w:bCs/>
                <w:sz w:val="16"/>
                <w:szCs w:val="16"/>
              </w:rPr>
            </w:pPr>
          </w:p>
        </w:tc>
        <w:tc>
          <w:tcPr>
            <w:tcW w:w="381" w:type="pct"/>
            <w:noWrap/>
            <w:vAlign w:val="center"/>
          </w:tcPr>
          <w:p w:rsidRPr="004E47ED" w:rsidR="00E42201" w:rsidP="003A490B" w:rsidRDefault="00E42201" w14:paraId="6FDDD1A1" w14:textId="77777777">
            <w:pPr>
              <w:keepNext/>
              <w:jc w:val="right"/>
              <w:rPr>
                <w:b/>
                <w:bCs/>
                <w:sz w:val="16"/>
                <w:szCs w:val="16"/>
              </w:rPr>
            </w:pPr>
          </w:p>
        </w:tc>
        <w:tc>
          <w:tcPr>
            <w:tcW w:w="382" w:type="pct"/>
            <w:vAlign w:val="center"/>
          </w:tcPr>
          <w:p w:rsidRPr="004E47ED" w:rsidR="00E42201" w:rsidP="003A490B" w:rsidRDefault="00E42201" w14:paraId="2BBFFFE8" w14:textId="77777777">
            <w:pPr>
              <w:keepNext/>
              <w:jc w:val="right"/>
              <w:rPr>
                <w:b/>
                <w:bCs/>
                <w:sz w:val="16"/>
                <w:szCs w:val="16"/>
              </w:rPr>
            </w:pPr>
          </w:p>
        </w:tc>
        <w:tc>
          <w:tcPr>
            <w:tcW w:w="381" w:type="pct"/>
            <w:vAlign w:val="center"/>
          </w:tcPr>
          <w:p w:rsidRPr="004E47ED" w:rsidR="00E42201" w:rsidP="003A490B" w:rsidRDefault="00E42201" w14:paraId="7FC928D7" w14:textId="77777777">
            <w:pPr>
              <w:keepNext/>
              <w:jc w:val="right"/>
              <w:rPr>
                <w:b/>
                <w:bCs/>
                <w:sz w:val="16"/>
                <w:szCs w:val="16"/>
              </w:rPr>
            </w:pPr>
          </w:p>
        </w:tc>
        <w:tc>
          <w:tcPr>
            <w:tcW w:w="382" w:type="pct"/>
            <w:vAlign w:val="center"/>
          </w:tcPr>
          <w:p w:rsidRPr="004E47ED" w:rsidR="00E42201" w:rsidP="003A490B" w:rsidRDefault="00E42201" w14:paraId="6330BDD5" w14:textId="77777777">
            <w:pPr>
              <w:keepNext/>
              <w:jc w:val="right"/>
              <w:rPr>
                <w:b/>
                <w:bCs/>
                <w:sz w:val="16"/>
                <w:szCs w:val="16"/>
              </w:rPr>
            </w:pPr>
          </w:p>
        </w:tc>
      </w:tr>
      <w:tr w:rsidRPr="004E47ED" w:rsidR="00E42201" w:rsidTr="003A490B" w14:paraId="14BE2B03" w14:textId="77777777">
        <w:tc>
          <w:tcPr>
            <w:tcW w:w="1184" w:type="pct"/>
            <w:noWrap/>
            <w:vAlign w:val="center"/>
            <w:hideMark/>
          </w:tcPr>
          <w:p w:rsidRPr="004E47ED" w:rsidR="00E42201" w:rsidP="003A490B" w:rsidRDefault="00E42201" w14:paraId="03F8F741" w14:textId="77777777">
            <w:pPr>
              <w:keepNext/>
              <w:spacing w:line="240" w:lineRule="auto"/>
              <w:rPr>
                <w:b/>
                <w:bCs/>
                <w:sz w:val="16"/>
                <w:szCs w:val="16"/>
              </w:rPr>
            </w:pPr>
            <w:r w:rsidRPr="004E47ED">
              <w:rPr>
                <w:b/>
                <w:bCs/>
                <w:sz w:val="16"/>
                <w:szCs w:val="16"/>
              </w:rPr>
              <w:t>Uitgaand</w:t>
            </w:r>
          </w:p>
        </w:tc>
        <w:tc>
          <w:tcPr>
            <w:tcW w:w="381" w:type="pct"/>
            <w:noWrap/>
            <w:vAlign w:val="center"/>
          </w:tcPr>
          <w:p w:rsidRPr="004E47ED" w:rsidR="00E42201" w:rsidP="003A490B" w:rsidRDefault="00E42201" w14:paraId="0132323D" w14:textId="77777777">
            <w:pPr>
              <w:keepNext/>
              <w:jc w:val="right"/>
              <w:rPr>
                <w:sz w:val="16"/>
                <w:szCs w:val="16"/>
              </w:rPr>
            </w:pPr>
            <w:r w:rsidRPr="004E47ED">
              <w:rPr>
                <w:sz w:val="16"/>
                <w:szCs w:val="16"/>
              </w:rPr>
              <w:t> </w:t>
            </w:r>
          </w:p>
        </w:tc>
        <w:tc>
          <w:tcPr>
            <w:tcW w:w="381" w:type="pct"/>
            <w:noWrap/>
            <w:vAlign w:val="center"/>
          </w:tcPr>
          <w:p w:rsidRPr="004E47ED" w:rsidR="00E42201" w:rsidP="003A490B" w:rsidRDefault="00E42201" w14:paraId="7DBDF56B" w14:textId="77777777">
            <w:pPr>
              <w:keepNext/>
              <w:jc w:val="right"/>
              <w:rPr>
                <w:sz w:val="16"/>
                <w:szCs w:val="16"/>
              </w:rPr>
            </w:pPr>
            <w:r w:rsidRPr="004E47ED">
              <w:rPr>
                <w:sz w:val="16"/>
                <w:szCs w:val="16"/>
              </w:rPr>
              <w:t> </w:t>
            </w:r>
          </w:p>
        </w:tc>
        <w:tc>
          <w:tcPr>
            <w:tcW w:w="382" w:type="pct"/>
            <w:noWrap/>
            <w:vAlign w:val="center"/>
          </w:tcPr>
          <w:p w:rsidRPr="004E47ED" w:rsidR="00E42201" w:rsidP="003A490B" w:rsidRDefault="00E42201" w14:paraId="7B7D10F7" w14:textId="77777777">
            <w:pPr>
              <w:keepNext/>
              <w:jc w:val="right"/>
              <w:rPr>
                <w:sz w:val="16"/>
                <w:szCs w:val="16"/>
              </w:rPr>
            </w:pPr>
            <w:r w:rsidRPr="004E47ED">
              <w:rPr>
                <w:sz w:val="16"/>
                <w:szCs w:val="16"/>
              </w:rPr>
              <w:t> </w:t>
            </w:r>
          </w:p>
        </w:tc>
        <w:tc>
          <w:tcPr>
            <w:tcW w:w="381" w:type="pct"/>
            <w:noWrap/>
            <w:vAlign w:val="center"/>
          </w:tcPr>
          <w:p w:rsidRPr="004E47ED" w:rsidR="00E42201" w:rsidP="003A490B" w:rsidRDefault="00E42201" w14:paraId="0800CC4B" w14:textId="77777777">
            <w:pPr>
              <w:keepNext/>
              <w:jc w:val="right"/>
              <w:rPr>
                <w:sz w:val="16"/>
                <w:szCs w:val="16"/>
              </w:rPr>
            </w:pPr>
            <w:r w:rsidRPr="004E47ED">
              <w:rPr>
                <w:sz w:val="16"/>
                <w:szCs w:val="16"/>
              </w:rPr>
              <w:t> </w:t>
            </w:r>
          </w:p>
        </w:tc>
        <w:tc>
          <w:tcPr>
            <w:tcW w:w="382" w:type="pct"/>
            <w:noWrap/>
            <w:vAlign w:val="center"/>
          </w:tcPr>
          <w:p w:rsidRPr="004E47ED" w:rsidR="00E42201" w:rsidP="003A490B" w:rsidRDefault="00E42201" w14:paraId="21AA16C4" w14:textId="77777777">
            <w:pPr>
              <w:keepNext/>
              <w:jc w:val="right"/>
              <w:rPr>
                <w:sz w:val="16"/>
                <w:szCs w:val="16"/>
              </w:rPr>
            </w:pPr>
            <w:r w:rsidRPr="004E47ED">
              <w:rPr>
                <w:sz w:val="16"/>
                <w:szCs w:val="16"/>
              </w:rPr>
              <w:t> </w:t>
            </w:r>
          </w:p>
        </w:tc>
        <w:tc>
          <w:tcPr>
            <w:tcW w:w="381" w:type="pct"/>
            <w:noWrap/>
            <w:vAlign w:val="center"/>
          </w:tcPr>
          <w:p w:rsidRPr="004E47ED" w:rsidR="00E42201" w:rsidP="003A490B" w:rsidRDefault="00E42201" w14:paraId="1538158D" w14:textId="77777777">
            <w:pPr>
              <w:keepNext/>
              <w:jc w:val="right"/>
              <w:rPr>
                <w:sz w:val="16"/>
                <w:szCs w:val="16"/>
              </w:rPr>
            </w:pPr>
            <w:r w:rsidRPr="004E47ED">
              <w:rPr>
                <w:sz w:val="16"/>
                <w:szCs w:val="16"/>
              </w:rPr>
              <w:t> </w:t>
            </w:r>
          </w:p>
        </w:tc>
        <w:tc>
          <w:tcPr>
            <w:tcW w:w="381" w:type="pct"/>
            <w:noWrap/>
            <w:vAlign w:val="center"/>
          </w:tcPr>
          <w:p w:rsidRPr="004E47ED" w:rsidR="00E42201" w:rsidP="003A490B" w:rsidRDefault="00E42201" w14:paraId="239F8C7B" w14:textId="77777777">
            <w:pPr>
              <w:keepNext/>
              <w:jc w:val="right"/>
              <w:rPr>
                <w:sz w:val="16"/>
                <w:szCs w:val="16"/>
              </w:rPr>
            </w:pPr>
            <w:r w:rsidRPr="004E47ED">
              <w:rPr>
                <w:sz w:val="16"/>
                <w:szCs w:val="16"/>
              </w:rPr>
              <w:t> </w:t>
            </w:r>
          </w:p>
        </w:tc>
        <w:tc>
          <w:tcPr>
            <w:tcW w:w="382" w:type="pct"/>
            <w:vAlign w:val="center"/>
          </w:tcPr>
          <w:p w:rsidRPr="004E47ED" w:rsidR="00E42201" w:rsidP="003A490B" w:rsidRDefault="00E42201" w14:paraId="3ADCFE62" w14:textId="77777777">
            <w:pPr>
              <w:keepNext/>
              <w:jc w:val="right"/>
              <w:rPr>
                <w:i/>
                <w:iCs/>
                <w:sz w:val="16"/>
                <w:szCs w:val="16"/>
              </w:rPr>
            </w:pPr>
            <w:r w:rsidRPr="004E47ED">
              <w:rPr>
                <w:i/>
                <w:iCs/>
                <w:sz w:val="16"/>
                <w:szCs w:val="16"/>
              </w:rPr>
              <w:t> </w:t>
            </w:r>
          </w:p>
        </w:tc>
        <w:tc>
          <w:tcPr>
            <w:tcW w:w="381" w:type="pct"/>
            <w:vAlign w:val="center"/>
          </w:tcPr>
          <w:p w:rsidRPr="004E47ED" w:rsidR="00E42201" w:rsidP="003A490B" w:rsidRDefault="00E42201" w14:paraId="4B17DC2E" w14:textId="77777777">
            <w:pPr>
              <w:keepNext/>
              <w:jc w:val="right"/>
              <w:rPr>
                <w:i/>
                <w:iCs/>
                <w:sz w:val="16"/>
                <w:szCs w:val="16"/>
              </w:rPr>
            </w:pPr>
            <w:r w:rsidRPr="004E47ED">
              <w:rPr>
                <w:i/>
                <w:iCs/>
                <w:sz w:val="16"/>
                <w:szCs w:val="16"/>
              </w:rPr>
              <w:t> </w:t>
            </w:r>
          </w:p>
        </w:tc>
        <w:tc>
          <w:tcPr>
            <w:tcW w:w="382" w:type="pct"/>
            <w:vAlign w:val="center"/>
          </w:tcPr>
          <w:p w:rsidRPr="004E47ED" w:rsidR="00E42201" w:rsidP="003A490B" w:rsidRDefault="00E42201" w14:paraId="6D669DBC" w14:textId="77777777">
            <w:pPr>
              <w:keepNext/>
              <w:jc w:val="right"/>
              <w:rPr>
                <w:i/>
                <w:iCs/>
                <w:sz w:val="16"/>
                <w:szCs w:val="16"/>
              </w:rPr>
            </w:pPr>
            <w:r w:rsidRPr="004E47ED">
              <w:rPr>
                <w:i/>
                <w:iCs/>
                <w:sz w:val="16"/>
                <w:szCs w:val="16"/>
              </w:rPr>
              <w:t> </w:t>
            </w:r>
          </w:p>
        </w:tc>
      </w:tr>
      <w:tr w:rsidRPr="004E47ED" w:rsidR="00E42201" w:rsidTr="003A490B" w14:paraId="12DF0524" w14:textId="77777777">
        <w:tc>
          <w:tcPr>
            <w:tcW w:w="1184" w:type="pct"/>
            <w:noWrap/>
            <w:vAlign w:val="center"/>
            <w:hideMark/>
          </w:tcPr>
          <w:p w:rsidRPr="004E47ED" w:rsidR="00E42201" w:rsidP="003A490B" w:rsidRDefault="00E42201" w14:paraId="5E84D35A" w14:textId="77777777">
            <w:pPr>
              <w:keepNext/>
              <w:spacing w:line="240" w:lineRule="auto"/>
              <w:rPr>
                <w:sz w:val="16"/>
                <w:szCs w:val="16"/>
              </w:rPr>
            </w:pPr>
            <w:r w:rsidRPr="004E47ED">
              <w:rPr>
                <w:sz w:val="16"/>
                <w:szCs w:val="16"/>
              </w:rPr>
              <w:t>Dividend en ingehouden winst</w:t>
            </w:r>
          </w:p>
        </w:tc>
        <w:tc>
          <w:tcPr>
            <w:tcW w:w="381" w:type="pct"/>
            <w:noWrap/>
            <w:vAlign w:val="center"/>
            <w:hideMark/>
          </w:tcPr>
          <w:p w:rsidRPr="004E47ED" w:rsidR="00E42201" w:rsidP="003A490B" w:rsidRDefault="00E42201" w14:paraId="28AD058E" w14:textId="77777777">
            <w:pPr>
              <w:keepNext/>
              <w:jc w:val="right"/>
              <w:rPr>
                <w:sz w:val="16"/>
                <w:szCs w:val="16"/>
              </w:rPr>
            </w:pPr>
            <w:r w:rsidRPr="004E47ED">
              <w:rPr>
                <w:sz w:val="16"/>
                <w:szCs w:val="16"/>
              </w:rPr>
              <w:t xml:space="preserve"> 3,3 </w:t>
            </w:r>
          </w:p>
        </w:tc>
        <w:tc>
          <w:tcPr>
            <w:tcW w:w="381" w:type="pct"/>
            <w:noWrap/>
            <w:vAlign w:val="center"/>
            <w:hideMark/>
          </w:tcPr>
          <w:p w:rsidRPr="004E47ED" w:rsidR="00E42201" w:rsidP="003A490B" w:rsidRDefault="00E42201" w14:paraId="10BAD49B" w14:textId="77777777">
            <w:pPr>
              <w:keepNext/>
              <w:jc w:val="right"/>
              <w:rPr>
                <w:sz w:val="16"/>
                <w:szCs w:val="16"/>
              </w:rPr>
            </w:pPr>
            <w:r w:rsidRPr="004E47ED">
              <w:rPr>
                <w:sz w:val="16"/>
                <w:szCs w:val="16"/>
              </w:rPr>
              <w:t xml:space="preserve"> 8,2 </w:t>
            </w:r>
          </w:p>
        </w:tc>
        <w:tc>
          <w:tcPr>
            <w:tcW w:w="382" w:type="pct"/>
            <w:noWrap/>
            <w:vAlign w:val="center"/>
            <w:hideMark/>
          </w:tcPr>
          <w:p w:rsidRPr="004E47ED" w:rsidR="00E42201" w:rsidP="003A490B" w:rsidRDefault="00E42201" w14:paraId="6A7B04BD" w14:textId="77777777">
            <w:pPr>
              <w:keepNext/>
              <w:jc w:val="right"/>
              <w:rPr>
                <w:sz w:val="16"/>
                <w:szCs w:val="16"/>
              </w:rPr>
            </w:pPr>
            <w:r w:rsidRPr="004E47ED">
              <w:rPr>
                <w:sz w:val="16"/>
                <w:szCs w:val="16"/>
              </w:rPr>
              <w:t xml:space="preserve"> 8,5 </w:t>
            </w:r>
          </w:p>
        </w:tc>
        <w:tc>
          <w:tcPr>
            <w:tcW w:w="381" w:type="pct"/>
            <w:noWrap/>
            <w:vAlign w:val="center"/>
            <w:hideMark/>
          </w:tcPr>
          <w:p w:rsidRPr="004E47ED" w:rsidR="00E42201" w:rsidP="003A490B" w:rsidRDefault="00E42201" w14:paraId="0C71BCFA" w14:textId="77777777">
            <w:pPr>
              <w:keepNext/>
              <w:jc w:val="right"/>
              <w:rPr>
                <w:sz w:val="16"/>
                <w:szCs w:val="16"/>
              </w:rPr>
            </w:pPr>
            <w:r w:rsidRPr="004E47ED">
              <w:rPr>
                <w:sz w:val="16"/>
                <w:szCs w:val="16"/>
              </w:rPr>
              <w:t xml:space="preserve"> 3,0 </w:t>
            </w:r>
          </w:p>
        </w:tc>
        <w:tc>
          <w:tcPr>
            <w:tcW w:w="382" w:type="pct"/>
            <w:noWrap/>
            <w:vAlign w:val="center"/>
            <w:hideMark/>
          </w:tcPr>
          <w:p w:rsidRPr="004E47ED" w:rsidR="00E42201" w:rsidP="003A490B" w:rsidRDefault="00E42201" w14:paraId="026B6F08" w14:textId="77777777">
            <w:pPr>
              <w:keepNext/>
              <w:jc w:val="right"/>
              <w:rPr>
                <w:sz w:val="16"/>
                <w:szCs w:val="16"/>
              </w:rPr>
            </w:pPr>
            <w:r w:rsidRPr="004E47ED">
              <w:rPr>
                <w:sz w:val="16"/>
                <w:szCs w:val="16"/>
              </w:rPr>
              <w:t xml:space="preserve"> 1,1 </w:t>
            </w:r>
          </w:p>
        </w:tc>
        <w:tc>
          <w:tcPr>
            <w:tcW w:w="381" w:type="pct"/>
            <w:noWrap/>
            <w:vAlign w:val="center"/>
            <w:hideMark/>
          </w:tcPr>
          <w:p w:rsidRPr="004E47ED" w:rsidR="00E42201" w:rsidP="003A490B" w:rsidRDefault="00E42201" w14:paraId="6E8F3FD3" w14:textId="77777777">
            <w:pPr>
              <w:keepNext/>
              <w:jc w:val="right"/>
              <w:rPr>
                <w:sz w:val="16"/>
                <w:szCs w:val="16"/>
              </w:rPr>
            </w:pPr>
            <w:r w:rsidRPr="004E47ED">
              <w:rPr>
                <w:sz w:val="16"/>
                <w:szCs w:val="16"/>
              </w:rPr>
              <w:t xml:space="preserve"> 1,5 </w:t>
            </w:r>
          </w:p>
        </w:tc>
        <w:tc>
          <w:tcPr>
            <w:tcW w:w="381" w:type="pct"/>
            <w:noWrap/>
            <w:vAlign w:val="center"/>
            <w:hideMark/>
          </w:tcPr>
          <w:p w:rsidRPr="004E47ED" w:rsidR="00E42201" w:rsidP="003A490B" w:rsidRDefault="00E42201" w14:paraId="08906B28" w14:textId="77777777">
            <w:pPr>
              <w:keepNext/>
              <w:jc w:val="right"/>
              <w:rPr>
                <w:sz w:val="16"/>
                <w:szCs w:val="16"/>
              </w:rPr>
            </w:pPr>
            <w:r w:rsidRPr="004E47ED">
              <w:rPr>
                <w:sz w:val="16"/>
                <w:szCs w:val="16"/>
              </w:rPr>
              <w:t xml:space="preserve"> 5,6 </w:t>
            </w:r>
          </w:p>
        </w:tc>
        <w:tc>
          <w:tcPr>
            <w:tcW w:w="382" w:type="pct"/>
            <w:vAlign w:val="center"/>
          </w:tcPr>
          <w:p w:rsidRPr="004E47ED" w:rsidR="00E42201" w:rsidP="003A490B" w:rsidRDefault="00E42201" w14:paraId="276B9E7F" w14:textId="77777777">
            <w:pPr>
              <w:keepNext/>
              <w:jc w:val="right"/>
              <w:rPr>
                <w:sz w:val="16"/>
                <w:szCs w:val="16"/>
              </w:rPr>
            </w:pPr>
            <w:r w:rsidRPr="004E47ED">
              <w:rPr>
                <w:sz w:val="16"/>
                <w:szCs w:val="16"/>
              </w:rPr>
              <w:t xml:space="preserve"> 7,0 </w:t>
            </w:r>
          </w:p>
        </w:tc>
        <w:tc>
          <w:tcPr>
            <w:tcW w:w="381" w:type="pct"/>
            <w:vAlign w:val="center"/>
          </w:tcPr>
          <w:p w:rsidRPr="004E47ED" w:rsidR="00E42201" w:rsidP="003A490B" w:rsidRDefault="00E42201" w14:paraId="66AC341E" w14:textId="77777777">
            <w:pPr>
              <w:keepNext/>
              <w:jc w:val="right"/>
              <w:rPr>
                <w:sz w:val="16"/>
                <w:szCs w:val="16"/>
              </w:rPr>
            </w:pPr>
            <w:r w:rsidRPr="004E47ED">
              <w:rPr>
                <w:sz w:val="16"/>
                <w:szCs w:val="16"/>
              </w:rPr>
              <w:t xml:space="preserve"> 6,3 </w:t>
            </w:r>
          </w:p>
        </w:tc>
        <w:tc>
          <w:tcPr>
            <w:tcW w:w="382" w:type="pct"/>
            <w:vAlign w:val="center"/>
          </w:tcPr>
          <w:p w:rsidRPr="004E47ED" w:rsidR="00E42201" w:rsidP="003A490B" w:rsidRDefault="00E42201" w14:paraId="775855C3" w14:textId="77777777">
            <w:pPr>
              <w:keepNext/>
              <w:jc w:val="right"/>
              <w:rPr>
                <w:sz w:val="16"/>
                <w:szCs w:val="16"/>
              </w:rPr>
            </w:pPr>
            <w:r w:rsidRPr="004E47ED">
              <w:rPr>
                <w:sz w:val="16"/>
                <w:szCs w:val="16"/>
              </w:rPr>
              <w:t xml:space="preserve"> 5,2 </w:t>
            </w:r>
          </w:p>
        </w:tc>
      </w:tr>
      <w:tr w:rsidRPr="004E47ED" w:rsidR="00E42201" w:rsidTr="003A490B" w14:paraId="3CD1E003" w14:textId="77777777">
        <w:tc>
          <w:tcPr>
            <w:tcW w:w="1184" w:type="pct"/>
            <w:noWrap/>
            <w:vAlign w:val="center"/>
            <w:hideMark/>
          </w:tcPr>
          <w:p w:rsidRPr="004E47ED" w:rsidR="00E42201" w:rsidP="003A490B" w:rsidRDefault="00E42201" w14:paraId="10D4EDC1" w14:textId="77777777">
            <w:pPr>
              <w:keepNext/>
              <w:spacing w:line="240" w:lineRule="auto"/>
              <w:rPr>
                <w:sz w:val="16"/>
                <w:szCs w:val="16"/>
              </w:rPr>
            </w:pPr>
            <w:r w:rsidRPr="004E47ED">
              <w:rPr>
                <w:sz w:val="16"/>
                <w:szCs w:val="16"/>
              </w:rPr>
              <w:t>Rente</w:t>
            </w:r>
            <w:r>
              <w:rPr>
                <w:sz w:val="16"/>
                <w:szCs w:val="16"/>
              </w:rPr>
              <w:t>n</w:t>
            </w:r>
          </w:p>
        </w:tc>
        <w:tc>
          <w:tcPr>
            <w:tcW w:w="381" w:type="pct"/>
            <w:noWrap/>
            <w:vAlign w:val="center"/>
            <w:hideMark/>
          </w:tcPr>
          <w:p w:rsidRPr="004E47ED" w:rsidR="00E42201" w:rsidP="003A490B" w:rsidRDefault="00E42201" w14:paraId="53B1B704" w14:textId="77777777">
            <w:pPr>
              <w:keepNext/>
              <w:jc w:val="right"/>
              <w:rPr>
                <w:sz w:val="16"/>
                <w:szCs w:val="16"/>
              </w:rPr>
            </w:pPr>
            <w:r w:rsidRPr="004E47ED">
              <w:rPr>
                <w:sz w:val="16"/>
                <w:szCs w:val="16"/>
              </w:rPr>
              <w:t xml:space="preserve"> 4,9 </w:t>
            </w:r>
          </w:p>
        </w:tc>
        <w:tc>
          <w:tcPr>
            <w:tcW w:w="381" w:type="pct"/>
            <w:noWrap/>
            <w:vAlign w:val="center"/>
            <w:hideMark/>
          </w:tcPr>
          <w:p w:rsidRPr="004E47ED" w:rsidR="00E42201" w:rsidP="003A490B" w:rsidRDefault="00E42201" w14:paraId="63C6ED3E" w14:textId="77777777">
            <w:pPr>
              <w:keepNext/>
              <w:jc w:val="right"/>
              <w:rPr>
                <w:sz w:val="16"/>
                <w:szCs w:val="16"/>
              </w:rPr>
            </w:pPr>
            <w:r w:rsidRPr="004E47ED">
              <w:rPr>
                <w:sz w:val="16"/>
                <w:szCs w:val="16"/>
              </w:rPr>
              <w:t xml:space="preserve"> 4,1 </w:t>
            </w:r>
          </w:p>
        </w:tc>
        <w:tc>
          <w:tcPr>
            <w:tcW w:w="382" w:type="pct"/>
            <w:noWrap/>
            <w:vAlign w:val="center"/>
            <w:hideMark/>
          </w:tcPr>
          <w:p w:rsidRPr="004E47ED" w:rsidR="00E42201" w:rsidP="003A490B" w:rsidRDefault="00E42201" w14:paraId="618846BA" w14:textId="77777777">
            <w:pPr>
              <w:keepNext/>
              <w:jc w:val="right"/>
              <w:rPr>
                <w:sz w:val="16"/>
                <w:szCs w:val="16"/>
              </w:rPr>
            </w:pPr>
            <w:r w:rsidRPr="004E47ED">
              <w:rPr>
                <w:sz w:val="16"/>
                <w:szCs w:val="16"/>
              </w:rPr>
              <w:t xml:space="preserve"> 3,9 </w:t>
            </w:r>
          </w:p>
        </w:tc>
        <w:tc>
          <w:tcPr>
            <w:tcW w:w="381" w:type="pct"/>
            <w:noWrap/>
            <w:vAlign w:val="center"/>
            <w:hideMark/>
          </w:tcPr>
          <w:p w:rsidRPr="004E47ED" w:rsidR="00E42201" w:rsidP="003A490B" w:rsidRDefault="00E42201" w14:paraId="440E3A4B" w14:textId="77777777">
            <w:pPr>
              <w:keepNext/>
              <w:jc w:val="right"/>
              <w:rPr>
                <w:sz w:val="16"/>
                <w:szCs w:val="16"/>
              </w:rPr>
            </w:pPr>
            <w:r w:rsidRPr="004E47ED">
              <w:rPr>
                <w:sz w:val="16"/>
                <w:szCs w:val="16"/>
              </w:rPr>
              <w:t xml:space="preserve"> 4,9 </w:t>
            </w:r>
          </w:p>
        </w:tc>
        <w:tc>
          <w:tcPr>
            <w:tcW w:w="382" w:type="pct"/>
            <w:noWrap/>
            <w:vAlign w:val="center"/>
            <w:hideMark/>
          </w:tcPr>
          <w:p w:rsidRPr="004E47ED" w:rsidR="00E42201" w:rsidP="003A490B" w:rsidRDefault="00E42201" w14:paraId="70DF1839" w14:textId="77777777">
            <w:pPr>
              <w:keepNext/>
              <w:jc w:val="right"/>
              <w:rPr>
                <w:sz w:val="16"/>
                <w:szCs w:val="16"/>
              </w:rPr>
            </w:pPr>
            <w:r w:rsidRPr="004E47ED">
              <w:rPr>
                <w:sz w:val="16"/>
                <w:szCs w:val="16"/>
              </w:rPr>
              <w:t xml:space="preserve"> 3,8 </w:t>
            </w:r>
          </w:p>
        </w:tc>
        <w:tc>
          <w:tcPr>
            <w:tcW w:w="381" w:type="pct"/>
            <w:noWrap/>
            <w:vAlign w:val="center"/>
            <w:hideMark/>
          </w:tcPr>
          <w:p w:rsidRPr="004E47ED" w:rsidR="00E42201" w:rsidP="003A490B" w:rsidRDefault="00E42201" w14:paraId="39B13FC3" w14:textId="77777777">
            <w:pPr>
              <w:keepNext/>
              <w:jc w:val="right"/>
              <w:rPr>
                <w:sz w:val="16"/>
                <w:szCs w:val="16"/>
              </w:rPr>
            </w:pPr>
            <w:r w:rsidRPr="004E47ED">
              <w:rPr>
                <w:sz w:val="16"/>
                <w:szCs w:val="16"/>
              </w:rPr>
              <w:t xml:space="preserve"> 2,4 </w:t>
            </w:r>
          </w:p>
        </w:tc>
        <w:tc>
          <w:tcPr>
            <w:tcW w:w="381" w:type="pct"/>
            <w:noWrap/>
            <w:vAlign w:val="center"/>
            <w:hideMark/>
          </w:tcPr>
          <w:p w:rsidRPr="004E47ED" w:rsidR="00E42201" w:rsidP="003A490B" w:rsidRDefault="00E42201" w14:paraId="5FE7FBD2" w14:textId="77777777">
            <w:pPr>
              <w:keepNext/>
              <w:jc w:val="right"/>
              <w:rPr>
                <w:sz w:val="16"/>
                <w:szCs w:val="16"/>
              </w:rPr>
            </w:pPr>
            <w:r w:rsidRPr="004E47ED">
              <w:rPr>
                <w:sz w:val="16"/>
                <w:szCs w:val="16"/>
              </w:rPr>
              <w:t xml:space="preserve"> 1,6 </w:t>
            </w:r>
          </w:p>
        </w:tc>
        <w:tc>
          <w:tcPr>
            <w:tcW w:w="382" w:type="pct"/>
            <w:vAlign w:val="center"/>
          </w:tcPr>
          <w:p w:rsidRPr="004E47ED" w:rsidR="00E42201" w:rsidP="003A490B" w:rsidRDefault="00E42201" w14:paraId="61B49B47" w14:textId="77777777">
            <w:pPr>
              <w:keepNext/>
              <w:jc w:val="right"/>
              <w:rPr>
                <w:sz w:val="16"/>
                <w:szCs w:val="16"/>
              </w:rPr>
            </w:pPr>
            <w:r w:rsidRPr="004E47ED">
              <w:rPr>
                <w:sz w:val="16"/>
                <w:szCs w:val="16"/>
              </w:rPr>
              <w:t xml:space="preserve"> 1,0 </w:t>
            </w:r>
          </w:p>
        </w:tc>
        <w:tc>
          <w:tcPr>
            <w:tcW w:w="381" w:type="pct"/>
            <w:vAlign w:val="center"/>
          </w:tcPr>
          <w:p w:rsidRPr="004E47ED" w:rsidR="00E42201" w:rsidP="003A490B" w:rsidRDefault="00E42201" w14:paraId="68B5D386" w14:textId="77777777">
            <w:pPr>
              <w:keepNext/>
              <w:jc w:val="right"/>
              <w:rPr>
                <w:sz w:val="16"/>
                <w:szCs w:val="16"/>
              </w:rPr>
            </w:pPr>
            <w:r w:rsidRPr="004E47ED">
              <w:rPr>
                <w:sz w:val="16"/>
                <w:szCs w:val="16"/>
              </w:rPr>
              <w:t xml:space="preserve"> 1,0 </w:t>
            </w:r>
          </w:p>
        </w:tc>
        <w:tc>
          <w:tcPr>
            <w:tcW w:w="382" w:type="pct"/>
            <w:vAlign w:val="center"/>
          </w:tcPr>
          <w:p w:rsidRPr="004E47ED" w:rsidR="00E42201" w:rsidP="003A490B" w:rsidRDefault="00E42201" w14:paraId="2280A8A1" w14:textId="77777777">
            <w:pPr>
              <w:keepNext/>
              <w:jc w:val="right"/>
              <w:rPr>
                <w:sz w:val="16"/>
                <w:szCs w:val="16"/>
              </w:rPr>
            </w:pPr>
            <w:r w:rsidRPr="004E47ED">
              <w:rPr>
                <w:sz w:val="16"/>
                <w:szCs w:val="16"/>
              </w:rPr>
              <w:t xml:space="preserve"> 0,6 </w:t>
            </w:r>
          </w:p>
        </w:tc>
      </w:tr>
      <w:tr w:rsidRPr="004E47ED" w:rsidR="00E42201" w:rsidTr="003A490B" w14:paraId="36516B5A" w14:textId="77777777">
        <w:tc>
          <w:tcPr>
            <w:tcW w:w="1184" w:type="pct"/>
            <w:noWrap/>
            <w:vAlign w:val="center"/>
            <w:hideMark/>
          </w:tcPr>
          <w:p w:rsidRPr="004E47ED" w:rsidR="00E42201" w:rsidP="003A490B" w:rsidRDefault="00E42201" w14:paraId="5A8B9D6B" w14:textId="77777777">
            <w:pPr>
              <w:keepNext/>
              <w:spacing w:line="240" w:lineRule="auto"/>
              <w:rPr>
                <w:sz w:val="16"/>
                <w:szCs w:val="16"/>
              </w:rPr>
            </w:pPr>
            <w:r w:rsidRPr="004E47ED">
              <w:rPr>
                <w:sz w:val="16"/>
                <w:szCs w:val="16"/>
              </w:rPr>
              <w:t>Royalty’s</w:t>
            </w:r>
          </w:p>
        </w:tc>
        <w:tc>
          <w:tcPr>
            <w:tcW w:w="381" w:type="pct"/>
            <w:noWrap/>
            <w:vAlign w:val="center"/>
            <w:hideMark/>
          </w:tcPr>
          <w:p w:rsidRPr="004E47ED" w:rsidR="00E42201" w:rsidP="003A490B" w:rsidRDefault="00E42201" w14:paraId="3922F2E7" w14:textId="77777777">
            <w:pPr>
              <w:keepNext/>
              <w:jc w:val="right"/>
              <w:rPr>
                <w:sz w:val="16"/>
                <w:szCs w:val="16"/>
              </w:rPr>
            </w:pPr>
            <w:r w:rsidRPr="004E47ED">
              <w:rPr>
                <w:sz w:val="16"/>
                <w:szCs w:val="16"/>
              </w:rPr>
              <w:t xml:space="preserve"> 17,7 </w:t>
            </w:r>
          </w:p>
        </w:tc>
        <w:tc>
          <w:tcPr>
            <w:tcW w:w="381" w:type="pct"/>
            <w:noWrap/>
            <w:vAlign w:val="center"/>
            <w:hideMark/>
          </w:tcPr>
          <w:p w:rsidRPr="004E47ED" w:rsidR="00E42201" w:rsidP="003A490B" w:rsidRDefault="00E42201" w14:paraId="0CCD6A61" w14:textId="77777777">
            <w:pPr>
              <w:keepNext/>
              <w:jc w:val="right"/>
              <w:rPr>
                <w:sz w:val="16"/>
                <w:szCs w:val="16"/>
              </w:rPr>
            </w:pPr>
            <w:r w:rsidRPr="004E47ED">
              <w:rPr>
                <w:sz w:val="16"/>
                <w:szCs w:val="16"/>
              </w:rPr>
              <w:t xml:space="preserve"> 17,6 </w:t>
            </w:r>
          </w:p>
        </w:tc>
        <w:tc>
          <w:tcPr>
            <w:tcW w:w="382" w:type="pct"/>
            <w:noWrap/>
            <w:vAlign w:val="center"/>
            <w:hideMark/>
          </w:tcPr>
          <w:p w:rsidRPr="004E47ED" w:rsidR="00E42201" w:rsidP="003A490B" w:rsidRDefault="00E42201" w14:paraId="3F76B247" w14:textId="77777777">
            <w:pPr>
              <w:keepNext/>
              <w:jc w:val="right"/>
              <w:rPr>
                <w:sz w:val="16"/>
                <w:szCs w:val="16"/>
              </w:rPr>
            </w:pPr>
            <w:r w:rsidRPr="004E47ED">
              <w:rPr>
                <w:sz w:val="16"/>
                <w:szCs w:val="16"/>
              </w:rPr>
              <w:t xml:space="preserve"> 25,4 </w:t>
            </w:r>
          </w:p>
        </w:tc>
        <w:tc>
          <w:tcPr>
            <w:tcW w:w="381" w:type="pct"/>
            <w:noWrap/>
            <w:vAlign w:val="center"/>
            <w:hideMark/>
          </w:tcPr>
          <w:p w:rsidRPr="004E47ED" w:rsidR="00E42201" w:rsidP="003A490B" w:rsidRDefault="00E42201" w14:paraId="47A2199F" w14:textId="77777777">
            <w:pPr>
              <w:keepNext/>
              <w:jc w:val="right"/>
              <w:rPr>
                <w:sz w:val="16"/>
                <w:szCs w:val="16"/>
              </w:rPr>
            </w:pPr>
            <w:r w:rsidRPr="004E47ED">
              <w:rPr>
                <w:sz w:val="16"/>
                <w:szCs w:val="16"/>
              </w:rPr>
              <w:t xml:space="preserve"> 28,1 </w:t>
            </w:r>
          </w:p>
        </w:tc>
        <w:tc>
          <w:tcPr>
            <w:tcW w:w="382" w:type="pct"/>
            <w:noWrap/>
            <w:vAlign w:val="center"/>
            <w:hideMark/>
          </w:tcPr>
          <w:p w:rsidRPr="004E47ED" w:rsidR="00E42201" w:rsidP="003A490B" w:rsidRDefault="00E42201" w14:paraId="30BDBBB5" w14:textId="77777777">
            <w:pPr>
              <w:keepNext/>
              <w:jc w:val="right"/>
              <w:rPr>
                <w:sz w:val="16"/>
                <w:szCs w:val="16"/>
              </w:rPr>
            </w:pPr>
            <w:r w:rsidRPr="004E47ED">
              <w:rPr>
                <w:sz w:val="16"/>
                <w:szCs w:val="16"/>
              </w:rPr>
              <w:t xml:space="preserve"> 32,1 </w:t>
            </w:r>
          </w:p>
        </w:tc>
        <w:tc>
          <w:tcPr>
            <w:tcW w:w="381" w:type="pct"/>
            <w:noWrap/>
            <w:vAlign w:val="center"/>
            <w:hideMark/>
          </w:tcPr>
          <w:p w:rsidRPr="004E47ED" w:rsidR="00E42201" w:rsidP="003A490B" w:rsidRDefault="00E42201" w14:paraId="79D6EB83" w14:textId="77777777">
            <w:pPr>
              <w:keepNext/>
              <w:jc w:val="right"/>
              <w:rPr>
                <w:sz w:val="16"/>
                <w:szCs w:val="16"/>
              </w:rPr>
            </w:pPr>
            <w:r w:rsidRPr="004E47ED">
              <w:rPr>
                <w:sz w:val="16"/>
                <w:szCs w:val="16"/>
              </w:rPr>
              <w:t xml:space="preserve"> 1,5 </w:t>
            </w:r>
          </w:p>
        </w:tc>
        <w:tc>
          <w:tcPr>
            <w:tcW w:w="381" w:type="pct"/>
            <w:noWrap/>
            <w:vAlign w:val="center"/>
            <w:hideMark/>
          </w:tcPr>
          <w:p w:rsidRPr="004E47ED" w:rsidR="00E42201" w:rsidP="003A490B" w:rsidRDefault="00E42201" w14:paraId="4515FBD9" w14:textId="77777777">
            <w:pPr>
              <w:keepNext/>
              <w:jc w:val="right"/>
              <w:rPr>
                <w:sz w:val="16"/>
                <w:szCs w:val="16"/>
              </w:rPr>
            </w:pPr>
            <w:r w:rsidRPr="004E47ED">
              <w:rPr>
                <w:sz w:val="16"/>
                <w:szCs w:val="16"/>
              </w:rPr>
              <w:t xml:space="preserve"> 0,8 </w:t>
            </w:r>
          </w:p>
        </w:tc>
        <w:tc>
          <w:tcPr>
            <w:tcW w:w="382" w:type="pct"/>
            <w:vAlign w:val="center"/>
          </w:tcPr>
          <w:p w:rsidRPr="004E47ED" w:rsidR="00E42201" w:rsidP="003A490B" w:rsidRDefault="00E42201" w14:paraId="776B8606" w14:textId="77777777">
            <w:pPr>
              <w:keepNext/>
              <w:jc w:val="right"/>
              <w:rPr>
                <w:sz w:val="16"/>
                <w:szCs w:val="16"/>
              </w:rPr>
            </w:pPr>
            <w:r w:rsidRPr="004E47ED">
              <w:rPr>
                <w:sz w:val="16"/>
                <w:szCs w:val="16"/>
              </w:rPr>
              <w:t xml:space="preserve"> 0,8 </w:t>
            </w:r>
          </w:p>
        </w:tc>
        <w:tc>
          <w:tcPr>
            <w:tcW w:w="381" w:type="pct"/>
            <w:vAlign w:val="center"/>
          </w:tcPr>
          <w:p w:rsidRPr="004E47ED" w:rsidR="00E42201" w:rsidP="003A490B" w:rsidRDefault="00E42201" w14:paraId="73019E58" w14:textId="77777777">
            <w:pPr>
              <w:keepNext/>
              <w:jc w:val="right"/>
              <w:rPr>
                <w:sz w:val="16"/>
                <w:szCs w:val="16"/>
              </w:rPr>
            </w:pPr>
            <w:r w:rsidRPr="004E47ED">
              <w:rPr>
                <w:sz w:val="16"/>
                <w:szCs w:val="16"/>
              </w:rPr>
              <w:t xml:space="preserve"> 0,7 </w:t>
            </w:r>
          </w:p>
        </w:tc>
        <w:tc>
          <w:tcPr>
            <w:tcW w:w="382" w:type="pct"/>
            <w:vAlign w:val="center"/>
          </w:tcPr>
          <w:p w:rsidRPr="004E47ED" w:rsidR="00E42201" w:rsidP="003A490B" w:rsidRDefault="00E42201" w14:paraId="20249413" w14:textId="77777777">
            <w:pPr>
              <w:keepNext/>
              <w:jc w:val="right"/>
              <w:rPr>
                <w:sz w:val="16"/>
                <w:szCs w:val="16"/>
              </w:rPr>
            </w:pPr>
            <w:r w:rsidRPr="004E47ED">
              <w:rPr>
                <w:sz w:val="16"/>
                <w:szCs w:val="16"/>
              </w:rPr>
              <w:t xml:space="preserve"> 0,7 </w:t>
            </w:r>
          </w:p>
        </w:tc>
      </w:tr>
      <w:tr w:rsidRPr="004E47ED" w:rsidR="00E42201" w:rsidTr="003A490B" w14:paraId="6F309C4C" w14:textId="77777777">
        <w:tc>
          <w:tcPr>
            <w:tcW w:w="1184" w:type="pct"/>
            <w:noWrap/>
            <w:vAlign w:val="center"/>
          </w:tcPr>
          <w:p w:rsidRPr="004E47ED" w:rsidR="00E42201" w:rsidP="003A490B" w:rsidRDefault="00E42201" w14:paraId="6C903C5A" w14:textId="77777777">
            <w:pPr>
              <w:keepNext/>
              <w:spacing w:line="240" w:lineRule="auto"/>
              <w:rPr>
                <w:sz w:val="16"/>
                <w:szCs w:val="16"/>
              </w:rPr>
            </w:pPr>
            <w:r w:rsidRPr="004E47ED">
              <w:rPr>
                <w:sz w:val="16"/>
                <w:szCs w:val="16"/>
              </w:rPr>
              <w:t>Overig inkomen</w:t>
            </w:r>
          </w:p>
        </w:tc>
        <w:tc>
          <w:tcPr>
            <w:tcW w:w="381" w:type="pct"/>
            <w:noWrap/>
            <w:vAlign w:val="center"/>
          </w:tcPr>
          <w:p w:rsidRPr="004E47ED" w:rsidR="00E42201" w:rsidP="003A490B" w:rsidRDefault="00E42201" w14:paraId="74682EAB" w14:textId="77777777">
            <w:pPr>
              <w:keepNext/>
              <w:jc w:val="right"/>
              <w:rPr>
                <w:sz w:val="16"/>
                <w:szCs w:val="16"/>
              </w:rPr>
            </w:pPr>
            <w:r w:rsidRPr="004E47ED">
              <w:rPr>
                <w:sz w:val="16"/>
                <w:szCs w:val="16"/>
              </w:rPr>
              <w:t xml:space="preserve"> 0,5 </w:t>
            </w:r>
          </w:p>
        </w:tc>
        <w:tc>
          <w:tcPr>
            <w:tcW w:w="381" w:type="pct"/>
            <w:noWrap/>
            <w:vAlign w:val="center"/>
          </w:tcPr>
          <w:p w:rsidRPr="004E47ED" w:rsidR="00E42201" w:rsidP="003A490B" w:rsidRDefault="00E42201" w14:paraId="5BD35E90" w14:textId="77777777">
            <w:pPr>
              <w:keepNext/>
              <w:jc w:val="right"/>
              <w:rPr>
                <w:sz w:val="16"/>
                <w:szCs w:val="16"/>
              </w:rPr>
            </w:pPr>
            <w:r w:rsidRPr="004E47ED">
              <w:rPr>
                <w:sz w:val="16"/>
                <w:szCs w:val="16"/>
              </w:rPr>
              <w:t xml:space="preserve"> 0,7 </w:t>
            </w:r>
          </w:p>
        </w:tc>
        <w:tc>
          <w:tcPr>
            <w:tcW w:w="382" w:type="pct"/>
            <w:noWrap/>
            <w:vAlign w:val="center"/>
          </w:tcPr>
          <w:p w:rsidRPr="004E47ED" w:rsidR="00E42201" w:rsidP="003A490B" w:rsidRDefault="00E42201" w14:paraId="56DFB1AC" w14:textId="77777777">
            <w:pPr>
              <w:keepNext/>
              <w:jc w:val="right"/>
              <w:rPr>
                <w:sz w:val="16"/>
                <w:szCs w:val="16"/>
              </w:rPr>
            </w:pPr>
            <w:r w:rsidRPr="004E47ED">
              <w:rPr>
                <w:sz w:val="16"/>
                <w:szCs w:val="16"/>
              </w:rPr>
              <w:t xml:space="preserve"> 0,8 </w:t>
            </w:r>
          </w:p>
        </w:tc>
        <w:tc>
          <w:tcPr>
            <w:tcW w:w="381" w:type="pct"/>
            <w:noWrap/>
            <w:vAlign w:val="center"/>
          </w:tcPr>
          <w:p w:rsidRPr="004E47ED" w:rsidR="00E42201" w:rsidP="003A490B" w:rsidRDefault="00E42201" w14:paraId="5EAFFAE2" w14:textId="77777777">
            <w:pPr>
              <w:keepNext/>
              <w:jc w:val="right"/>
              <w:rPr>
                <w:sz w:val="16"/>
                <w:szCs w:val="16"/>
              </w:rPr>
            </w:pPr>
            <w:r w:rsidRPr="004E47ED">
              <w:rPr>
                <w:sz w:val="16"/>
                <w:szCs w:val="16"/>
              </w:rPr>
              <w:t xml:space="preserve"> 0,0 </w:t>
            </w:r>
          </w:p>
        </w:tc>
        <w:tc>
          <w:tcPr>
            <w:tcW w:w="382" w:type="pct"/>
            <w:noWrap/>
            <w:vAlign w:val="center"/>
          </w:tcPr>
          <w:p w:rsidRPr="004E47ED" w:rsidR="00E42201" w:rsidP="003A490B" w:rsidRDefault="00E42201" w14:paraId="2038A36B" w14:textId="77777777">
            <w:pPr>
              <w:keepNext/>
              <w:jc w:val="right"/>
              <w:rPr>
                <w:sz w:val="16"/>
                <w:szCs w:val="16"/>
              </w:rPr>
            </w:pPr>
            <w:r w:rsidRPr="004E47ED">
              <w:rPr>
                <w:sz w:val="16"/>
                <w:szCs w:val="16"/>
              </w:rPr>
              <w:t xml:space="preserve"> 0,1 </w:t>
            </w:r>
          </w:p>
        </w:tc>
        <w:tc>
          <w:tcPr>
            <w:tcW w:w="381" w:type="pct"/>
            <w:noWrap/>
            <w:vAlign w:val="center"/>
          </w:tcPr>
          <w:p w:rsidRPr="004E47ED" w:rsidR="00E42201" w:rsidP="003A490B" w:rsidRDefault="00E42201" w14:paraId="37E20841" w14:textId="77777777">
            <w:pPr>
              <w:keepNext/>
              <w:jc w:val="right"/>
              <w:rPr>
                <w:sz w:val="16"/>
                <w:szCs w:val="16"/>
              </w:rPr>
            </w:pPr>
            <w:r w:rsidRPr="004E47ED">
              <w:rPr>
                <w:sz w:val="16"/>
                <w:szCs w:val="16"/>
              </w:rPr>
              <w:t xml:space="preserve"> 0,1 </w:t>
            </w:r>
          </w:p>
        </w:tc>
        <w:tc>
          <w:tcPr>
            <w:tcW w:w="381" w:type="pct"/>
            <w:noWrap/>
            <w:vAlign w:val="center"/>
          </w:tcPr>
          <w:p w:rsidRPr="004E47ED" w:rsidR="00E42201" w:rsidP="003A490B" w:rsidRDefault="00E42201" w14:paraId="75636AEB" w14:textId="77777777">
            <w:pPr>
              <w:keepNext/>
              <w:jc w:val="right"/>
              <w:rPr>
                <w:sz w:val="16"/>
                <w:szCs w:val="16"/>
              </w:rPr>
            </w:pPr>
            <w:r w:rsidRPr="004E47ED">
              <w:rPr>
                <w:sz w:val="16"/>
                <w:szCs w:val="16"/>
              </w:rPr>
              <w:t xml:space="preserve"> -   </w:t>
            </w:r>
          </w:p>
        </w:tc>
        <w:tc>
          <w:tcPr>
            <w:tcW w:w="382" w:type="pct"/>
            <w:vAlign w:val="center"/>
          </w:tcPr>
          <w:p w:rsidRPr="004E47ED" w:rsidR="00E42201" w:rsidP="003A490B" w:rsidRDefault="00E42201" w14:paraId="0209BA40" w14:textId="77777777">
            <w:pPr>
              <w:keepNext/>
              <w:jc w:val="right"/>
              <w:rPr>
                <w:sz w:val="16"/>
                <w:szCs w:val="16"/>
              </w:rPr>
            </w:pPr>
            <w:r w:rsidRPr="004E47ED">
              <w:rPr>
                <w:sz w:val="16"/>
                <w:szCs w:val="16"/>
              </w:rPr>
              <w:t xml:space="preserve"> -   </w:t>
            </w:r>
          </w:p>
        </w:tc>
        <w:tc>
          <w:tcPr>
            <w:tcW w:w="381" w:type="pct"/>
            <w:vAlign w:val="center"/>
          </w:tcPr>
          <w:p w:rsidRPr="004E47ED" w:rsidR="00E42201" w:rsidP="003A490B" w:rsidRDefault="00E42201" w14:paraId="4A3AECE9" w14:textId="77777777">
            <w:pPr>
              <w:keepNext/>
              <w:jc w:val="right"/>
              <w:rPr>
                <w:sz w:val="16"/>
                <w:szCs w:val="16"/>
              </w:rPr>
            </w:pPr>
            <w:r w:rsidRPr="004E47ED">
              <w:rPr>
                <w:sz w:val="16"/>
                <w:szCs w:val="16"/>
              </w:rPr>
              <w:t xml:space="preserve"> 0,0 </w:t>
            </w:r>
          </w:p>
        </w:tc>
        <w:tc>
          <w:tcPr>
            <w:tcW w:w="382" w:type="pct"/>
            <w:vAlign w:val="center"/>
          </w:tcPr>
          <w:p w:rsidRPr="004E47ED" w:rsidR="00E42201" w:rsidP="003A490B" w:rsidRDefault="00E42201" w14:paraId="519F814F" w14:textId="77777777">
            <w:pPr>
              <w:keepNext/>
              <w:jc w:val="right"/>
              <w:rPr>
                <w:sz w:val="16"/>
                <w:szCs w:val="16"/>
              </w:rPr>
            </w:pPr>
            <w:r w:rsidRPr="004E47ED">
              <w:rPr>
                <w:sz w:val="16"/>
                <w:szCs w:val="16"/>
              </w:rPr>
              <w:t xml:space="preserve"> 0,0 </w:t>
            </w:r>
          </w:p>
        </w:tc>
      </w:tr>
      <w:tr w:rsidRPr="004E47ED" w:rsidR="00E42201" w:rsidTr="003A490B" w14:paraId="1870B06C" w14:textId="77777777">
        <w:tc>
          <w:tcPr>
            <w:tcW w:w="1184" w:type="pct"/>
            <w:noWrap/>
            <w:vAlign w:val="center"/>
            <w:hideMark/>
          </w:tcPr>
          <w:p w:rsidRPr="004E47ED" w:rsidR="00E42201" w:rsidP="003A490B" w:rsidRDefault="00E42201" w14:paraId="36E8FF54" w14:textId="77777777">
            <w:pPr>
              <w:keepNext/>
              <w:spacing w:line="240" w:lineRule="auto"/>
              <w:rPr>
                <w:b/>
                <w:bCs/>
                <w:sz w:val="16"/>
                <w:szCs w:val="16"/>
              </w:rPr>
            </w:pPr>
            <w:r w:rsidRPr="004E47ED">
              <w:rPr>
                <w:b/>
                <w:bCs/>
                <w:sz w:val="16"/>
                <w:szCs w:val="16"/>
              </w:rPr>
              <w:t xml:space="preserve">Totaal </w:t>
            </w:r>
            <w:proofErr w:type="spellStart"/>
            <w:r w:rsidRPr="004E47ED">
              <w:rPr>
                <w:b/>
                <w:bCs/>
                <w:sz w:val="16"/>
                <w:szCs w:val="16"/>
              </w:rPr>
              <w:t>LBJ’s</w:t>
            </w:r>
            <w:proofErr w:type="spellEnd"/>
          </w:p>
        </w:tc>
        <w:tc>
          <w:tcPr>
            <w:tcW w:w="381" w:type="pct"/>
            <w:noWrap/>
            <w:vAlign w:val="center"/>
            <w:hideMark/>
          </w:tcPr>
          <w:p w:rsidRPr="004E47ED" w:rsidR="00E42201" w:rsidP="003A490B" w:rsidRDefault="00E42201" w14:paraId="23980CC3" w14:textId="77777777">
            <w:pPr>
              <w:keepNext/>
              <w:jc w:val="right"/>
              <w:rPr>
                <w:b/>
                <w:bCs/>
                <w:sz w:val="16"/>
                <w:szCs w:val="16"/>
              </w:rPr>
            </w:pPr>
            <w:r w:rsidRPr="004E47ED">
              <w:rPr>
                <w:b/>
                <w:bCs/>
                <w:sz w:val="16"/>
                <w:szCs w:val="16"/>
              </w:rPr>
              <w:t xml:space="preserve"> 26,3 </w:t>
            </w:r>
          </w:p>
        </w:tc>
        <w:tc>
          <w:tcPr>
            <w:tcW w:w="381" w:type="pct"/>
            <w:noWrap/>
            <w:vAlign w:val="center"/>
            <w:hideMark/>
          </w:tcPr>
          <w:p w:rsidRPr="004E47ED" w:rsidR="00E42201" w:rsidP="003A490B" w:rsidRDefault="00E42201" w14:paraId="1B2E671D" w14:textId="77777777">
            <w:pPr>
              <w:keepNext/>
              <w:jc w:val="right"/>
              <w:rPr>
                <w:b/>
                <w:bCs/>
                <w:sz w:val="16"/>
                <w:szCs w:val="16"/>
              </w:rPr>
            </w:pPr>
            <w:r w:rsidRPr="004E47ED">
              <w:rPr>
                <w:b/>
                <w:bCs/>
                <w:sz w:val="16"/>
                <w:szCs w:val="16"/>
              </w:rPr>
              <w:t xml:space="preserve"> 30,5 </w:t>
            </w:r>
          </w:p>
        </w:tc>
        <w:tc>
          <w:tcPr>
            <w:tcW w:w="382" w:type="pct"/>
            <w:noWrap/>
            <w:vAlign w:val="center"/>
            <w:hideMark/>
          </w:tcPr>
          <w:p w:rsidRPr="004E47ED" w:rsidR="00E42201" w:rsidP="003A490B" w:rsidRDefault="00E42201" w14:paraId="5E3687F1" w14:textId="77777777">
            <w:pPr>
              <w:keepNext/>
              <w:jc w:val="right"/>
              <w:rPr>
                <w:b/>
                <w:bCs/>
                <w:sz w:val="16"/>
                <w:szCs w:val="16"/>
              </w:rPr>
            </w:pPr>
            <w:r w:rsidRPr="004E47ED">
              <w:rPr>
                <w:b/>
                <w:bCs/>
                <w:sz w:val="16"/>
                <w:szCs w:val="16"/>
              </w:rPr>
              <w:t xml:space="preserve"> 38,5 </w:t>
            </w:r>
          </w:p>
        </w:tc>
        <w:tc>
          <w:tcPr>
            <w:tcW w:w="381" w:type="pct"/>
            <w:noWrap/>
            <w:vAlign w:val="center"/>
            <w:hideMark/>
          </w:tcPr>
          <w:p w:rsidRPr="004E47ED" w:rsidR="00E42201" w:rsidP="003A490B" w:rsidRDefault="00E42201" w14:paraId="6D0A2288" w14:textId="77777777">
            <w:pPr>
              <w:keepNext/>
              <w:jc w:val="right"/>
              <w:rPr>
                <w:b/>
                <w:bCs/>
                <w:sz w:val="16"/>
                <w:szCs w:val="16"/>
              </w:rPr>
            </w:pPr>
            <w:r w:rsidRPr="004E47ED">
              <w:rPr>
                <w:b/>
                <w:bCs/>
                <w:sz w:val="16"/>
                <w:szCs w:val="16"/>
              </w:rPr>
              <w:t xml:space="preserve"> 36,0 </w:t>
            </w:r>
          </w:p>
        </w:tc>
        <w:tc>
          <w:tcPr>
            <w:tcW w:w="382" w:type="pct"/>
            <w:noWrap/>
            <w:vAlign w:val="center"/>
            <w:hideMark/>
          </w:tcPr>
          <w:p w:rsidRPr="004E47ED" w:rsidR="00E42201" w:rsidP="003A490B" w:rsidRDefault="00E42201" w14:paraId="38DBB085" w14:textId="77777777">
            <w:pPr>
              <w:keepNext/>
              <w:jc w:val="right"/>
              <w:rPr>
                <w:b/>
                <w:bCs/>
                <w:sz w:val="16"/>
                <w:szCs w:val="16"/>
              </w:rPr>
            </w:pPr>
            <w:r w:rsidRPr="004E47ED">
              <w:rPr>
                <w:b/>
                <w:bCs/>
                <w:sz w:val="16"/>
                <w:szCs w:val="16"/>
              </w:rPr>
              <w:t xml:space="preserve"> 37,1 </w:t>
            </w:r>
          </w:p>
        </w:tc>
        <w:tc>
          <w:tcPr>
            <w:tcW w:w="381" w:type="pct"/>
            <w:noWrap/>
            <w:vAlign w:val="center"/>
            <w:hideMark/>
          </w:tcPr>
          <w:p w:rsidRPr="004E47ED" w:rsidR="00E42201" w:rsidP="003A490B" w:rsidRDefault="00E42201" w14:paraId="5F0FB48F" w14:textId="77777777">
            <w:pPr>
              <w:keepNext/>
              <w:jc w:val="right"/>
              <w:rPr>
                <w:b/>
                <w:bCs/>
                <w:sz w:val="16"/>
                <w:szCs w:val="16"/>
              </w:rPr>
            </w:pPr>
            <w:r w:rsidRPr="004E47ED">
              <w:rPr>
                <w:b/>
                <w:bCs/>
                <w:sz w:val="16"/>
                <w:szCs w:val="16"/>
              </w:rPr>
              <w:t xml:space="preserve"> 5,4 </w:t>
            </w:r>
          </w:p>
        </w:tc>
        <w:tc>
          <w:tcPr>
            <w:tcW w:w="381" w:type="pct"/>
            <w:noWrap/>
            <w:vAlign w:val="center"/>
            <w:hideMark/>
          </w:tcPr>
          <w:p w:rsidRPr="004E47ED" w:rsidR="00E42201" w:rsidP="003A490B" w:rsidRDefault="00E42201" w14:paraId="788EAE68" w14:textId="77777777">
            <w:pPr>
              <w:keepNext/>
              <w:jc w:val="right"/>
              <w:rPr>
                <w:b/>
                <w:bCs/>
                <w:sz w:val="16"/>
                <w:szCs w:val="16"/>
              </w:rPr>
            </w:pPr>
            <w:r w:rsidRPr="004E47ED">
              <w:rPr>
                <w:b/>
                <w:bCs/>
                <w:sz w:val="16"/>
                <w:szCs w:val="16"/>
              </w:rPr>
              <w:t xml:space="preserve"> 8,0 </w:t>
            </w:r>
          </w:p>
        </w:tc>
        <w:tc>
          <w:tcPr>
            <w:tcW w:w="382" w:type="pct"/>
            <w:vAlign w:val="center"/>
          </w:tcPr>
          <w:p w:rsidRPr="004E47ED" w:rsidR="00E42201" w:rsidP="003A490B" w:rsidRDefault="00E42201" w14:paraId="14C5D188" w14:textId="77777777">
            <w:pPr>
              <w:keepNext/>
              <w:jc w:val="right"/>
              <w:rPr>
                <w:b/>
                <w:bCs/>
                <w:sz w:val="16"/>
                <w:szCs w:val="16"/>
              </w:rPr>
            </w:pPr>
            <w:r w:rsidRPr="004E47ED">
              <w:rPr>
                <w:b/>
                <w:bCs/>
                <w:sz w:val="16"/>
                <w:szCs w:val="16"/>
              </w:rPr>
              <w:t xml:space="preserve"> 8,8 </w:t>
            </w:r>
          </w:p>
        </w:tc>
        <w:tc>
          <w:tcPr>
            <w:tcW w:w="381" w:type="pct"/>
            <w:vAlign w:val="center"/>
          </w:tcPr>
          <w:p w:rsidRPr="004E47ED" w:rsidR="00E42201" w:rsidP="003A490B" w:rsidRDefault="00E42201" w14:paraId="04040ABA" w14:textId="77777777">
            <w:pPr>
              <w:keepNext/>
              <w:jc w:val="right"/>
              <w:rPr>
                <w:b/>
                <w:bCs/>
                <w:sz w:val="16"/>
                <w:szCs w:val="16"/>
              </w:rPr>
            </w:pPr>
            <w:r w:rsidRPr="004E47ED">
              <w:rPr>
                <w:b/>
                <w:bCs/>
                <w:sz w:val="16"/>
                <w:szCs w:val="16"/>
              </w:rPr>
              <w:t xml:space="preserve"> 8,0 </w:t>
            </w:r>
          </w:p>
        </w:tc>
        <w:tc>
          <w:tcPr>
            <w:tcW w:w="382" w:type="pct"/>
            <w:vAlign w:val="center"/>
          </w:tcPr>
          <w:p w:rsidRPr="004E47ED" w:rsidR="00E42201" w:rsidP="003A490B" w:rsidRDefault="00E42201" w14:paraId="2A1C3D84" w14:textId="77777777">
            <w:pPr>
              <w:keepNext/>
              <w:jc w:val="right"/>
              <w:rPr>
                <w:b/>
                <w:bCs/>
                <w:sz w:val="16"/>
                <w:szCs w:val="16"/>
              </w:rPr>
            </w:pPr>
            <w:r w:rsidRPr="004E47ED">
              <w:rPr>
                <w:b/>
                <w:bCs/>
                <w:sz w:val="16"/>
                <w:szCs w:val="16"/>
              </w:rPr>
              <w:t xml:space="preserve"> 6,5 </w:t>
            </w:r>
          </w:p>
        </w:tc>
      </w:tr>
      <w:tr w:rsidRPr="004E47ED" w:rsidR="00E42201" w:rsidTr="003A490B" w14:paraId="7254B439" w14:textId="77777777">
        <w:tc>
          <w:tcPr>
            <w:tcW w:w="1184" w:type="pct"/>
            <w:noWrap/>
            <w:vAlign w:val="center"/>
          </w:tcPr>
          <w:p w:rsidRPr="004E47ED" w:rsidR="00E42201" w:rsidP="003A490B" w:rsidRDefault="00E42201" w14:paraId="362CCCF1" w14:textId="77777777">
            <w:pPr>
              <w:keepNext/>
              <w:spacing w:line="240" w:lineRule="auto"/>
              <w:rPr>
                <w:b/>
                <w:bCs/>
                <w:sz w:val="16"/>
                <w:szCs w:val="16"/>
              </w:rPr>
            </w:pPr>
            <w:proofErr w:type="spellStart"/>
            <w:r>
              <w:rPr>
                <w:sz w:val="16"/>
                <w:szCs w:val="16"/>
              </w:rPr>
              <w:t>Wv</w:t>
            </w:r>
            <w:proofErr w:type="spellEnd"/>
            <w:r>
              <w:rPr>
                <w:sz w:val="16"/>
                <w:szCs w:val="16"/>
              </w:rPr>
              <w:t>.</w:t>
            </w:r>
            <w:r w:rsidRPr="004E47ED">
              <w:rPr>
                <w:sz w:val="16"/>
                <w:szCs w:val="16"/>
              </w:rPr>
              <w:t xml:space="preserve"> </w:t>
            </w:r>
            <w:proofErr w:type="gramStart"/>
            <w:r w:rsidRPr="004E47ED">
              <w:rPr>
                <w:sz w:val="16"/>
                <w:szCs w:val="16"/>
              </w:rPr>
              <w:t>verdragslanden</w:t>
            </w:r>
            <w:proofErr w:type="gramEnd"/>
          </w:p>
        </w:tc>
        <w:tc>
          <w:tcPr>
            <w:tcW w:w="381" w:type="pct"/>
            <w:noWrap/>
            <w:vAlign w:val="center"/>
          </w:tcPr>
          <w:p w:rsidRPr="004E47ED" w:rsidR="00E42201" w:rsidP="003A490B" w:rsidRDefault="00E42201" w14:paraId="6FBF0BBF" w14:textId="77777777">
            <w:pPr>
              <w:keepNext/>
              <w:jc w:val="right"/>
              <w:rPr>
                <w:sz w:val="16"/>
                <w:szCs w:val="16"/>
              </w:rPr>
            </w:pPr>
            <w:r w:rsidRPr="004E47ED">
              <w:rPr>
                <w:sz w:val="16"/>
                <w:szCs w:val="16"/>
              </w:rPr>
              <w:t xml:space="preserve"> 0,7 </w:t>
            </w:r>
          </w:p>
        </w:tc>
        <w:tc>
          <w:tcPr>
            <w:tcW w:w="381" w:type="pct"/>
            <w:noWrap/>
            <w:vAlign w:val="center"/>
          </w:tcPr>
          <w:p w:rsidRPr="004E47ED" w:rsidR="00E42201" w:rsidP="003A490B" w:rsidRDefault="00E42201" w14:paraId="0F328232" w14:textId="77777777">
            <w:pPr>
              <w:keepNext/>
              <w:jc w:val="right"/>
              <w:rPr>
                <w:sz w:val="16"/>
                <w:szCs w:val="16"/>
              </w:rPr>
            </w:pPr>
            <w:r w:rsidRPr="004E47ED">
              <w:rPr>
                <w:sz w:val="16"/>
                <w:szCs w:val="16"/>
              </w:rPr>
              <w:t xml:space="preserve"> 1,0 </w:t>
            </w:r>
          </w:p>
        </w:tc>
        <w:tc>
          <w:tcPr>
            <w:tcW w:w="382" w:type="pct"/>
            <w:noWrap/>
            <w:vAlign w:val="center"/>
          </w:tcPr>
          <w:p w:rsidRPr="004E47ED" w:rsidR="00E42201" w:rsidP="003A490B" w:rsidRDefault="00E42201" w14:paraId="1FB9698B" w14:textId="77777777">
            <w:pPr>
              <w:keepNext/>
              <w:jc w:val="right"/>
              <w:rPr>
                <w:sz w:val="16"/>
                <w:szCs w:val="16"/>
              </w:rPr>
            </w:pPr>
            <w:r w:rsidRPr="004E47ED">
              <w:rPr>
                <w:sz w:val="16"/>
                <w:szCs w:val="16"/>
              </w:rPr>
              <w:t xml:space="preserve"> 5,6 </w:t>
            </w:r>
          </w:p>
        </w:tc>
        <w:tc>
          <w:tcPr>
            <w:tcW w:w="381" w:type="pct"/>
            <w:noWrap/>
            <w:vAlign w:val="center"/>
          </w:tcPr>
          <w:p w:rsidRPr="004E47ED" w:rsidR="00E42201" w:rsidP="003A490B" w:rsidRDefault="00E42201" w14:paraId="2712C7DF" w14:textId="77777777">
            <w:pPr>
              <w:keepNext/>
              <w:jc w:val="right"/>
              <w:rPr>
                <w:sz w:val="16"/>
                <w:szCs w:val="16"/>
              </w:rPr>
            </w:pPr>
            <w:r w:rsidRPr="004E47ED">
              <w:rPr>
                <w:sz w:val="16"/>
                <w:szCs w:val="16"/>
              </w:rPr>
              <w:t xml:space="preserve"> 4,9 </w:t>
            </w:r>
          </w:p>
        </w:tc>
        <w:tc>
          <w:tcPr>
            <w:tcW w:w="382" w:type="pct"/>
            <w:noWrap/>
            <w:vAlign w:val="center"/>
          </w:tcPr>
          <w:p w:rsidRPr="004E47ED" w:rsidR="00E42201" w:rsidP="003A490B" w:rsidRDefault="00E42201" w14:paraId="168A8FB4" w14:textId="77777777">
            <w:pPr>
              <w:keepNext/>
              <w:jc w:val="right"/>
              <w:rPr>
                <w:sz w:val="16"/>
                <w:szCs w:val="16"/>
              </w:rPr>
            </w:pPr>
            <w:r w:rsidRPr="004E47ED">
              <w:rPr>
                <w:sz w:val="16"/>
                <w:szCs w:val="16"/>
              </w:rPr>
              <w:t xml:space="preserve"> 4,9 </w:t>
            </w:r>
          </w:p>
        </w:tc>
        <w:tc>
          <w:tcPr>
            <w:tcW w:w="381" w:type="pct"/>
            <w:noWrap/>
            <w:vAlign w:val="center"/>
          </w:tcPr>
          <w:p w:rsidRPr="004E47ED" w:rsidR="00E42201" w:rsidP="003A490B" w:rsidRDefault="00E42201" w14:paraId="5CB7B020" w14:textId="77777777">
            <w:pPr>
              <w:keepNext/>
              <w:jc w:val="right"/>
              <w:rPr>
                <w:sz w:val="16"/>
                <w:szCs w:val="16"/>
              </w:rPr>
            </w:pPr>
            <w:r w:rsidRPr="004E47ED">
              <w:rPr>
                <w:sz w:val="16"/>
                <w:szCs w:val="16"/>
              </w:rPr>
              <w:t xml:space="preserve"> 1,9 </w:t>
            </w:r>
          </w:p>
        </w:tc>
        <w:tc>
          <w:tcPr>
            <w:tcW w:w="381" w:type="pct"/>
            <w:noWrap/>
            <w:vAlign w:val="center"/>
          </w:tcPr>
          <w:p w:rsidRPr="004E47ED" w:rsidR="00E42201" w:rsidP="003A490B" w:rsidRDefault="00E42201" w14:paraId="0DEC9D43" w14:textId="77777777">
            <w:pPr>
              <w:keepNext/>
              <w:jc w:val="right"/>
              <w:rPr>
                <w:sz w:val="16"/>
                <w:szCs w:val="16"/>
              </w:rPr>
            </w:pPr>
            <w:r w:rsidRPr="004E47ED">
              <w:rPr>
                <w:sz w:val="16"/>
                <w:szCs w:val="16"/>
              </w:rPr>
              <w:t xml:space="preserve"> 2,8 </w:t>
            </w:r>
          </w:p>
        </w:tc>
        <w:tc>
          <w:tcPr>
            <w:tcW w:w="382" w:type="pct"/>
            <w:vAlign w:val="center"/>
          </w:tcPr>
          <w:p w:rsidRPr="004E47ED" w:rsidR="00E42201" w:rsidP="003A490B" w:rsidRDefault="00E42201" w14:paraId="4959BA74" w14:textId="77777777">
            <w:pPr>
              <w:keepNext/>
              <w:jc w:val="right"/>
              <w:rPr>
                <w:sz w:val="16"/>
                <w:szCs w:val="16"/>
              </w:rPr>
            </w:pPr>
            <w:r w:rsidRPr="004E47ED">
              <w:rPr>
                <w:sz w:val="16"/>
                <w:szCs w:val="16"/>
              </w:rPr>
              <w:t xml:space="preserve"> 2,8 </w:t>
            </w:r>
          </w:p>
        </w:tc>
        <w:tc>
          <w:tcPr>
            <w:tcW w:w="381" w:type="pct"/>
            <w:vAlign w:val="center"/>
          </w:tcPr>
          <w:p w:rsidRPr="004E47ED" w:rsidR="00E42201" w:rsidP="003A490B" w:rsidRDefault="00E42201" w14:paraId="1252C6F1" w14:textId="77777777">
            <w:pPr>
              <w:keepNext/>
              <w:jc w:val="right"/>
              <w:rPr>
                <w:sz w:val="16"/>
                <w:szCs w:val="16"/>
              </w:rPr>
            </w:pPr>
            <w:r w:rsidRPr="004E47ED">
              <w:rPr>
                <w:sz w:val="16"/>
                <w:szCs w:val="16"/>
              </w:rPr>
              <w:t xml:space="preserve"> 2,3 </w:t>
            </w:r>
          </w:p>
        </w:tc>
        <w:tc>
          <w:tcPr>
            <w:tcW w:w="382" w:type="pct"/>
            <w:vAlign w:val="center"/>
          </w:tcPr>
          <w:p w:rsidRPr="004E47ED" w:rsidR="00E42201" w:rsidP="003A490B" w:rsidRDefault="00E42201" w14:paraId="0CA6B404" w14:textId="77777777">
            <w:pPr>
              <w:keepNext/>
              <w:jc w:val="right"/>
              <w:rPr>
                <w:sz w:val="16"/>
                <w:szCs w:val="16"/>
              </w:rPr>
            </w:pPr>
            <w:r w:rsidRPr="004E47ED">
              <w:rPr>
                <w:sz w:val="16"/>
                <w:szCs w:val="16"/>
              </w:rPr>
              <w:t xml:space="preserve"> 0,3 </w:t>
            </w:r>
          </w:p>
        </w:tc>
      </w:tr>
      <w:tr w:rsidRPr="004E47ED" w:rsidR="00E42201" w:rsidTr="003A490B" w14:paraId="6D6151EC" w14:textId="77777777">
        <w:tc>
          <w:tcPr>
            <w:tcW w:w="1184" w:type="pct"/>
            <w:noWrap/>
            <w:vAlign w:val="center"/>
          </w:tcPr>
          <w:p w:rsidRPr="004E47ED" w:rsidR="00E42201" w:rsidP="003A490B" w:rsidRDefault="00E42201" w14:paraId="3692E671" w14:textId="77777777">
            <w:pPr>
              <w:keepNext/>
              <w:spacing w:line="240" w:lineRule="auto"/>
              <w:rPr>
                <w:b/>
                <w:bCs/>
                <w:sz w:val="16"/>
                <w:szCs w:val="16"/>
              </w:rPr>
            </w:pPr>
            <w:r w:rsidRPr="004E47ED">
              <w:rPr>
                <w:b/>
                <w:bCs/>
                <w:sz w:val="16"/>
                <w:szCs w:val="16"/>
              </w:rPr>
              <w:t>Totaal alle landen</w:t>
            </w:r>
          </w:p>
        </w:tc>
        <w:tc>
          <w:tcPr>
            <w:tcW w:w="381" w:type="pct"/>
            <w:noWrap/>
            <w:vAlign w:val="center"/>
          </w:tcPr>
          <w:p w:rsidRPr="004E47ED" w:rsidR="00E42201" w:rsidP="003A490B" w:rsidRDefault="00E42201" w14:paraId="3C9F6115" w14:textId="77777777">
            <w:pPr>
              <w:keepNext/>
              <w:jc w:val="right"/>
              <w:rPr>
                <w:b/>
                <w:bCs/>
                <w:sz w:val="16"/>
                <w:szCs w:val="16"/>
              </w:rPr>
            </w:pPr>
            <w:r w:rsidRPr="004E47ED">
              <w:rPr>
                <w:b/>
                <w:bCs/>
                <w:sz w:val="16"/>
                <w:szCs w:val="16"/>
              </w:rPr>
              <w:t xml:space="preserve"> 279 </w:t>
            </w:r>
          </w:p>
        </w:tc>
        <w:tc>
          <w:tcPr>
            <w:tcW w:w="381" w:type="pct"/>
            <w:noWrap/>
            <w:vAlign w:val="center"/>
          </w:tcPr>
          <w:p w:rsidRPr="004E47ED" w:rsidR="00E42201" w:rsidP="003A490B" w:rsidRDefault="00E42201" w14:paraId="495C28E9" w14:textId="77777777">
            <w:pPr>
              <w:keepNext/>
              <w:jc w:val="right"/>
              <w:rPr>
                <w:b/>
                <w:bCs/>
                <w:sz w:val="16"/>
                <w:szCs w:val="16"/>
              </w:rPr>
            </w:pPr>
            <w:r w:rsidRPr="004E47ED">
              <w:rPr>
                <w:b/>
                <w:bCs/>
                <w:sz w:val="16"/>
                <w:szCs w:val="16"/>
              </w:rPr>
              <w:t xml:space="preserve"> 249 </w:t>
            </w:r>
          </w:p>
        </w:tc>
        <w:tc>
          <w:tcPr>
            <w:tcW w:w="382" w:type="pct"/>
            <w:noWrap/>
            <w:vAlign w:val="center"/>
          </w:tcPr>
          <w:p w:rsidRPr="004E47ED" w:rsidR="00E42201" w:rsidP="003A490B" w:rsidRDefault="00E42201" w14:paraId="6F9A5B04" w14:textId="77777777">
            <w:pPr>
              <w:keepNext/>
              <w:jc w:val="right"/>
              <w:rPr>
                <w:b/>
                <w:bCs/>
                <w:sz w:val="16"/>
                <w:szCs w:val="16"/>
              </w:rPr>
            </w:pPr>
            <w:r w:rsidRPr="004E47ED">
              <w:rPr>
                <w:b/>
                <w:bCs/>
                <w:sz w:val="16"/>
                <w:szCs w:val="16"/>
              </w:rPr>
              <w:t xml:space="preserve"> 281 </w:t>
            </w:r>
          </w:p>
        </w:tc>
        <w:tc>
          <w:tcPr>
            <w:tcW w:w="381" w:type="pct"/>
            <w:noWrap/>
            <w:vAlign w:val="center"/>
          </w:tcPr>
          <w:p w:rsidRPr="004E47ED" w:rsidR="00E42201" w:rsidP="003A490B" w:rsidRDefault="00E42201" w14:paraId="0FA2A9A2" w14:textId="77777777">
            <w:pPr>
              <w:keepNext/>
              <w:jc w:val="right"/>
              <w:rPr>
                <w:b/>
                <w:bCs/>
                <w:sz w:val="16"/>
                <w:szCs w:val="16"/>
              </w:rPr>
            </w:pPr>
            <w:r w:rsidRPr="004E47ED">
              <w:rPr>
                <w:b/>
                <w:bCs/>
                <w:sz w:val="16"/>
                <w:szCs w:val="16"/>
              </w:rPr>
              <w:t xml:space="preserve"> 290 </w:t>
            </w:r>
          </w:p>
        </w:tc>
        <w:tc>
          <w:tcPr>
            <w:tcW w:w="382" w:type="pct"/>
            <w:noWrap/>
            <w:vAlign w:val="center"/>
          </w:tcPr>
          <w:p w:rsidRPr="004E47ED" w:rsidR="00E42201" w:rsidP="003A490B" w:rsidRDefault="00E42201" w14:paraId="6E526505" w14:textId="77777777">
            <w:pPr>
              <w:keepNext/>
              <w:jc w:val="right"/>
              <w:rPr>
                <w:b/>
                <w:bCs/>
                <w:sz w:val="16"/>
                <w:szCs w:val="16"/>
              </w:rPr>
            </w:pPr>
            <w:r w:rsidRPr="004E47ED">
              <w:rPr>
                <w:b/>
                <w:bCs/>
                <w:sz w:val="16"/>
                <w:szCs w:val="16"/>
              </w:rPr>
              <w:t xml:space="preserve"> 282 </w:t>
            </w:r>
          </w:p>
        </w:tc>
        <w:tc>
          <w:tcPr>
            <w:tcW w:w="381" w:type="pct"/>
            <w:noWrap/>
            <w:vAlign w:val="center"/>
          </w:tcPr>
          <w:p w:rsidRPr="004E47ED" w:rsidR="00E42201" w:rsidP="003A490B" w:rsidRDefault="00E42201" w14:paraId="69FA615B" w14:textId="77777777">
            <w:pPr>
              <w:keepNext/>
              <w:jc w:val="right"/>
              <w:rPr>
                <w:b/>
                <w:bCs/>
                <w:sz w:val="16"/>
                <w:szCs w:val="16"/>
              </w:rPr>
            </w:pPr>
            <w:r w:rsidRPr="004E47ED">
              <w:rPr>
                <w:b/>
                <w:bCs/>
                <w:sz w:val="16"/>
                <w:szCs w:val="16"/>
              </w:rPr>
              <w:t xml:space="preserve"> 208 </w:t>
            </w:r>
          </w:p>
        </w:tc>
        <w:tc>
          <w:tcPr>
            <w:tcW w:w="381" w:type="pct"/>
            <w:noWrap/>
            <w:vAlign w:val="center"/>
          </w:tcPr>
          <w:p w:rsidRPr="004E47ED" w:rsidR="00E42201" w:rsidP="003A490B" w:rsidRDefault="00E42201" w14:paraId="4575D9AB" w14:textId="77777777">
            <w:pPr>
              <w:keepNext/>
              <w:jc w:val="right"/>
              <w:rPr>
                <w:b/>
                <w:bCs/>
                <w:sz w:val="16"/>
                <w:szCs w:val="16"/>
              </w:rPr>
            </w:pPr>
            <w:r w:rsidRPr="004E47ED">
              <w:rPr>
                <w:b/>
                <w:bCs/>
                <w:sz w:val="16"/>
                <w:szCs w:val="16"/>
              </w:rPr>
              <w:t xml:space="preserve"> 233 </w:t>
            </w:r>
          </w:p>
        </w:tc>
        <w:tc>
          <w:tcPr>
            <w:tcW w:w="382" w:type="pct"/>
            <w:vAlign w:val="center"/>
          </w:tcPr>
          <w:p w:rsidRPr="004E47ED" w:rsidR="00E42201" w:rsidP="003A490B" w:rsidRDefault="00E42201" w14:paraId="552C4764" w14:textId="77777777">
            <w:pPr>
              <w:keepNext/>
              <w:jc w:val="right"/>
              <w:rPr>
                <w:b/>
                <w:bCs/>
                <w:sz w:val="16"/>
                <w:szCs w:val="16"/>
              </w:rPr>
            </w:pPr>
            <w:r w:rsidRPr="004E47ED">
              <w:rPr>
                <w:b/>
                <w:bCs/>
                <w:sz w:val="16"/>
                <w:szCs w:val="16"/>
              </w:rPr>
              <w:t xml:space="preserve"> 327 </w:t>
            </w:r>
          </w:p>
        </w:tc>
        <w:tc>
          <w:tcPr>
            <w:tcW w:w="381" w:type="pct"/>
            <w:vAlign w:val="center"/>
          </w:tcPr>
          <w:p w:rsidRPr="004E47ED" w:rsidR="00E42201" w:rsidP="003A490B" w:rsidRDefault="00E42201" w14:paraId="1EBBB21A" w14:textId="77777777">
            <w:pPr>
              <w:keepNext/>
              <w:jc w:val="right"/>
              <w:rPr>
                <w:b/>
                <w:bCs/>
                <w:sz w:val="16"/>
                <w:szCs w:val="16"/>
              </w:rPr>
            </w:pPr>
            <w:r w:rsidRPr="004E47ED">
              <w:rPr>
                <w:b/>
                <w:bCs/>
                <w:sz w:val="16"/>
                <w:szCs w:val="16"/>
              </w:rPr>
              <w:t xml:space="preserve"> 327 </w:t>
            </w:r>
          </w:p>
        </w:tc>
        <w:tc>
          <w:tcPr>
            <w:tcW w:w="382" w:type="pct"/>
            <w:vAlign w:val="center"/>
          </w:tcPr>
          <w:p w:rsidRPr="004E47ED" w:rsidR="00E42201" w:rsidP="003A490B" w:rsidRDefault="00E42201" w14:paraId="21AC6311" w14:textId="77777777">
            <w:pPr>
              <w:keepNext/>
              <w:jc w:val="right"/>
              <w:rPr>
                <w:b/>
                <w:bCs/>
                <w:sz w:val="16"/>
                <w:szCs w:val="16"/>
              </w:rPr>
            </w:pPr>
            <w:r w:rsidRPr="004E47ED">
              <w:rPr>
                <w:b/>
                <w:bCs/>
                <w:sz w:val="16"/>
                <w:szCs w:val="16"/>
              </w:rPr>
              <w:t xml:space="preserve"> 317 </w:t>
            </w:r>
          </w:p>
        </w:tc>
      </w:tr>
    </w:tbl>
    <w:p w:rsidRPr="004E47ED" w:rsidR="00E42201" w:rsidP="00E42201" w:rsidRDefault="00E42201" w14:paraId="4990C744" w14:textId="77777777"/>
    <w:p w:rsidR="00E42201" w:rsidP="00E42201" w:rsidRDefault="00E42201" w14:paraId="52395158" w14:textId="77777777">
      <w:r w:rsidRPr="004E47ED">
        <w:t xml:space="preserve">In de afgelopen jaren </w:t>
      </w:r>
      <w:r>
        <w:t>werd</w:t>
      </w:r>
      <w:r w:rsidRPr="004E47ED">
        <w:t xml:space="preserve"> </w:t>
      </w:r>
      <w:proofErr w:type="gramStart"/>
      <w:r w:rsidRPr="004E47ED">
        <w:t>reeds</w:t>
      </w:r>
      <w:proofErr w:type="gramEnd"/>
      <w:r w:rsidRPr="004E47ED">
        <w:t xml:space="preserve"> gerapporteerd dat de totale inkomensstroom naar </w:t>
      </w:r>
      <w:proofErr w:type="spellStart"/>
      <w:r w:rsidRPr="004E47ED">
        <w:t>LBJ’s</w:t>
      </w:r>
      <w:proofErr w:type="spellEnd"/>
      <w:r w:rsidRPr="004E47ED">
        <w:t xml:space="preserve"> sinds 2019 fors gedaald is. Dat is in 2024 nog steeds zo: de totale inkomensstroom bedroeg in 2024 € 6,5 miljard waar dit in 2019 nog € 37 miljard was. </w:t>
      </w:r>
    </w:p>
    <w:p w:rsidR="00E42201" w:rsidP="00E42201" w:rsidRDefault="00E42201" w14:paraId="7BF28E68" w14:textId="77777777"/>
    <w:p w:rsidR="00E42201" w:rsidP="00E42201" w:rsidRDefault="00E42201" w14:paraId="234E2C23" w14:textId="77777777">
      <w:r w:rsidRPr="004E47ED">
        <w:t xml:space="preserve">De overblijvende inkomensstroom </w:t>
      </w:r>
      <w:r>
        <w:t xml:space="preserve">naar </w:t>
      </w:r>
      <w:proofErr w:type="spellStart"/>
      <w:r>
        <w:t>LBJ’s</w:t>
      </w:r>
      <w:proofErr w:type="spellEnd"/>
      <w:r>
        <w:t xml:space="preserve"> </w:t>
      </w:r>
      <w:r w:rsidRPr="004E47ED">
        <w:t xml:space="preserve">blijkt vooral te bestaan uit dividenden en ingehouden winsten, namelijk voor € 5,2 miljard. </w:t>
      </w:r>
      <w:r>
        <w:t xml:space="preserve">Er is geen scherpe daling zichtbaar sinds de invoering van de conditionele bronbelasting op dividenden per 2024. De verklaring hiervoor is gezocht door een vergelijking te maken met de aangiftegegevens van de bronbelasting. Dat wordt hieronder toegelicht. </w:t>
      </w:r>
    </w:p>
    <w:p w:rsidR="00E42201" w:rsidP="00E42201" w:rsidRDefault="00E42201" w14:paraId="08FFF40A" w14:textId="77777777"/>
    <w:p w:rsidRPr="004E47ED" w:rsidR="00E42201" w:rsidP="00E42201" w:rsidRDefault="00E42201" w14:paraId="5E41D562" w14:textId="77777777">
      <w:pPr>
        <w:rPr>
          <w:i/>
          <w:iCs/>
        </w:rPr>
      </w:pPr>
      <w:r w:rsidRPr="004E47ED">
        <w:rPr>
          <w:i/>
          <w:iCs/>
        </w:rPr>
        <w:t>Vergelijking met aangiftegegevens bronbelasting</w:t>
      </w:r>
    </w:p>
    <w:p w:rsidRPr="004E47ED" w:rsidR="00E42201" w:rsidP="00E42201" w:rsidRDefault="00E42201" w14:paraId="1EA401D2" w14:textId="77777777">
      <w:r w:rsidRPr="004E47ED">
        <w:t xml:space="preserve">De ontwikkeling van de inkomensstromen kan vergeleken worden met de gegevens uit de aangiften voor de bronbelasting bij de Belastingdienst. </w:t>
      </w:r>
      <w:r>
        <w:t>I</w:t>
      </w:r>
      <w:r w:rsidRPr="004E47ED">
        <w:t>n 2021 ging</w:t>
      </w:r>
      <w:r>
        <w:t xml:space="preserve"> het</w:t>
      </w:r>
      <w:r w:rsidRPr="004E47ED">
        <w:t xml:space="preserve"> om 555 aangiften met een grondslag van € 0,24 miljard aan rente- en royaltybetalingen, in 2022 om 360 aangiften met een grondslag van € 0,23 miljard en in 2023 om 340 aangiften met een grondslag van € 0,47 miljard. Voor 2024 </w:t>
      </w:r>
      <w:r>
        <w:t xml:space="preserve">blijkt nu dat het </w:t>
      </w:r>
      <w:r w:rsidRPr="004E47ED">
        <w:t>gaat om 177 aangiften met een totale grondslag van € 0,45 miljard. Hiervan betreft het grootste deel (€ 0,38 miljard) renten en royalty’s. Het aandeel dividend in de grondslag was in 2024 € 0,07 miljard.</w:t>
      </w:r>
    </w:p>
    <w:p w:rsidRPr="004E47ED" w:rsidR="00E42201" w:rsidP="00E42201" w:rsidRDefault="00E42201" w14:paraId="14E69A60" w14:textId="77777777"/>
    <w:p w:rsidR="00E42201" w:rsidP="00E42201" w:rsidRDefault="00E42201" w14:paraId="6DBD1A7B" w14:textId="77777777">
      <w:r w:rsidRPr="004E47ED">
        <w:t xml:space="preserve">De bedragen uit de aangiften zijn </w:t>
      </w:r>
      <w:r w:rsidR="00A21264">
        <w:t xml:space="preserve">dus </w:t>
      </w:r>
      <w:r w:rsidRPr="004E47ED">
        <w:t xml:space="preserve">aanmerkelijk lager dan de </w:t>
      </w:r>
      <w:r>
        <w:t xml:space="preserve">inkomensstromen naar </w:t>
      </w:r>
      <w:proofErr w:type="spellStart"/>
      <w:r>
        <w:t>LBJ’s</w:t>
      </w:r>
      <w:proofErr w:type="spellEnd"/>
      <w:r w:rsidRPr="004E47ED">
        <w:t xml:space="preserve"> in de DNB-statistieken zoals weergegeven in Tabel</w:t>
      </w:r>
      <w:r w:rsidR="00A21264">
        <w:t> </w:t>
      </w:r>
      <w:r w:rsidRPr="004E47ED">
        <w:t>1. Een vergelijkba</w:t>
      </w:r>
      <w:r w:rsidR="00A21264">
        <w:t>a</w:t>
      </w:r>
      <w:r w:rsidRPr="004E47ED">
        <w:t xml:space="preserve">r </w:t>
      </w:r>
      <w:r w:rsidR="00A21264">
        <w:t>verschil</w:t>
      </w:r>
      <w:r w:rsidRPr="004E47ED">
        <w:t xml:space="preserve"> </w:t>
      </w:r>
      <w:r>
        <w:t xml:space="preserve">voor rente- en royaltystromen </w:t>
      </w:r>
      <w:r w:rsidR="00A21264">
        <w:t>is</w:t>
      </w:r>
      <w:r w:rsidRPr="004E47ED">
        <w:t xml:space="preserve"> </w:t>
      </w:r>
      <w:r w:rsidR="00A21264">
        <w:t>al geconstateerd en beschreven</w:t>
      </w:r>
      <w:r w:rsidRPr="004E47ED">
        <w:t xml:space="preserve"> in de vorige monitoringsbrieven.</w:t>
      </w:r>
      <w:r w:rsidRPr="004E47ED">
        <w:rPr>
          <w:vertAlign w:val="superscript"/>
        </w:rPr>
        <w:footnoteReference w:id="7"/>
      </w:r>
      <w:r w:rsidRPr="004E47ED">
        <w:t xml:space="preserve"> Dit jaar wordt </w:t>
      </w:r>
      <w:r>
        <w:t xml:space="preserve">ook </w:t>
      </w:r>
      <w:r>
        <w:lastRenderedPageBreak/>
        <w:t xml:space="preserve">een </w:t>
      </w:r>
      <w:r w:rsidR="00A21264">
        <w:t>verschil in de gegevens met betrekking tot</w:t>
      </w:r>
      <w:r>
        <w:t xml:space="preserve"> dividenden en ingehouden winsten</w:t>
      </w:r>
      <w:r w:rsidRPr="004E47ED">
        <w:t xml:space="preserve"> zichtbaar. Het deel van de inkomensstroom dat betrekking heeft op dividend</w:t>
      </w:r>
      <w:r>
        <w:t>en</w:t>
      </w:r>
      <w:r w:rsidRPr="004E47ED">
        <w:t xml:space="preserve"> en ingehouden winsten bedraagt </w:t>
      </w:r>
      <w:r>
        <w:t>in de cijfers van</w:t>
      </w:r>
      <w:r w:rsidRPr="004E47ED">
        <w:t xml:space="preserve"> DNB </w:t>
      </w:r>
      <w:r>
        <w:t>over</w:t>
      </w:r>
      <w:r w:rsidRPr="004E47ED">
        <w:t xml:space="preserve"> 2024 € 5,2 miljard, terwijl bij de Belastingdienst slechts € 0,07 miljard wordt aangegeven.</w:t>
      </w:r>
    </w:p>
    <w:p w:rsidR="00E42201" w:rsidP="00E42201" w:rsidRDefault="00E42201" w14:paraId="0AADD713" w14:textId="77777777"/>
    <w:p w:rsidR="00E42201" w:rsidP="00E42201" w:rsidRDefault="00E42201" w14:paraId="4A20A714" w14:textId="77777777">
      <w:r w:rsidRPr="004E47ED">
        <w:t xml:space="preserve">Voor wat betreft de renten en royalty’s </w:t>
      </w:r>
      <w:r>
        <w:t>zijn in de vorige monitoringsbrief</w:t>
      </w:r>
      <w:r w:rsidRPr="004E47ED">
        <w:t xml:space="preserve"> twee inhoudelijke </w:t>
      </w:r>
      <w:r>
        <w:t>verklaringen</w:t>
      </w:r>
      <w:r w:rsidRPr="004E47ED">
        <w:t xml:space="preserve"> voor het verschil aangevoerd. Ten eerste dat een deel van de inkomensstromen naar </w:t>
      </w:r>
      <w:r w:rsidR="00A21264">
        <w:t>staten</w:t>
      </w:r>
      <w:r w:rsidRPr="004E47ED">
        <w:t xml:space="preserve"> gaat waar Nederland geen bronbelasting kan heffen vanwege een belastingverdrag. Voor 2024 lijkt dit </w:t>
      </w:r>
      <w:r w:rsidR="00F121DC">
        <w:t>minder</w:t>
      </w:r>
      <w:r w:rsidRPr="004E47ED">
        <w:t xml:space="preserve"> het geval te zijn aangezien het bedrag dat naar verdragslanden gaat </w:t>
      </w:r>
      <w:r w:rsidR="00F121DC">
        <w:t>fors verminderd</w:t>
      </w:r>
      <w:r w:rsidRPr="004E47ED">
        <w:t xml:space="preserve"> is</w:t>
      </w:r>
      <w:r>
        <w:t>. Dit hangt</w:t>
      </w:r>
      <w:r w:rsidRPr="004E47ED">
        <w:t xml:space="preserve"> </w:t>
      </w:r>
      <w:r>
        <w:t>waarschijnlijk</w:t>
      </w:r>
      <w:r w:rsidRPr="004E47ED">
        <w:t xml:space="preserve"> </w:t>
      </w:r>
      <w:r>
        <w:t>samen</w:t>
      </w:r>
      <w:r w:rsidRPr="004E47ED">
        <w:t xml:space="preserve"> met het feit dat de Verenigde Arabische Emiraten per 2024 </w:t>
      </w:r>
      <w:r>
        <w:t>geen</w:t>
      </w:r>
      <w:r w:rsidRPr="004E47ED">
        <w:t xml:space="preserve"> </w:t>
      </w:r>
      <w:proofErr w:type="spellStart"/>
      <w:r w:rsidRPr="004E47ED">
        <w:t>laagbelastende</w:t>
      </w:r>
      <w:proofErr w:type="spellEnd"/>
      <w:r w:rsidRPr="004E47ED">
        <w:t xml:space="preserve"> jurisdictie </w:t>
      </w:r>
      <w:r>
        <w:t>voor de bronbelasting meer is</w:t>
      </w:r>
      <w:r w:rsidRPr="004E47ED">
        <w:t xml:space="preserve">. Een tweede verklaring was dat in een deel van de gevallen de ontvangende entiteit in de </w:t>
      </w:r>
      <w:proofErr w:type="spellStart"/>
      <w:r w:rsidRPr="004E47ED">
        <w:t>laagbelastende</w:t>
      </w:r>
      <w:proofErr w:type="spellEnd"/>
      <w:r w:rsidRPr="004E47ED">
        <w:t xml:space="preserve"> jurisdictie fiscaal transparant is (zowel vanuit Nederlands perspectief als vanuit het perspectief van het achterliggende land). Dit betekent dat de betalingen in de belastingheffing worden betrokken bij de achterliggers c.q. participanten in het achterliggende land. Als dat land geen </w:t>
      </w:r>
      <w:proofErr w:type="spellStart"/>
      <w:r w:rsidRPr="004E47ED">
        <w:t>laagbelastende</w:t>
      </w:r>
      <w:proofErr w:type="spellEnd"/>
      <w:r w:rsidRPr="004E47ED">
        <w:t xml:space="preserve"> jurisdictie is, worden de betalingen voldoende in de heffing betrokken. Om deze reden wordt geen bronbelasting geheven. </w:t>
      </w:r>
      <w:r w:rsidR="00702F5C">
        <w:t>D</w:t>
      </w:r>
      <w:r w:rsidRPr="004E47ED">
        <w:t>e statistiek</w:t>
      </w:r>
      <w:r w:rsidR="00702F5C">
        <w:t xml:space="preserve">en </w:t>
      </w:r>
      <w:r w:rsidRPr="004E47ED">
        <w:t xml:space="preserve">van DNB </w:t>
      </w:r>
      <w:r w:rsidR="00702F5C">
        <w:t>houden geen rekening met het concept van fiscale transparantie</w:t>
      </w:r>
      <w:r w:rsidR="00040B52">
        <w:t>,</w:t>
      </w:r>
      <w:r w:rsidR="00702F5C">
        <w:t xml:space="preserve"> waardoor wel</w:t>
      </w:r>
      <w:r w:rsidRPr="004E47ED">
        <w:t xml:space="preserve"> een betaling aan een </w:t>
      </w:r>
      <w:proofErr w:type="spellStart"/>
      <w:r w:rsidRPr="004E47ED">
        <w:t>laagbelastende</w:t>
      </w:r>
      <w:proofErr w:type="spellEnd"/>
      <w:r w:rsidRPr="004E47ED">
        <w:t xml:space="preserve"> jurisdictie</w:t>
      </w:r>
      <w:r w:rsidR="00702F5C">
        <w:t xml:space="preserve"> wordt geconstateerd</w:t>
      </w:r>
      <w:r w:rsidRPr="004E47ED">
        <w:t>.</w:t>
      </w:r>
    </w:p>
    <w:p w:rsidRPr="004E47ED" w:rsidR="00E42201" w:rsidP="00E42201" w:rsidRDefault="00E42201" w14:paraId="61B6866D" w14:textId="77777777"/>
    <w:p w:rsidRPr="004E47ED" w:rsidR="00E42201" w:rsidP="00E42201" w:rsidRDefault="00E42201" w14:paraId="324FED79" w14:textId="77777777">
      <w:r>
        <w:t xml:space="preserve">Voor </w:t>
      </w:r>
      <w:r w:rsidR="00702F5C">
        <w:t>het geconstateerde verschil ten aanzien van</w:t>
      </w:r>
      <w:r>
        <w:t xml:space="preserve"> dividenden en ingehouden winsten geldt ten eerste dat over ingehouden winsten geen bronbelasting wordt geheven, omdat de conditionele bronbelasting op dividenden aangrijpt </w:t>
      </w:r>
      <w:r w:rsidR="00040B52">
        <w:t>op</w:t>
      </w:r>
      <w:r>
        <w:t xml:space="preserve"> het moment </w:t>
      </w:r>
      <w:r w:rsidR="00040B52">
        <w:t>dat</w:t>
      </w:r>
      <w:r>
        <w:t xml:space="preserve"> dividenden worden uitgekeerd. </w:t>
      </w:r>
      <w:r w:rsidRPr="00F121DC" w:rsidR="00F121DC">
        <w:t xml:space="preserve">Volgens DNB betreft </w:t>
      </w:r>
      <w:proofErr w:type="gramStart"/>
      <w:r w:rsidRPr="00F121DC" w:rsidR="00F121DC">
        <w:t>circa</w:t>
      </w:r>
      <w:proofErr w:type="gramEnd"/>
      <w:r w:rsidRPr="00F121DC" w:rsidR="00F121DC">
        <w:t xml:space="preserve"> een derde van de over 2024 gerapporteerde waarde van € 5,2 miljard ingehouden winsten</w:t>
      </w:r>
      <w:r>
        <w:t xml:space="preserve">. </w:t>
      </w:r>
      <w:r w:rsidRPr="004E47ED">
        <w:t>Het is binnen de inkomensdefinities die DNB gebruikt helaas niet mogelijk deze inkomensstroom uit te splitsen naar ingehouden winsten en dividenden volgens de fiscale betekenis. Voor een toelichting hierbij</w:t>
      </w:r>
      <w:r>
        <w:t xml:space="preserve"> verwijs ik naar</w:t>
      </w:r>
      <w:r w:rsidRPr="004E47ED">
        <w:t xml:space="preserve"> de monitoringsbrief uit 2020.</w:t>
      </w:r>
      <w:r w:rsidRPr="004E47ED">
        <w:rPr>
          <w:vertAlign w:val="superscript"/>
        </w:rPr>
        <w:footnoteReference w:id="8"/>
      </w:r>
      <w:r>
        <w:t xml:space="preserve"> Voor het restant van het verschil geldt grotendeels dezelfde verklaring als voor rente en royalty’s. Ook dividendstromen naar </w:t>
      </w:r>
      <w:proofErr w:type="spellStart"/>
      <w:r>
        <w:t>LBJ’s</w:t>
      </w:r>
      <w:proofErr w:type="spellEnd"/>
      <w:r>
        <w:t xml:space="preserve"> in de DNB-statistieken zoals weergegeven in Tabel 1 lopen </w:t>
      </w:r>
      <w:r w:rsidR="00F121DC">
        <w:t xml:space="preserve">naar verwachting </w:t>
      </w:r>
      <w:r>
        <w:t>voor een belangrijk deel via</w:t>
      </w:r>
      <w:r w:rsidRPr="0088638B">
        <w:t xml:space="preserve"> </w:t>
      </w:r>
      <w:r w:rsidRPr="004E47ED">
        <w:t xml:space="preserve">transparante </w:t>
      </w:r>
      <w:r>
        <w:t>entiteiten</w:t>
      </w:r>
      <w:r w:rsidRPr="004E47ED">
        <w:t xml:space="preserve"> in </w:t>
      </w:r>
      <w:proofErr w:type="spellStart"/>
      <w:r w:rsidRPr="004E47ED">
        <w:t>laagbelastende</w:t>
      </w:r>
      <w:proofErr w:type="spellEnd"/>
      <w:r w:rsidRPr="004E47ED">
        <w:t xml:space="preserve"> jurisdicties</w:t>
      </w:r>
      <w:r>
        <w:t xml:space="preserve">. Als een dividend bij de achterliggers c.q. participanten in de heffing wordt betrokken is er bezien vanuit de voorwaarden en doelstelling van de conditionele bronbelasting op dividenden ook geen reden om hierover bronbelasting te heffen. </w:t>
      </w:r>
    </w:p>
    <w:p w:rsidRPr="00B9637B" w:rsidR="00E42201" w:rsidP="00E42201" w:rsidRDefault="00E42201" w14:paraId="3F5607AF" w14:textId="77777777"/>
    <w:p w:rsidRPr="00B9637B" w:rsidR="00E42201" w:rsidP="00E42201" w:rsidRDefault="00E42201" w14:paraId="62719E69" w14:textId="77777777">
      <w:pPr>
        <w:rPr>
          <w:b/>
          <w:bCs/>
        </w:rPr>
      </w:pPr>
      <w:r w:rsidRPr="00B9637B">
        <w:rPr>
          <w:b/>
          <w:bCs/>
        </w:rPr>
        <w:t>2.</w:t>
      </w:r>
      <w:r w:rsidRPr="00B9637B">
        <w:rPr>
          <w:b/>
          <w:bCs/>
        </w:rPr>
        <w:tab/>
        <w:t>Beperking van de liquidatie- en stakingsverliesregeling</w:t>
      </w:r>
    </w:p>
    <w:p w:rsidRPr="00B9637B" w:rsidR="00E42201" w:rsidP="00E42201" w:rsidRDefault="00E42201" w14:paraId="3BD71A2E" w14:textId="77777777"/>
    <w:p w:rsidR="00E42201" w:rsidP="00E42201" w:rsidRDefault="00E42201" w14:paraId="4614301A" w14:textId="77777777">
      <w:r w:rsidRPr="00B9637B">
        <w:t>De liquidatie- en stakingsverliesregeling maakt liquidatie- en stakingsverliezen</w:t>
      </w:r>
      <w:r w:rsidRPr="00A46FCB">
        <w:t xml:space="preserve"> van </w:t>
      </w:r>
      <w:r>
        <w:t xml:space="preserve">binnenlandse en </w:t>
      </w:r>
      <w:r w:rsidRPr="00A46FCB">
        <w:t>buitenlandse dochterondernemingen</w:t>
      </w:r>
      <w:r>
        <w:t xml:space="preserve"> en buitenlandse vaste inrichtingen onder voorwaarden</w:t>
      </w:r>
      <w:r w:rsidRPr="00A46FCB">
        <w:t xml:space="preserve"> aftrekbaar</w:t>
      </w:r>
      <w:r>
        <w:t xml:space="preserve"> op het niveau van een Nederlandse vennootschapsbelastingplichtige</w:t>
      </w:r>
      <w:r w:rsidRPr="00A46FCB">
        <w:t xml:space="preserve">. Vanaf 1 januari 2021 is de reikwijdte van de liquidatie- en stakingsverliesregeling versoberd. Daarmee wordt uitholling van de Nederlandse </w:t>
      </w:r>
      <w:r w:rsidRPr="006D652B">
        <w:t>belastinggrondslag tegengegaan. Voor toepassing van de liquidatieverliesregeling is zowel een temporele als territoriale en een materiële voorwaarde aangebracht, waarbij voor de laatste twee voorwaarden een franchise geldt. Door de temporele voorwaarde kunnen liquidatieverliezen alleen in aanmerking worden genomen als de liquidatie plaatsvindt binnen een termijn van drie jaar na het kalenderjaar</w:t>
      </w:r>
      <w:r w:rsidRPr="00A46FCB">
        <w:t xml:space="preserve"> waarin de onderneming is gestaakt. Deze </w:t>
      </w:r>
      <w:r w:rsidRPr="00A46FCB">
        <w:lastRenderedPageBreak/>
        <w:t xml:space="preserve">driejaarstermijn geldt vanaf eind 2020. Dit betekent dat ondernemingen die eerder dan 2020 gestopt waren, in beginsel tot 2024 gebruik </w:t>
      </w:r>
      <w:r>
        <w:t>konden</w:t>
      </w:r>
      <w:r w:rsidRPr="00A46FCB">
        <w:t xml:space="preserve"> maken van de liquidatie- of stakingsverliesregeling.</w:t>
      </w:r>
    </w:p>
    <w:p w:rsidRPr="00A46FCB" w:rsidR="00E42201" w:rsidP="00E42201" w:rsidRDefault="00E42201" w14:paraId="0F8623AC" w14:textId="77777777"/>
    <w:p w:rsidR="00E42201" w:rsidP="00E42201" w:rsidRDefault="00E42201" w14:paraId="2813493D" w14:textId="77777777">
      <w:r w:rsidRPr="00A46FCB">
        <w:t xml:space="preserve">Door de ingevoerde franchise kan een liquidatieverlies van meer dan € 5 miljoen alleen in aanmerking worden genomen wanneer aan zowel de territoriale als de materiële voorwaarde wordt voldaan. De territoriale voorwaarde is dat het verlies opkomt binnen de Europese Unie, de Europese Economische Ruimte of een staat waarmee de EU een specifieke associatieovereenkomst heeft gesloten. Door de materiële voorwaarde is het vereiste belang voor toepassing van de liquidatieverliesregeling verhoogd naar een zogenoemd kwalificerend belang (namelijk dat een zodanige invloed op de besluiten van dat lichaam kan worden uitgeoefend dat de activiteiten van dat lichaam kunnen worden bepaald). Voor </w:t>
      </w:r>
      <w:r>
        <w:t xml:space="preserve">de </w:t>
      </w:r>
      <w:r w:rsidRPr="00A46FCB">
        <w:t>toepassing van de stakingsverliesregeling gelden territoriale en temporele voorwaarden die op vergelijkbare wijze uitwerken als de territoriale en temporele voorwaarden in de liquidatieverliesregeling.</w:t>
      </w:r>
    </w:p>
    <w:p w:rsidRPr="00A46FCB" w:rsidR="00E42201" w:rsidP="00E42201" w:rsidRDefault="00E42201" w14:paraId="06ED7524" w14:textId="77777777"/>
    <w:p w:rsidR="00E42201" w:rsidP="00E42201" w:rsidRDefault="00E42201" w14:paraId="5EB3A098" w14:textId="77777777">
      <w:r w:rsidRPr="00A46FCB">
        <w:t xml:space="preserve">In </w:t>
      </w:r>
      <w:r>
        <w:t>onderstaand</w:t>
      </w:r>
      <w:r w:rsidRPr="00A46FCB">
        <w:t xml:space="preserve"> overzicht is het gebruik van de liquidatie- en stakingsverliesregeling weergegeven. Hierbij is onderscheid gemaakt naar het land waar de verliezen vandaan komen, en in hoeverre het bedrag boven of onder de € 5 miljoen was bij landen buiten de EU/EER. Met name deze laatste categorie is door de aanpassing van de liquidatie- en stakingsverliesregeling per 2021 in aftrek beperkt. </w:t>
      </w:r>
    </w:p>
    <w:p w:rsidRPr="00A46FCB" w:rsidR="00E42201" w:rsidP="00E42201" w:rsidRDefault="00E42201" w14:paraId="2C24E21A" w14:textId="77777777"/>
    <w:p w:rsidR="00E42201" w:rsidP="00E42201" w:rsidRDefault="00E42201" w14:paraId="1E02D517" w14:textId="77777777">
      <w:r w:rsidRPr="00A46FCB">
        <w:t xml:space="preserve">Uit de gegevens blijkt dat de versobering van de reikwijdte van de liquidatie- en stakingsverliesregeling tot een aanzienlijke daling van de in aftrek genomen liquidatie- en stakingsverliezen heeft geleid. Ook tonen de cijfers anticiperend fiscaal gedreven gedrag, waarbij in 2020 extra verliezen in aftrek werden gebracht. </w:t>
      </w:r>
      <w:r>
        <w:t>Dit</w:t>
      </w:r>
      <w:r w:rsidRPr="00BA510B">
        <w:t xml:space="preserve"> anticiperend fiscaal gedreven gedrag </w:t>
      </w:r>
      <w:r>
        <w:t>bestond eruit dat</w:t>
      </w:r>
      <w:r w:rsidRPr="00BA510B">
        <w:t xml:space="preserve"> moedermaatschappijen in Nederland oude bedrijven, waarvan de activiteiten al gestopt </w:t>
      </w:r>
      <w:r>
        <w:t>waren</w:t>
      </w:r>
      <w:r w:rsidRPr="00BA510B">
        <w:t xml:space="preserve">, daadwerkelijk </w:t>
      </w:r>
      <w:r>
        <w:t xml:space="preserve">zijn </w:t>
      </w:r>
      <w:r w:rsidRPr="00BA510B">
        <w:t>gaan liquideren in 2020</w:t>
      </w:r>
      <w:r>
        <w:t xml:space="preserve"> om het verlies nog</w:t>
      </w:r>
      <w:r w:rsidRPr="00AD791F">
        <w:t xml:space="preserve"> </w:t>
      </w:r>
      <w:r>
        <w:t>onder de oude regeling in aanmerking te kunnen nemen</w:t>
      </w:r>
      <w:r w:rsidRPr="00BA510B">
        <w:t xml:space="preserve">. </w:t>
      </w:r>
      <w:r w:rsidRPr="00A46FCB">
        <w:t>Dankzij de ingevoerde driejaarstermijn is dergelijke planning niet meer mogelijk.</w:t>
      </w:r>
    </w:p>
    <w:p w:rsidRPr="00A46FCB" w:rsidR="00E42201" w:rsidP="00E42201" w:rsidRDefault="00E42201" w14:paraId="6DB59E6E" w14:textId="77777777"/>
    <w:p w:rsidRPr="00A46FCB" w:rsidR="00E42201" w:rsidP="00E42201" w:rsidRDefault="00E42201" w14:paraId="6B8BE250" w14:textId="77777777">
      <w:pPr>
        <w:rPr>
          <w:i/>
        </w:rPr>
      </w:pPr>
      <w:r w:rsidRPr="00A46FCB">
        <w:rPr>
          <w:i/>
        </w:rPr>
        <w:t xml:space="preserve">Gebruik liquidatie- en stakingsverliesregeling naar landengroep en bedrag (x </w:t>
      </w:r>
      <w:proofErr w:type="spellStart"/>
      <w:r w:rsidRPr="00A46FCB">
        <w:rPr>
          <w:i/>
        </w:rPr>
        <w:t>mln</w:t>
      </w:r>
      <w:proofErr w:type="spellEnd"/>
      <w:r w:rsidRPr="00A46FCB">
        <w:rPr>
          <w:i/>
        </w:rPr>
        <w:t>)</w:t>
      </w:r>
    </w:p>
    <w:tbl>
      <w:tblPr>
        <w:tblW w:w="7670" w:type="dxa"/>
        <w:tblInd w:w="-15" w:type="dxa"/>
        <w:tblCellMar>
          <w:left w:w="70" w:type="dxa"/>
          <w:right w:w="70" w:type="dxa"/>
        </w:tblCellMar>
        <w:tblLook w:val="04A0" w:firstRow="1" w:lastRow="0" w:firstColumn="1" w:lastColumn="0" w:noHBand="0" w:noVBand="1"/>
      </w:tblPr>
      <w:tblGrid>
        <w:gridCol w:w="1324"/>
        <w:gridCol w:w="1200"/>
        <w:gridCol w:w="1400"/>
        <w:gridCol w:w="1360"/>
        <w:gridCol w:w="1323"/>
        <w:gridCol w:w="1063"/>
      </w:tblGrid>
      <w:tr w:rsidRPr="00A46FCB" w:rsidR="00E42201" w:rsidTr="003A490B" w14:paraId="09BC3555" w14:textId="77777777">
        <w:trPr>
          <w:trHeight w:val="290"/>
        </w:trPr>
        <w:tc>
          <w:tcPr>
            <w:tcW w:w="1200" w:type="dxa"/>
            <w:tcBorders>
              <w:top w:val="single" w:color="auto" w:sz="4" w:space="0"/>
              <w:left w:val="nil"/>
              <w:bottom w:val="single" w:color="auto" w:sz="4" w:space="0"/>
              <w:right w:val="nil"/>
            </w:tcBorders>
            <w:shd w:val="clear" w:color="auto" w:fill="auto"/>
            <w:noWrap/>
            <w:vAlign w:val="bottom"/>
            <w:hideMark/>
          </w:tcPr>
          <w:p w:rsidRPr="00A46FCB" w:rsidR="00E42201" w:rsidP="003A490B" w:rsidRDefault="00E42201" w14:paraId="7075F6BE" w14:textId="77777777">
            <w:r w:rsidRPr="00A46FCB">
              <w:t>Belastingjaar</w:t>
            </w:r>
          </w:p>
        </w:tc>
        <w:tc>
          <w:tcPr>
            <w:tcW w:w="1200" w:type="dxa"/>
            <w:tcBorders>
              <w:top w:val="single" w:color="auto" w:sz="4" w:space="0"/>
              <w:left w:val="nil"/>
              <w:bottom w:val="single" w:color="auto" w:sz="4" w:space="0"/>
              <w:right w:val="nil"/>
            </w:tcBorders>
            <w:shd w:val="clear" w:color="auto" w:fill="auto"/>
            <w:noWrap/>
            <w:vAlign w:val="center"/>
            <w:hideMark/>
          </w:tcPr>
          <w:p w:rsidRPr="00A46FCB" w:rsidR="00E42201" w:rsidP="003A490B" w:rsidRDefault="00E42201" w14:paraId="7887D593" w14:textId="77777777">
            <w:r w:rsidRPr="00A46FCB">
              <w:t>Nederland</w:t>
            </w:r>
          </w:p>
        </w:tc>
        <w:tc>
          <w:tcPr>
            <w:tcW w:w="1400" w:type="dxa"/>
            <w:tcBorders>
              <w:top w:val="single" w:color="auto" w:sz="4" w:space="0"/>
              <w:left w:val="nil"/>
              <w:bottom w:val="single" w:color="auto" w:sz="4" w:space="0"/>
              <w:right w:val="nil"/>
            </w:tcBorders>
            <w:shd w:val="clear" w:color="auto" w:fill="auto"/>
            <w:noWrap/>
            <w:vAlign w:val="center"/>
          </w:tcPr>
          <w:p w:rsidRPr="00A46FCB" w:rsidR="00E42201" w:rsidP="003A490B" w:rsidRDefault="00E42201" w14:paraId="0E1960AA" w14:textId="77777777">
            <w:r w:rsidRPr="00A46FCB">
              <w:t>Binnen EU/EUR</w:t>
            </w:r>
          </w:p>
        </w:tc>
        <w:tc>
          <w:tcPr>
            <w:tcW w:w="1360" w:type="dxa"/>
            <w:tcBorders>
              <w:top w:val="single" w:color="auto" w:sz="4" w:space="0"/>
              <w:left w:val="nil"/>
              <w:bottom w:val="single" w:color="auto" w:sz="4" w:space="0"/>
              <w:right w:val="nil"/>
            </w:tcBorders>
            <w:shd w:val="clear" w:color="auto" w:fill="auto"/>
            <w:noWrap/>
            <w:vAlign w:val="center"/>
          </w:tcPr>
          <w:p w:rsidRPr="00A46FCB" w:rsidR="00E42201" w:rsidP="003A490B" w:rsidRDefault="00E42201" w14:paraId="7E9E21C3" w14:textId="77777777">
            <w:r w:rsidRPr="00A46FCB">
              <w:t>Buiten-EU/EUR en bedrag onder 5 miljoen</w:t>
            </w:r>
          </w:p>
        </w:tc>
        <w:tc>
          <w:tcPr>
            <w:tcW w:w="1323" w:type="dxa"/>
            <w:tcBorders>
              <w:top w:val="single" w:color="auto" w:sz="4" w:space="0"/>
              <w:left w:val="nil"/>
              <w:bottom w:val="single" w:color="auto" w:sz="4" w:space="0"/>
              <w:right w:val="nil"/>
            </w:tcBorders>
            <w:shd w:val="clear" w:color="auto" w:fill="auto"/>
            <w:noWrap/>
            <w:vAlign w:val="center"/>
            <w:hideMark/>
          </w:tcPr>
          <w:p w:rsidRPr="00A46FCB" w:rsidR="00E42201" w:rsidP="003A490B" w:rsidRDefault="00E42201" w14:paraId="13822509" w14:textId="77777777">
            <w:r w:rsidRPr="00A46FCB">
              <w:t xml:space="preserve">Bedrag boven 5 </w:t>
            </w:r>
            <w:proofErr w:type="spellStart"/>
            <w:r w:rsidRPr="00A46FCB">
              <w:t>mln</w:t>
            </w:r>
            <w:proofErr w:type="spellEnd"/>
            <w:r w:rsidRPr="00A46FCB">
              <w:t xml:space="preserve"> buiten EU/EER</w:t>
            </w:r>
          </w:p>
        </w:tc>
        <w:tc>
          <w:tcPr>
            <w:tcW w:w="1187" w:type="dxa"/>
            <w:tcBorders>
              <w:top w:val="single" w:color="auto" w:sz="4" w:space="0"/>
              <w:bottom w:val="single" w:color="auto" w:sz="4" w:space="0"/>
            </w:tcBorders>
            <w:vAlign w:val="center"/>
          </w:tcPr>
          <w:p w:rsidRPr="00A46FCB" w:rsidR="00E42201" w:rsidP="003A490B" w:rsidRDefault="00E42201" w14:paraId="02D39307" w14:textId="77777777">
            <w:r w:rsidRPr="00A46FCB">
              <w:t>Totaal</w:t>
            </w:r>
          </w:p>
        </w:tc>
      </w:tr>
      <w:tr w:rsidRPr="00A46FCB" w:rsidR="00E42201" w:rsidTr="003A490B" w14:paraId="52ABA710" w14:textId="77777777">
        <w:trPr>
          <w:trHeight w:val="20"/>
        </w:trPr>
        <w:tc>
          <w:tcPr>
            <w:tcW w:w="1200" w:type="dxa"/>
            <w:tcBorders>
              <w:top w:val="single" w:color="auto" w:sz="4" w:space="0"/>
              <w:left w:val="nil"/>
              <w:bottom w:val="nil"/>
              <w:right w:val="nil"/>
            </w:tcBorders>
            <w:shd w:val="clear" w:color="auto" w:fill="auto"/>
            <w:noWrap/>
            <w:vAlign w:val="bottom"/>
          </w:tcPr>
          <w:p w:rsidRPr="00A46FCB" w:rsidR="00E42201" w:rsidP="003A490B" w:rsidRDefault="00E42201" w14:paraId="1456C3CB" w14:textId="77777777"/>
        </w:tc>
        <w:tc>
          <w:tcPr>
            <w:tcW w:w="1200" w:type="dxa"/>
            <w:tcBorders>
              <w:top w:val="single" w:color="auto" w:sz="4" w:space="0"/>
              <w:left w:val="nil"/>
              <w:bottom w:val="nil"/>
              <w:right w:val="nil"/>
            </w:tcBorders>
            <w:shd w:val="clear" w:color="auto" w:fill="auto"/>
            <w:noWrap/>
            <w:vAlign w:val="center"/>
          </w:tcPr>
          <w:p w:rsidRPr="00A46FCB" w:rsidR="00E42201" w:rsidP="003A490B" w:rsidRDefault="00E42201" w14:paraId="5FA1F8E9" w14:textId="77777777"/>
        </w:tc>
        <w:tc>
          <w:tcPr>
            <w:tcW w:w="1400" w:type="dxa"/>
            <w:tcBorders>
              <w:top w:val="single" w:color="auto" w:sz="4" w:space="0"/>
              <w:left w:val="nil"/>
              <w:bottom w:val="nil"/>
              <w:right w:val="nil"/>
            </w:tcBorders>
            <w:shd w:val="clear" w:color="auto" w:fill="auto"/>
            <w:noWrap/>
            <w:vAlign w:val="center"/>
          </w:tcPr>
          <w:p w:rsidRPr="00A46FCB" w:rsidR="00E42201" w:rsidP="003A490B" w:rsidRDefault="00E42201" w14:paraId="63D6D9BF" w14:textId="77777777"/>
        </w:tc>
        <w:tc>
          <w:tcPr>
            <w:tcW w:w="1360" w:type="dxa"/>
            <w:tcBorders>
              <w:top w:val="single" w:color="auto" w:sz="4" w:space="0"/>
              <w:left w:val="nil"/>
              <w:bottom w:val="nil"/>
              <w:right w:val="nil"/>
            </w:tcBorders>
            <w:shd w:val="clear" w:color="auto" w:fill="auto"/>
            <w:noWrap/>
            <w:vAlign w:val="center"/>
          </w:tcPr>
          <w:p w:rsidRPr="00A46FCB" w:rsidR="00E42201" w:rsidP="003A490B" w:rsidRDefault="00E42201" w14:paraId="446C677A" w14:textId="77777777"/>
        </w:tc>
        <w:tc>
          <w:tcPr>
            <w:tcW w:w="1323" w:type="dxa"/>
            <w:tcBorders>
              <w:top w:val="single" w:color="auto" w:sz="4" w:space="0"/>
              <w:left w:val="nil"/>
              <w:bottom w:val="nil"/>
              <w:right w:val="nil"/>
            </w:tcBorders>
            <w:shd w:val="clear" w:color="auto" w:fill="auto"/>
            <w:noWrap/>
            <w:vAlign w:val="center"/>
          </w:tcPr>
          <w:p w:rsidRPr="00A46FCB" w:rsidR="00E42201" w:rsidP="003A490B" w:rsidRDefault="00E42201" w14:paraId="0DCA8D2A" w14:textId="77777777"/>
        </w:tc>
        <w:tc>
          <w:tcPr>
            <w:tcW w:w="1187" w:type="dxa"/>
            <w:tcBorders>
              <w:top w:val="single" w:color="auto" w:sz="4" w:space="0"/>
            </w:tcBorders>
            <w:vAlign w:val="center"/>
          </w:tcPr>
          <w:p w:rsidRPr="00A46FCB" w:rsidR="00E42201" w:rsidP="003A490B" w:rsidRDefault="00E42201" w14:paraId="2E962F91" w14:textId="77777777"/>
        </w:tc>
      </w:tr>
      <w:tr w:rsidRPr="00A46FCB" w:rsidR="00E42201" w:rsidTr="003A490B" w14:paraId="44F13A1A" w14:textId="77777777">
        <w:trPr>
          <w:trHeight w:val="20"/>
        </w:trPr>
        <w:tc>
          <w:tcPr>
            <w:tcW w:w="1200" w:type="dxa"/>
            <w:tcBorders>
              <w:top w:val="nil"/>
              <w:left w:val="nil"/>
              <w:bottom w:val="nil"/>
              <w:right w:val="nil"/>
            </w:tcBorders>
            <w:shd w:val="clear" w:color="auto" w:fill="auto"/>
            <w:noWrap/>
            <w:vAlign w:val="center"/>
            <w:hideMark/>
          </w:tcPr>
          <w:p w:rsidRPr="00A46FCB" w:rsidR="00E42201" w:rsidP="003A490B" w:rsidRDefault="00E42201" w14:paraId="1E350567" w14:textId="77777777">
            <w:r w:rsidRPr="00A46FCB">
              <w:t>2018</w:t>
            </w:r>
          </w:p>
        </w:tc>
        <w:tc>
          <w:tcPr>
            <w:tcW w:w="1200" w:type="dxa"/>
            <w:tcBorders>
              <w:top w:val="nil"/>
              <w:left w:val="nil"/>
              <w:bottom w:val="nil"/>
              <w:right w:val="nil"/>
            </w:tcBorders>
            <w:shd w:val="clear" w:color="auto" w:fill="auto"/>
            <w:noWrap/>
            <w:vAlign w:val="center"/>
            <w:hideMark/>
          </w:tcPr>
          <w:p w:rsidRPr="00A46FCB" w:rsidR="00E42201" w:rsidP="003A490B" w:rsidRDefault="00E42201" w14:paraId="731D0C2B" w14:textId="77777777">
            <w:r w:rsidRPr="00A46FCB">
              <w:t>1.615</w:t>
            </w:r>
          </w:p>
        </w:tc>
        <w:tc>
          <w:tcPr>
            <w:tcW w:w="1400" w:type="dxa"/>
            <w:tcBorders>
              <w:top w:val="nil"/>
              <w:left w:val="nil"/>
              <w:bottom w:val="nil"/>
              <w:right w:val="nil"/>
            </w:tcBorders>
            <w:shd w:val="clear" w:color="auto" w:fill="auto"/>
            <w:noWrap/>
            <w:vAlign w:val="center"/>
            <w:hideMark/>
          </w:tcPr>
          <w:p w:rsidRPr="00A46FCB" w:rsidR="00E42201" w:rsidP="003A490B" w:rsidRDefault="00E42201" w14:paraId="3C68BFF6" w14:textId="77777777">
            <w:r w:rsidRPr="00A46FCB">
              <w:t>1.475</w:t>
            </w:r>
          </w:p>
        </w:tc>
        <w:tc>
          <w:tcPr>
            <w:tcW w:w="1360" w:type="dxa"/>
            <w:tcBorders>
              <w:top w:val="nil"/>
              <w:left w:val="nil"/>
              <w:bottom w:val="nil"/>
              <w:right w:val="nil"/>
            </w:tcBorders>
            <w:shd w:val="clear" w:color="auto" w:fill="auto"/>
            <w:noWrap/>
            <w:vAlign w:val="center"/>
            <w:hideMark/>
          </w:tcPr>
          <w:p w:rsidRPr="00A46FCB" w:rsidR="00E42201" w:rsidP="003A490B" w:rsidRDefault="00E42201" w14:paraId="19992167" w14:textId="77777777">
            <w:r w:rsidRPr="00A46FCB">
              <w:t>303</w:t>
            </w:r>
          </w:p>
        </w:tc>
        <w:tc>
          <w:tcPr>
            <w:tcW w:w="1323" w:type="dxa"/>
            <w:tcBorders>
              <w:top w:val="nil"/>
              <w:left w:val="nil"/>
              <w:bottom w:val="nil"/>
              <w:right w:val="nil"/>
            </w:tcBorders>
            <w:shd w:val="clear" w:color="auto" w:fill="auto"/>
            <w:noWrap/>
            <w:vAlign w:val="center"/>
            <w:hideMark/>
          </w:tcPr>
          <w:p w:rsidRPr="00A46FCB" w:rsidR="00E42201" w:rsidP="003A490B" w:rsidRDefault="00E42201" w14:paraId="22A32883" w14:textId="77777777">
            <w:r w:rsidRPr="00A46FCB">
              <w:t>2.264</w:t>
            </w:r>
          </w:p>
        </w:tc>
        <w:tc>
          <w:tcPr>
            <w:tcW w:w="1187" w:type="dxa"/>
            <w:vAlign w:val="center"/>
          </w:tcPr>
          <w:p w:rsidRPr="00A46FCB" w:rsidR="00E42201" w:rsidP="003A490B" w:rsidRDefault="00E42201" w14:paraId="6855F6FD" w14:textId="77777777">
            <w:r>
              <w:t>5</w:t>
            </w:r>
            <w:r w:rsidRPr="00A46FCB">
              <w:t>.657</w:t>
            </w:r>
          </w:p>
        </w:tc>
      </w:tr>
      <w:tr w:rsidRPr="00A46FCB" w:rsidR="00E42201" w:rsidTr="003A490B" w14:paraId="634D48C5" w14:textId="77777777">
        <w:trPr>
          <w:trHeight w:val="20"/>
        </w:trPr>
        <w:tc>
          <w:tcPr>
            <w:tcW w:w="1200" w:type="dxa"/>
            <w:tcBorders>
              <w:top w:val="nil"/>
              <w:left w:val="nil"/>
              <w:bottom w:val="nil"/>
              <w:right w:val="nil"/>
            </w:tcBorders>
            <w:shd w:val="clear" w:color="auto" w:fill="auto"/>
            <w:noWrap/>
            <w:vAlign w:val="center"/>
            <w:hideMark/>
          </w:tcPr>
          <w:p w:rsidRPr="00A46FCB" w:rsidR="00E42201" w:rsidP="003A490B" w:rsidRDefault="00E42201" w14:paraId="754ECA63" w14:textId="77777777">
            <w:r w:rsidRPr="00A46FCB">
              <w:t>2019</w:t>
            </w:r>
          </w:p>
        </w:tc>
        <w:tc>
          <w:tcPr>
            <w:tcW w:w="1200" w:type="dxa"/>
            <w:tcBorders>
              <w:top w:val="nil"/>
              <w:left w:val="nil"/>
              <w:bottom w:val="nil"/>
              <w:right w:val="nil"/>
            </w:tcBorders>
            <w:shd w:val="clear" w:color="auto" w:fill="auto"/>
            <w:noWrap/>
            <w:vAlign w:val="center"/>
            <w:hideMark/>
          </w:tcPr>
          <w:p w:rsidRPr="00A46FCB" w:rsidR="00E42201" w:rsidP="003A490B" w:rsidRDefault="00E42201" w14:paraId="6AB73B16" w14:textId="77777777">
            <w:r w:rsidRPr="00A46FCB">
              <w:t>1.995</w:t>
            </w:r>
          </w:p>
        </w:tc>
        <w:tc>
          <w:tcPr>
            <w:tcW w:w="1400" w:type="dxa"/>
            <w:tcBorders>
              <w:top w:val="nil"/>
              <w:left w:val="nil"/>
              <w:bottom w:val="nil"/>
              <w:right w:val="nil"/>
            </w:tcBorders>
            <w:shd w:val="clear" w:color="auto" w:fill="auto"/>
            <w:noWrap/>
            <w:vAlign w:val="center"/>
            <w:hideMark/>
          </w:tcPr>
          <w:p w:rsidRPr="00A46FCB" w:rsidR="00E42201" w:rsidP="003A490B" w:rsidRDefault="00E42201" w14:paraId="1262B667" w14:textId="77777777">
            <w:r w:rsidRPr="00A46FCB">
              <w:t>1.586</w:t>
            </w:r>
          </w:p>
        </w:tc>
        <w:tc>
          <w:tcPr>
            <w:tcW w:w="1360" w:type="dxa"/>
            <w:tcBorders>
              <w:top w:val="nil"/>
              <w:left w:val="nil"/>
              <w:bottom w:val="nil"/>
              <w:right w:val="nil"/>
            </w:tcBorders>
            <w:shd w:val="clear" w:color="auto" w:fill="auto"/>
            <w:noWrap/>
            <w:vAlign w:val="center"/>
            <w:hideMark/>
          </w:tcPr>
          <w:p w:rsidRPr="00A46FCB" w:rsidR="00E42201" w:rsidP="003A490B" w:rsidRDefault="00E42201" w14:paraId="6FFC471C" w14:textId="77777777">
            <w:r w:rsidRPr="00A46FCB">
              <w:t>338</w:t>
            </w:r>
          </w:p>
        </w:tc>
        <w:tc>
          <w:tcPr>
            <w:tcW w:w="1323" w:type="dxa"/>
            <w:tcBorders>
              <w:top w:val="nil"/>
              <w:left w:val="nil"/>
              <w:bottom w:val="nil"/>
              <w:right w:val="nil"/>
            </w:tcBorders>
            <w:shd w:val="clear" w:color="auto" w:fill="auto"/>
            <w:noWrap/>
            <w:vAlign w:val="center"/>
            <w:hideMark/>
          </w:tcPr>
          <w:p w:rsidRPr="00A46FCB" w:rsidR="00E42201" w:rsidP="003A490B" w:rsidRDefault="00E42201" w14:paraId="3C40F821" w14:textId="77777777">
            <w:r w:rsidRPr="00A46FCB">
              <w:t>1.595</w:t>
            </w:r>
          </w:p>
        </w:tc>
        <w:tc>
          <w:tcPr>
            <w:tcW w:w="1187" w:type="dxa"/>
            <w:vAlign w:val="center"/>
          </w:tcPr>
          <w:p w:rsidRPr="00A46FCB" w:rsidR="00E42201" w:rsidP="003A490B" w:rsidRDefault="00E42201" w14:paraId="237BE6AD" w14:textId="77777777">
            <w:r w:rsidRPr="00A46FCB">
              <w:t>5.514</w:t>
            </w:r>
          </w:p>
        </w:tc>
      </w:tr>
      <w:tr w:rsidRPr="00A46FCB" w:rsidR="00E42201" w:rsidTr="003A490B" w14:paraId="45AE0912" w14:textId="77777777">
        <w:trPr>
          <w:trHeight w:val="20"/>
        </w:trPr>
        <w:tc>
          <w:tcPr>
            <w:tcW w:w="1200" w:type="dxa"/>
            <w:tcBorders>
              <w:top w:val="nil"/>
              <w:left w:val="nil"/>
              <w:right w:val="nil"/>
            </w:tcBorders>
            <w:shd w:val="clear" w:color="auto" w:fill="auto"/>
            <w:noWrap/>
            <w:vAlign w:val="center"/>
            <w:hideMark/>
          </w:tcPr>
          <w:p w:rsidRPr="00A46FCB" w:rsidR="00E42201" w:rsidP="003A490B" w:rsidRDefault="00E42201" w14:paraId="26EDAA2D" w14:textId="77777777">
            <w:r w:rsidRPr="00A46FCB">
              <w:t>2020</w:t>
            </w:r>
          </w:p>
        </w:tc>
        <w:tc>
          <w:tcPr>
            <w:tcW w:w="1200" w:type="dxa"/>
            <w:tcBorders>
              <w:top w:val="nil"/>
              <w:left w:val="nil"/>
              <w:right w:val="nil"/>
            </w:tcBorders>
            <w:shd w:val="clear" w:color="auto" w:fill="auto"/>
            <w:noWrap/>
            <w:vAlign w:val="center"/>
            <w:hideMark/>
          </w:tcPr>
          <w:p w:rsidRPr="00A46FCB" w:rsidR="00E42201" w:rsidP="003A490B" w:rsidRDefault="00E42201" w14:paraId="06A63673" w14:textId="77777777">
            <w:r w:rsidRPr="00A46FCB">
              <w:t>2.375</w:t>
            </w:r>
          </w:p>
        </w:tc>
        <w:tc>
          <w:tcPr>
            <w:tcW w:w="1400" w:type="dxa"/>
            <w:tcBorders>
              <w:top w:val="nil"/>
              <w:left w:val="nil"/>
              <w:right w:val="nil"/>
            </w:tcBorders>
            <w:shd w:val="clear" w:color="auto" w:fill="auto"/>
            <w:noWrap/>
            <w:vAlign w:val="center"/>
            <w:hideMark/>
          </w:tcPr>
          <w:p w:rsidRPr="00A46FCB" w:rsidR="00E42201" w:rsidP="003A490B" w:rsidRDefault="00E42201" w14:paraId="318392CD" w14:textId="77777777">
            <w:r w:rsidRPr="00A46FCB">
              <w:t>1.350</w:t>
            </w:r>
          </w:p>
        </w:tc>
        <w:tc>
          <w:tcPr>
            <w:tcW w:w="1360" w:type="dxa"/>
            <w:tcBorders>
              <w:top w:val="nil"/>
              <w:left w:val="nil"/>
              <w:right w:val="nil"/>
            </w:tcBorders>
            <w:shd w:val="clear" w:color="auto" w:fill="auto"/>
            <w:noWrap/>
            <w:vAlign w:val="center"/>
            <w:hideMark/>
          </w:tcPr>
          <w:p w:rsidRPr="00A46FCB" w:rsidR="00E42201" w:rsidP="003A490B" w:rsidRDefault="00E42201" w14:paraId="1FA37EB8" w14:textId="77777777">
            <w:r w:rsidRPr="00A46FCB">
              <w:t>495</w:t>
            </w:r>
          </w:p>
        </w:tc>
        <w:tc>
          <w:tcPr>
            <w:tcW w:w="1323" w:type="dxa"/>
            <w:tcBorders>
              <w:top w:val="nil"/>
              <w:left w:val="nil"/>
              <w:right w:val="nil"/>
            </w:tcBorders>
            <w:shd w:val="clear" w:color="auto" w:fill="auto"/>
            <w:noWrap/>
            <w:vAlign w:val="center"/>
            <w:hideMark/>
          </w:tcPr>
          <w:p w:rsidRPr="00A46FCB" w:rsidR="00E42201" w:rsidP="003A490B" w:rsidRDefault="00E42201" w14:paraId="5E410DD1" w14:textId="77777777">
            <w:r w:rsidRPr="00A46FCB">
              <w:t>3.659</w:t>
            </w:r>
          </w:p>
        </w:tc>
        <w:tc>
          <w:tcPr>
            <w:tcW w:w="1187" w:type="dxa"/>
            <w:vAlign w:val="center"/>
          </w:tcPr>
          <w:p w:rsidRPr="00A46FCB" w:rsidR="00E42201" w:rsidP="003A490B" w:rsidRDefault="00E42201" w14:paraId="00BBF4E1" w14:textId="77777777">
            <w:r w:rsidRPr="00A46FCB">
              <w:t>7.879</w:t>
            </w:r>
          </w:p>
        </w:tc>
      </w:tr>
      <w:tr w:rsidRPr="00A46FCB" w:rsidR="00E42201" w:rsidTr="003A490B" w14:paraId="6C84DEC7" w14:textId="77777777">
        <w:trPr>
          <w:trHeight w:val="20"/>
        </w:trPr>
        <w:tc>
          <w:tcPr>
            <w:tcW w:w="1200" w:type="dxa"/>
            <w:tcBorders>
              <w:top w:val="nil"/>
              <w:left w:val="nil"/>
              <w:bottom w:val="nil"/>
              <w:right w:val="nil"/>
            </w:tcBorders>
            <w:shd w:val="clear" w:color="auto" w:fill="auto"/>
            <w:noWrap/>
            <w:vAlign w:val="center"/>
            <w:hideMark/>
          </w:tcPr>
          <w:p w:rsidRPr="00A46FCB" w:rsidR="00E42201" w:rsidP="003A490B" w:rsidRDefault="00E42201" w14:paraId="409ECD42" w14:textId="77777777">
            <w:r w:rsidRPr="00A46FCB">
              <w:t>2021</w:t>
            </w:r>
          </w:p>
        </w:tc>
        <w:tc>
          <w:tcPr>
            <w:tcW w:w="1200" w:type="dxa"/>
            <w:tcBorders>
              <w:top w:val="nil"/>
              <w:left w:val="nil"/>
              <w:bottom w:val="nil"/>
              <w:right w:val="nil"/>
            </w:tcBorders>
            <w:shd w:val="clear" w:color="auto" w:fill="auto"/>
            <w:noWrap/>
            <w:vAlign w:val="center"/>
            <w:hideMark/>
          </w:tcPr>
          <w:p w:rsidRPr="00A46FCB" w:rsidR="00E42201" w:rsidP="003A490B" w:rsidRDefault="00E42201" w14:paraId="27353A7D" w14:textId="77777777">
            <w:r w:rsidRPr="00A46FCB">
              <w:t>1.055</w:t>
            </w:r>
          </w:p>
        </w:tc>
        <w:tc>
          <w:tcPr>
            <w:tcW w:w="1400" w:type="dxa"/>
            <w:tcBorders>
              <w:top w:val="nil"/>
              <w:left w:val="nil"/>
              <w:bottom w:val="nil"/>
              <w:right w:val="nil"/>
            </w:tcBorders>
            <w:shd w:val="clear" w:color="auto" w:fill="auto"/>
            <w:noWrap/>
            <w:vAlign w:val="center"/>
            <w:hideMark/>
          </w:tcPr>
          <w:p w:rsidRPr="00A46FCB" w:rsidR="00E42201" w:rsidP="003A490B" w:rsidRDefault="00E42201" w14:paraId="40119B43" w14:textId="77777777">
            <w:r w:rsidRPr="00A46FCB">
              <w:t>1.088</w:t>
            </w:r>
          </w:p>
        </w:tc>
        <w:tc>
          <w:tcPr>
            <w:tcW w:w="1360" w:type="dxa"/>
            <w:tcBorders>
              <w:top w:val="nil"/>
              <w:left w:val="nil"/>
              <w:bottom w:val="nil"/>
              <w:right w:val="nil"/>
            </w:tcBorders>
            <w:shd w:val="clear" w:color="auto" w:fill="auto"/>
            <w:noWrap/>
            <w:vAlign w:val="center"/>
            <w:hideMark/>
          </w:tcPr>
          <w:p w:rsidRPr="00A46FCB" w:rsidR="00E42201" w:rsidP="003A490B" w:rsidRDefault="00E42201" w14:paraId="7E7E289C" w14:textId="77777777">
            <w:r w:rsidRPr="00A46FCB">
              <w:t>301</w:t>
            </w:r>
          </w:p>
        </w:tc>
        <w:tc>
          <w:tcPr>
            <w:tcW w:w="1323" w:type="dxa"/>
            <w:tcBorders>
              <w:top w:val="nil"/>
              <w:left w:val="nil"/>
              <w:bottom w:val="nil"/>
              <w:right w:val="nil"/>
            </w:tcBorders>
            <w:shd w:val="clear" w:color="auto" w:fill="auto"/>
            <w:noWrap/>
            <w:vAlign w:val="center"/>
            <w:hideMark/>
          </w:tcPr>
          <w:p w:rsidRPr="00A46FCB" w:rsidR="00E42201" w:rsidP="003A490B" w:rsidRDefault="00E42201" w14:paraId="48E8EF9E" w14:textId="77777777">
            <w:r w:rsidRPr="00A46FCB">
              <w:t>444</w:t>
            </w:r>
          </w:p>
        </w:tc>
        <w:tc>
          <w:tcPr>
            <w:tcW w:w="1187" w:type="dxa"/>
            <w:vAlign w:val="center"/>
          </w:tcPr>
          <w:p w:rsidRPr="00A46FCB" w:rsidR="00E42201" w:rsidP="003A490B" w:rsidRDefault="00E42201" w14:paraId="2B3D5F7C" w14:textId="77777777">
            <w:r w:rsidRPr="00A46FCB">
              <w:t>2.888</w:t>
            </w:r>
          </w:p>
        </w:tc>
      </w:tr>
      <w:tr w:rsidRPr="00A46FCB" w:rsidR="00E42201" w:rsidTr="003A490B" w14:paraId="17C623EE" w14:textId="77777777">
        <w:trPr>
          <w:trHeight w:val="20"/>
        </w:trPr>
        <w:tc>
          <w:tcPr>
            <w:tcW w:w="1200" w:type="dxa"/>
            <w:tcBorders>
              <w:top w:val="nil"/>
              <w:left w:val="nil"/>
              <w:bottom w:val="single" w:color="auto" w:sz="4" w:space="0"/>
              <w:right w:val="nil"/>
            </w:tcBorders>
            <w:shd w:val="clear" w:color="auto" w:fill="auto"/>
            <w:noWrap/>
            <w:vAlign w:val="center"/>
          </w:tcPr>
          <w:p w:rsidRPr="00A46FCB" w:rsidR="00E42201" w:rsidP="003A490B" w:rsidRDefault="00E42201" w14:paraId="4063641D" w14:textId="77777777">
            <w:r w:rsidRPr="00A46FCB">
              <w:t>2022</w:t>
            </w:r>
          </w:p>
        </w:tc>
        <w:tc>
          <w:tcPr>
            <w:tcW w:w="1200" w:type="dxa"/>
            <w:tcBorders>
              <w:top w:val="nil"/>
              <w:left w:val="nil"/>
              <w:bottom w:val="single" w:color="auto" w:sz="4" w:space="0"/>
              <w:right w:val="nil"/>
            </w:tcBorders>
            <w:shd w:val="clear" w:color="auto" w:fill="auto"/>
            <w:noWrap/>
            <w:vAlign w:val="center"/>
          </w:tcPr>
          <w:p w:rsidRPr="00A46FCB" w:rsidR="00E42201" w:rsidP="003A490B" w:rsidRDefault="00E42201" w14:paraId="4004950F" w14:textId="77777777">
            <w:r w:rsidRPr="00A46FCB">
              <w:t>1.633</w:t>
            </w:r>
          </w:p>
        </w:tc>
        <w:tc>
          <w:tcPr>
            <w:tcW w:w="1400" w:type="dxa"/>
            <w:tcBorders>
              <w:top w:val="nil"/>
              <w:left w:val="nil"/>
              <w:bottom w:val="single" w:color="auto" w:sz="4" w:space="0"/>
              <w:right w:val="nil"/>
            </w:tcBorders>
            <w:shd w:val="clear" w:color="auto" w:fill="auto"/>
            <w:noWrap/>
            <w:vAlign w:val="center"/>
          </w:tcPr>
          <w:p w:rsidRPr="00A46FCB" w:rsidR="00E42201" w:rsidP="003A490B" w:rsidRDefault="00E42201" w14:paraId="0AD74934" w14:textId="77777777">
            <w:r w:rsidRPr="00A46FCB">
              <w:t>2.853</w:t>
            </w:r>
          </w:p>
        </w:tc>
        <w:tc>
          <w:tcPr>
            <w:tcW w:w="1360" w:type="dxa"/>
            <w:tcBorders>
              <w:top w:val="nil"/>
              <w:left w:val="nil"/>
              <w:bottom w:val="single" w:color="auto" w:sz="4" w:space="0"/>
              <w:right w:val="nil"/>
            </w:tcBorders>
            <w:shd w:val="clear" w:color="auto" w:fill="auto"/>
            <w:noWrap/>
            <w:vAlign w:val="center"/>
          </w:tcPr>
          <w:p w:rsidRPr="00A46FCB" w:rsidR="00E42201" w:rsidP="003A490B" w:rsidRDefault="00E42201" w14:paraId="002000D3" w14:textId="77777777">
            <w:r w:rsidRPr="00A46FCB">
              <w:t>300</w:t>
            </w:r>
          </w:p>
        </w:tc>
        <w:tc>
          <w:tcPr>
            <w:tcW w:w="1323" w:type="dxa"/>
            <w:tcBorders>
              <w:top w:val="nil"/>
              <w:left w:val="nil"/>
              <w:bottom w:val="single" w:color="auto" w:sz="4" w:space="0"/>
              <w:right w:val="nil"/>
            </w:tcBorders>
            <w:shd w:val="clear" w:color="auto" w:fill="auto"/>
            <w:noWrap/>
            <w:vAlign w:val="center"/>
          </w:tcPr>
          <w:p w:rsidRPr="00A46FCB" w:rsidR="00E42201" w:rsidP="003A490B" w:rsidRDefault="00E42201" w14:paraId="66CC4337" w14:textId="77777777">
            <w:r w:rsidRPr="00A46FCB">
              <w:t>227</w:t>
            </w:r>
          </w:p>
        </w:tc>
        <w:tc>
          <w:tcPr>
            <w:tcW w:w="1187" w:type="dxa"/>
            <w:tcBorders>
              <w:bottom w:val="single" w:color="auto" w:sz="4" w:space="0"/>
            </w:tcBorders>
            <w:vAlign w:val="center"/>
          </w:tcPr>
          <w:p w:rsidRPr="00A46FCB" w:rsidR="00E42201" w:rsidP="003A490B" w:rsidRDefault="00E42201" w14:paraId="453B8766" w14:textId="77777777">
            <w:r w:rsidRPr="00A46FCB">
              <w:t>5.013</w:t>
            </w:r>
          </w:p>
        </w:tc>
      </w:tr>
    </w:tbl>
    <w:p w:rsidR="00E42201" w:rsidP="00E42201" w:rsidRDefault="00E42201" w14:paraId="275D2D11" w14:textId="77777777"/>
    <w:p w:rsidR="00E42201" w:rsidP="00E42201" w:rsidRDefault="00E42201" w14:paraId="3C96A338" w14:textId="77777777">
      <w:r w:rsidRPr="000164D8">
        <w:t>Het bedrag aan verliezen in de EU/EER-</w:t>
      </w:r>
      <w:r w:rsidRPr="009D18A6">
        <w:t>landen is gedaald van € 1,5 miljard in 2018 naar € 1,1 miljard in 2021. Hier is vrijwel geen anticipatie-effect zichtbaar. Het bedrag aan liquidatieverliezen in 2022 is wel hoger dan in 2021, wat samenhangt met</w:t>
      </w:r>
      <w:r>
        <w:t xml:space="preserve"> een aantal zeer</w:t>
      </w:r>
      <w:r w:rsidRPr="009D18A6">
        <w:t xml:space="preserve"> </w:t>
      </w:r>
      <w:bookmarkStart w:name="_Hlk211865718" w:id="1"/>
      <w:r w:rsidRPr="009D18A6">
        <w:t>grote</w:t>
      </w:r>
      <w:r>
        <w:t xml:space="preserve"> bedragen aan</w:t>
      </w:r>
      <w:r w:rsidRPr="009D18A6">
        <w:t xml:space="preserve"> liquidatieverliezen in </w:t>
      </w:r>
      <w:bookmarkEnd w:id="1"/>
      <w:r>
        <w:t>dat jaar</w:t>
      </w:r>
      <w:r w:rsidRPr="009D18A6">
        <w:t>. Het is de verwachting dat dit bedrag in 2023 weer lager zal zijn. Bij de bedragen onder de € 5 miljoen bij niet-EU/EER-landen is in 2020 een anticipatie-effect aanwezig.</w:t>
      </w:r>
      <w:r w:rsidRPr="000164D8">
        <w:t xml:space="preserve"> Daarna is het bedrag redelijk in lijn met eerdere</w:t>
      </w:r>
      <w:r w:rsidRPr="00A46FCB">
        <w:t xml:space="preserve"> jaren. </w:t>
      </w:r>
    </w:p>
    <w:p w:rsidRPr="00A46FCB" w:rsidR="00E42201" w:rsidP="00E42201" w:rsidRDefault="00E42201" w14:paraId="7A005E1A" w14:textId="77777777"/>
    <w:p w:rsidR="00E42201" w:rsidP="00E42201" w:rsidRDefault="00E42201" w14:paraId="7B270593" w14:textId="77777777">
      <w:r w:rsidRPr="00A46FCB">
        <w:t>Het belangrijkste verschil is de behandeling van de verliezen buiten de EU/EER-landen die groter zijn dan</w:t>
      </w:r>
      <w:r>
        <w:t xml:space="preserve"> </w:t>
      </w:r>
      <w:r w:rsidRPr="00A46FCB">
        <w:t>€ 5 miljoen. Waar in 2018 en 2019 er nog € 2,2 miljard respectievelijk € 2,6 miljard in aftrek werd gebracht, is ook hier in 2020 een anticipatie-effect te zien. Daarna is het bedrag in 2021 gedaald tot € 0,4 miljard en</w:t>
      </w:r>
      <w:r>
        <w:t xml:space="preserve"> tot</w:t>
      </w:r>
      <w:r w:rsidRPr="00A46FCB">
        <w:t xml:space="preserve"> € 0,2 miljard in 2022. Het is de verwachting dat dit bedrag na 2022 verder zal dalen, omdat steeds minder gebruik zal kunnen worden gemaakt van het overgangsregime. Vanaf 202</w:t>
      </w:r>
      <w:r>
        <w:t>4</w:t>
      </w:r>
      <w:r w:rsidRPr="00A46FCB">
        <w:t xml:space="preserve"> zal het bedrag naar verwachting vervolgens nihil zijn door de toepassing van de </w:t>
      </w:r>
      <w:r w:rsidRPr="006D652B">
        <w:t xml:space="preserve">temporele </w:t>
      </w:r>
      <w:r w:rsidRPr="00A46FCB">
        <w:t xml:space="preserve">voorwaarde. </w:t>
      </w:r>
      <w:r>
        <w:t xml:space="preserve"> </w:t>
      </w:r>
    </w:p>
    <w:p w:rsidRPr="00A46FCB" w:rsidR="00E42201" w:rsidP="00E42201" w:rsidRDefault="00E42201" w14:paraId="230DDB9B" w14:textId="77777777"/>
    <w:p w:rsidRPr="00A46FCB" w:rsidR="00E42201" w:rsidP="00E42201" w:rsidRDefault="00E42201" w14:paraId="65AE7EE1" w14:textId="77777777">
      <w:r w:rsidRPr="00A46FCB">
        <w:t xml:space="preserve">De ontwikkeling van de liquidatieverliezen is in lijn met de verwachting en zal in de komende jaren </w:t>
      </w:r>
      <w:r>
        <w:t>verder</w:t>
      </w:r>
      <w:r w:rsidRPr="00A46FCB">
        <w:t xml:space="preserve"> gemonitord worden. </w:t>
      </w:r>
    </w:p>
    <w:p w:rsidRPr="00A46FCB" w:rsidR="00E42201" w:rsidP="00E42201" w:rsidRDefault="00E42201" w14:paraId="72467911" w14:textId="77777777"/>
    <w:p w:rsidRPr="00456F59" w:rsidR="00E42201" w:rsidP="00E42201" w:rsidRDefault="00E42201" w14:paraId="149F80A2" w14:textId="77777777">
      <w:pPr>
        <w:rPr>
          <w:b/>
          <w:bCs/>
        </w:rPr>
      </w:pPr>
      <w:r w:rsidRPr="00A46FCB">
        <w:rPr>
          <w:b/>
          <w:bCs/>
        </w:rPr>
        <w:t>3.</w:t>
      </w:r>
      <w:r w:rsidRPr="00A46FCB">
        <w:rPr>
          <w:b/>
          <w:bCs/>
        </w:rPr>
        <w:tab/>
        <w:t>Wet tegengaan mismatches bij toepassing zakelijkheidsbeginsel</w:t>
      </w:r>
    </w:p>
    <w:p w:rsidRPr="00456F59" w:rsidR="00E42201" w:rsidP="00E42201" w:rsidRDefault="00E42201" w14:paraId="46167947" w14:textId="77777777"/>
    <w:p w:rsidRPr="00456F59" w:rsidR="00E42201" w:rsidP="00E42201" w:rsidRDefault="00E42201" w14:paraId="67377BFF" w14:textId="77777777">
      <w:r w:rsidRPr="00456F59">
        <w:t>Het zakelijkheidsbeginsel</w:t>
      </w:r>
      <w:r w:rsidRPr="00456F59">
        <w:rPr>
          <w:vertAlign w:val="superscript"/>
        </w:rPr>
        <w:footnoteReference w:id="9"/>
      </w:r>
      <w:r w:rsidRPr="00456F59">
        <w:t xml:space="preserve"> verplicht belastingplichtigen in Nederland om transacties met gelieerde partijen voor Nederlandse fiscale doeleinden tegen zakelijke prijzen te verantwoorden. Dit kan leiden tot neerwaartse (en opwaartse) correcties van de Nederlandse fiscale winst in combinatie met een informele kapitaalstoring of een verkapte dividenduitkering.</w:t>
      </w:r>
    </w:p>
    <w:p w:rsidRPr="00456F59" w:rsidR="00E42201" w:rsidP="00E42201" w:rsidRDefault="00E42201" w14:paraId="569CD25B" w14:textId="77777777"/>
    <w:p w:rsidRPr="00456F59" w:rsidR="00E42201" w:rsidP="00E42201" w:rsidRDefault="00E42201" w14:paraId="593EDC67" w14:textId="77777777">
      <w:r w:rsidRPr="00456F59">
        <w:t xml:space="preserve">Andere landen gaan hier soms anders mee om. Dat heeft dan bij grensoverschrijdende transacties tot gevolg dat het land van de partij waarmee de transactie wordt aangegaan geen corresponderende correctie toepast. Er bestaat dan een mismatch (verrekenprijsverschil) bij de toepassing van het zakelijkheidsbeginsel. Dit kan leiden tot dubbele belasting (als in Nederland de winst opwaarts wordt aangepast en in het andere land niet neerwaarts wordt aangepast) of dubbele niet-belasting (als in Nederland de winst neerwaarts wordt aangepast en in het andere land niet opwaarts wordt aangepast). </w:t>
      </w:r>
    </w:p>
    <w:p w:rsidRPr="00456F59" w:rsidR="00E42201" w:rsidP="00E42201" w:rsidRDefault="00E42201" w14:paraId="5B9A321C" w14:textId="77777777"/>
    <w:p w:rsidRPr="00456F59" w:rsidR="00E42201" w:rsidP="00E42201" w:rsidRDefault="00E42201" w14:paraId="45813C14" w14:textId="77777777">
      <w:r w:rsidRPr="00456F59">
        <w:t>Sinds 1 juli 2019 is de rulingpraktijk van de Belastingdienst aangescherpt. Vooroverleg ter verkrijging van zekerheid vooraf was niet langer mogelijk bij een neerwaartse correctie zonder een gelijke opwaartse correctie in het andere land.</w:t>
      </w:r>
      <w:r>
        <w:t xml:space="preserve"> Vervolgens is o</w:t>
      </w:r>
      <w:r w:rsidRPr="00456F59">
        <w:t>p 1 januari 2022 de Wet tegengaan mismatches bij toepassing zakelijkheidsbeginsel in werking getreden voor boekjaren die aanvangen op of na 1 januari 2022.</w:t>
      </w:r>
      <w:r w:rsidRPr="00456F59">
        <w:rPr>
          <w:vertAlign w:val="superscript"/>
        </w:rPr>
        <w:footnoteReference w:id="10"/>
      </w:r>
      <w:r w:rsidRPr="00456F59">
        <w:t xml:space="preserve"> Deze wet is erop gericht om mismatches te voorkomen die, in voornamelijk internationale situaties, ontstaan door toepassing van het zakelijkheidsbeginsel en die leiden tot dubbele niet-heffing. Deze wet beperkt de mogelijkheid voor belastingplichtigen om een neerwaartse aanpassing van de winst op grond van het zakelijkheidsbeginsel in aanmerking te nemen voor zover bij een ander gelieerd lichaam dat bij de transactie betrokken is geen of een lagere corresponderende opwaartse aanpassing in de belastinggrondslag wordt betrokken. De maatregelen bewerkstelligen daardoor dat de winst in die gevallen ten minste eenmaal ergens wordt belast.</w:t>
      </w:r>
    </w:p>
    <w:p w:rsidR="00E42201" w:rsidP="00E42201" w:rsidRDefault="00E42201" w14:paraId="09EAB84A" w14:textId="77777777"/>
    <w:p w:rsidR="00E42201" w:rsidP="00E42201" w:rsidRDefault="00E42201" w14:paraId="0CACAD60" w14:textId="77777777">
      <w:r w:rsidRPr="00456F59">
        <w:t xml:space="preserve">Op het aangifteformulier wordt sinds 2016 aan belastingplichtigen gevraagd of er sprake is van een informele kapitaalstorting of verkapte dividenduitkering en, zo ja, voor welk bedrag. Vanaf 2022 zijn hier de extra voorwaarden uit de nieuwe artikelen 8bb t/m 8bd van de Wet op de vennootschapsbelasting 1969 (Wet </w:t>
      </w:r>
      <w:proofErr w:type="spellStart"/>
      <w:r w:rsidRPr="00456F59">
        <w:t>Vpb</w:t>
      </w:r>
      <w:proofErr w:type="spellEnd"/>
      <w:r w:rsidRPr="00456F59">
        <w:t xml:space="preserve"> 1969) aan toegevoegd, zodat informele kapitaalstortingen en verkapte dividenduitkeringen die een neerwaartse aanpassing van de winst tot gevolg </w:t>
      </w:r>
      <w:r w:rsidRPr="00456F59">
        <w:lastRenderedPageBreak/>
        <w:t>hebben alleen nog als zodanig worden opgegeven in de aangifte wanneer er elders een opwaartse aanpassing die wordt betrokken in een winstbelasting tegenover staat. Onderstaande figuren tonen de aantallen en de bedragen tot en met 2023 voor buitenlandse situaties.</w:t>
      </w:r>
      <w:r w:rsidRPr="00456F59">
        <w:rPr>
          <w:vertAlign w:val="superscript"/>
        </w:rPr>
        <w:footnoteReference w:id="11"/>
      </w:r>
    </w:p>
    <w:p w:rsidR="00E42201" w:rsidP="00E42201" w:rsidRDefault="00E42201" w14:paraId="57840215" w14:textId="77777777"/>
    <w:p w:rsidR="00E42201" w:rsidP="00E42201" w:rsidRDefault="00E42201" w14:paraId="7E50C108" w14:textId="77777777"/>
    <w:p w:rsidR="00E42201" w:rsidP="00E42201" w:rsidRDefault="00E42201" w14:paraId="7B0A5533" w14:textId="77777777">
      <w:r w:rsidRPr="00456F59">
        <w:rPr>
          <w:noProof/>
        </w:rPr>
        <w:drawing>
          <wp:inline distT="0" distB="0" distL="0" distR="0" wp14:anchorId="02B69DFB" wp14:editId="32D75790">
            <wp:extent cx="3764280" cy="3829050"/>
            <wp:effectExtent l="0" t="0" r="7620" b="0"/>
            <wp:docPr id="311797317" name="Grafiek 1">
              <a:extLst xmlns:a="http://schemas.openxmlformats.org/drawingml/2006/main">
                <a:ext uri="{FF2B5EF4-FFF2-40B4-BE49-F238E27FC236}">
                  <a16:creationId xmlns:a16="http://schemas.microsoft.com/office/drawing/2014/main" id="{ACCA1A16-2346-1F2F-40D0-70AD310E67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42201" w:rsidP="00E42201" w:rsidRDefault="00E42201" w14:paraId="56738B20" w14:textId="77777777"/>
    <w:p w:rsidRPr="00456F59" w:rsidR="00E42201" w:rsidP="00E42201" w:rsidRDefault="00E42201" w14:paraId="29AD1F5F" w14:textId="77777777">
      <w:r w:rsidRPr="00456F59">
        <w:lastRenderedPageBreak/>
        <w:t xml:space="preserve">  </w:t>
      </w:r>
      <w:r w:rsidRPr="00456F59">
        <w:rPr>
          <w:noProof/>
        </w:rPr>
        <w:drawing>
          <wp:inline distT="0" distB="0" distL="0" distR="0" wp14:anchorId="0A46FDB2" wp14:editId="607F39A1">
            <wp:extent cx="4267200" cy="3794760"/>
            <wp:effectExtent l="0" t="0" r="0" b="0"/>
            <wp:docPr id="1421442376" name="Grafiek 1">
              <a:extLst xmlns:a="http://schemas.openxmlformats.org/drawingml/2006/main">
                <a:ext uri="{FF2B5EF4-FFF2-40B4-BE49-F238E27FC236}">
                  <a16:creationId xmlns:a16="http://schemas.microsoft.com/office/drawing/2014/main" id="{E618E7D3-291D-23FD-EBE4-709213642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56F59">
        <w:br/>
        <w:t>*Gegevens over 2023 betreffen voorlopige cijfers.</w:t>
      </w:r>
    </w:p>
    <w:p w:rsidRPr="00456F59" w:rsidR="00E42201" w:rsidP="00E42201" w:rsidRDefault="00E42201" w14:paraId="719943B2" w14:textId="77777777">
      <w:r w:rsidRPr="00456F59">
        <w:br/>
        <w:t>De gevallen waarbij sprake is van dubbele niet-heffing zouden vanaf 2019 moeten dalen en vanaf 2022 moeten verdwijnen uit de cijfers: ofwel omdat er geen mismatch meer is, ofwel omdat de winst niet naar beneden mag worden aangepast. Dit is inderdaad duidelijk zichtbaar in de figuren: de aantallen laten een duidelijke daling zien vanaf 2019, met meer dan een halvering van 2021 op 2022. De bedragen zijn volatieler, met name bij de verkapte dividenduitkeringen, omdat deze gedreven worden door een klein aantal gevallen waar het om grote bedragen gaat. Wel is bij de informele kapitaalstortingen een forse daling van de bedragen zichtbaar vanaf 2019, van een piek van € 17,4 miljard in 2019 tot € 8,3 miljard in 2021 en € 2,8 miljard in 2022. In 2023 lijkt de daling door te zetten, al betreft het daar nog voorlopige cijfers.</w:t>
      </w:r>
    </w:p>
    <w:p w:rsidRPr="00CD78B0" w:rsidR="00E42201" w:rsidP="00E42201" w:rsidRDefault="00E42201" w14:paraId="1FC6E8BF" w14:textId="77777777">
      <w:r w:rsidRPr="00456F59">
        <w:br/>
        <w:t xml:space="preserve">Uit deze gegevens concludeer ik dat de maatregelen tegen mismatches bij toepassing van het zakelijkheidsbeginsel effectief dubbele niet-heffing tegengaan. De cijfers laten ook zien dat in het verleden deze dubbele niet-heffing vermoedelijk wel heeft plaatsgevonden en dat hier bij informele kapitaalstortingen grote bedragen </w:t>
      </w:r>
      <w:r w:rsidRPr="00CD78B0">
        <w:t>mee gemoeid waren.</w:t>
      </w:r>
    </w:p>
    <w:p w:rsidRPr="00CD78B0" w:rsidR="00E42201" w:rsidP="00E42201" w:rsidRDefault="00E42201" w14:paraId="2CDB9C36" w14:textId="77777777"/>
    <w:p w:rsidRPr="00CD78B0" w:rsidR="00E42201" w:rsidP="00E42201" w:rsidRDefault="00E42201" w14:paraId="00049FA2" w14:textId="77777777">
      <w:pPr>
        <w:rPr>
          <w:b/>
          <w:bCs/>
        </w:rPr>
      </w:pPr>
      <w:r w:rsidRPr="00CD78B0">
        <w:rPr>
          <w:b/>
          <w:bCs/>
        </w:rPr>
        <w:t>4.</w:t>
      </w:r>
      <w:r w:rsidRPr="00CD78B0">
        <w:rPr>
          <w:b/>
          <w:bCs/>
        </w:rPr>
        <w:tab/>
        <w:t>Directe buitenlandse investeringen</w:t>
      </w:r>
    </w:p>
    <w:p w:rsidRPr="00CD78B0" w:rsidR="00E42201" w:rsidP="00E42201" w:rsidRDefault="00E42201" w14:paraId="4C6CBF6D" w14:textId="77777777">
      <w:bookmarkStart w:name="_Hlk213260759" w:id="2"/>
      <w:bookmarkEnd w:id="2"/>
    </w:p>
    <w:p w:rsidR="00E42201" w:rsidP="00E42201" w:rsidRDefault="00E42201" w14:paraId="02F88D92" w14:textId="77777777">
      <w:r w:rsidRPr="00CD78B0">
        <w:t>De resultaten uit deze en afgelopen monitoringsbrieven laten zien dat de maatregelen tegen belastingontwijking door multinationals bijzonder effectief zijn geweest.</w:t>
      </w:r>
    </w:p>
    <w:p w:rsidRPr="00CD78B0" w:rsidR="00E42201" w:rsidP="00E42201" w:rsidRDefault="00E42201" w14:paraId="145BDAA1" w14:textId="77777777">
      <w:pPr>
        <w:rPr>
          <w:b/>
          <w:bCs/>
        </w:rPr>
      </w:pPr>
    </w:p>
    <w:p w:rsidR="00E42201" w:rsidP="00E42201" w:rsidRDefault="00E42201" w14:paraId="22DF1BFF" w14:textId="77777777">
      <w:r w:rsidRPr="00CD78B0">
        <w:t xml:space="preserve">De gevolgen van het internationale en nationale beleid tegen internationale belastingontwijking komen ook tot uitdrukking in de cijfers over directe </w:t>
      </w:r>
      <w:r w:rsidRPr="00CD78B0">
        <w:lastRenderedPageBreak/>
        <w:t>buitenlandse investeringen (</w:t>
      </w:r>
      <w:proofErr w:type="spellStart"/>
      <w:r w:rsidRPr="00CD78B0">
        <w:t>dbi</w:t>
      </w:r>
      <w:proofErr w:type="spellEnd"/>
      <w:r w:rsidRPr="00CD78B0">
        <w:t>). Dit blijkt uit recente publicaties van het CBS en DNB.</w:t>
      </w:r>
      <w:r w:rsidRPr="00CD78B0">
        <w:rPr>
          <w:vertAlign w:val="superscript"/>
        </w:rPr>
        <w:footnoteReference w:id="12"/>
      </w:r>
      <w:r w:rsidRPr="00CD78B0">
        <w:t xml:space="preserve"> </w:t>
      </w:r>
      <w:r w:rsidRPr="00CD78B0">
        <w:rPr>
          <w:vertAlign w:val="superscript"/>
        </w:rPr>
        <w:footnoteReference w:id="13"/>
      </w:r>
      <w:r w:rsidRPr="00CD78B0">
        <w:t xml:space="preserve"> Directe investeringen zijn investeringen door een ingezetene van een economie in een andere (buitenlandse) economie met als doel een duurzaam belang te verwerven in de onderneming waarin wordt geïnvesteerd.</w:t>
      </w:r>
      <w:r w:rsidRPr="00CD78B0">
        <w:rPr>
          <w:vertAlign w:val="superscript"/>
        </w:rPr>
        <w:footnoteReference w:id="14"/>
      </w:r>
      <w:r w:rsidRPr="00CD78B0">
        <w:t xml:space="preserve"> Het kan dan </w:t>
      </w:r>
      <w:r w:rsidR="00F121DC">
        <w:t xml:space="preserve">bijvoorbeeld </w:t>
      </w:r>
      <w:r w:rsidRPr="00CD78B0">
        <w:t>gaan om investeringen van bedrijven, investeringsfondsen, pensioenfondsen of private-</w:t>
      </w:r>
      <w:proofErr w:type="spellStart"/>
      <w:r w:rsidRPr="00CD78B0">
        <w:t>equitypartijen</w:t>
      </w:r>
      <w:proofErr w:type="spellEnd"/>
      <w:r w:rsidRPr="00CD78B0">
        <w:t>.</w:t>
      </w:r>
      <w:r>
        <w:t xml:space="preserve"> V</w:t>
      </w:r>
      <w:r w:rsidRPr="00CD78B0">
        <w:t>anaf 2018</w:t>
      </w:r>
      <w:r>
        <w:t xml:space="preserve"> is</w:t>
      </w:r>
      <w:r w:rsidRPr="00CD78B0">
        <w:t xml:space="preserve"> een duidelijke trendbreuk zichtbaar. Tussen 2017 en 2024 is de Nederlandse voorraad aan directe buitenlandse investeringen </w:t>
      </w:r>
      <w:r>
        <w:t xml:space="preserve">ten opzichte van het bbp </w:t>
      </w:r>
      <w:r w:rsidRPr="00CD78B0">
        <w:t>aanzienlijk gedaald</w:t>
      </w:r>
      <w:r>
        <w:t>. D</w:t>
      </w:r>
      <w:r w:rsidRPr="00BD5CC5">
        <w:t xml:space="preserve">e aanpak van belastingontwijking </w:t>
      </w:r>
      <w:r>
        <w:t>is daar</w:t>
      </w:r>
      <w:r w:rsidRPr="00BD5CC5">
        <w:t xml:space="preserve"> de vermoedelijke oorzaak </w:t>
      </w:r>
      <w:r>
        <w:t>van. Dat wordt hieronder toegelicht.</w:t>
      </w:r>
      <w:r w:rsidRPr="00CD78B0">
        <w:t xml:space="preserve"> </w:t>
      </w:r>
    </w:p>
    <w:p w:rsidRPr="00CD78B0" w:rsidR="00E42201" w:rsidP="00E42201" w:rsidRDefault="00E42201" w14:paraId="6441D762" w14:textId="77777777"/>
    <w:p w:rsidR="00E42201" w:rsidP="00E42201" w:rsidRDefault="00E42201" w14:paraId="4CF0AAF5" w14:textId="77777777">
      <w:r w:rsidRPr="00CD78B0">
        <w:t>Directe buitenlandse investeringen in Nederland beperken zich niet tot “reële” investeringen in de Nederlandse economie. Stel bijvoorbeeld dat een grote Amerikaanse multinational besluit om het Europese hoofdkantoor van de onderneming in Nederland te vestigen. De reële investering in Nederland is in dat geval beperkt tot investeringen die te maken hebben met de Nederlandse hoofdkantoorfunctie, zoals kantoorruimte. Toch telt dit op de Nederlandse betalingsbalans als een directe buitenlandse investering in Nederland ter waarde van het gehele Europese deel van de multinational. Dat kan al snel om tientallen miljarden euro’s gaan. Tegelijkertijd wordt een overeenkomstige directe buitenlandse investering ingeboekt van</w:t>
      </w:r>
      <w:r w:rsidR="00E539FC">
        <w:t>uit</w:t>
      </w:r>
      <w:r w:rsidRPr="00CD78B0">
        <w:t xml:space="preserve"> Nederland in al die andere landen die onder het Europese hoofdkantoor vallen. Zowel de inkomende als de uitgaande investeringen worden dan met ongeveer hetzelfde bedrag fors verhoogd. Hetzelfde effect treedt op in gevallen waarbij een multinational een doorstroomvennootschap in Nederland vestigt, al dan niet met het doel om belasting te ontwijken.</w:t>
      </w:r>
    </w:p>
    <w:p w:rsidRPr="00CD78B0" w:rsidR="00E42201" w:rsidP="00E42201" w:rsidRDefault="00E42201" w14:paraId="47DB6979" w14:textId="77777777"/>
    <w:p w:rsidR="00E42201" w:rsidP="00E42201" w:rsidRDefault="00E42201" w14:paraId="476A1316" w14:textId="77777777">
      <w:r w:rsidRPr="00CD78B0">
        <w:t>De onderstaande figuren</w:t>
      </w:r>
      <w:r w:rsidRPr="00CD78B0">
        <w:rPr>
          <w:vertAlign w:val="superscript"/>
        </w:rPr>
        <w:footnoteReference w:id="15"/>
      </w:r>
      <w:r w:rsidRPr="00CD78B0">
        <w:t xml:space="preserve"> illustreren dit. Gegevens van het IMF laten zien dat de nieuwe directe buitenlandse investeringen</w:t>
      </w:r>
      <w:r w:rsidR="00E539FC">
        <w:rPr>
          <w:rStyle w:val="Voetnootmarkering"/>
        </w:rPr>
        <w:footnoteReference w:id="16"/>
      </w:r>
      <w:r w:rsidRPr="00CD78B0">
        <w:t xml:space="preserve"> door en in Nederland lang onder de 10% van het bbp per jaar zaten, maar vanaf de eeuwwisseling enorm opliepen. De internationalisering en de aantrekkelijke positie van Nederland zorgden ervoor dat veel bedrijven in Nederland een (regionaal) hoofdkantoor oprichtten of geldstromen via doorstroomvennootschappen door Nederland lieten lopen. Sindsdien vertonen de cijfers grote pieken en dalen tot meer dan 70% van het bbp per jaar, waarbij opvalt dat de lijnen van de inkomende en de uitgaande </w:t>
      </w:r>
      <w:r>
        <w:t xml:space="preserve">nieuwe </w:t>
      </w:r>
      <w:r w:rsidRPr="00CD78B0">
        <w:t xml:space="preserve">investeringen bijzonder gelijk op en af gaan. Gezien de omvang van de jaarlijks inkomende investeringen kan het niet uitsluitend om reële investeringen in de Nederlandse economie zijn gegaan. </w:t>
      </w:r>
      <w:r>
        <w:t>Het</w:t>
      </w:r>
      <w:r w:rsidRPr="00CD78B0">
        <w:t xml:space="preserve"> is </w:t>
      </w:r>
      <w:r>
        <w:t xml:space="preserve">eveneens </w:t>
      </w:r>
      <w:r w:rsidRPr="00CD78B0">
        <w:t xml:space="preserve">moeilijk </w:t>
      </w:r>
      <w:r>
        <w:t>voorstelbaar</w:t>
      </w:r>
      <w:r w:rsidRPr="00CD78B0">
        <w:t xml:space="preserve"> dat Nederland 70% van al het in een jaar verdiende inkomen in datzelfde jaar zou kunnen investeren in het buitenland. De cijfers voor Duitsland illustreren dat het in Nederland grotendeels niet om reële investeringen in de Nederlandse economie moet zijn gegaan: daar bedroegen de inkomende en uitgaande nieuwe directe </w:t>
      </w:r>
      <w:r w:rsidRPr="00CD78B0">
        <w:lastRenderedPageBreak/>
        <w:t xml:space="preserve">buitenlandse investeringen jaarlijks tussen de -1% en de 5% van het bbp, op een piekje in 2000 na. Uit cijfers van DNB blijkt dan ook dat doorstroomvennootschappen de afgelopen jaren verantwoordelijk zijn voor het grootste gedeelte van de </w:t>
      </w:r>
      <w:r>
        <w:t xml:space="preserve">totale voorraad aan </w:t>
      </w:r>
      <w:r w:rsidRPr="00CD78B0">
        <w:t>Nederlandse directe buitenlandse investeringen (zie tweede figuur).</w:t>
      </w:r>
    </w:p>
    <w:p w:rsidRPr="00CD78B0" w:rsidR="00E42201" w:rsidP="00E42201" w:rsidRDefault="00E42201" w14:paraId="4B6AFB73" w14:textId="77777777"/>
    <w:p w:rsidR="00E42201" w:rsidP="00E42201" w:rsidRDefault="00E42201" w14:paraId="623D370D" w14:textId="77777777">
      <w:r w:rsidRPr="00CD78B0">
        <w:t xml:space="preserve">Het gevolg van deze ontwikkelingen is dat Nederland </w:t>
      </w:r>
      <w:proofErr w:type="spellStart"/>
      <w:r w:rsidRPr="00CD78B0">
        <w:t>mid</w:t>
      </w:r>
      <w:proofErr w:type="spellEnd"/>
      <w:r w:rsidRPr="00CD78B0">
        <w:t xml:space="preserve"> jaren ‘10 in absolute bedragen de grootste voorraden aan directe investeringen ter wereld had; in euro’s zelfs meer dan de Verenigde Staten. Uit gegevens van DNB en CBS </w:t>
      </w:r>
      <w:r w:rsidR="0043564B">
        <w:t xml:space="preserve">in de tweede figuur hieronder </w:t>
      </w:r>
      <w:r w:rsidRPr="00CD78B0">
        <w:t xml:space="preserve">blijkt dat de </w:t>
      </w:r>
      <w:r>
        <w:t xml:space="preserve">voorraad aan </w:t>
      </w:r>
      <w:r w:rsidRPr="00CD78B0">
        <w:t>inkomende directe buitenlandse investeringen op het hoogtepunt 559% van het bbp bedroeg. Ter vergelijking: in Duitsland lagen de voorraden aan directe investeringen tussen de 23% en de 27% van het bbp volgens IMF-cijfers.</w:t>
      </w:r>
    </w:p>
    <w:p w:rsidRPr="00CD78B0" w:rsidR="00E42201" w:rsidP="00E42201" w:rsidRDefault="00E42201" w14:paraId="6175EA7A" w14:textId="77777777"/>
    <w:p w:rsidR="00E42201" w:rsidP="00E42201" w:rsidRDefault="00E42201" w14:paraId="03B134B9" w14:textId="77777777">
      <w:r w:rsidRPr="00CD78B0">
        <w:t xml:space="preserve">Het is belangrijk om te </w:t>
      </w:r>
      <w:r>
        <w:t>benadrukken</w:t>
      </w:r>
      <w:r w:rsidRPr="00CD78B0">
        <w:t xml:space="preserve"> dat de totale voorraad aan </w:t>
      </w:r>
      <w:proofErr w:type="spellStart"/>
      <w:r w:rsidRPr="00CD78B0">
        <w:t>dbi</w:t>
      </w:r>
      <w:proofErr w:type="spellEnd"/>
      <w:r w:rsidRPr="00CD78B0">
        <w:t xml:space="preserve"> </w:t>
      </w:r>
      <w:r>
        <w:t xml:space="preserve">in Nederland ook reële investeringen en structuren bevat die niet hoofdzakelijk door fiscale motieven zijn ingegeven. Het is dan ook </w:t>
      </w:r>
      <w:r w:rsidRPr="00CD78B0">
        <w:t>geen goede indicator om belastingontwijking te meten of monitoren, zoals ook de Commissie Doorstroomvennootschappen heeft geconcludeerd.</w:t>
      </w:r>
      <w:r w:rsidRPr="00CD78B0">
        <w:rPr>
          <w:vertAlign w:val="superscript"/>
        </w:rPr>
        <w:footnoteReference w:id="17"/>
      </w:r>
      <w:r w:rsidRPr="00CD78B0">
        <w:t xml:space="preserve"> </w:t>
      </w:r>
    </w:p>
    <w:p w:rsidRPr="00CD78B0" w:rsidR="00E42201" w:rsidP="00E42201" w:rsidRDefault="00E42201" w14:paraId="40404DFC" w14:textId="77777777"/>
    <w:p w:rsidR="00E42201" w:rsidP="00E42201" w:rsidRDefault="00E42201" w14:paraId="7DFC9FE6" w14:textId="77777777">
      <w:r w:rsidRPr="00CD78B0">
        <w:t xml:space="preserve">Dat neemt niet weg dat een belangrijk gedeelte van de </w:t>
      </w:r>
      <w:proofErr w:type="spellStart"/>
      <w:r w:rsidRPr="00CD78B0">
        <w:t>dbi</w:t>
      </w:r>
      <w:proofErr w:type="spellEnd"/>
      <w:r w:rsidRPr="00CD78B0">
        <w:t xml:space="preserve"> wel met fiscale motieven te maken heeft. Zo blijkt uit onderzoek van het CPB dat </w:t>
      </w:r>
      <w:r>
        <w:t xml:space="preserve">een deel van de </w:t>
      </w:r>
      <w:proofErr w:type="spellStart"/>
      <w:r>
        <w:t>dbi</w:t>
      </w:r>
      <w:proofErr w:type="spellEnd"/>
      <w:r>
        <w:t xml:space="preserve"> werd verklaard door </w:t>
      </w:r>
      <w:proofErr w:type="spellStart"/>
      <w:r>
        <w:t>treaty</w:t>
      </w:r>
      <w:proofErr w:type="spellEnd"/>
      <w:r>
        <w:t xml:space="preserve">-shopping-structuren waarbij bedrijven gebruikmaken van </w:t>
      </w:r>
      <w:r w:rsidRPr="00CD78B0">
        <w:t>het grote aantal bilaterale belastingverdragen dat Nederland heeft gesloten.</w:t>
      </w:r>
      <w:r w:rsidRPr="00CD78B0">
        <w:rPr>
          <w:vertAlign w:val="superscript"/>
        </w:rPr>
        <w:footnoteReference w:id="18"/>
      </w:r>
      <w:r w:rsidRPr="00CD78B0">
        <w:t xml:space="preserve"> </w:t>
      </w:r>
      <w:r>
        <w:t>Sommige b</w:t>
      </w:r>
      <w:r w:rsidRPr="00CD78B0">
        <w:t xml:space="preserve">edrijven kiezen de meest gunstige route om hun winsten van A naar B te krijgen, en Nederland lag vaak op de route. De monitoringsresultaten in deze brief en vorige edities laten per maatregel effecten zien op geldstromen in de orde van grootte van miljarden of zelfs tientallen miljarden euro’s. </w:t>
      </w:r>
      <w:r>
        <w:t xml:space="preserve">Bovendien bevatten de meeste Nederlandse belastingverdragen inmiddels een algemene </w:t>
      </w:r>
      <w:r w:rsidRPr="00BA24F0">
        <w:t xml:space="preserve">antimisbruikbepaling die </w:t>
      </w:r>
      <w:proofErr w:type="spellStart"/>
      <w:r w:rsidRPr="00BA24F0">
        <w:t>treaty</w:t>
      </w:r>
      <w:proofErr w:type="spellEnd"/>
      <w:r w:rsidRPr="00BA24F0">
        <w:t xml:space="preserve">-shopping-structuren tegengaat. </w:t>
      </w:r>
      <w:r w:rsidRPr="00CD78B0">
        <w:t xml:space="preserve">De verwachting is daarom dat de aanpak van belastingontwijking zichtbare gevolgen moet hebben voor de voorraad </w:t>
      </w:r>
      <w:proofErr w:type="spellStart"/>
      <w:r w:rsidRPr="00CD78B0">
        <w:t>dbi</w:t>
      </w:r>
      <w:proofErr w:type="spellEnd"/>
      <w:r w:rsidRPr="00CD78B0">
        <w:t xml:space="preserve"> in Nederland</w:t>
      </w:r>
      <w:r>
        <w:t>.</w:t>
      </w:r>
    </w:p>
    <w:p w:rsidRPr="00CD78B0" w:rsidR="00E42201" w:rsidP="00E42201" w:rsidRDefault="00E42201" w14:paraId="5F8F3536" w14:textId="77777777"/>
    <w:p w:rsidR="00E42201" w:rsidP="00E42201" w:rsidRDefault="00E42201" w14:paraId="13F93FCC" w14:textId="77777777">
      <w:r w:rsidRPr="00CD78B0">
        <w:t>In beide figuren is inderdaad vanaf 2018 een duidelijke trendbreuk zichtbaar. Tussen 2017 en 2024 is de Nederlandse voorraad aan directe buitenlandse investeringen aanzienlijk gedaald, in lijn met de desinvesteringen die vanaf 2018 bij de nieuwe investeringen zichtbaar worden. DNB en CBS hebben de inkomende investeringen uitgesplitst naar doorstroomvennootschappen en overige vennootschappen</w:t>
      </w:r>
      <w:r w:rsidRPr="00CD78B0">
        <w:rPr>
          <w:vertAlign w:val="superscript"/>
        </w:rPr>
        <w:footnoteReference w:id="19"/>
      </w:r>
      <w:r w:rsidRPr="00CD78B0">
        <w:t>. Daaruit blijkt dat deze desinvesteringen en overeenkomstige daling van de voorraad alléén plaatsvond bij doorstroomvennootschappen, die steeds vaker worden ontmanteld. Bij de overige vennootschappen</w:t>
      </w:r>
      <w:r>
        <w:t>, waar reële investeringen in Nederland een groter aandeel vormen,</w:t>
      </w:r>
      <w:r w:rsidRPr="00CD78B0">
        <w:t xml:space="preserve"> is juist geen daling van de </w:t>
      </w:r>
      <w:proofErr w:type="spellStart"/>
      <w:r w:rsidRPr="00CD78B0">
        <w:t>dbi</w:t>
      </w:r>
      <w:proofErr w:type="spellEnd"/>
      <w:r w:rsidRPr="00CD78B0">
        <w:t xml:space="preserve"> waargenomen, maar een gestage toename.</w:t>
      </w:r>
      <w:r w:rsidRPr="00CD78B0">
        <w:rPr>
          <w:vertAlign w:val="superscript"/>
        </w:rPr>
        <w:footnoteReference w:id="20"/>
      </w:r>
      <w:r w:rsidRPr="00CD78B0">
        <w:t xml:space="preserve"> Zowel DNB als CBS benoemen daarom de aanpak van belastingontwijking als de vermoedelijke oorzaak van de daling van de </w:t>
      </w:r>
      <w:r>
        <w:t xml:space="preserve">totale voorraad aan </w:t>
      </w:r>
      <w:proofErr w:type="spellStart"/>
      <w:r w:rsidRPr="00CD78B0">
        <w:t>dbi</w:t>
      </w:r>
      <w:proofErr w:type="spellEnd"/>
      <w:r w:rsidRPr="00CD78B0">
        <w:t>.</w:t>
      </w:r>
    </w:p>
    <w:p w:rsidRPr="00CD78B0" w:rsidR="00E42201" w:rsidP="00E42201" w:rsidRDefault="00E42201" w14:paraId="5C112D28" w14:textId="77777777">
      <w:pPr>
        <w:rPr>
          <w:lang w:val="en-US"/>
        </w:rPr>
      </w:pPr>
      <w:r w:rsidRPr="00CD78B0">
        <w:rPr>
          <w:noProof/>
          <w:lang w:val="en-US"/>
        </w:rPr>
        <w:lastRenderedPageBreak/>
        <w:drawing>
          <wp:inline distT="0" distB="0" distL="0" distR="0" wp14:anchorId="0BD2B686" wp14:editId="2DB0EEC6">
            <wp:extent cx="5669280" cy="3886200"/>
            <wp:effectExtent l="0" t="0" r="7620" b="0"/>
            <wp:docPr id="1043914484" name="Grafiek 1">
              <a:extLst xmlns:a="http://schemas.openxmlformats.org/drawingml/2006/main">
                <a:ext uri="{FF2B5EF4-FFF2-40B4-BE49-F238E27FC236}">
                  <a16:creationId xmlns:a16="http://schemas.microsoft.com/office/drawing/2014/main" id="{EFA8A1AB-7C09-BD1C-72E9-88BA72B50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2201" w:rsidP="00E42201" w:rsidRDefault="00E42201" w14:paraId="19FE2C47" w14:textId="77777777">
      <w:pPr>
        <w:rPr>
          <w:sz w:val="16"/>
          <w:szCs w:val="16"/>
        </w:rPr>
      </w:pPr>
      <w:r w:rsidRPr="00CD78B0">
        <w:rPr>
          <w:sz w:val="16"/>
          <w:szCs w:val="16"/>
        </w:rPr>
        <w:t>Bron: IMF</w:t>
      </w:r>
    </w:p>
    <w:p w:rsidRPr="00CD78B0" w:rsidR="00E42201" w:rsidP="00E42201" w:rsidRDefault="00E42201" w14:paraId="46F563FA" w14:textId="77777777">
      <w:pPr>
        <w:rPr>
          <w:sz w:val="16"/>
          <w:szCs w:val="16"/>
        </w:rPr>
      </w:pPr>
    </w:p>
    <w:p w:rsidRPr="00CD78B0" w:rsidR="00E42201" w:rsidP="00E42201" w:rsidRDefault="00E42201" w14:paraId="4F0952E6" w14:textId="77777777">
      <w:pPr>
        <w:rPr>
          <w:lang w:val="en-US"/>
        </w:rPr>
      </w:pPr>
      <w:r w:rsidRPr="00CD78B0">
        <w:rPr>
          <w:lang w:val="en-US"/>
        </w:rPr>
        <w:t xml:space="preserve"> </w:t>
      </w:r>
      <w:r w:rsidRPr="00CD78B0">
        <w:rPr>
          <w:noProof/>
          <w:lang w:val="en-US"/>
        </w:rPr>
        <w:drawing>
          <wp:inline distT="0" distB="0" distL="0" distR="0" wp14:anchorId="77C4EF54" wp14:editId="591E5BB5">
            <wp:extent cx="4785360" cy="3086100"/>
            <wp:effectExtent l="0" t="0" r="0" b="0"/>
            <wp:docPr id="738417345" name="Grafiek 1">
              <a:extLst xmlns:a="http://schemas.openxmlformats.org/drawingml/2006/main">
                <a:ext uri="{FF2B5EF4-FFF2-40B4-BE49-F238E27FC236}">
                  <a16:creationId xmlns:a16="http://schemas.microsoft.com/office/drawing/2014/main" id="{F09A2BE8-6690-5C5D-F668-A976B45458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CD78B0" w:rsidR="00E42201" w:rsidP="00E42201" w:rsidRDefault="00E42201" w14:paraId="33BE1CAB" w14:textId="77777777">
      <w:pPr>
        <w:rPr>
          <w:sz w:val="16"/>
          <w:szCs w:val="16"/>
        </w:rPr>
      </w:pPr>
      <w:r w:rsidRPr="00CD78B0">
        <w:rPr>
          <w:sz w:val="16"/>
          <w:szCs w:val="16"/>
        </w:rPr>
        <w:t>Bron: DNB</w:t>
      </w:r>
    </w:p>
    <w:p w:rsidRPr="00CD78B0" w:rsidR="00E42201" w:rsidP="00E42201" w:rsidRDefault="00E42201" w14:paraId="1F5EA12B" w14:textId="77777777"/>
    <w:p w:rsidR="00E42201" w:rsidP="00E42201" w:rsidRDefault="00E42201" w14:paraId="0C59A852" w14:textId="77777777">
      <w:r w:rsidRPr="00CD78B0">
        <w:t xml:space="preserve">Hoewel duidelijk dalende, </w:t>
      </w:r>
      <w:r>
        <w:t xml:space="preserve">blijft de voorraad van de </w:t>
      </w:r>
      <w:proofErr w:type="spellStart"/>
      <w:r>
        <w:t>dbi</w:t>
      </w:r>
      <w:proofErr w:type="spellEnd"/>
      <w:r>
        <w:t xml:space="preserve"> in Nederland wel relatief hoog ten opzichte van andere landen</w:t>
      </w:r>
      <w:r w:rsidRPr="00CD78B0">
        <w:t xml:space="preserve">. </w:t>
      </w:r>
      <w:r>
        <w:t xml:space="preserve">Dit hoeft echter niet met </w:t>
      </w:r>
      <w:r>
        <w:lastRenderedPageBreak/>
        <w:t>belastingontwijking te maken te hebben</w:t>
      </w:r>
      <w:r w:rsidRPr="00CD78B0">
        <w:t xml:space="preserve">. Zoals eerder benoemd zorgen ook veel </w:t>
      </w:r>
      <w:r>
        <w:t>investeringen met andere motieven dan fiscale motieven</w:t>
      </w:r>
      <w:r w:rsidRPr="00CD78B0">
        <w:t xml:space="preserve"> voor een hoge </w:t>
      </w:r>
      <w:proofErr w:type="spellStart"/>
      <w:r w:rsidRPr="00CD78B0">
        <w:t>dbi</w:t>
      </w:r>
      <w:proofErr w:type="spellEnd"/>
      <w:r w:rsidRPr="00CD78B0">
        <w:t>. Daarnaast zullen sommige structuren die oorspronkelijk een belastingbesparing ten doel hadden zijn blijven bestaan, ondanks dat deze door de aanpak van belastingontwijking niet langer leiden tot een belastingbesparing.</w:t>
      </w:r>
    </w:p>
    <w:p w:rsidR="00E42201" w:rsidP="00E42201" w:rsidRDefault="00E42201" w14:paraId="669B0005" w14:textId="77777777"/>
    <w:p w:rsidRPr="00742F4B" w:rsidR="00E42201" w:rsidP="00E42201" w:rsidRDefault="00E42201" w14:paraId="635C9C6D" w14:textId="77777777">
      <w:pPr>
        <w:rPr>
          <w:b/>
          <w:bCs/>
        </w:rPr>
      </w:pPr>
      <w:r>
        <w:rPr>
          <w:b/>
          <w:bCs/>
        </w:rPr>
        <w:t>5</w:t>
      </w:r>
      <w:r w:rsidRPr="00742F4B">
        <w:rPr>
          <w:b/>
          <w:bCs/>
        </w:rPr>
        <w:t>.</w:t>
      </w:r>
      <w:r>
        <w:rPr>
          <w:b/>
          <w:bCs/>
        </w:rPr>
        <w:tab/>
      </w:r>
      <w:r w:rsidRPr="00742F4B">
        <w:rPr>
          <w:b/>
          <w:bCs/>
        </w:rPr>
        <w:t>Europese en internationale ontwikkelingen</w:t>
      </w:r>
    </w:p>
    <w:p w:rsidR="00E42201" w:rsidP="00E42201" w:rsidRDefault="00E42201" w14:paraId="72E9EEEA" w14:textId="77777777"/>
    <w:p w:rsidR="00E42201" w:rsidP="00E42201" w:rsidRDefault="00E42201" w14:paraId="137F87BD" w14:textId="77777777">
      <w:r>
        <w:t>Evenals in vorige monitoringsbrieven volgt in deze paragraaf een overzicht van de lopende Europese en internationale ontwikkelingen op het gebied van de aanpak van internationale belastingontwijking.</w:t>
      </w:r>
    </w:p>
    <w:p w:rsidR="00E42201" w:rsidP="00E42201" w:rsidRDefault="00E42201" w14:paraId="1E871389" w14:textId="77777777"/>
    <w:p w:rsidRPr="00742F4B" w:rsidR="00E42201" w:rsidP="00E42201" w:rsidRDefault="00E42201" w14:paraId="3F053940" w14:textId="77777777">
      <w:r>
        <w:t>5</w:t>
      </w:r>
      <w:r w:rsidRPr="00742F4B">
        <w:t>.1</w:t>
      </w:r>
      <w:r w:rsidRPr="00742F4B">
        <w:tab/>
        <w:t>Pijler 1 en 2</w:t>
      </w:r>
    </w:p>
    <w:p w:rsidRPr="004A1540" w:rsidR="00E42201" w:rsidP="00E42201" w:rsidRDefault="00E42201" w14:paraId="467214DB" w14:textId="77777777">
      <w:pPr>
        <w:rPr>
          <w:i/>
          <w:iCs/>
        </w:rPr>
      </w:pPr>
    </w:p>
    <w:p w:rsidRPr="002B5346" w:rsidR="00E42201" w:rsidP="00E42201" w:rsidRDefault="00E42201" w14:paraId="2196EFC6" w14:textId="77777777">
      <w:r w:rsidRPr="00802695">
        <w:t xml:space="preserve">In het OESO/G20 </w:t>
      </w:r>
      <w:proofErr w:type="spellStart"/>
      <w:r w:rsidRPr="00802695">
        <w:t>Inclusive</w:t>
      </w:r>
      <w:proofErr w:type="spellEnd"/>
      <w:r w:rsidRPr="00802695">
        <w:t xml:space="preserve"> Framework on Base </w:t>
      </w:r>
      <w:proofErr w:type="spellStart"/>
      <w:r w:rsidRPr="00802695">
        <w:t>Erosion</w:t>
      </w:r>
      <w:proofErr w:type="spellEnd"/>
      <w:r w:rsidRPr="00802695">
        <w:t xml:space="preserve"> </w:t>
      </w:r>
      <w:proofErr w:type="spellStart"/>
      <w:r w:rsidRPr="00802695">
        <w:t>and</w:t>
      </w:r>
      <w:proofErr w:type="spellEnd"/>
      <w:r w:rsidRPr="00802695">
        <w:t xml:space="preserve"> Profit </w:t>
      </w:r>
      <w:proofErr w:type="spellStart"/>
      <w:r w:rsidRPr="00802695">
        <w:t>Shifting</w:t>
      </w:r>
      <w:proofErr w:type="spellEnd"/>
      <w:r w:rsidRPr="00802695">
        <w:t xml:space="preserve"> (IF) is de afgelopen jaren gewerkt aan een herziening van het internationale belastingsysteem</w:t>
      </w:r>
      <w:r>
        <w:t>.</w:t>
      </w:r>
      <w:r w:rsidRPr="00802695">
        <w:t xml:space="preserve"> De aanleiding hiervoor is gelegen in de uitdagingen die de globaliserende en digitaliserende economie met zich meebrengt voor de </w:t>
      </w:r>
      <w:r w:rsidRPr="002B5346">
        <w:t>belastingheffing van multinationals. De herziening van het internationale belastingsysteem bestaat uit Pijler 1 en Pijler 2.</w:t>
      </w:r>
    </w:p>
    <w:p w:rsidRPr="002B5346" w:rsidR="00A008D9" w:rsidP="00A008D9" w:rsidRDefault="00A008D9" w14:paraId="36794D15" w14:textId="77777777"/>
    <w:p w:rsidRPr="00736959" w:rsidR="00A008D9" w:rsidP="00A008D9" w:rsidRDefault="00A008D9" w14:paraId="668EE369" w14:textId="77777777">
      <w:r w:rsidRPr="00736959">
        <w:t>In januari dit jaar heeft de Verenigde Staten (VS) aangegeven dat toezeggingen die door de vorige regering van de VS zijn gedaan met betrekking tot de wereldwijde minimumbelasting (Pijler 2) niet meer van kracht zijn zolang (elementen uit) de wereldwijde minimumbelasting niet door het Congres zijn aangenomen.</w:t>
      </w:r>
      <w:r w:rsidRPr="00736959">
        <w:rPr>
          <w:rStyle w:val="Voetnootmarkering"/>
        </w:rPr>
        <w:footnoteReference w:id="21"/>
      </w:r>
      <w:r w:rsidRPr="00736959">
        <w:t xml:space="preserve"> Sindsdien </w:t>
      </w:r>
      <w:r>
        <w:t>is</w:t>
      </w:r>
      <w:r w:rsidRPr="00736959">
        <w:t xml:space="preserve"> in het IF opnieuw onderhandeld over Pijler 2 en hoe het Amerikaanse belastingsysteem hiernaast kan bestaan (‘Side-</w:t>
      </w:r>
      <w:proofErr w:type="spellStart"/>
      <w:r w:rsidRPr="00736959">
        <w:t>by</w:t>
      </w:r>
      <w:proofErr w:type="spellEnd"/>
      <w:r w:rsidRPr="00736959">
        <w:t>-Side’), mede omdat de VS al langer een eigen vorm van een minimumbelasting kent</w:t>
      </w:r>
      <w:r>
        <w:t>, met het streven om voor het einde van het jaar overeenstemming te bereiken. Daarbij is in lijn met de verklaring van de ministers van Financiën van de G7-landen van</w:t>
      </w:r>
      <w:r w:rsidRPr="00736959">
        <w:t xml:space="preserve"> 28 juni 2025</w:t>
      </w:r>
      <w:r w:rsidRPr="00736959">
        <w:rPr>
          <w:rStyle w:val="Voetnootmarkering"/>
        </w:rPr>
        <w:footnoteReference w:id="22"/>
      </w:r>
      <w:r w:rsidRPr="00736959">
        <w:t xml:space="preserve"> </w:t>
      </w:r>
      <w:r>
        <w:t xml:space="preserve">door de leden van het IF ook gekeken naar mogelijkheden om de minimumbelasting te vereenvoudigen en naar de behandeling van niet-restitueerbare belastingtegoeden. Ik hoop </w:t>
      </w:r>
      <w:r w:rsidR="006A2B49">
        <w:t>de Tweede</w:t>
      </w:r>
      <w:r>
        <w:t xml:space="preserve"> Kamer zo spoedig mogelijk over de uitkomsten van de onderhandelingen te informeren. </w:t>
      </w:r>
    </w:p>
    <w:p w:rsidRPr="002B5346" w:rsidR="00E42201" w:rsidP="00E42201" w:rsidRDefault="00E42201" w14:paraId="12B7299C" w14:textId="77777777"/>
    <w:p w:rsidRPr="00EB3324" w:rsidR="00E42201" w:rsidP="00E42201" w:rsidRDefault="00E42201" w14:paraId="17C3FFD2" w14:textId="77777777">
      <w:r w:rsidRPr="002B5346">
        <w:t>Pijler 1 is met name gericht op een herverdeling van een deel van de winsten van</w:t>
      </w:r>
      <w:r w:rsidRPr="002008DA">
        <w:t xml:space="preserve"> de grootste en meest winstgevende multinationals. Op basis van Pijler 1 zouden landen waar bedrijven veel afnemers of gebruikers hebben (extra) heffingsrechten krijgen toebedeeld en zouden andere landen heffingsrechten moeten inleveren om dubbele belasting te voorkomen.</w:t>
      </w:r>
      <w:r>
        <w:t xml:space="preserve"> </w:t>
      </w:r>
      <w:r w:rsidRPr="002008DA">
        <w:t>Het IF heeft op 11 april 2025 in een verklaring aangegeven dat de onderhandelingen over Pijler 1 nog gaande zijn.</w:t>
      </w:r>
      <w:r w:rsidRPr="002008DA">
        <w:rPr>
          <w:vertAlign w:val="superscript"/>
        </w:rPr>
        <w:footnoteReference w:id="23"/>
      </w:r>
      <w:r w:rsidRPr="002008DA">
        <w:t xml:space="preserve"> Nederland blijft voorstander van Pijler 1 en steunt deze onderhandelingen. Er is echter geen nieuwe termijn voor afronding van de onderhandelingen in de verklaring opgenomen. Gelet op het ontbreken van consensus op dit moment is een akkoord op korte termijn niet realistisch. De </w:t>
      </w:r>
      <w:r w:rsidRPr="002008DA">
        <w:lastRenderedPageBreak/>
        <w:t xml:space="preserve">discussie over een mogelijk alternatief voor Pijler 1, zoals een </w:t>
      </w:r>
      <w:proofErr w:type="spellStart"/>
      <w:r>
        <w:t>digitaledienstenbelasting</w:t>
      </w:r>
      <w:proofErr w:type="spellEnd"/>
      <w:r>
        <w:t xml:space="preserve"> (</w:t>
      </w:r>
      <w:r w:rsidRPr="002008DA">
        <w:t>DST</w:t>
      </w:r>
      <w:r>
        <w:t>)</w:t>
      </w:r>
      <w:r w:rsidRPr="002008DA">
        <w:t>, wordt daarom gevoerd in meerdere landen.</w:t>
      </w:r>
      <w:r>
        <w:t xml:space="preserve"> Op 23 september 2025 is </w:t>
      </w:r>
      <w:r w:rsidR="0099301F">
        <w:t>de Tweede</w:t>
      </w:r>
      <w:r>
        <w:t xml:space="preserve"> Kamer per brief geïnformeerd over relevante </w:t>
      </w:r>
      <w:r w:rsidRPr="00EB3324">
        <w:t>overwegingen die bij de invoering van een DST aan de orde kunnen komen.</w:t>
      </w:r>
      <w:r w:rsidRPr="00EB3324">
        <w:rPr>
          <w:rStyle w:val="Voetnootmarkering"/>
        </w:rPr>
        <w:footnoteReference w:id="24"/>
      </w:r>
    </w:p>
    <w:p w:rsidRPr="00EB3324" w:rsidR="00E42201" w:rsidP="00E42201" w:rsidRDefault="00E42201" w14:paraId="5539CCF7" w14:textId="77777777"/>
    <w:p w:rsidR="00E42201" w:rsidP="00E42201" w:rsidRDefault="00E42201" w14:paraId="257909FB" w14:textId="77777777">
      <w:r>
        <w:t>5</w:t>
      </w:r>
      <w:r w:rsidRPr="00742F4B">
        <w:t>.</w:t>
      </w:r>
      <w:r>
        <w:t>2</w:t>
      </w:r>
      <w:r w:rsidRPr="00742F4B">
        <w:tab/>
        <w:t xml:space="preserve">Richtlijnvoorstel </w:t>
      </w:r>
      <w:proofErr w:type="spellStart"/>
      <w:r w:rsidRPr="00742F4B">
        <w:t>Unshell</w:t>
      </w:r>
      <w:proofErr w:type="spellEnd"/>
    </w:p>
    <w:p w:rsidRPr="00742F4B" w:rsidR="00E42201" w:rsidP="00E42201" w:rsidRDefault="00E42201" w14:paraId="2F80AB64" w14:textId="77777777"/>
    <w:p w:rsidR="00E42201" w:rsidP="00E42201" w:rsidRDefault="00E42201" w14:paraId="763BE08F" w14:textId="77777777">
      <w:r>
        <w:t>Zoals aangegeven in het BNC-fiche</w:t>
      </w:r>
      <w:r>
        <w:rPr>
          <w:rStyle w:val="Voetnootmarkering"/>
        </w:rPr>
        <w:footnoteReference w:id="25"/>
      </w:r>
      <w:r>
        <w:t>, is het</w:t>
      </w:r>
      <w:r w:rsidRPr="00932688">
        <w:t xml:space="preserve"> kabinet</w:t>
      </w:r>
      <w:r>
        <w:t xml:space="preserve"> groot voorstander van de beleidsdoelen van </w:t>
      </w:r>
      <w:r w:rsidRPr="00932688">
        <w:t>het EU-richtlijnvoorstel om misbruik van doorstroomvennootschappen aan te pakken (“</w:t>
      </w:r>
      <w:proofErr w:type="spellStart"/>
      <w:r w:rsidRPr="00932688">
        <w:t>Unshell</w:t>
      </w:r>
      <w:proofErr w:type="spellEnd"/>
      <w:r w:rsidRPr="00932688">
        <w:t xml:space="preserve">”). De richtlijn bevat maatregelen om informatie over doorstroomvennootschappen uit te wisselen tussen lidstaten en om bepaalde fiscale voordelen aan doorstroomvennootschappen te weigeren. Nederland </w:t>
      </w:r>
      <w:r>
        <w:t xml:space="preserve">heeft zich </w:t>
      </w:r>
      <w:r w:rsidRPr="00932688">
        <w:t xml:space="preserve">bij de richtlijnonderhandelingen actief </w:t>
      </w:r>
      <w:r>
        <w:t xml:space="preserve">en constructief </w:t>
      </w:r>
      <w:r w:rsidRPr="00932688">
        <w:t>in</w:t>
      </w:r>
      <w:r>
        <w:t>gezet</w:t>
      </w:r>
      <w:r w:rsidRPr="00932688">
        <w:t xml:space="preserve">. </w:t>
      </w:r>
      <w:r>
        <w:t>Belastingontwijking stopt niet bij de landsgrenzen, en de effectiviteit van maatregelen tegen belastingontwijking is beperkt indien bedrijven belastingontwijkende structuren naar andere landen kunnen verschuiven. Met</w:t>
      </w:r>
      <w:r w:rsidRPr="00932688">
        <w:t xml:space="preserve"> een internationale aanpak </w:t>
      </w:r>
      <w:r>
        <w:t>kan misbruik</w:t>
      </w:r>
      <w:r w:rsidRPr="00932688">
        <w:t xml:space="preserve"> van doorstroomvennootschappen op een </w:t>
      </w:r>
      <w:r>
        <w:t xml:space="preserve">effectieve </w:t>
      </w:r>
      <w:r w:rsidRPr="00932688">
        <w:t xml:space="preserve">en uniforme wijze </w:t>
      </w:r>
      <w:r>
        <w:t xml:space="preserve">worden </w:t>
      </w:r>
      <w:r w:rsidRPr="00932688">
        <w:t xml:space="preserve">aangepakt. </w:t>
      </w:r>
    </w:p>
    <w:p w:rsidR="00E42201" w:rsidP="00E42201" w:rsidRDefault="00E42201" w14:paraId="7222C7DB" w14:textId="77777777"/>
    <w:p w:rsidRPr="004517D4" w:rsidR="00E42201" w:rsidP="00E42201" w:rsidRDefault="00E42201" w14:paraId="3B5A0AC7" w14:textId="77777777">
      <w:r>
        <w:t>In</w:t>
      </w:r>
      <w:r w:rsidRPr="00932688">
        <w:t xml:space="preserve"> de raadswerkgroepen </w:t>
      </w:r>
      <w:r>
        <w:t>zijn zorgen geuit over de mogelijke on</w:t>
      </w:r>
      <w:r w:rsidRPr="00932688">
        <w:t>balans tussen het effectief aanpakken van doorstroom</w:t>
      </w:r>
      <w:r>
        <w:t>vennootschappen</w:t>
      </w:r>
      <w:r w:rsidRPr="00932688">
        <w:t xml:space="preserve"> en de administratieve lasten </w:t>
      </w:r>
      <w:r>
        <w:t>die daarmee gemoeid zijn</w:t>
      </w:r>
      <w:r w:rsidRPr="00932688">
        <w:t xml:space="preserve"> voor de uitvoering</w:t>
      </w:r>
      <w:r>
        <w:t xml:space="preserve"> en het bedrijfsleven</w:t>
      </w:r>
      <w:r w:rsidRPr="00932688">
        <w:t>.</w:t>
      </w:r>
      <w:r>
        <w:t xml:space="preserve"> Hierbij kwam de wens van de lidstaten op om beter gebruik te maken van de bestaande informatie uitwisselingsafspraken in plaats van de opzet van een nieuw op zichzelf staand informatie uitwisselingssysteem. De Commissie heeft deze wens ter harte genomen en werkt aan het opstellen van een hernieuwd initiatief waarbij de uitwisseling van informatie over doorstroomvennootschappen, gebruik makend van de huidige </w:t>
      </w:r>
      <w:r w:rsidRPr="00986F79">
        <w:t>Richtlijn administratieve samenwerking op belastinggebied</w:t>
      </w:r>
      <w:r>
        <w:rPr>
          <w:rStyle w:val="Voetnootmarkering"/>
        </w:rPr>
        <w:footnoteReference w:id="26"/>
      </w:r>
      <w:r>
        <w:t xml:space="preserve">, op een efficiëntere wijze kan plaatsvinden. Naar verwachting zal dit nieuwe voorstel onderdeel zijn van de bredere herziening Richtlijn administratieve samenwerking wat in de eerste helft van 2026 worden gepubliceerd. Na publicatie zal het kabinet een BNC-fiche over dit voorstel naar de Kamer versturen. In samenhang hiermee heeft de Europese Commissie het richtlijnvoorstel </w:t>
      </w:r>
      <w:proofErr w:type="spellStart"/>
      <w:r>
        <w:t>Unshell</w:t>
      </w:r>
      <w:proofErr w:type="spellEnd"/>
      <w:r>
        <w:t xml:space="preserve"> ingetrokken.</w:t>
      </w:r>
    </w:p>
    <w:p w:rsidR="00E42201" w:rsidP="00E42201" w:rsidRDefault="00E42201" w14:paraId="085C55A1" w14:textId="77777777"/>
    <w:p w:rsidR="00E42201" w:rsidP="00E42201" w:rsidRDefault="00E42201" w14:paraId="594DB317" w14:textId="77777777">
      <w:r>
        <w:t>5</w:t>
      </w:r>
      <w:r w:rsidRPr="00742F4B">
        <w:t>.</w:t>
      </w:r>
      <w:r>
        <w:t>3</w:t>
      </w:r>
      <w:r w:rsidRPr="00742F4B">
        <w:tab/>
      </w:r>
      <w:r w:rsidRPr="004A1540">
        <w:t>FASTER</w:t>
      </w:r>
    </w:p>
    <w:p w:rsidRPr="004A1540" w:rsidR="00E42201" w:rsidP="00E42201" w:rsidRDefault="00E42201" w14:paraId="14DC5CA3" w14:textId="77777777"/>
    <w:p w:rsidRPr="004A1540" w:rsidR="00E42201" w:rsidP="00E42201" w:rsidRDefault="00E42201" w14:paraId="64DAA68A" w14:textId="77777777">
      <w:r w:rsidRPr="004A1540">
        <w:t xml:space="preserve">Op 10 december 2024 heeft de Raad van de Europese Unie een akkoord bereikt over de richtlijn van de Raad voor een snellere en veiligere vermindering van te veel ingehouden bronbelasting (FASTER). De richtlijn moet op 31 december 2028 geïmplementeerd zijn en treedt op 1 januari 2030 in werking. </w:t>
      </w:r>
    </w:p>
    <w:p w:rsidRPr="004A1540" w:rsidR="00E42201" w:rsidP="00E42201" w:rsidRDefault="00E42201" w14:paraId="3333E75B" w14:textId="77777777"/>
    <w:p w:rsidRPr="004A1540" w:rsidR="00E42201" w:rsidP="00E42201" w:rsidRDefault="00E42201" w14:paraId="693F6520" w14:textId="77777777">
      <w:r w:rsidRPr="004A1540">
        <w:t xml:space="preserve">FASTER heeft als doel teruggaafprocedures en procedures voor een vrijstelling aan de bron in de dividendbelasting te harmoniseren, te versnellen en daarnaast om deze bestendiger te maken tegen misbruik. De soepele werking van deze procedures zijn van groot belang voor de kapitaalmarktunie. Momenteel kunnen deze procedures belemmerend werken omdat deze omslachtig, duur en langdurig </w:t>
      </w:r>
      <w:r w:rsidRPr="004A1540">
        <w:lastRenderedPageBreak/>
        <w:t xml:space="preserve">zijn en beleggers daarmee hun rechten in de kapitaalmarktunie niet kunnen effectueren. Ook zijn de huidige procedures in de afzonderlijke EU-lidstaten fraudegevoelig. </w:t>
      </w:r>
    </w:p>
    <w:p w:rsidRPr="004A1540" w:rsidR="00E42201" w:rsidP="00E42201" w:rsidRDefault="00E42201" w14:paraId="40175903" w14:textId="77777777"/>
    <w:p w:rsidRPr="004A1540" w:rsidR="00E42201" w:rsidP="00E42201" w:rsidRDefault="00E42201" w14:paraId="5ABEA081" w14:textId="77777777">
      <w:r w:rsidRPr="004A1540">
        <w:t>De reikwijdte van de procedures zijn, ten opzichte van het originele richtlijnvoorstel, uitgebreid zodat meer beleggers toegang hebben, waaronder contractuele beleggingsfondsen zoals Nederlandse fondsen voor gemene rekening. Voor lidstaten met een kleinere aandelenbeurs én een goedwerkend systeem voor vrijstelling aan de bron zijn de procedures optioneel, mits beleggers dezelfde rechten behouden en niet méér informatie hoeven te verstrekken dan onder FASTER.</w:t>
      </w:r>
    </w:p>
    <w:p w:rsidRPr="004A1540" w:rsidR="00E42201" w:rsidP="00E42201" w:rsidRDefault="00E42201" w14:paraId="5E205B97" w14:textId="77777777"/>
    <w:p w:rsidR="00E42201" w:rsidP="00E42201" w:rsidRDefault="00E42201" w14:paraId="1A668AD2" w14:textId="77777777">
      <w:r w:rsidRPr="004A1540">
        <w:t>Om misbruik te voorkomen biedt de richtlijn lidstaten mogelijkheden om FASTER-procedures te weigeren, bijvoorbeeld bij verkrijging van aandelen kort voor de ex-dividenddatum. Financiële intermediairs moeten daarnaast, onder de reikwijdte van de FASTER-richtlijn, meer gegevens over dividend en beleggers rapporteren, wat mogelijk nieuwe informatie oplevert ten behoeve van de opsporing van dividendstripping. De bestaande handhavingsmogelijkheden van belastingdiensten blijven hiernaast onverminderd van kracht.</w:t>
      </w:r>
    </w:p>
    <w:p w:rsidRPr="004A1540" w:rsidR="00E42201" w:rsidP="00E42201" w:rsidRDefault="00E42201" w14:paraId="6AE86165" w14:textId="77777777"/>
    <w:p w:rsidR="00E42201" w:rsidP="00E42201" w:rsidRDefault="00E42201" w14:paraId="6FED47FD" w14:textId="77777777">
      <w:r>
        <w:t>5</w:t>
      </w:r>
      <w:r w:rsidRPr="00742F4B">
        <w:t>.</w:t>
      </w:r>
      <w:r>
        <w:t>4</w:t>
      </w:r>
      <w:r w:rsidRPr="00742F4B">
        <w:tab/>
        <w:t>Richtlijnvoorstel Verrekenprijzen</w:t>
      </w:r>
    </w:p>
    <w:p w:rsidRPr="00742F4B" w:rsidR="00E42201" w:rsidP="00E42201" w:rsidRDefault="00E42201" w14:paraId="7CEFAF1D" w14:textId="77777777"/>
    <w:p w:rsidR="00E42201" w:rsidP="00E42201" w:rsidRDefault="00E42201" w14:paraId="121DF5A2" w14:textId="77777777">
      <w:r w:rsidRPr="00605AD3">
        <w:t xml:space="preserve">Op 12 september 2023 is het richtlijnvoorstel Verrekenprijzen gepubliceerd. Het voorstel heeft als doel om de regels rondom de toepassing van het </w:t>
      </w:r>
      <w:proofErr w:type="spellStart"/>
      <w:r w:rsidRPr="00605AD3">
        <w:t>arm’s-Lengthbeginsel</w:t>
      </w:r>
      <w:proofErr w:type="spellEnd"/>
      <w:r w:rsidRPr="00605AD3">
        <w:t xml:space="preserve"> uit de OESO-</w:t>
      </w:r>
      <w:proofErr w:type="spellStart"/>
      <w:r w:rsidRPr="00605AD3">
        <w:t>guidelines</w:t>
      </w:r>
      <w:proofErr w:type="spellEnd"/>
      <w:r w:rsidRPr="00605AD3">
        <w:t xml:space="preserve"> binnen de Europese Unie te harmoniseren. De Tweede Kamer heeft de kabinetsappreciatie van dit richtlijnvoorstel door middel van </w:t>
      </w:r>
      <w:r>
        <w:t>een</w:t>
      </w:r>
      <w:r w:rsidRPr="00605AD3">
        <w:t xml:space="preserve"> BNC-fiche ontvangen.</w:t>
      </w:r>
      <w:r>
        <w:rPr>
          <w:rStyle w:val="Voetnootmarkering"/>
        </w:rPr>
        <w:footnoteReference w:id="27"/>
      </w:r>
      <w:r w:rsidRPr="00605AD3">
        <w:t xml:space="preserve"> Gedurende de onderhandelingen heeft Nederland, </w:t>
      </w:r>
      <w:proofErr w:type="gramStart"/>
      <w:r w:rsidRPr="00605AD3">
        <w:t>conform</w:t>
      </w:r>
      <w:proofErr w:type="gramEnd"/>
      <w:r w:rsidRPr="00605AD3">
        <w:t xml:space="preserve"> het BNC-fiche, uitgedragen de algemene doelstellingen achter het richtlijnvoorstel, zoals het bieden van meer zekerheid aan multinationale ondernemingen, te steunen. Daartoe is ingezet op het opnemen van het </w:t>
      </w:r>
      <w:proofErr w:type="spellStart"/>
      <w:r w:rsidRPr="00605AD3">
        <w:t>arm’s-lengthbeginsel</w:t>
      </w:r>
      <w:proofErr w:type="spellEnd"/>
      <w:r w:rsidRPr="00605AD3">
        <w:t xml:space="preserve"> in Europese wetgeving en tegelijkertijd gepleit voor het voorkomen van een separate Europese standaard ten aanzien van de interpretatie van de OESO-richtlijnen </w:t>
      </w:r>
      <w:proofErr w:type="gramStart"/>
      <w:r w:rsidRPr="00605AD3">
        <w:t>inzake</w:t>
      </w:r>
      <w:proofErr w:type="gramEnd"/>
      <w:r w:rsidRPr="00605AD3">
        <w:t xml:space="preserve"> verrekenprijzen. </w:t>
      </w:r>
      <w:r>
        <w:t>V</w:t>
      </w:r>
      <w:r w:rsidRPr="00605AD3">
        <w:t xml:space="preserve">erschillende lidstaten </w:t>
      </w:r>
      <w:r>
        <w:t xml:space="preserve">hebben echter </w:t>
      </w:r>
      <w:r w:rsidRPr="00605AD3">
        <w:t xml:space="preserve">aangegeven geen voorstander te zijn van een Europese richtlijn op het terrein van verrekenprijzen. </w:t>
      </w:r>
      <w:r>
        <w:t xml:space="preserve">Vervolgens is onderzocht of onder de lidstaten voldoende animo bestond voor </w:t>
      </w:r>
      <w:r w:rsidRPr="00605AD3">
        <w:t xml:space="preserve">andere, niet-wetgevende, mogelijkheden om in Europees verband beter samen te werken aan praktijkverbeteringen op het terrein van verrekenprijzen. </w:t>
      </w:r>
      <w:r>
        <w:t xml:space="preserve">Nederland heeft aangegeven open te staan voor een dergelijke samenwerking, omdat </w:t>
      </w:r>
      <w:r w:rsidRPr="00605AD3">
        <w:t>betere samenwerking kan bijdragen aan meer zekerheid voor belastingplichtigen.</w:t>
      </w:r>
      <w:r>
        <w:t xml:space="preserve"> Verschillende lidstaten stonden open voor bijvoorbeeld het opzetten van een Transfer Pricing Forum maar de standpunten over het mandaat van een dergelijk forum liepen uiteen. De </w:t>
      </w:r>
      <w:proofErr w:type="spellStart"/>
      <w:r>
        <w:t>Ecofin</w:t>
      </w:r>
      <w:proofErr w:type="spellEnd"/>
      <w:r>
        <w:t xml:space="preserve"> Raad heeft op 20 juni 2025 daarom geconcludeerd dat er geen overeenstemming is bereikt.</w:t>
      </w:r>
      <w:r>
        <w:rPr>
          <w:rStyle w:val="Voetnootmarkering"/>
        </w:rPr>
        <w:footnoteReference w:id="28"/>
      </w:r>
      <w:r>
        <w:t xml:space="preserve"> De Europese Commissie heeft het richtlijnvoorstel ingetrokken.</w:t>
      </w:r>
    </w:p>
    <w:p w:rsidRPr="004A1540" w:rsidR="00E42201" w:rsidP="00E42201" w:rsidRDefault="00E42201" w14:paraId="2264F257" w14:textId="77777777"/>
    <w:p w:rsidR="00E42201" w:rsidP="00E42201" w:rsidRDefault="00E42201" w14:paraId="15B1A6B6" w14:textId="77777777">
      <w:r>
        <w:t>5</w:t>
      </w:r>
      <w:r w:rsidRPr="00742F4B">
        <w:t>.</w:t>
      </w:r>
      <w:r>
        <w:t>5</w:t>
      </w:r>
      <w:r w:rsidRPr="00742F4B">
        <w:tab/>
      </w:r>
      <w:r w:rsidRPr="004A1540">
        <w:t xml:space="preserve">Richtlijnvoorstel BEFIT </w:t>
      </w:r>
    </w:p>
    <w:p w:rsidRPr="004A1540" w:rsidR="00E42201" w:rsidP="00E42201" w:rsidRDefault="00E42201" w14:paraId="5B5542F2" w14:textId="77777777"/>
    <w:p w:rsidRPr="004A1540" w:rsidR="00E42201" w:rsidP="00E42201" w:rsidRDefault="00E42201" w14:paraId="70F62BE8" w14:textId="77777777">
      <w:r w:rsidRPr="004A1540">
        <w:t xml:space="preserve">Op 12 september 2023 is het richtlijnvoorstel Business in Europe: Framework </w:t>
      </w:r>
      <w:proofErr w:type="spellStart"/>
      <w:r w:rsidRPr="004A1540">
        <w:t>for</w:t>
      </w:r>
      <w:proofErr w:type="spellEnd"/>
      <w:r w:rsidRPr="004A1540">
        <w:t xml:space="preserve"> </w:t>
      </w:r>
      <w:proofErr w:type="spellStart"/>
      <w:r w:rsidRPr="004A1540">
        <w:t>Income</w:t>
      </w:r>
      <w:proofErr w:type="spellEnd"/>
      <w:r w:rsidRPr="004A1540">
        <w:t xml:space="preserve"> </w:t>
      </w:r>
      <w:proofErr w:type="spellStart"/>
      <w:r w:rsidRPr="004A1540">
        <w:t>Taxation</w:t>
      </w:r>
      <w:proofErr w:type="spellEnd"/>
      <w:r w:rsidRPr="004A1540">
        <w:t xml:space="preserve"> (BEFIT) gepresenteerd. Het voorstel bevat een gemeenschappelijke grondslag voor de winstbelasting en een </w:t>
      </w:r>
      <w:proofErr w:type="spellStart"/>
      <w:r w:rsidRPr="004A1540">
        <w:t>winsttoerekeningsmechanisme</w:t>
      </w:r>
      <w:proofErr w:type="spellEnd"/>
      <w:r w:rsidRPr="004A1540">
        <w:t xml:space="preserve">. De Tweede Kamer heeft de appreciatie van het </w:t>
      </w:r>
      <w:r w:rsidRPr="004A1540">
        <w:lastRenderedPageBreak/>
        <w:t>kabinet door middel van het BNC-fiche ontvangen.</w:t>
      </w:r>
      <w:r w:rsidRPr="004A1540">
        <w:rPr>
          <w:vertAlign w:val="superscript"/>
        </w:rPr>
        <w:footnoteReference w:id="29"/>
      </w:r>
      <w:r w:rsidRPr="004A1540">
        <w:t xml:space="preserve"> Bij de behandeling van het voorstel in de Tweede Kamer is de motie-Van Dijck aangenomen,</w:t>
      </w:r>
      <w:r w:rsidRPr="004A1540">
        <w:rPr>
          <w:vertAlign w:val="superscript"/>
        </w:rPr>
        <w:footnoteReference w:id="30"/>
      </w:r>
      <w:r w:rsidRPr="004A1540">
        <w:t xml:space="preserve"> die de regering verzoekt niet in te stemmen met BEFIT en dat ook onomwonden kenbaar te maken aan de Europese Commissie in Brussel. Dit is op </w:t>
      </w:r>
      <w:proofErr w:type="spellStart"/>
      <w:r w:rsidRPr="004A1540">
        <w:t>hoogambtelijk</w:t>
      </w:r>
      <w:proofErr w:type="spellEnd"/>
      <w:r w:rsidRPr="004A1540">
        <w:t xml:space="preserve"> niveau besproken met de Europese Commissie. In de Raad is momenteel weinig steun voor het BEFIT-voorstel. Het ligt daarom niet in de lijn der verwachting dat er op korte termijn overeenstemming wordt bereikt.</w:t>
      </w:r>
    </w:p>
    <w:p w:rsidR="00E42201" w:rsidP="00E42201" w:rsidRDefault="00E42201" w14:paraId="2EFF55FF" w14:textId="77777777"/>
    <w:p w:rsidRPr="00742F4B" w:rsidR="00E42201" w:rsidP="00E42201" w:rsidRDefault="00E42201" w14:paraId="1492F513" w14:textId="77777777">
      <w:r>
        <w:t>5</w:t>
      </w:r>
      <w:r w:rsidRPr="00742F4B">
        <w:t>.</w:t>
      </w:r>
      <w:r>
        <w:t>6</w:t>
      </w:r>
      <w:r w:rsidRPr="00742F4B">
        <w:tab/>
        <w:t>Gegevensuitwisseling</w:t>
      </w:r>
    </w:p>
    <w:p w:rsidR="00E42201" w:rsidP="00E42201" w:rsidRDefault="00E42201" w14:paraId="64D0A0C8" w14:textId="77777777"/>
    <w:p w:rsidR="00E42201" w:rsidP="00E42201" w:rsidRDefault="00E42201" w14:paraId="32B5126A" w14:textId="77777777">
      <w:r w:rsidRPr="00BC2757">
        <w:t>Nederland blijft zich inzetten voor de uitwisseling van informatie in grensoverschrijdende situaties. Het doel daarvan is eveneens het tegengaan van belastingontduiking en -ontwijking. In de monitoringsbrief van vorig jaar</w:t>
      </w:r>
      <w:r>
        <w:rPr>
          <w:rStyle w:val="Voetnootmarkering"/>
        </w:rPr>
        <w:footnoteReference w:id="31"/>
      </w:r>
      <w:r>
        <w:t xml:space="preserve"> </w:t>
      </w:r>
      <w:r w:rsidRPr="00BC2757">
        <w:t xml:space="preserve">is mijn ambtsvoorganger ingegaan op de juridische instrumenten daarvoor, zijnde het Verdrag </w:t>
      </w:r>
      <w:proofErr w:type="gramStart"/>
      <w:r w:rsidRPr="00BC2757">
        <w:t>inzake</w:t>
      </w:r>
      <w:proofErr w:type="gramEnd"/>
      <w:r w:rsidRPr="00BC2757">
        <w:t xml:space="preserve"> wederzijdse administratieve bijstand in belastingzaken (het WABB-verdrag) in OESO-verband, bilaterale belastingverdragen en de administratieve bijstandsrichtlijn - Directive on </w:t>
      </w:r>
      <w:proofErr w:type="spellStart"/>
      <w:r w:rsidRPr="00BC2757">
        <w:t>Administrative</w:t>
      </w:r>
      <w:proofErr w:type="spellEnd"/>
      <w:r w:rsidRPr="00BC2757">
        <w:t xml:space="preserve"> Cooperation (DAC) in EU-verband. Voor de belastingheffing relevante informatie kan automatisch, spontaan of op verzoek worden uitgewisseld. </w:t>
      </w:r>
    </w:p>
    <w:p w:rsidRPr="00BC2757" w:rsidR="00E42201" w:rsidP="00E42201" w:rsidRDefault="00E42201" w14:paraId="67904CB7" w14:textId="77777777"/>
    <w:p w:rsidRPr="00E42201" w:rsidR="00E42201" w:rsidP="00E42201" w:rsidRDefault="00E42201" w14:paraId="25DBEB03" w14:textId="77777777">
      <w:r w:rsidRPr="00E42201">
        <w:t>Nederland blijft hechten aan de inzet voor automatische inlichtingenuitwisseling en is voorstander van het verder uitbreiden van die uitwisseling naar andere informatiecategorieën, waar dat zinvol</w:t>
      </w:r>
      <w:r w:rsidR="00484B30">
        <w:t xml:space="preserve"> en uitvoerbaar</w:t>
      </w:r>
      <w:r w:rsidRPr="00E42201">
        <w:t xml:space="preserve"> is. Nederland is dan ook positief over de ontwikkeling van het nieuwe multilaterale raamwerk voor de uitwissing van beschikbare informatie over onroerend goed door de OESO. Dit is een belangrijke stap onder andere richting het beter in kaart brengen van vermogen van zeer vermogende personen. Bezien wordt op welke termijn en op welke wijze Nederland in de toekomst kan deelnemen.</w:t>
      </w:r>
      <w:r w:rsidRPr="00E42201">
        <w:rPr>
          <w:rStyle w:val="Voetnootmarkering"/>
        </w:rPr>
        <w:footnoteReference w:id="32"/>
      </w:r>
      <w:r w:rsidRPr="00E42201">
        <w:t xml:space="preserve"> </w:t>
      </w:r>
    </w:p>
    <w:p w:rsidRPr="00E42201" w:rsidR="00E42201" w:rsidP="00E42201" w:rsidRDefault="00E42201" w14:paraId="00D3A677" w14:textId="77777777"/>
    <w:p w:rsidR="00E42201" w:rsidP="00E42201" w:rsidRDefault="00E42201" w14:paraId="52A5C493" w14:textId="77777777">
      <w:r w:rsidRPr="00E42201">
        <w:t xml:space="preserve">Met andere EU-lidstaten wisselt Nederland al op automatische basis </w:t>
      </w:r>
      <w:r w:rsidR="00484B30">
        <w:t xml:space="preserve">enige </w:t>
      </w:r>
      <w:r w:rsidRPr="00E42201">
        <w:t>informatie uit over onroerend goed. In EU-verband vind</w:t>
      </w:r>
      <w:r w:rsidR="00484B30">
        <w:t>en</w:t>
      </w:r>
      <w:r w:rsidRPr="00E42201">
        <w:t xml:space="preserve"> deze en andere automatische inlichtingenuitwisseling plaats op grond van de opeenvolgende</w:t>
      </w:r>
      <w:r w:rsidRPr="00BC2757">
        <w:t xml:space="preserve"> wijzigingen van de DAC, welke wijzigingen in de Wet op de internationale bijstandsverlening bij de heffing van belastingen zijn geïmplementeerd. </w:t>
      </w:r>
    </w:p>
    <w:p w:rsidRPr="00BC2757" w:rsidR="00E42201" w:rsidP="00E42201" w:rsidRDefault="00E42201" w14:paraId="3C730EB9" w14:textId="77777777"/>
    <w:p w:rsidRPr="00BC2757" w:rsidR="00E42201" w:rsidP="00E42201" w:rsidRDefault="00E42201" w14:paraId="2508B3EA" w14:textId="77777777">
      <w:pPr>
        <w:rPr>
          <w:u w:val="single"/>
        </w:rPr>
      </w:pPr>
      <w:r w:rsidRPr="00BC2757">
        <w:rPr>
          <w:u w:val="single"/>
        </w:rPr>
        <w:t>DAC8</w:t>
      </w:r>
    </w:p>
    <w:p w:rsidRPr="00BC2757" w:rsidR="00E42201" w:rsidP="00E42201" w:rsidRDefault="00E42201" w14:paraId="59EAD047" w14:textId="77777777">
      <w:r w:rsidRPr="00BC2757">
        <w:t xml:space="preserve">Sinds de monitoringsbrief van vorig jaar is het implementatiewetsvoorstel van de DAC8-richtlijn bij </w:t>
      </w:r>
      <w:r>
        <w:t>de Tweede</w:t>
      </w:r>
      <w:r w:rsidRPr="00BC2757">
        <w:t xml:space="preserve"> Kamer ingediend.</w:t>
      </w:r>
      <w:r w:rsidRPr="004A1540">
        <w:rPr>
          <w:vertAlign w:val="superscript"/>
        </w:rPr>
        <w:footnoteReference w:id="33"/>
      </w:r>
      <w:r w:rsidRPr="00BC2757">
        <w:t xml:space="preserve"> Deze wijziging regelt de automatische uitwisseling van </w:t>
      </w:r>
      <w:r>
        <w:t xml:space="preserve">gegevens over transacties met cryptoactiva die voor gebruikers van cryptoactiva door aanbieders van </w:t>
      </w:r>
      <w:proofErr w:type="spellStart"/>
      <w:r>
        <w:t>cryptoactivadiensten</w:t>
      </w:r>
      <w:proofErr w:type="spellEnd"/>
      <w:r>
        <w:t xml:space="preserve"> zijn verricht. </w:t>
      </w:r>
      <w:r w:rsidRPr="00BC2757">
        <w:t xml:space="preserve">De nota naar aanleiding van het verslag is </w:t>
      </w:r>
      <w:r w:rsidR="0043564B">
        <w:t>in oktober</w:t>
      </w:r>
      <w:r w:rsidRPr="00BC2757">
        <w:t xml:space="preserve"> naar </w:t>
      </w:r>
      <w:r w:rsidR="0043564B">
        <w:t>de Tweede</w:t>
      </w:r>
      <w:r w:rsidRPr="00BC2757">
        <w:t xml:space="preserve"> Kamer verstuurd. Zoals in de monitoringsbrief van vorig jaar aangegeven behelst </w:t>
      </w:r>
      <w:r w:rsidRPr="00BC2757">
        <w:lastRenderedPageBreak/>
        <w:t xml:space="preserve">deze wijziging ook de actualisering op bepaalde punten van DAC2 </w:t>
      </w:r>
      <w:r>
        <w:t xml:space="preserve">(rapporterende financiële instellingen) </w:t>
      </w:r>
      <w:r w:rsidRPr="00BC2757">
        <w:t>en DAC3</w:t>
      </w:r>
      <w:r>
        <w:t xml:space="preserve"> (</w:t>
      </w:r>
      <w:proofErr w:type="spellStart"/>
      <w:r>
        <w:t>rulings</w:t>
      </w:r>
      <w:proofErr w:type="spellEnd"/>
      <w:r>
        <w:t>)</w:t>
      </w:r>
      <w:r w:rsidRPr="00BC2757">
        <w:t xml:space="preserve">. </w:t>
      </w:r>
    </w:p>
    <w:p w:rsidR="00E42201" w:rsidP="00E42201" w:rsidRDefault="00E42201" w14:paraId="20451D72" w14:textId="77777777">
      <w:pPr>
        <w:rPr>
          <w:u w:val="single"/>
        </w:rPr>
      </w:pPr>
    </w:p>
    <w:p w:rsidRPr="00BC2757" w:rsidR="00E42201" w:rsidP="00E42201" w:rsidRDefault="00E42201" w14:paraId="1687563D" w14:textId="77777777">
      <w:pPr>
        <w:rPr>
          <w:u w:val="single"/>
        </w:rPr>
      </w:pPr>
      <w:r w:rsidRPr="00BC2757">
        <w:rPr>
          <w:u w:val="single"/>
        </w:rPr>
        <w:t>DAC9</w:t>
      </w:r>
    </w:p>
    <w:p w:rsidR="00E42201" w:rsidP="00E42201" w:rsidRDefault="00E42201" w14:paraId="610421FF" w14:textId="77777777">
      <w:r w:rsidRPr="00BC2757">
        <w:t xml:space="preserve">De meest recente wijziging van de DAC – de achtste wijziging (DAC9) – is de op 14 april 2025 aangenomen wijziging waarmee de automatische inlichtingenuitwisseling ten aanzien van de </w:t>
      </w:r>
      <w:proofErr w:type="spellStart"/>
      <w:r w:rsidRPr="00BC2757">
        <w:t>bijheffing</w:t>
      </w:r>
      <w:proofErr w:type="spellEnd"/>
      <w:r w:rsidRPr="00BC2757">
        <w:t xml:space="preserve">-informatieaangifte in het kader van de wereldwijde minimumbelasting voor </w:t>
      </w:r>
      <w:r w:rsidRPr="00FC3D60">
        <w:rPr>
          <w:rFonts w:cs="Arial"/>
          <w:bCs/>
        </w:rPr>
        <w:t>multinationale groepen</w:t>
      </w:r>
      <w:r w:rsidRPr="00BC2757" w:rsidDel="00105868">
        <w:t xml:space="preserve"> </w:t>
      </w:r>
      <w:r w:rsidRPr="00BC2757">
        <w:t>(Pijler 2) wordt geregeld. De implementatiewet voor deze laatste wijziging</w:t>
      </w:r>
      <w:r w:rsidRPr="005634D7">
        <w:t xml:space="preserve"> </w:t>
      </w:r>
      <w:r>
        <w:t>is onderdeel van het Belastingplanpakket 2026 en</w:t>
      </w:r>
      <w:r w:rsidRPr="00BC2757">
        <w:t xml:space="preserve"> </w:t>
      </w:r>
      <w:r>
        <w:t>is door de Tweede Kamer aangenomen</w:t>
      </w:r>
      <w:r w:rsidRPr="00BC2757">
        <w:t>.</w:t>
      </w:r>
      <w:r w:rsidRPr="004A1540">
        <w:rPr>
          <w:vertAlign w:val="superscript"/>
        </w:rPr>
        <w:footnoteReference w:id="34"/>
      </w:r>
      <w:r w:rsidRPr="00BC2757">
        <w:t xml:space="preserve"> Dit wetsvoorstel maakt onderdeel uit van het Belastingplanpakket 2026. </w:t>
      </w:r>
    </w:p>
    <w:p w:rsidRPr="00BC2757" w:rsidR="00E42201" w:rsidP="00E42201" w:rsidRDefault="00E42201" w14:paraId="76992A8B" w14:textId="77777777"/>
    <w:p w:rsidRPr="00BC2757" w:rsidR="00E42201" w:rsidP="00E42201" w:rsidRDefault="00E42201" w14:paraId="6D0220D0" w14:textId="77777777">
      <w:r w:rsidRPr="00BC2757">
        <w:t xml:space="preserve">Anders dan eerdergenoemde </w:t>
      </w:r>
      <w:proofErr w:type="spellStart"/>
      <w:r w:rsidRPr="00BC2757">
        <w:t>DAC’s</w:t>
      </w:r>
      <w:proofErr w:type="spellEnd"/>
      <w:r w:rsidRPr="00BC2757">
        <w:t xml:space="preserve"> is deze wijziging bedoeld om de administratieve last voor multinationale </w:t>
      </w:r>
      <w:r>
        <w:t>groepen</w:t>
      </w:r>
      <w:r w:rsidRPr="00BC2757">
        <w:t xml:space="preserve"> die onder de reikwijdte van de </w:t>
      </w:r>
      <w:r>
        <w:t xml:space="preserve">Wet minimumbelasting 2024 </w:t>
      </w:r>
      <w:r w:rsidRPr="00BC2757">
        <w:t>vallen te verminderen, door het regelen van automatisch</w:t>
      </w:r>
      <w:r>
        <w:t>e</w:t>
      </w:r>
      <w:r w:rsidRPr="00BC2757">
        <w:t xml:space="preserve"> uitwisseling van gegevens en inlichtingen uit de </w:t>
      </w:r>
      <w:proofErr w:type="spellStart"/>
      <w:r w:rsidRPr="00BC2757">
        <w:t>bijheffing</w:t>
      </w:r>
      <w:proofErr w:type="spellEnd"/>
      <w:r w:rsidRPr="00BC2757">
        <w:t>-informatieaangifte die in een lidstaat wordt ingediend</w:t>
      </w:r>
      <w:r>
        <w:t>,</w:t>
      </w:r>
      <w:r w:rsidRPr="00BC2757">
        <w:t xml:space="preserve"> met andere lidstaten. Deze wijziging heeft dus niet direct tot doel het tegengaan van belastingontwijking- en ontduiking. DAC9 vormt wel een onderdeel van het geheel aan maatregelen in het kader van Pijler</w:t>
      </w:r>
      <w:r>
        <w:t> </w:t>
      </w:r>
      <w:r w:rsidRPr="00BC2757">
        <w:t xml:space="preserve">2, die bedoeld zijn om uitholling van belastinggrondslagen op de interne markt en de verschuiving van winsten uit de interne markt tegen te gaan, </w:t>
      </w:r>
      <w:r>
        <w:t>en draagt op</w:t>
      </w:r>
      <w:r w:rsidRPr="00BC2757">
        <w:t xml:space="preserve"> die manier </w:t>
      </w:r>
      <w:r>
        <w:t xml:space="preserve">bij om </w:t>
      </w:r>
      <w:r w:rsidRPr="00BC2757">
        <w:t>belastingontwijking- en ontduiking te bestrijden.</w:t>
      </w:r>
    </w:p>
    <w:p w:rsidRPr="00BC2757" w:rsidR="00E42201" w:rsidP="00E42201" w:rsidRDefault="00E42201" w14:paraId="05B1B165" w14:textId="77777777"/>
    <w:p w:rsidR="00E42201" w:rsidP="00E42201" w:rsidRDefault="00E42201" w14:paraId="0CEF1D7A" w14:textId="77777777">
      <w:r w:rsidRPr="00BC2757">
        <w:t>Hieronder treft u een overzicht van de wijzigingen van de DAC-richtlijn</w:t>
      </w:r>
      <w:r w:rsidR="009C0B15">
        <w:t xml:space="preserve"> aan</w:t>
      </w:r>
      <w:r w:rsidRPr="00BC2757">
        <w:t>.</w:t>
      </w:r>
    </w:p>
    <w:p w:rsidRPr="00BC2757" w:rsidR="009C0B15" w:rsidP="00E42201" w:rsidRDefault="009C0B15" w14:paraId="4C4A841F" w14:textId="77777777"/>
    <w:tbl>
      <w:tblPr>
        <w:tblStyle w:val="Tabelraster"/>
        <w:tblW w:w="7508" w:type="dxa"/>
        <w:tblLook w:val="04A0" w:firstRow="1" w:lastRow="0" w:firstColumn="1" w:lastColumn="0" w:noHBand="0" w:noVBand="1"/>
      </w:tblPr>
      <w:tblGrid>
        <w:gridCol w:w="936"/>
        <w:gridCol w:w="6572"/>
      </w:tblGrid>
      <w:tr w:rsidRPr="00BC2757" w:rsidR="00E42201" w:rsidTr="003A490B" w14:paraId="71D661C2" w14:textId="77777777">
        <w:tc>
          <w:tcPr>
            <w:tcW w:w="936" w:type="dxa"/>
          </w:tcPr>
          <w:p w:rsidRPr="00BC2757" w:rsidR="00E42201" w:rsidP="003A490B" w:rsidRDefault="00E42201" w14:paraId="61BB78F2" w14:textId="77777777">
            <w:r w:rsidRPr="00BC2757">
              <w:t>DAC1</w:t>
            </w:r>
          </w:p>
        </w:tc>
        <w:tc>
          <w:tcPr>
            <w:tcW w:w="6572" w:type="dxa"/>
          </w:tcPr>
          <w:p w:rsidRPr="00BC2757" w:rsidR="00E42201" w:rsidP="003A490B" w:rsidRDefault="00E42201" w14:paraId="701BB407" w14:textId="77777777">
            <w:r w:rsidRPr="00BC2757">
              <w:t xml:space="preserve">Specifieke inkomens- en </w:t>
            </w:r>
            <w:proofErr w:type="spellStart"/>
            <w:r w:rsidRPr="00BC2757">
              <w:t>vermogenscategoriëen</w:t>
            </w:r>
            <w:proofErr w:type="spellEnd"/>
            <w:r w:rsidRPr="00BC2757">
              <w:t xml:space="preserve"> (o.a. arbeidsinkomen en pensioen)</w:t>
            </w:r>
          </w:p>
        </w:tc>
      </w:tr>
      <w:tr w:rsidRPr="00BC2757" w:rsidR="00E42201" w:rsidTr="003A490B" w14:paraId="538A488A" w14:textId="77777777">
        <w:tc>
          <w:tcPr>
            <w:tcW w:w="936" w:type="dxa"/>
          </w:tcPr>
          <w:p w:rsidRPr="00BC2757" w:rsidR="00E42201" w:rsidP="003A490B" w:rsidRDefault="00E42201" w14:paraId="48713B00" w14:textId="77777777">
            <w:r w:rsidRPr="00BC2757">
              <w:t>DAC2</w:t>
            </w:r>
          </w:p>
        </w:tc>
        <w:tc>
          <w:tcPr>
            <w:tcW w:w="6572" w:type="dxa"/>
          </w:tcPr>
          <w:p w:rsidRPr="00BC2757" w:rsidR="00E42201" w:rsidP="003A490B" w:rsidRDefault="00E42201" w14:paraId="3AF13BA7" w14:textId="77777777">
            <w:r w:rsidRPr="00BC2757">
              <w:t>Financiële rekeninggegevens</w:t>
            </w:r>
          </w:p>
        </w:tc>
      </w:tr>
      <w:tr w:rsidRPr="00BC2757" w:rsidR="00E42201" w:rsidTr="003A490B" w14:paraId="736B3647" w14:textId="77777777">
        <w:tc>
          <w:tcPr>
            <w:tcW w:w="936" w:type="dxa"/>
          </w:tcPr>
          <w:p w:rsidRPr="00BC2757" w:rsidR="00E42201" w:rsidP="003A490B" w:rsidRDefault="00E42201" w14:paraId="7B0DABEC" w14:textId="77777777">
            <w:r w:rsidRPr="00BC2757">
              <w:t>DAC3</w:t>
            </w:r>
          </w:p>
        </w:tc>
        <w:tc>
          <w:tcPr>
            <w:tcW w:w="6572" w:type="dxa"/>
          </w:tcPr>
          <w:p w:rsidRPr="00BC2757" w:rsidR="00E42201" w:rsidP="003A490B" w:rsidRDefault="00E42201" w14:paraId="56897C1D" w14:textId="77777777">
            <w:proofErr w:type="spellStart"/>
            <w:r w:rsidRPr="00BC2757">
              <w:t>Rulings</w:t>
            </w:r>
            <w:proofErr w:type="spellEnd"/>
          </w:p>
        </w:tc>
      </w:tr>
      <w:tr w:rsidRPr="00193153" w:rsidR="00E42201" w:rsidTr="003A490B" w14:paraId="64F45D64" w14:textId="77777777">
        <w:tc>
          <w:tcPr>
            <w:tcW w:w="936" w:type="dxa"/>
          </w:tcPr>
          <w:p w:rsidRPr="00BC2757" w:rsidR="00E42201" w:rsidP="003A490B" w:rsidRDefault="00E42201" w14:paraId="730E4883" w14:textId="77777777">
            <w:r w:rsidRPr="00BC2757">
              <w:t>DAC4</w:t>
            </w:r>
          </w:p>
        </w:tc>
        <w:tc>
          <w:tcPr>
            <w:tcW w:w="6572" w:type="dxa"/>
          </w:tcPr>
          <w:p w:rsidRPr="00BC2757" w:rsidR="00E42201" w:rsidP="003A490B" w:rsidRDefault="00E42201" w14:paraId="0600BA36" w14:textId="77777777">
            <w:pPr>
              <w:rPr>
                <w:lang w:val="en-US"/>
              </w:rPr>
            </w:pPr>
            <w:proofErr w:type="spellStart"/>
            <w:r w:rsidRPr="00BC2757">
              <w:rPr>
                <w:lang w:val="en-US"/>
              </w:rPr>
              <w:t>Landenrapporten</w:t>
            </w:r>
            <w:proofErr w:type="spellEnd"/>
            <w:r w:rsidRPr="00BC2757">
              <w:rPr>
                <w:lang w:val="en-US"/>
              </w:rPr>
              <w:t xml:space="preserve"> van multinationals (country-by-country reporting)</w:t>
            </w:r>
          </w:p>
        </w:tc>
      </w:tr>
      <w:tr w:rsidRPr="00BC2757" w:rsidR="00E42201" w:rsidTr="003A490B" w14:paraId="1FA70DE2" w14:textId="77777777">
        <w:tc>
          <w:tcPr>
            <w:tcW w:w="936" w:type="dxa"/>
          </w:tcPr>
          <w:p w:rsidRPr="00BC2757" w:rsidR="00E42201" w:rsidP="003A490B" w:rsidRDefault="00E42201" w14:paraId="0DAFB2E0" w14:textId="77777777">
            <w:r w:rsidRPr="00BC2757">
              <w:t>DAC5</w:t>
            </w:r>
          </w:p>
        </w:tc>
        <w:tc>
          <w:tcPr>
            <w:tcW w:w="6572" w:type="dxa"/>
          </w:tcPr>
          <w:p w:rsidRPr="00BC2757" w:rsidR="00E42201" w:rsidP="003A490B" w:rsidRDefault="00E42201" w14:paraId="286E0448" w14:textId="77777777">
            <w:pPr>
              <w:rPr>
                <w:lang w:val="en-US"/>
              </w:rPr>
            </w:pPr>
            <w:proofErr w:type="spellStart"/>
            <w:r w:rsidRPr="00BC2757">
              <w:rPr>
                <w:lang w:val="en-US"/>
              </w:rPr>
              <w:t>Uiteindelijk</w:t>
            </w:r>
            <w:proofErr w:type="spellEnd"/>
            <w:r w:rsidRPr="00BC2757">
              <w:rPr>
                <w:lang w:val="en-US"/>
              </w:rPr>
              <w:t xml:space="preserve"> </w:t>
            </w:r>
            <w:proofErr w:type="spellStart"/>
            <w:r w:rsidRPr="00BC2757">
              <w:rPr>
                <w:lang w:val="en-US"/>
              </w:rPr>
              <w:t>gerechtigde</w:t>
            </w:r>
            <w:proofErr w:type="spellEnd"/>
          </w:p>
        </w:tc>
      </w:tr>
      <w:tr w:rsidRPr="00BC2757" w:rsidR="00E42201" w:rsidTr="003A490B" w14:paraId="7D1EA034" w14:textId="77777777">
        <w:tc>
          <w:tcPr>
            <w:tcW w:w="936" w:type="dxa"/>
          </w:tcPr>
          <w:p w:rsidRPr="00BC2757" w:rsidR="00E42201" w:rsidP="003A490B" w:rsidRDefault="00E42201" w14:paraId="66CC54C4" w14:textId="77777777">
            <w:pPr>
              <w:rPr>
                <w:lang w:val="en-US"/>
              </w:rPr>
            </w:pPr>
            <w:r w:rsidRPr="00BC2757">
              <w:rPr>
                <w:lang w:val="en-US"/>
              </w:rPr>
              <w:t>DAC6</w:t>
            </w:r>
          </w:p>
        </w:tc>
        <w:tc>
          <w:tcPr>
            <w:tcW w:w="6572" w:type="dxa"/>
          </w:tcPr>
          <w:p w:rsidRPr="00BC2757" w:rsidR="00E42201" w:rsidP="003A490B" w:rsidRDefault="00E42201" w14:paraId="47DCCFD9" w14:textId="77777777">
            <w:pPr>
              <w:rPr>
                <w:lang w:val="en-US"/>
              </w:rPr>
            </w:pPr>
            <w:proofErr w:type="spellStart"/>
            <w:r w:rsidRPr="00BC2757">
              <w:rPr>
                <w:lang w:val="en-US"/>
              </w:rPr>
              <w:t>Grensoverschrijdende</w:t>
            </w:r>
            <w:proofErr w:type="spellEnd"/>
            <w:r w:rsidRPr="00BC2757">
              <w:rPr>
                <w:lang w:val="en-US"/>
              </w:rPr>
              <w:t xml:space="preserve"> </w:t>
            </w:r>
            <w:proofErr w:type="spellStart"/>
            <w:r w:rsidRPr="00BC2757">
              <w:rPr>
                <w:lang w:val="en-US"/>
              </w:rPr>
              <w:t>fiscale</w:t>
            </w:r>
            <w:proofErr w:type="spellEnd"/>
            <w:r w:rsidRPr="00BC2757">
              <w:rPr>
                <w:lang w:val="en-US"/>
              </w:rPr>
              <w:t xml:space="preserve"> </w:t>
            </w:r>
            <w:proofErr w:type="spellStart"/>
            <w:r w:rsidRPr="00BC2757">
              <w:rPr>
                <w:lang w:val="en-US"/>
              </w:rPr>
              <w:t>constructies</w:t>
            </w:r>
            <w:proofErr w:type="spellEnd"/>
          </w:p>
        </w:tc>
      </w:tr>
      <w:tr w:rsidRPr="00BC2757" w:rsidR="00E42201" w:rsidTr="003A490B" w14:paraId="4A2D3B4C" w14:textId="77777777">
        <w:tc>
          <w:tcPr>
            <w:tcW w:w="936" w:type="dxa"/>
          </w:tcPr>
          <w:p w:rsidRPr="00BC2757" w:rsidR="00E42201" w:rsidP="003A490B" w:rsidRDefault="00E42201" w14:paraId="1AF4EC12" w14:textId="77777777">
            <w:pPr>
              <w:rPr>
                <w:lang w:val="en-US"/>
              </w:rPr>
            </w:pPr>
            <w:r w:rsidRPr="00BC2757">
              <w:rPr>
                <w:lang w:val="en-US"/>
              </w:rPr>
              <w:t>DAC7</w:t>
            </w:r>
          </w:p>
        </w:tc>
        <w:tc>
          <w:tcPr>
            <w:tcW w:w="6572" w:type="dxa"/>
          </w:tcPr>
          <w:p w:rsidRPr="00BC2757" w:rsidR="00E42201" w:rsidP="003A490B" w:rsidRDefault="00E42201" w14:paraId="411127B6" w14:textId="77777777">
            <w:pPr>
              <w:rPr>
                <w:lang w:val="en-US"/>
              </w:rPr>
            </w:pPr>
            <w:proofErr w:type="spellStart"/>
            <w:r w:rsidRPr="00BC2757">
              <w:rPr>
                <w:lang w:val="en-US"/>
              </w:rPr>
              <w:t>Verkoopinkomsten</w:t>
            </w:r>
            <w:proofErr w:type="spellEnd"/>
            <w:r w:rsidRPr="00BC2757">
              <w:rPr>
                <w:lang w:val="en-US"/>
              </w:rPr>
              <w:t xml:space="preserve"> via </w:t>
            </w:r>
            <w:proofErr w:type="spellStart"/>
            <w:r w:rsidRPr="00BC2757">
              <w:rPr>
                <w:lang w:val="en-US"/>
              </w:rPr>
              <w:t>digitale</w:t>
            </w:r>
            <w:proofErr w:type="spellEnd"/>
            <w:r w:rsidRPr="00BC2757">
              <w:rPr>
                <w:lang w:val="en-US"/>
              </w:rPr>
              <w:t xml:space="preserve"> </w:t>
            </w:r>
            <w:proofErr w:type="spellStart"/>
            <w:r w:rsidRPr="00BC2757">
              <w:rPr>
                <w:lang w:val="en-US"/>
              </w:rPr>
              <w:t>platformen</w:t>
            </w:r>
            <w:proofErr w:type="spellEnd"/>
          </w:p>
        </w:tc>
      </w:tr>
      <w:tr w:rsidRPr="00BC2757" w:rsidR="00E42201" w:rsidTr="003A490B" w14:paraId="3E40A002" w14:textId="77777777">
        <w:tc>
          <w:tcPr>
            <w:tcW w:w="936" w:type="dxa"/>
          </w:tcPr>
          <w:p w:rsidRPr="00BC2757" w:rsidR="00E42201" w:rsidP="003A490B" w:rsidRDefault="00E42201" w14:paraId="4448A5B4" w14:textId="77777777">
            <w:pPr>
              <w:rPr>
                <w:lang w:val="en-US"/>
              </w:rPr>
            </w:pPr>
            <w:r w:rsidRPr="00BC2757">
              <w:rPr>
                <w:lang w:val="en-US"/>
              </w:rPr>
              <w:t>DAC8</w:t>
            </w:r>
          </w:p>
        </w:tc>
        <w:tc>
          <w:tcPr>
            <w:tcW w:w="6572" w:type="dxa"/>
          </w:tcPr>
          <w:p w:rsidRPr="00BC2757" w:rsidR="00E42201" w:rsidP="003A490B" w:rsidRDefault="00E42201" w14:paraId="3209D517" w14:textId="77777777">
            <w:r w:rsidRPr="00BC2757">
              <w:t xml:space="preserve">Gegevens over transacties met cryptoactiva door klanten van aanbieders van </w:t>
            </w:r>
            <w:proofErr w:type="spellStart"/>
            <w:r w:rsidRPr="00BC2757">
              <w:t>cryptoactivadiensten</w:t>
            </w:r>
            <w:proofErr w:type="spellEnd"/>
          </w:p>
        </w:tc>
      </w:tr>
      <w:tr w:rsidRPr="00BC2757" w:rsidR="00E42201" w:rsidTr="003A490B" w14:paraId="687E89E3" w14:textId="77777777">
        <w:tc>
          <w:tcPr>
            <w:tcW w:w="936" w:type="dxa"/>
          </w:tcPr>
          <w:p w:rsidRPr="00BC2757" w:rsidR="00E42201" w:rsidP="003A490B" w:rsidRDefault="00E42201" w14:paraId="50473F99" w14:textId="77777777">
            <w:r w:rsidRPr="00BC2757">
              <w:t>DAC9</w:t>
            </w:r>
          </w:p>
        </w:tc>
        <w:tc>
          <w:tcPr>
            <w:tcW w:w="6572" w:type="dxa"/>
          </w:tcPr>
          <w:p w:rsidRPr="00BC2757" w:rsidR="00E42201" w:rsidP="003A490B" w:rsidRDefault="00E42201" w14:paraId="585FA660" w14:textId="77777777">
            <w:proofErr w:type="spellStart"/>
            <w:r w:rsidRPr="00BC2757">
              <w:t>Bijheffing</w:t>
            </w:r>
            <w:proofErr w:type="spellEnd"/>
            <w:r w:rsidRPr="00BC2757">
              <w:t>-informatieaangifte mi</w:t>
            </w:r>
            <w:r>
              <w:t>ni</w:t>
            </w:r>
            <w:r w:rsidRPr="00BC2757">
              <w:t>mumbelasting (Pijler 2)</w:t>
            </w:r>
          </w:p>
        </w:tc>
      </w:tr>
    </w:tbl>
    <w:p w:rsidRPr="00BC2757" w:rsidR="00E42201" w:rsidP="00E42201" w:rsidRDefault="00E42201" w14:paraId="597CC193" w14:textId="77777777"/>
    <w:p w:rsidR="00E42201" w:rsidP="00E42201" w:rsidRDefault="00E42201" w14:paraId="221B04C3" w14:textId="77777777">
      <w:r w:rsidRPr="00BC2757">
        <w:t>Om de praktijk rondom de automatische uitwisseling van gegevens te verbeteren</w:t>
      </w:r>
      <w:r>
        <w:t>,</w:t>
      </w:r>
      <w:r w:rsidRPr="00BC2757">
        <w:t xml:space="preserve"> wordt in Europees verband gekeken naar de effectiviteit van de implementatie en werking van verschillende internationale fiscale gegevensuitwisselingen.</w:t>
      </w:r>
      <w:r w:rsidRPr="00864BEA">
        <w:t xml:space="preserve"> </w:t>
      </w:r>
      <w:r>
        <w:t>Hierover wordt in het tweede kwartaal van 2026 een richtlijnvoorstel verwacht, DAC10.</w:t>
      </w:r>
      <w:r w:rsidRPr="00BC2757">
        <w:t xml:space="preserve"> Daarbij wordt ook gedacht aan het opnemen van specifieke begrippen om mismatches </w:t>
      </w:r>
      <w:r w:rsidRPr="00F0553D">
        <w:t xml:space="preserve">tussen lidstaten te voorkomen, en versimpelingen van specifieke </w:t>
      </w:r>
      <w:proofErr w:type="spellStart"/>
      <w:r w:rsidRPr="00F0553D">
        <w:t>DAC’s</w:t>
      </w:r>
      <w:proofErr w:type="spellEnd"/>
      <w:r w:rsidRPr="00F0553D">
        <w:t xml:space="preserve"> om de effectiviteit van de gegevensuitwisseling te verbeteren.</w:t>
      </w:r>
    </w:p>
    <w:p w:rsidR="00BA2C65" w:rsidP="00E42201" w:rsidRDefault="00BA2C65" w14:paraId="019276F3" w14:textId="77777777"/>
    <w:p w:rsidRPr="00F0553D" w:rsidR="00BA2C65" w:rsidP="00E42201" w:rsidRDefault="00BA2C65" w14:paraId="6AE9EE0A" w14:textId="77777777">
      <w:r w:rsidRPr="00BA2C65">
        <w:t xml:space="preserve">De wet voorziet in een ruim geformuleerde bevoegdheid tot het instellen van een onderzoek ten behoeve van het verstrekken van inlichtingen die onder de DAC-richtlijn en de verschillende wijzigingen worden gerapporteerd en uitgewisseld. Die onderzoeksbevoegdheid strekt aldus onder andere tot het bevorderen van de kwaliteit van die gegevensuitwisseling. Een daartoe aangewezen ambtenaar van de rijksbelastingdienst kan ter zake van de verplichtingen die rusten op </w:t>
      </w:r>
      <w:r w:rsidRPr="00BA2C65">
        <w:lastRenderedPageBreak/>
        <w:t xml:space="preserve">administratie- en </w:t>
      </w:r>
      <w:proofErr w:type="spellStart"/>
      <w:r w:rsidRPr="00BA2C65">
        <w:t>rapportageplichtigen</w:t>
      </w:r>
      <w:proofErr w:type="spellEnd"/>
      <w:r w:rsidRPr="00BA2C65">
        <w:t xml:space="preserve"> onder de WIB een onderzoek instellen en uitvoeren. De betreffende bepalingen uit de Algemene wet </w:t>
      </w:r>
      <w:proofErr w:type="gramStart"/>
      <w:r w:rsidRPr="00BA2C65">
        <w:t>inzake</w:t>
      </w:r>
      <w:proofErr w:type="gramEnd"/>
      <w:r w:rsidRPr="00BA2C65">
        <w:t xml:space="preserve"> rijksbelastingen zijn van overeenkomstige toepassing. De hier bedoelde bevoegdheden zijn mitsdien de bevoegdheden uit de Algemene wet </w:t>
      </w:r>
      <w:proofErr w:type="gramStart"/>
      <w:r w:rsidRPr="00BA2C65">
        <w:t>inzake</w:t>
      </w:r>
      <w:proofErr w:type="gramEnd"/>
      <w:r w:rsidRPr="00BA2C65">
        <w:t xml:space="preserve"> rijksbelastingen.</w:t>
      </w:r>
    </w:p>
    <w:p w:rsidRPr="00F0553D" w:rsidR="00E42201" w:rsidP="00E42201" w:rsidRDefault="00E42201" w14:paraId="2B5DE474" w14:textId="77777777"/>
    <w:p w:rsidRPr="00F0553D" w:rsidR="00E42201" w:rsidP="00E42201" w:rsidRDefault="00E42201" w14:paraId="4C120E08" w14:textId="77777777">
      <w:pPr>
        <w:rPr>
          <w:b/>
          <w:bCs/>
        </w:rPr>
      </w:pPr>
      <w:r w:rsidRPr="00F0553D">
        <w:rPr>
          <w:b/>
          <w:bCs/>
        </w:rPr>
        <w:t>6.</w:t>
      </w:r>
      <w:r w:rsidRPr="00F0553D">
        <w:rPr>
          <w:b/>
          <w:bCs/>
        </w:rPr>
        <w:tab/>
        <w:t>Afrondend</w:t>
      </w:r>
    </w:p>
    <w:p w:rsidRPr="00F0553D" w:rsidR="00E42201" w:rsidP="00E42201" w:rsidRDefault="00E42201" w14:paraId="6BB12537" w14:textId="77777777"/>
    <w:p w:rsidR="00E42201" w:rsidP="00E42201" w:rsidRDefault="00E42201" w14:paraId="05EDA6CB" w14:textId="77777777">
      <w:r w:rsidRPr="00F0553D">
        <w:t>Een aantal belangrijke</w:t>
      </w:r>
      <w:r>
        <w:t xml:space="preserve"> maatregelen blijkt effectief te zijn in de aanpak van belastingontwijking. Uit deze editie van de monitoringsbrief blijkt dat de bronbelasting zeer effectief is in de bestrijding van rente- en royaltystromen, al is weinig effect zichtbaar in de dividendstromen naar </w:t>
      </w:r>
      <w:proofErr w:type="spellStart"/>
      <w:r>
        <w:t>laagbelastende</w:t>
      </w:r>
      <w:proofErr w:type="spellEnd"/>
      <w:r>
        <w:t xml:space="preserve"> jurisdicties. De maatregelen </w:t>
      </w:r>
      <w:r w:rsidRPr="00F0553D">
        <w:t>om mismatches bij toepassing zakelijkheidsbeginsel tegen te gaan</w:t>
      </w:r>
      <w:r>
        <w:t xml:space="preserve"> zijn eveneens effectief. De gegevens over directe buitenlandse investeringen duiden ook op een effectieve internationale aanpak van belastingontwijking.</w:t>
      </w:r>
    </w:p>
    <w:p w:rsidR="00E42201" w:rsidP="00E42201" w:rsidRDefault="00E42201" w14:paraId="09247E4F" w14:textId="77777777"/>
    <w:p w:rsidR="00E42201" w:rsidP="00E42201" w:rsidRDefault="00E42201" w14:paraId="580E57E4" w14:textId="77777777">
      <w:r>
        <w:t>Het kabinet zal de monitoring van de maatregelen tegen belastingontwijking jaarlijks blijven voortzetten.</w:t>
      </w:r>
    </w:p>
    <w:p w:rsidR="00E42201" w:rsidP="00E42201" w:rsidRDefault="00E42201" w14:paraId="394EB2B3" w14:textId="77777777">
      <w:pPr>
        <w:pStyle w:val="StandaardSlotzin"/>
      </w:pPr>
      <w:r>
        <w:t>Hoogachtend,</w:t>
      </w:r>
    </w:p>
    <w:p w:rsidR="00E42201" w:rsidP="00E42201" w:rsidRDefault="00E42201" w14:paraId="1B2A53F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42201" w:rsidTr="003A490B" w14:paraId="72382607" w14:textId="77777777">
        <w:tc>
          <w:tcPr>
            <w:tcW w:w="3592" w:type="dxa"/>
          </w:tcPr>
          <w:p w:rsidR="00E42201" w:rsidP="003A490B" w:rsidRDefault="00E42201" w14:paraId="41E3395D" w14:textId="77777777">
            <w:proofErr w:type="gramStart"/>
            <w:r>
              <w:t>de</w:t>
            </w:r>
            <w:proofErr w:type="gramEnd"/>
            <w:r>
              <w:t xml:space="preserve"> staatssecretaris van Financiën - Fiscaliteit, Belastingdienst en Douane,</w:t>
            </w:r>
            <w:r>
              <w:br/>
            </w:r>
            <w:r>
              <w:br/>
            </w:r>
            <w:r>
              <w:br/>
            </w:r>
            <w:r>
              <w:br/>
            </w:r>
            <w:r>
              <w:br/>
            </w:r>
            <w:r>
              <w:br/>
              <w:t>E</w:t>
            </w:r>
            <w:r w:rsidR="009E4C35">
              <w:t>ugène</w:t>
            </w:r>
            <w:r>
              <w:t xml:space="preserve"> Heijnen</w:t>
            </w:r>
          </w:p>
        </w:tc>
        <w:tc>
          <w:tcPr>
            <w:tcW w:w="3892" w:type="dxa"/>
          </w:tcPr>
          <w:p w:rsidR="00E42201" w:rsidP="003A490B" w:rsidRDefault="00E42201" w14:paraId="451C8571" w14:textId="77777777"/>
        </w:tc>
      </w:tr>
    </w:tbl>
    <w:p w:rsidR="00E42201" w:rsidP="00E42201" w:rsidRDefault="00E42201" w14:paraId="6F17BC8C" w14:textId="77777777"/>
    <w:p w:rsidRPr="00E42201" w:rsidR="007C649D" w:rsidP="00E42201" w:rsidRDefault="007C649D" w14:paraId="7CA9372C" w14:textId="77777777"/>
    <w:sectPr w:rsidRPr="00E42201" w:rsidR="007C649D">
      <w:headerReference w:type="default" r:id="rId11"/>
      <w:head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3485" w14:textId="77777777" w:rsidR="00423943" w:rsidRDefault="00423943">
      <w:pPr>
        <w:spacing w:line="240" w:lineRule="auto"/>
      </w:pPr>
      <w:r>
        <w:separator/>
      </w:r>
    </w:p>
  </w:endnote>
  <w:endnote w:type="continuationSeparator" w:id="0">
    <w:p w14:paraId="1F01D0DC" w14:textId="77777777" w:rsidR="00423943" w:rsidRDefault="00423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C814" w14:textId="77777777" w:rsidR="00423943" w:rsidRDefault="00423943">
      <w:pPr>
        <w:spacing w:line="240" w:lineRule="auto"/>
      </w:pPr>
      <w:r>
        <w:separator/>
      </w:r>
    </w:p>
  </w:footnote>
  <w:footnote w:type="continuationSeparator" w:id="0">
    <w:p w14:paraId="2FD10007" w14:textId="77777777" w:rsidR="00423943" w:rsidRDefault="00423943">
      <w:pPr>
        <w:spacing w:line="240" w:lineRule="auto"/>
      </w:pPr>
      <w:r>
        <w:continuationSeparator/>
      </w:r>
    </w:p>
  </w:footnote>
  <w:footnote w:id="1">
    <w:p w14:paraId="048A2A0B"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2024/25, 25087, nr. 343.</w:t>
      </w:r>
    </w:p>
  </w:footnote>
  <w:footnote w:id="2">
    <w:p w14:paraId="437B9E78"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2020/21, 35 779, nr. 3.</w:t>
      </w:r>
    </w:p>
  </w:footnote>
  <w:footnote w:id="3">
    <w:p w14:paraId="787B3D74"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2019/20, 25 087, nr. 259.</w:t>
      </w:r>
    </w:p>
  </w:footnote>
  <w:footnote w:id="4">
    <w:p w14:paraId="2AF17F82"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Te vinden als tabel 12.21 op de website van DNB: https://www.dnb.nl/statistieken/data-zoeken/#/</w:t>
      </w:r>
    </w:p>
  </w:footnote>
  <w:footnote w:id="5">
    <w:p w14:paraId="0DB55527"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Landen onder de </w:t>
      </w:r>
      <w:proofErr w:type="spellStart"/>
      <w:r w:rsidRPr="00E539FC">
        <w:rPr>
          <w:sz w:val="16"/>
          <w:szCs w:val="16"/>
        </w:rPr>
        <w:t>LBJ’s</w:t>
      </w:r>
      <w:proofErr w:type="spellEnd"/>
      <w:r w:rsidRPr="00E539FC">
        <w:rPr>
          <w:sz w:val="16"/>
          <w:szCs w:val="16"/>
        </w:rPr>
        <w:t xml:space="preserve"> waarmee Nederland een belastingverdrag heeft gesloten. Per 2024 zijn dat Bahrein, Barbados en Panama. De VAE zijn per 2024 niet langer aangewezen als </w:t>
      </w:r>
      <w:proofErr w:type="spellStart"/>
      <w:r w:rsidRPr="00E539FC">
        <w:rPr>
          <w:sz w:val="16"/>
          <w:szCs w:val="16"/>
        </w:rPr>
        <w:t>laagbelastende</w:t>
      </w:r>
      <w:proofErr w:type="spellEnd"/>
      <w:r w:rsidRPr="00E539FC">
        <w:rPr>
          <w:sz w:val="16"/>
          <w:szCs w:val="16"/>
        </w:rPr>
        <w:t xml:space="preserve"> jurisdictie.  </w:t>
      </w:r>
    </w:p>
  </w:footnote>
  <w:footnote w:id="6">
    <w:p w14:paraId="0090721E"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Inkomen volgens definitie DNB, bestaande uit totale winst (uitgekeerd dividend en ingehouden winst), gerekende kosten voor IP (royalty’s), rente en overig inkomen. </w:t>
      </w:r>
    </w:p>
  </w:footnote>
  <w:footnote w:id="7">
    <w:p w14:paraId="40769E2C"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2024/25, 25 087, nr. 343.</w:t>
      </w:r>
    </w:p>
  </w:footnote>
  <w:footnote w:id="8">
    <w:p w14:paraId="219EDD72"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2019/20, 25087, nr. 259, bijlage 1.</w:t>
      </w:r>
    </w:p>
  </w:footnote>
  <w:footnote w:id="9">
    <w:p w14:paraId="66A22D16"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Ook wel aangeduid als </w:t>
      </w:r>
      <w:proofErr w:type="spellStart"/>
      <w:r w:rsidRPr="00E539FC">
        <w:rPr>
          <w:sz w:val="16"/>
          <w:szCs w:val="16"/>
        </w:rPr>
        <w:t>arm’s-lengthbeginsel</w:t>
      </w:r>
      <w:proofErr w:type="spellEnd"/>
      <w:r w:rsidRPr="00E539FC">
        <w:rPr>
          <w:sz w:val="16"/>
          <w:szCs w:val="16"/>
        </w:rPr>
        <w:t>.</w:t>
      </w:r>
    </w:p>
  </w:footnote>
  <w:footnote w:id="10">
    <w:p w14:paraId="76A89A8D"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Wet tegengaan mismatches bij toepassing zakelijkheidsbeginsel, Stb. 2021, 654.</w:t>
      </w:r>
    </w:p>
  </w:footnote>
  <w:footnote w:id="11">
    <w:p w14:paraId="3D3E1333"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In de vorige monitoringsbrief zijn gegevens tot en met 2021 getoond voor alle informele kapitaalstortingen en verkapte dividenduitkeringen, ook in binnenlandse situaties. Omdat de maatregelen a priori niet aangrijpen in binnenlandse situaties, zijn deze hier weggelaten. In sommige gevallen is de aangifte incompleet, waardoor onduidelijk is of het een informele kapitaalstorting of verkapte dividenduitkering van een binnenlandse of een buitenlandse gelieerde partij betreft. Ook deze gevallen zijn in de figuren weggelaten. </w:t>
      </w:r>
    </w:p>
  </w:footnote>
  <w:footnote w:id="12">
    <w:p w14:paraId="11736EA9"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CBS (2025), Nederland Handelsland, p. 147 – 151.</w:t>
      </w:r>
    </w:p>
  </w:footnote>
  <w:footnote w:id="13">
    <w:p w14:paraId="146908C9"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DNB (2024), Internationale verwevenheid scherp</w:t>
      </w:r>
      <w:r w:rsidR="00F121DC" w:rsidRPr="00E539FC">
        <w:rPr>
          <w:sz w:val="16"/>
          <w:szCs w:val="16"/>
        </w:rPr>
        <w:t>er</w:t>
      </w:r>
      <w:r w:rsidRPr="00E539FC">
        <w:rPr>
          <w:sz w:val="16"/>
          <w:szCs w:val="16"/>
        </w:rPr>
        <w:t xml:space="preserve"> in beeld, p. 20 – 21.</w:t>
      </w:r>
    </w:p>
  </w:footnote>
  <w:footnote w:id="14">
    <w:p w14:paraId="1C82D420"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Een duurzaam belang impliceert dat sprake is van (i) een </w:t>
      </w:r>
      <w:proofErr w:type="spellStart"/>
      <w:r w:rsidRPr="00E539FC">
        <w:rPr>
          <w:sz w:val="16"/>
          <w:szCs w:val="16"/>
        </w:rPr>
        <w:t>langetermijnrelatie</w:t>
      </w:r>
      <w:proofErr w:type="spellEnd"/>
      <w:r w:rsidRPr="00E539FC">
        <w:rPr>
          <w:sz w:val="16"/>
          <w:szCs w:val="16"/>
        </w:rPr>
        <w:t xml:space="preserve"> tussen de investeerder en de onderneming waarin geïnvesteerd wordt en (ii) een mate van inspraak van de investeerder op het gevoerde beleid. Concreet betekent dit dat er sprake is van een onderlinge buitenlandse directe investeringsrelatie als een investeerder (de ‘moeder’) een belang heeft van meer dan tien procent in de onderneming waarin is geïnvesteerd (de ‘dochter’). Effecten, zoals aandelen in een beursgenoteerde onderneming, tellen niet als directe buitenlandse investeringen.</w:t>
      </w:r>
    </w:p>
  </w:footnote>
  <w:footnote w:id="15">
    <w:p w14:paraId="62107F94"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In beide figuren gaat het om zogenoemde ‘directionele’ cijfers voor directe buitenlandse investeringen. Dat wil zeggen dat investeringen van een moederbedrijf in een dochterbedrijf zijn gesaldeerd met investeringen van de dochter in de moeder. </w:t>
      </w:r>
    </w:p>
  </w:footnote>
  <w:footnote w:id="16">
    <w:p w14:paraId="2DFB3432" w14:textId="77777777" w:rsidR="00E539FC" w:rsidRPr="00E539FC" w:rsidRDefault="00E539FC">
      <w:pPr>
        <w:pStyle w:val="Voetnoottekst"/>
        <w:rPr>
          <w:sz w:val="16"/>
          <w:szCs w:val="16"/>
        </w:rPr>
      </w:pPr>
      <w:r w:rsidRPr="00E539FC">
        <w:rPr>
          <w:rStyle w:val="Voetnootmarkering"/>
          <w:sz w:val="16"/>
          <w:szCs w:val="16"/>
        </w:rPr>
        <w:footnoteRef/>
      </w:r>
      <w:r w:rsidRPr="00E539FC">
        <w:rPr>
          <w:sz w:val="16"/>
          <w:szCs w:val="16"/>
        </w:rPr>
        <w:t xml:space="preserve"> </w:t>
      </w:r>
      <w:r>
        <w:rPr>
          <w:sz w:val="16"/>
          <w:szCs w:val="16"/>
        </w:rPr>
        <w:t xml:space="preserve">Het </w:t>
      </w:r>
      <w:r w:rsidR="005D24A1">
        <w:rPr>
          <w:sz w:val="16"/>
          <w:szCs w:val="16"/>
        </w:rPr>
        <w:t>gaat om de stromen per jaar</w:t>
      </w:r>
      <w:r>
        <w:rPr>
          <w:sz w:val="16"/>
          <w:szCs w:val="16"/>
        </w:rPr>
        <w:t>,</w:t>
      </w:r>
      <w:r w:rsidR="005D24A1">
        <w:rPr>
          <w:sz w:val="16"/>
          <w:szCs w:val="16"/>
        </w:rPr>
        <w:t xml:space="preserve"> </w:t>
      </w:r>
      <w:r w:rsidR="005D69EE">
        <w:rPr>
          <w:sz w:val="16"/>
          <w:szCs w:val="16"/>
        </w:rPr>
        <w:t>dat is</w:t>
      </w:r>
      <w:r w:rsidR="005D24A1">
        <w:rPr>
          <w:sz w:val="16"/>
          <w:szCs w:val="16"/>
        </w:rPr>
        <w:t xml:space="preserve"> </w:t>
      </w:r>
      <w:r>
        <w:rPr>
          <w:sz w:val="16"/>
          <w:szCs w:val="16"/>
        </w:rPr>
        <w:t>i</w:t>
      </w:r>
      <w:r w:rsidRPr="00E539FC">
        <w:rPr>
          <w:sz w:val="16"/>
          <w:szCs w:val="16"/>
        </w:rPr>
        <w:t>nclusief prijs- en wisselkoersmutaties.</w:t>
      </w:r>
    </w:p>
  </w:footnote>
  <w:footnote w:id="17">
    <w:p w14:paraId="190E3D6E"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Zie p. 58 van het rapport van de Commissie Doorstroomvennootschappen (Kamerstukken II 2021/22, 25087, nr. 286, blg-1007733).</w:t>
      </w:r>
    </w:p>
  </w:footnote>
  <w:footnote w:id="18">
    <w:p w14:paraId="52576194"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Van ’t Riet en </w:t>
      </w:r>
      <w:proofErr w:type="spellStart"/>
      <w:r w:rsidRPr="00E539FC">
        <w:rPr>
          <w:sz w:val="16"/>
          <w:szCs w:val="16"/>
        </w:rPr>
        <w:t>Lejour</w:t>
      </w:r>
      <w:proofErr w:type="spellEnd"/>
      <w:r w:rsidRPr="00E539FC">
        <w:rPr>
          <w:sz w:val="16"/>
          <w:szCs w:val="16"/>
        </w:rPr>
        <w:t xml:space="preserve"> (2017), </w:t>
      </w:r>
      <w:proofErr w:type="spellStart"/>
      <w:r w:rsidRPr="00E539FC">
        <w:rPr>
          <w:sz w:val="16"/>
          <w:szCs w:val="16"/>
        </w:rPr>
        <w:t>Optimal</w:t>
      </w:r>
      <w:proofErr w:type="spellEnd"/>
      <w:r w:rsidRPr="00E539FC">
        <w:rPr>
          <w:sz w:val="16"/>
          <w:szCs w:val="16"/>
        </w:rPr>
        <w:t xml:space="preserve"> </w:t>
      </w:r>
      <w:proofErr w:type="spellStart"/>
      <w:r w:rsidRPr="00E539FC">
        <w:rPr>
          <w:sz w:val="16"/>
          <w:szCs w:val="16"/>
        </w:rPr>
        <w:t>tax</w:t>
      </w:r>
      <w:proofErr w:type="spellEnd"/>
      <w:r w:rsidRPr="00E539FC">
        <w:rPr>
          <w:sz w:val="16"/>
          <w:szCs w:val="16"/>
        </w:rPr>
        <w:t xml:space="preserve"> routing: Network Analysis of FDI </w:t>
      </w:r>
      <w:proofErr w:type="spellStart"/>
      <w:r w:rsidRPr="00E539FC">
        <w:rPr>
          <w:sz w:val="16"/>
          <w:szCs w:val="16"/>
        </w:rPr>
        <w:t>Diversion</w:t>
      </w:r>
      <w:proofErr w:type="spellEnd"/>
    </w:p>
  </w:footnote>
  <w:footnote w:id="19">
    <w:p w14:paraId="7D474294"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Doorstroomvennootschappen in deze statistiek zijn volgens het CBS “holdings binnen multinationale ondernemingsgroepen die winststromen zoals dividend en rente doorgeleiden binnen het concern”. Een deel van deze doorstroomvennootschappen kan ook een beperkte mate van reële activiteiten ontplooien. Aan de andere kant vindt er ook doorstroom plaats via niet-doorstroomvennootschappen. </w:t>
      </w:r>
    </w:p>
  </w:footnote>
  <w:footnote w:id="20">
    <w:p w14:paraId="31D22379"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CBS (2025), Nederland Handelsland, p. 147 – 151.</w:t>
      </w:r>
    </w:p>
  </w:footnote>
  <w:footnote w:id="21">
    <w:p w14:paraId="65A7AE99" w14:textId="77777777" w:rsidR="00A008D9" w:rsidRPr="00BD5CC5" w:rsidRDefault="00A008D9" w:rsidP="00A008D9">
      <w:pPr>
        <w:pStyle w:val="Voetnoottekst"/>
        <w:rPr>
          <w:sz w:val="16"/>
          <w:szCs w:val="16"/>
        </w:rPr>
      </w:pPr>
      <w:r w:rsidRPr="00BD5CC5">
        <w:rPr>
          <w:rStyle w:val="Voetnootmarkering"/>
          <w:sz w:val="16"/>
          <w:szCs w:val="16"/>
        </w:rPr>
        <w:footnoteRef/>
      </w:r>
      <w:r w:rsidRPr="00BD5CC5">
        <w:rPr>
          <w:sz w:val="16"/>
          <w:szCs w:val="16"/>
        </w:rPr>
        <w:t xml:space="preserve">  Zie </w:t>
      </w:r>
      <w:hyperlink r:id="rId1" w:history="1">
        <w:r w:rsidRPr="00BD5CC5">
          <w:rPr>
            <w:rStyle w:val="Hyperlink"/>
            <w:sz w:val="16"/>
            <w:szCs w:val="16"/>
          </w:rPr>
          <w:t>https://www.whitehouse.gov/presidential-actions/2025/01/the-organization-for-economic-co-operation-and-development-oecd-global-tax-deal-global-tax-deal/</w:t>
        </w:r>
      </w:hyperlink>
      <w:r w:rsidRPr="00BD5CC5">
        <w:rPr>
          <w:sz w:val="16"/>
          <w:szCs w:val="16"/>
        </w:rPr>
        <w:t xml:space="preserve"> waarin wordt verwezen naar de ‘OECD Global Tax Deal’. De wereldwijde minimumbelasting (Pijler 2) is daar onderdeel van.</w:t>
      </w:r>
    </w:p>
  </w:footnote>
  <w:footnote w:id="22">
    <w:p w14:paraId="6CE21505" w14:textId="77777777" w:rsidR="00A008D9" w:rsidRPr="00BD5CC5" w:rsidRDefault="00A008D9" w:rsidP="00A008D9">
      <w:pPr>
        <w:pStyle w:val="Voetnoottekst"/>
        <w:rPr>
          <w:sz w:val="16"/>
          <w:szCs w:val="16"/>
        </w:rPr>
      </w:pPr>
      <w:r w:rsidRPr="00BD5CC5">
        <w:rPr>
          <w:rStyle w:val="Voetnootmarkering"/>
          <w:sz w:val="16"/>
          <w:szCs w:val="16"/>
        </w:rPr>
        <w:footnoteRef/>
      </w:r>
      <w:r w:rsidRPr="00BD5CC5">
        <w:rPr>
          <w:sz w:val="16"/>
          <w:szCs w:val="16"/>
        </w:rPr>
        <w:t xml:space="preserve"> Zie </w:t>
      </w:r>
      <w:hyperlink r:id="rId2" w:history="1">
        <w:r w:rsidRPr="00BD5CC5">
          <w:rPr>
            <w:rStyle w:val="Hyperlink"/>
            <w:sz w:val="16"/>
            <w:szCs w:val="16"/>
          </w:rPr>
          <w:t>https://www.canada.ca/en/department-finance/news/2025/06/g7-statement-on-global-minimum-taxes.html</w:t>
        </w:r>
      </w:hyperlink>
      <w:r w:rsidRPr="00BD5CC5">
        <w:rPr>
          <w:sz w:val="16"/>
          <w:szCs w:val="16"/>
        </w:rPr>
        <w:t>. De G7 bestaat uit Canada (</w:t>
      </w:r>
      <w:proofErr w:type="gramStart"/>
      <w:r w:rsidRPr="00BD5CC5">
        <w:rPr>
          <w:sz w:val="16"/>
          <w:szCs w:val="16"/>
        </w:rPr>
        <w:t>tevens</w:t>
      </w:r>
      <w:proofErr w:type="gramEnd"/>
      <w:r w:rsidRPr="00BD5CC5">
        <w:rPr>
          <w:sz w:val="16"/>
          <w:szCs w:val="16"/>
        </w:rPr>
        <w:t xml:space="preserve"> huidige voorzitter van de G7), de VS, het VK, Duitsland, Frankrijk, Italië en Japan.</w:t>
      </w:r>
    </w:p>
  </w:footnote>
  <w:footnote w:id="23">
    <w:p w14:paraId="384D612B"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w:t>
      </w:r>
      <w:hyperlink r:id="rId3" w:history="1">
        <w:r w:rsidRPr="00E539FC">
          <w:rPr>
            <w:rStyle w:val="Hyperlink"/>
            <w:sz w:val="16"/>
            <w:szCs w:val="16"/>
          </w:rPr>
          <w:t>https://www.oecd.org/content/dam/oecd/en/topics/policy-issues/beps/statement-oecd-g20-inclusive-framework-on-beps-april-2025.pdf</w:t>
        </w:r>
      </w:hyperlink>
      <w:r w:rsidRPr="00E539FC">
        <w:rPr>
          <w:sz w:val="16"/>
          <w:szCs w:val="16"/>
        </w:rPr>
        <w:t>.</w:t>
      </w:r>
    </w:p>
  </w:footnote>
  <w:footnote w:id="24">
    <w:p w14:paraId="0B958E4F"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202</w:t>
      </w:r>
      <w:r w:rsidR="0099301F">
        <w:rPr>
          <w:sz w:val="16"/>
          <w:szCs w:val="16"/>
        </w:rPr>
        <w:t>5</w:t>
      </w:r>
      <w:r w:rsidRPr="00E539FC">
        <w:rPr>
          <w:sz w:val="16"/>
          <w:szCs w:val="16"/>
        </w:rPr>
        <w:t>/2</w:t>
      </w:r>
      <w:r w:rsidR="0099301F">
        <w:rPr>
          <w:sz w:val="16"/>
          <w:szCs w:val="16"/>
        </w:rPr>
        <w:t>6</w:t>
      </w:r>
      <w:r w:rsidRPr="00E539FC">
        <w:rPr>
          <w:sz w:val="16"/>
          <w:szCs w:val="16"/>
        </w:rPr>
        <w:t>, 32140, nr. 277.</w:t>
      </w:r>
    </w:p>
  </w:footnote>
  <w:footnote w:id="25">
    <w:p w14:paraId="03811E75"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BNC fiche Richtlijn met het oog op het tegengaan van misbruik door doorstroomvennootschappen op het gebied van belastingen en de aanpassing van Richtlijn 2011/16/EU (administratieve samenwerkingsrichtlijn), </w:t>
      </w:r>
      <w:proofErr w:type="gramStart"/>
      <w:r w:rsidRPr="00E539FC">
        <w:rPr>
          <w:sz w:val="16"/>
          <w:szCs w:val="16"/>
        </w:rPr>
        <w:t>COM(</w:t>
      </w:r>
      <w:proofErr w:type="gramEnd"/>
      <w:r w:rsidRPr="00E539FC">
        <w:rPr>
          <w:sz w:val="16"/>
          <w:szCs w:val="16"/>
        </w:rPr>
        <w:t>2021)565, 21 februari 2022, Kamerstuk 22112 nr. 3349.</w:t>
      </w:r>
    </w:p>
  </w:footnote>
  <w:footnote w:id="26">
    <w:p w14:paraId="0B7A12FF"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Richtlijn 2011/16/EU van de Raad van 15 februari 2011 </w:t>
      </w:r>
      <w:proofErr w:type="gramStart"/>
      <w:r w:rsidRPr="00E539FC">
        <w:rPr>
          <w:sz w:val="16"/>
          <w:szCs w:val="16"/>
        </w:rPr>
        <w:t>betreffende</w:t>
      </w:r>
      <w:proofErr w:type="gramEnd"/>
      <w:r w:rsidRPr="00E539FC">
        <w:rPr>
          <w:sz w:val="16"/>
          <w:szCs w:val="16"/>
        </w:rPr>
        <w:t xml:space="preserve"> de administratieve samenwerking op het gebied van de belastingen en tot intrekking van Richtlijn 77/799/EEG.</w:t>
      </w:r>
    </w:p>
  </w:footnote>
  <w:footnote w:id="27">
    <w:p w14:paraId="653785B8"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2023/24, 22112, nr. 3820.</w:t>
      </w:r>
    </w:p>
  </w:footnote>
  <w:footnote w:id="28">
    <w:p w14:paraId="1E11CFD1"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w:t>
      </w:r>
      <w:proofErr w:type="gramStart"/>
      <w:r w:rsidRPr="00E539FC">
        <w:rPr>
          <w:sz w:val="16"/>
          <w:szCs w:val="16"/>
        </w:rPr>
        <w:t>https://data.consilium.europa.eu/doc/document/ST-10611-2025-INIT/en/pdf</w:t>
      </w:r>
      <w:proofErr w:type="gramEnd"/>
    </w:p>
  </w:footnote>
  <w:footnote w:id="29">
    <w:p w14:paraId="2C5E54F3"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BNC-fiche </w:t>
      </w:r>
      <w:proofErr w:type="gramStart"/>
      <w:r w:rsidRPr="00E539FC">
        <w:rPr>
          <w:sz w:val="16"/>
          <w:szCs w:val="16"/>
        </w:rPr>
        <w:t>COM(</w:t>
      </w:r>
      <w:proofErr w:type="gramEnd"/>
      <w:r w:rsidRPr="00E539FC">
        <w:rPr>
          <w:sz w:val="16"/>
          <w:szCs w:val="16"/>
        </w:rPr>
        <w:t xml:space="preserve">2023)532  </w:t>
      </w:r>
    </w:p>
  </w:footnote>
  <w:footnote w:id="30">
    <w:p w14:paraId="39EDC7D1"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2023/24, 21501-07, nr. 1981.  </w:t>
      </w:r>
    </w:p>
  </w:footnote>
  <w:footnote w:id="31">
    <w:p w14:paraId="72177916"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Kamerstukken II 2024/25, 25087, nr. 343.</w:t>
      </w:r>
    </w:p>
  </w:footnote>
  <w:footnote w:id="32">
    <w:p w14:paraId="098D2ADF"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Op 4 december jl. is door 26 landen een joint statement gepubliceerd ten aanzien van het nieuwe multilaterale raamwerk voor de automatische uitwisseling van beschikbare informatie over onroerend goed (IPI MCAA). Het statement betreft een politieke toezegging om deel te nemen aan de IPI MCAA per 2029 of 2030. Nederland is positief over het initiatief. Omdat de uitvoeringsgevolgen nader in kaart moeten worden gebracht om te bepalen per wanneer en op welke wijze Nederland kan deelnemen, heeft Nederland het statement nog niet ondertekend. Nederland streeft ernaar om zich in de toekomst hierbij aan te sluiten. </w:t>
      </w:r>
    </w:p>
  </w:footnote>
  <w:footnote w:id="33">
    <w:p w14:paraId="07B25374"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 36782.  </w:t>
      </w:r>
    </w:p>
  </w:footnote>
  <w:footnote w:id="34">
    <w:p w14:paraId="5F384395" w14:textId="77777777" w:rsidR="00E42201" w:rsidRPr="00E539FC" w:rsidRDefault="00E42201" w:rsidP="00E42201">
      <w:pPr>
        <w:pStyle w:val="Voetnoottekst"/>
        <w:rPr>
          <w:sz w:val="16"/>
          <w:szCs w:val="16"/>
        </w:rPr>
      </w:pPr>
      <w:r w:rsidRPr="00E539FC">
        <w:rPr>
          <w:rStyle w:val="Voetnootmarkering"/>
          <w:sz w:val="16"/>
          <w:szCs w:val="16"/>
        </w:rPr>
        <w:footnoteRef/>
      </w:r>
      <w:r w:rsidRPr="00E539FC">
        <w:rPr>
          <w:sz w:val="16"/>
          <w:szCs w:val="16"/>
        </w:rPr>
        <w:t xml:space="preserve"> Kamerstuk 36818.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4D67" w14:textId="77777777" w:rsidR="00051F66" w:rsidRDefault="00423943">
    <w:r>
      <w:rPr>
        <w:noProof/>
      </w:rPr>
      <mc:AlternateContent>
        <mc:Choice Requires="wps">
          <w:drawing>
            <wp:anchor distT="0" distB="0" distL="0" distR="0" simplePos="0" relativeHeight="251652096" behindDoc="0" locked="1" layoutInCell="1" allowOverlap="1" wp14:anchorId="0D8E4CDF" wp14:editId="2727B4C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3342C2" w14:textId="77777777" w:rsidR="00051F66" w:rsidRDefault="00423943">
                          <w:pPr>
                            <w:pStyle w:val="StandaardReferentiegegevensKop"/>
                          </w:pPr>
                          <w:r>
                            <w:t>Ons kenmerk</w:t>
                          </w:r>
                        </w:p>
                        <w:p w14:paraId="3294FD8B" w14:textId="6EA7043D" w:rsidR="00D122DB" w:rsidRDefault="0070193A">
                          <w:pPr>
                            <w:pStyle w:val="StandaardReferentiegegevens"/>
                          </w:pPr>
                          <w:r>
                            <w:fldChar w:fldCharType="begin"/>
                          </w:r>
                          <w:r>
                            <w:instrText xml:space="preserve"> DOCPROPERTY  "Kenmerk"  \* MERGEFORMAT </w:instrText>
                          </w:r>
                          <w:r>
                            <w:fldChar w:fldCharType="separate"/>
                          </w:r>
                          <w:r>
                            <w:t>2025-0000489583</w:t>
                          </w:r>
                          <w:r>
                            <w:fldChar w:fldCharType="end"/>
                          </w:r>
                        </w:p>
                      </w:txbxContent>
                    </wps:txbx>
                    <wps:bodyPr vert="horz" wrap="square" lIns="0" tIns="0" rIns="0" bIns="0" anchor="t" anchorCtr="0"/>
                  </wps:wsp>
                </a:graphicData>
              </a:graphic>
            </wp:anchor>
          </w:drawing>
        </mc:Choice>
        <mc:Fallback>
          <w:pict>
            <v:shapetype w14:anchorId="0D8E4CD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3342C2" w14:textId="77777777" w:rsidR="00051F66" w:rsidRDefault="00423943">
                    <w:pPr>
                      <w:pStyle w:val="StandaardReferentiegegevensKop"/>
                    </w:pPr>
                    <w:r>
                      <w:t>Ons kenmerk</w:t>
                    </w:r>
                  </w:p>
                  <w:p w14:paraId="3294FD8B" w14:textId="6EA7043D" w:rsidR="00D122DB" w:rsidRDefault="0070193A">
                    <w:pPr>
                      <w:pStyle w:val="StandaardReferentiegegevens"/>
                    </w:pPr>
                    <w:r>
                      <w:fldChar w:fldCharType="begin"/>
                    </w:r>
                    <w:r>
                      <w:instrText xml:space="preserve"> DOCPROPERTY  "Kenmerk"  \* MERGEFORMAT </w:instrText>
                    </w:r>
                    <w:r>
                      <w:fldChar w:fldCharType="separate"/>
                    </w:r>
                    <w:r>
                      <w:t>2025-0000489583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94FA8E9" wp14:editId="400FD25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7D4972" w14:textId="77777777" w:rsidR="00D122DB" w:rsidRDefault="0070193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94FA8E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F7D4972" w14:textId="77777777" w:rsidR="00D122DB" w:rsidRDefault="0070193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A04B8A2" wp14:editId="622BE9B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9400A7E" w14:textId="67183395" w:rsidR="00D122DB" w:rsidRDefault="0070193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04B8A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9400A7E" w14:textId="67183395" w:rsidR="00D122DB" w:rsidRDefault="0070193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7D86" w14:textId="77777777" w:rsidR="00051F66" w:rsidRDefault="00423943">
    <w:pPr>
      <w:spacing w:after="7029" w:line="14" w:lineRule="exact"/>
    </w:pPr>
    <w:r>
      <w:rPr>
        <w:noProof/>
      </w:rPr>
      <mc:AlternateContent>
        <mc:Choice Requires="wps">
          <w:drawing>
            <wp:anchor distT="0" distB="0" distL="0" distR="0" simplePos="0" relativeHeight="251655168" behindDoc="0" locked="1" layoutInCell="1" allowOverlap="1" wp14:anchorId="49B189D6" wp14:editId="3B01C2B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D61B2D7" w14:textId="77777777" w:rsidR="00051F66" w:rsidRDefault="00423943">
                          <w:pPr>
                            <w:spacing w:line="240" w:lineRule="auto"/>
                          </w:pPr>
                          <w:r>
                            <w:rPr>
                              <w:noProof/>
                            </w:rPr>
                            <w:drawing>
                              <wp:inline distT="0" distB="0" distL="0" distR="0" wp14:anchorId="45522626" wp14:editId="7B8E492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B189D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D61B2D7" w14:textId="77777777" w:rsidR="00051F66" w:rsidRDefault="00423943">
                    <w:pPr>
                      <w:spacing w:line="240" w:lineRule="auto"/>
                    </w:pPr>
                    <w:r>
                      <w:rPr>
                        <w:noProof/>
                      </w:rPr>
                      <w:drawing>
                        <wp:inline distT="0" distB="0" distL="0" distR="0" wp14:anchorId="45522626" wp14:editId="7B8E492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D97B681" wp14:editId="50414C6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35BBEFD" w14:textId="77777777" w:rsidR="00423943" w:rsidRDefault="00423943"/>
                      </w:txbxContent>
                    </wps:txbx>
                    <wps:bodyPr vert="horz" wrap="square" lIns="0" tIns="0" rIns="0" bIns="0" anchor="t" anchorCtr="0"/>
                  </wps:wsp>
                </a:graphicData>
              </a:graphic>
            </wp:anchor>
          </w:drawing>
        </mc:Choice>
        <mc:Fallback>
          <w:pict>
            <v:shape w14:anchorId="4D97B68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35BBEFD" w14:textId="77777777" w:rsidR="00423943" w:rsidRDefault="0042394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41CE794" wp14:editId="13ED02A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08DD977" w14:textId="77777777" w:rsidR="00051F66" w:rsidRDefault="00423943">
                          <w:pPr>
                            <w:pStyle w:val="StandaardReferentiegegevens"/>
                          </w:pPr>
                          <w:r>
                            <w:t>Korte Voorhout 7</w:t>
                          </w:r>
                        </w:p>
                        <w:p w14:paraId="4CDC783B" w14:textId="77777777" w:rsidR="00051F66" w:rsidRDefault="00423943">
                          <w:pPr>
                            <w:pStyle w:val="StandaardReferentiegegevens"/>
                          </w:pPr>
                          <w:r>
                            <w:t>2511 CW  'S-GRAVENHAGE</w:t>
                          </w:r>
                        </w:p>
                        <w:p w14:paraId="40FD4CA5" w14:textId="77777777" w:rsidR="00051F66" w:rsidRDefault="00423943">
                          <w:pPr>
                            <w:pStyle w:val="StandaardReferentiegegevens"/>
                          </w:pPr>
                          <w:r>
                            <w:t>POSTBUS 20201</w:t>
                          </w:r>
                        </w:p>
                        <w:p w14:paraId="50722E48" w14:textId="77777777" w:rsidR="00051F66" w:rsidRPr="007C649D" w:rsidRDefault="00423943">
                          <w:pPr>
                            <w:pStyle w:val="StandaardReferentiegegevens"/>
                            <w:rPr>
                              <w:lang w:val="es-ES"/>
                            </w:rPr>
                          </w:pPr>
                          <w:r w:rsidRPr="007C649D">
                            <w:rPr>
                              <w:lang w:val="es-ES"/>
                            </w:rPr>
                            <w:t xml:space="preserve">2500 </w:t>
                          </w:r>
                          <w:proofErr w:type="gramStart"/>
                          <w:r w:rsidRPr="007C649D">
                            <w:rPr>
                              <w:lang w:val="es-ES"/>
                            </w:rPr>
                            <w:t>EE  '</w:t>
                          </w:r>
                          <w:proofErr w:type="gramEnd"/>
                          <w:r w:rsidRPr="007C649D">
                            <w:rPr>
                              <w:lang w:val="es-ES"/>
                            </w:rPr>
                            <w:t>S-GRAVENHAGE</w:t>
                          </w:r>
                        </w:p>
                        <w:p w14:paraId="47665FEA" w14:textId="77777777" w:rsidR="00051F66" w:rsidRPr="007C649D" w:rsidRDefault="00423943">
                          <w:pPr>
                            <w:pStyle w:val="StandaardReferentiegegevens"/>
                            <w:rPr>
                              <w:lang w:val="es-ES"/>
                            </w:rPr>
                          </w:pPr>
                          <w:r w:rsidRPr="007C649D">
                            <w:rPr>
                              <w:lang w:val="es-ES"/>
                            </w:rPr>
                            <w:t>www.rijksoverheid.nl/fin</w:t>
                          </w:r>
                        </w:p>
                        <w:p w14:paraId="3D7A7318" w14:textId="77777777" w:rsidR="00051F66" w:rsidRPr="007C649D" w:rsidRDefault="00051F66">
                          <w:pPr>
                            <w:pStyle w:val="WitregelW2"/>
                            <w:rPr>
                              <w:lang w:val="es-ES"/>
                            </w:rPr>
                          </w:pPr>
                        </w:p>
                        <w:p w14:paraId="1D9E2674" w14:textId="77777777" w:rsidR="00051F66" w:rsidRDefault="00423943">
                          <w:pPr>
                            <w:pStyle w:val="StandaardReferentiegegevensKop"/>
                          </w:pPr>
                          <w:r>
                            <w:t>Ons kenmerk</w:t>
                          </w:r>
                        </w:p>
                        <w:p w14:paraId="5735F599" w14:textId="0D9EB0A3" w:rsidR="00D122DB" w:rsidRDefault="0070193A">
                          <w:pPr>
                            <w:pStyle w:val="StandaardReferentiegegevens"/>
                          </w:pPr>
                          <w:r>
                            <w:fldChar w:fldCharType="begin"/>
                          </w:r>
                          <w:r>
                            <w:instrText xml:space="preserve"> DOCPROPERTY  "Kenmerk"  \* MERGEFORMAT </w:instrText>
                          </w:r>
                          <w:r>
                            <w:fldChar w:fldCharType="separate"/>
                          </w:r>
                          <w:r>
                            <w:t>2025-0000489583</w:t>
                          </w:r>
                          <w:r>
                            <w:fldChar w:fldCharType="end"/>
                          </w:r>
                        </w:p>
                        <w:p w14:paraId="4C1BD708" w14:textId="77777777" w:rsidR="00051F66" w:rsidRDefault="00051F66">
                          <w:pPr>
                            <w:pStyle w:val="WitregelW1"/>
                          </w:pPr>
                        </w:p>
                        <w:p w14:paraId="63152FB0" w14:textId="77777777" w:rsidR="00051F66" w:rsidRDefault="00423943">
                          <w:pPr>
                            <w:pStyle w:val="StandaardReferentiegegevensKop"/>
                          </w:pPr>
                          <w:r>
                            <w:t>Uw brief (kenmerk)</w:t>
                          </w:r>
                        </w:p>
                        <w:p w14:paraId="3ED34E5A" w14:textId="26562C2B" w:rsidR="00D122DB" w:rsidRDefault="0070193A">
                          <w:pPr>
                            <w:pStyle w:val="StandaardReferentiegegevens"/>
                          </w:pPr>
                          <w:r>
                            <w:fldChar w:fldCharType="begin"/>
                          </w:r>
                          <w:r>
                            <w:instrText xml:space="preserve"> DOCPROPERTY  "UwKenmerk"  \* MERGEFORMAT </w:instrText>
                          </w:r>
                          <w:r>
                            <w:fldChar w:fldCharType="end"/>
                          </w:r>
                        </w:p>
                        <w:p w14:paraId="4B719D40" w14:textId="77777777" w:rsidR="00051F66" w:rsidRDefault="00051F66">
                          <w:pPr>
                            <w:pStyle w:val="WitregelW1"/>
                          </w:pPr>
                        </w:p>
                        <w:p w14:paraId="60AA6FD2" w14:textId="77777777" w:rsidR="00051F66" w:rsidRDefault="00423943">
                          <w:pPr>
                            <w:pStyle w:val="StandaardReferentiegegevensKop"/>
                          </w:pPr>
                          <w:r>
                            <w:t>Bijlagen</w:t>
                          </w:r>
                        </w:p>
                        <w:p w14:paraId="0590C7C0" w14:textId="77777777" w:rsidR="00051F66" w:rsidRDefault="0042394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41CE79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08DD977" w14:textId="77777777" w:rsidR="00051F66" w:rsidRDefault="00423943">
                    <w:pPr>
                      <w:pStyle w:val="StandaardReferentiegegevens"/>
                    </w:pPr>
                    <w:r>
                      <w:t>Korte Voorhout 7</w:t>
                    </w:r>
                  </w:p>
                  <w:p w14:paraId="4CDC783B" w14:textId="77777777" w:rsidR="00051F66" w:rsidRDefault="00423943">
                    <w:pPr>
                      <w:pStyle w:val="StandaardReferentiegegevens"/>
                    </w:pPr>
                    <w:r>
                      <w:t>2511 CW  'S-GRAVENHAGE</w:t>
                    </w:r>
                  </w:p>
                  <w:p w14:paraId="40FD4CA5" w14:textId="77777777" w:rsidR="00051F66" w:rsidRDefault="00423943">
                    <w:pPr>
                      <w:pStyle w:val="StandaardReferentiegegevens"/>
                    </w:pPr>
                    <w:r>
                      <w:t>POSTBUS 20201</w:t>
                    </w:r>
                  </w:p>
                  <w:p w14:paraId="50722E48" w14:textId="77777777" w:rsidR="00051F66" w:rsidRPr="007C649D" w:rsidRDefault="00423943">
                    <w:pPr>
                      <w:pStyle w:val="StandaardReferentiegegevens"/>
                      <w:rPr>
                        <w:lang w:val="es-ES"/>
                      </w:rPr>
                    </w:pPr>
                    <w:r w:rsidRPr="007C649D">
                      <w:rPr>
                        <w:lang w:val="es-ES"/>
                      </w:rPr>
                      <w:t xml:space="preserve">2500 </w:t>
                    </w:r>
                    <w:proofErr w:type="gramStart"/>
                    <w:r w:rsidRPr="007C649D">
                      <w:rPr>
                        <w:lang w:val="es-ES"/>
                      </w:rPr>
                      <w:t>EE  '</w:t>
                    </w:r>
                    <w:proofErr w:type="gramEnd"/>
                    <w:r w:rsidRPr="007C649D">
                      <w:rPr>
                        <w:lang w:val="es-ES"/>
                      </w:rPr>
                      <w:t>S-GRAVENHAGE</w:t>
                    </w:r>
                  </w:p>
                  <w:p w14:paraId="47665FEA" w14:textId="77777777" w:rsidR="00051F66" w:rsidRPr="007C649D" w:rsidRDefault="00423943">
                    <w:pPr>
                      <w:pStyle w:val="StandaardReferentiegegevens"/>
                      <w:rPr>
                        <w:lang w:val="es-ES"/>
                      </w:rPr>
                    </w:pPr>
                    <w:r w:rsidRPr="007C649D">
                      <w:rPr>
                        <w:lang w:val="es-ES"/>
                      </w:rPr>
                      <w:t>www.rijksoverheid.nl/fin</w:t>
                    </w:r>
                  </w:p>
                  <w:p w14:paraId="3D7A7318" w14:textId="77777777" w:rsidR="00051F66" w:rsidRPr="007C649D" w:rsidRDefault="00051F66">
                    <w:pPr>
                      <w:pStyle w:val="WitregelW2"/>
                      <w:rPr>
                        <w:lang w:val="es-ES"/>
                      </w:rPr>
                    </w:pPr>
                  </w:p>
                  <w:p w14:paraId="1D9E2674" w14:textId="77777777" w:rsidR="00051F66" w:rsidRDefault="00423943">
                    <w:pPr>
                      <w:pStyle w:val="StandaardReferentiegegevensKop"/>
                    </w:pPr>
                    <w:r>
                      <w:t>Ons kenmerk</w:t>
                    </w:r>
                  </w:p>
                  <w:p w14:paraId="5735F599" w14:textId="0D9EB0A3" w:rsidR="00D122DB" w:rsidRDefault="0070193A">
                    <w:pPr>
                      <w:pStyle w:val="StandaardReferentiegegevens"/>
                    </w:pPr>
                    <w:r>
                      <w:fldChar w:fldCharType="begin"/>
                    </w:r>
                    <w:r>
                      <w:instrText xml:space="preserve"> DOCPROPERTY  "Kenmerk"  \* MERGEFORMAT </w:instrText>
                    </w:r>
                    <w:r>
                      <w:fldChar w:fldCharType="separate"/>
                    </w:r>
                    <w:r>
                      <w:t>2025-0000489583</w:t>
                    </w:r>
                    <w:r>
                      <w:fldChar w:fldCharType="end"/>
                    </w:r>
                  </w:p>
                  <w:p w14:paraId="4C1BD708" w14:textId="77777777" w:rsidR="00051F66" w:rsidRDefault="00051F66">
                    <w:pPr>
                      <w:pStyle w:val="WitregelW1"/>
                    </w:pPr>
                  </w:p>
                  <w:p w14:paraId="63152FB0" w14:textId="77777777" w:rsidR="00051F66" w:rsidRDefault="00423943">
                    <w:pPr>
                      <w:pStyle w:val="StandaardReferentiegegevensKop"/>
                    </w:pPr>
                    <w:r>
                      <w:t>Uw brief (kenmerk)</w:t>
                    </w:r>
                  </w:p>
                  <w:p w14:paraId="3ED34E5A" w14:textId="26562C2B" w:rsidR="00D122DB" w:rsidRDefault="0070193A">
                    <w:pPr>
                      <w:pStyle w:val="StandaardReferentiegegevens"/>
                    </w:pPr>
                    <w:r>
                      <w:fldChar w:fldCharType="begin"/>
                    </w:r>
                    <w:r>
                      <w:instrText xml:space="preserve"> DOCPROPERTY  "UwKenmerk"  \* MERGEFORMAT </w:instrText>
                    </w:r>
                    <w:r>
                      <w:fldChar w:fldCharType="end"/>
                    </w:r>
                  </w:p>
                  <w:p w14:paraId="4B719D40" w14:textId="77777777" w:rsidR="00051F66" w:rsidRDefault="00051F66">
                    <w:pPr>
                      <w:pStyle w:val="WitregelW1"/>
                    </w:pPr>
                  </w:p>
                  <w:p w14:paraId="60AA6FD2" w14:textId="77777777" w:rsidR="00051F66" w:rsidRDefault="00423943">
                    <w:pPr>
                      <w:pStyle w:val="StandaardReferentiegegevensKop"/>
                    </w:pPr>
                    <w:r>
                      <w:t>Bijlagen</w:t>
                    </w:r>
                  </w:p>
                  <w:p w14:paraId="0590C7C0" w14:textId="77777777" w:rsidR="00051F66" w:rsidRDefault="00423943">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68B1A62" wp14:editId="217FDC0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A01AA45" w14:textId="77777777" w:rsidR="00051F66" w:rsidRDefault="0042394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68B1A6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A01AA45" w14:textId="77777777" w:rsidR="00051F66" w:rsidRDefault="0042394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12985E9" wp14:editId="7103156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0C0121E" w14:textId="59C932A7" w:rsidR="00D122DB" w:rsidRDefault="0070193A">
                          <w:pPr>
                            <w:pStyle w:val="Rubricering"/>
                          </w:pPr>
                          <w:r>
                            <w:fldChar w:fldCharType="begin"/>
                          </w:r>
                          <w:r>
                            <w:instrText xml:space="preserve"> DOCPROPERTY  "Rubricering"  \* MERGEFORMAT </w:instrText>
                          </w:r>
                          <w:r>
                            <w:fldChar w:fldCharType="end"/>
                          </w:r>
                        </w:p>
                        <w:p w14:paraId="6D6C95C0" w14:textId="77777777" w:rsidR="0070193A" w:rsidRDefault="00423943">
                          <w:r>
                            <w:fldChar w:fldCharType="begin"/>
                          </w:r>
                          <w:r w:rsidR="0070193A">
                            <w:instrText xml:space="preserve"> DOCPROPERTY  "Aan"  \* MERGEFORMAT </w:instrText>
                          </w:r>
                          <w:r>
                            <w:fldChar w:fldCharType="separate"/>
                          </w:r>
                          <w:r w:rsidR="0070193A">
                            <w:t>Voorzitter van de Tweede Kamer der Staten-Generaal</w:t>
                          </w:r>
                        </w:p>
                        <w:p w14:paraId="6A096564" w14:textId="77777777" w:rsidR="0070193A" w:rsidRDefault="0070193A">
                          <w:r>
                            <w:t>Postbus 20018</w:t>
                          </w:r>
                        </w:p>
                        <w:p w14:paraId="24C52D30" w14:textId="77777777" w:rsidR="0070193A" w:rsidRDefault="0070193A">
                          <w:r>
                            <w:t>2500 EA  DEN HAAG</w:t>
                          </w:r>
                        </w:p>
                        <w:p w14:paraId="6C19AB59" w14:textId="77777777" w:rsidR="0070193A" w:rsidRDefault="0070193A"/>
                        <w:p w14:paraId="48A6512B" w14:textId="77777777" w:rsidR="00051F66" w:rsidRDefault="00423943">
                          <w:r>
                            <w:fldChar w:fldCharType="end"/>
                          </w:r>
                        </w:p>
                      </w:txbxContent>
                    </wps:txbx>
                    <wps:bodyPr vert="horz" wrap="square" lIns="0" tIns="0" rIns="0" bIns="0" anchor="t" anchorCtr="0"/>
                  </wps:wsp>
                </a:graphicData>
              </a:graphic>
            </wp:anchor>
          </w:drawing>
        </mc:Choice>
        <mc:Fallback>
          <w:pict>
            <v:shape w14:anchorId="412985E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0C0121E" w14:textId="59C932A7" w:rsidR="00D122DB" w:rsidRDefault="0070193A">
                    <w:pPr>
                      <w:pStyle w:val="Rubricering"/>
                    </w:pPr>
                    <w:r>
                      <w:fldChar w:fldCharType="begin"/>
                    </w:r>
                    <w:r>
                      <w:instrText xml:space="preserve"> DOCPROPERTY  "Rubricering"  \* MERGEFORMAT </w:instrText>
                    </w:r>
                    <w:r>
                      <w:fldChar w:fldCharType="end"/>
                    </w:r>
                  </w:p>
                  <w:p w14:paraId="6D6C95C0" w14:textId="77777777" w:rsidR="0070193A" w:rsidRDefault="00423943">
                    <w:r>
                      <w:fldChar w:fldCharType="begin"/>
                    </w:r>
                    <w:r w:rsidR="0070193A">
                      <w:instrText xml:space="preserve"> DOCPROPERTY  "Aan"  \* MERGEFORMAT </w:instrText>
                    </w:r>
                    <w:r>
                      <w:fldChar w:fldCharType="separate"/>
                    </w:r>
                    <w:r w:rsidR="0070193A">
                      <w:t>Voorzitter van de Tweede Kamer der Staten-Generaal</w:t>
                    </w:r>
                  </w:p>
                  <w:p w14:paraId="6A096564" w14:textId="77777777" w:rsidR="0070193A" w:rsidRDefault="0070193A">
                    <w:r>
                      <w:t>Postbus 20018</w:t>
                    </w:r>
                  </w:p>
                  <w:p w14:paraId="24C52D30" w14:textId="77777777" w:rsidR="0070193A" w:rsidRDefault="0070193A">
                    <w:r>
                      <w:t>2500 EA  DEN HAAG</w:t>
                    </w:r>
                  </w:p>
                  <w:p w14:paraId="6C19AB59" w14:textId="77777777" w:rsidR="0070193A" w:rsidRDefault="0070193A"/>
                  <w:p w14:paraId="48A6512B" w14:textId="77777777" w:rsidR="00051F66" w:rsidRDefault="0042394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E5927DA" wp14:editId="5D5A8D6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B8F51B" w14:textId="77777777" w:rsidR="00D122DB" w:rsidRDefault="0070193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E5927D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4B8F51B" w14:textId="77777777" w:rsidR="00D122DB" w:rsidRDefault="0070193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5F016B0" wp14:editId="16A34F7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1F66" w14:paraId="2658FE9D" w14:textId="77777777">
                            <w:trPr>
                              <w:trHeight w:val="200"/>
                            </w:trPr>
                            <w:tc>
                              <w:tcPr>
                                <w:tcW w:w="1140" w:type="dxa"/>
                              </w:tcPr>
                              <w:p w14:paraId="0CD0DD77" w14:textId="77777777" w:rsidR="00051F66" w:rsidRDefault="00051F66"/>
                            </w:tc>
                            <w:tc>
                              <w:tcPr>
                                <w:tcW w:w="5400" w:type="dxa"/>
                              </w:tcPr>
                              <w:p w14:paraId="43CCE423" w14:textId="77777777" w:rsidR="00051F66" w:rsidRDefault="00051F66"/>
                            </w:tc>
                          </w:tr>
                          <w:tr w:rsidR="00051F66" w14:paraId="4A9A4B3D" w14:textId="77777777">
                            <w:trPr>
                              <w:trHeight w:val="240"/>
                            </w:trPr>
                            <w:tc>
                              <w:tcPr>
                                <w:tcW w:w="1140" w:type="dxa"/>
                              </w:tcPr>
                              <w:p w14:paraId="3F2C9617" w14:textId="77777777" w:rsidR="00051F66" w:rsidRDefault="00423943">
                                <w:r>
                                  <w:t>Datum</w:t>
                                </w:r>
                              </w:p>
                            </w:tc>
                            <w:tc>
                              <w:tcPr>
                                <w:tcW w:w="5400" w:type="dxa"/>
                              </w:tcPr>
                              <w:p w14:paraId="2C86CE04" w14:textId="6B7195CD" w:rsidR="00051F66" w:rsidRDefault="00193153">
                                <w:r>
                                  <w:t>15 december 2025</w:t>
                                </w:r>
                              </w:p>
                            </w:tc>
                          </w:tr>
                          <w:tr w:rsidR="00051F66" w14:paraId="17046757" w14:textId="77777777">
                            <w:trPr>
                              <w:trHeight w:val="240"/>
                            </w:trPr>
                            <w:tc>
                              <w:tcPr>
                                <w:tcW w:w="1140" w:type="dxa"/>
                              </w:tcPr>
                              <w:p w14:paraId="1C45508F" w14:textId="77777777" w:rsidR="00051F66" w:rsidRDefault="00423943">
                                <w:r>
                                  <w:t>Betreft</w:t>
                                </w:r>
                              </w:p>
                            </w:tc>
                            <w:tc>
                              <w:tcPr>
                                <w:tcW w:w="5400" w:type="dxa"/>
                              </w:tcPr>
                              <w:p w14:paraId="2A3038EB" w14:textId="3FE093F0" w:rsidR="00D122DB" w:rsidRDefault="0070193A">
                                <w:r>
                                  <w:fldChar w:fldCharType="begin"/>
                                </w:r>
                                <w:r>
                                  <w:instrText xml:space="preserve"> DOCPROPERTY  "Onderwerp"  \* MERGEFORMAT </w:instrText>
                                </w:r>
                                <w:r>
                                  <w:fldChar w:fldCharType="separate"/>
                                </w:r>
                                <w:r>
                                  <w:t>Monitoring van de effecten van de aanpak van belastingontwijking</w:t>
                                </w:r>
                                <w:r>
                                  <w:fldChar w:fldCharType="end"/>
                                </w:r>
                              </w:p>
                            </w:tc>
                          </w:tr>
                          <w:tr w:rsidR="00051F66" w14:paraId="2883A496" w14:textId="77777777">
                            <w:trPr>
                              <w:trHeight w:val="200"/>
                            </w:trPr>
                            <w:tc>
                              <w:tcPr>
                                <w:tcW w:w="1140" w:type="dxa"/>
                              </w:tcPr>
                              <w:p w14:paraId="1EFD3186" w14:textId="77777777" w:rsidR="00051F66" w:rsidRDefault="00051F66"/>
                            </w:tc>
                            <w:tc>
                              <w:tcPr>
                                <w:tcW w:w="4738" w:type="dxa"/>
                              </w:tcPr>
                              <w:p w14:paraId="7261AF01" w14:textId="77777777" w:rsidR="00051F66" w:rsidRDefault="00051F66"/>
                            </w:tc>
                          </w:tr>
                        </w:tbl>
                        <w:p w14:paraId="5D4DE5A2" w14:textId="77777777" w:rsidR="00423943" w:rsidRDefault="00423943"/>
                      </w:txbxContent>
                    </wps:txbx>
                    <wps:bodyPr vert="horz" wrap="square" lIns="0" tIns="0" rIns="0" bIns="0" anchor="t" anchorCtr="0"/>
                  </wps:wsp>
                </a:graphicData>
              </a:graphic>
            </wp:anchor>
          </w:drawing>
        </mc:Choice>
        <mc:Fallback>
          <w:pict>
            <v:shape w14:anchorId="75F016B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51F66" w14:paraId="2658FE9D" w14:textId="77777777">
                      <w:trPr>
                        <w:trHeight w:val="200"/>
                      </w:trPr>
                      <w:tc>
                        <w:tcPr>
                          <w:tcW w:w="1140" w:type="dxa"/>
                        </w:tcPr>
                        <w:p w14:paraId="0CD0DD77" w14:textId="77777777" w:rsidR="00051F66" w:rsidRDefault="00051F66"/>
                      </w:tc>
                      <w:tc>
                        <w:tcPr>
                          <w:tcW w:w="5400" w:type="dxa"/>
                        </w:tcPr>
                        <w:p w14:paraId="43CCE423" w14:textId="77777777" w:rsidR="00051F66" w:rsidRDefault="00051F66"/>
                      </w:tc>
                    </w:tr>
                    <w:tr w:rsidR="00051F66" w14:paraId="4A9A4B3D" w14:textId="77777777">
                      <w:trPr>
                        <w:trHeight w:val="240"/>
                      </w:trPr>
                      <w:tc>
                        <w:tcPr>
                          <w:tcW w:w="1140" w:type="dxa"/>
                        </w:tcPr>
                        <w:p w14:paraId="3F2C9617" w14:textId="77777777" w:rsidR="00051F66" w:rsidRDefault="00423943">
                          <w:r>
                            <w:t>Datum</w:t>
                          </w:r>
                        </w:p>
                      </w:tc>
                      <w:tc>
                        <w:tcPr>
                          <w:tcW w:w="5400" w:type="dxa"/>
                        </w:tcPr>
                        <w:p w14:paraId="2C86CE04" w14:textId="6B7195CD" w:rsidR="00051F66" w:rsidRDefault="00193153">
                          <w:r>
                            <w:t>15 december 2025</w:t>
                          </w:r>
                        </w:p>
                      </w:tc>
                    </w:tr>
                    <w:tr w:rsidR="00051F66" w14:paraId="17046757" w14:textId="77777777">
                      <w:trPr>
                        <w:trHeight w:val="240"/>
                      </w:trPr>
                      <w:tc>
                        <w:tcPr>
                          <w:tcW w:w="1140" w:type="dxa"/>
                        </w:tcPr>
                        <w:p w14:paraId="1C45508F" w14:textId="77777777" w:rsidR="00051F66" w:rsidRDefault="00423943">
                          <w:r>
                            <w:t>Betreft</w:t>
                          </w:r>
                        </w:p>
                      </w:tc>
                      <w:tc>
                        <w:tcPr>
                          <w:tcW w:w="5400" w:type="dxa"/>
                        </w:tcPr>
                        <w:p w14:paraId="2A3038EB" w14:textId="3FE093F0" w:rsidR="00D122DB" w:rsidRDefault="0070193A">
                          <w:r>
                            <w:fldChar w:fldCharType="begin"/>
                          </w:r>
                          <w:r>
                            <w:instrText xml:space="preserve"> DOCPROPERTY  "Onderwerp"  \* MERGEFORMAT </w:instrText>
                          </w:r>
                          <w:r>
                            <w:fldChar w:fldCharType="separate"/>
                          </w:r>
                          <w:r>
                            <w:t>Monitoring van de effecten van de aanpak van belastingontwijking</w:t>
                          </w:r>
                          <w:r>
                            <w:fldChar w:fldCharType="end"/>
                          </w:r>
                        </w:p>
                      </w:tc>
                    </w:tr>
                    <w:tr w:rsidR="00051F66" w14:paraId="2883A496" w14:textId="77777777">
                      <w:trPr>
                        <w:trHeight w:val="200"/>
                      </w:trPr>
                      <w:tc>
                        <w:tcPr>
                          <w:tcW w:w="1140" w:type="dxa"/>
                        </w:tcPr>
                        <w:p w14:paraId="1EFD3186" w14:textId="77777777" w:rsidR="00051F66" w:rsidRDefault="00051F66"/>
                      </w:tc>
                      <w:tc>
                        <w:tcPr>
                          <w:tcW w:w="4738" w:type="dxa"/>
                        </w:tcPr>
                        <w:p w14:paraId="7261AF01" w14:textId="77777777" w:rsidR="00051F66" w:rsidRDefault="00051F66"/>
                      </w:tc>
                    </w:tr>
                  </w:tbl>
                  <w:p w14:paraId="5D4DE5A2" w14:textId="77777777" w:rsidR="00423943" w:rsidRDefault="0042394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22BF62D" wp14:editId="3B8FD87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B0AD48D" w14:textId="5AE3DF23" w:rsidR="00D122DB" w:rsidRDefault="0070193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2BF62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B0AD48D" w14:textId="5AE3DF23" w:rsidR="00D122DB" w:rsidRDefault="0070193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86F3474" wp14:editId="7D3C11F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EAE5CE" w14:textId="77777777" w:rsidR="00423943" w:rsidRDefault="00423943"/>
                      </w:txbxContent>
                    </wps:txbx>
                    <wps:bodyPr vert="horz" wrap="square" lIns="0" tIns="0" rIns="0" bIns="0" anchor="t" anchorCtr="0"/>
                  </wps:wsp>
                </a:graphicData>
              </a:graphic>
            </wp:anchor>
          </w:drawing>
        </mc:Choice>
        <mc:Fallback>
          <w:pict>
            <v:shape w14:anchorId="186F347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EAE5CE" w14:textId="77777777" w:rsidR="00423943" w:rsidRDefault="0042394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0B3BCB"/>
    <w:multiLevelType w:val="multilevel"/>
    <w:tmpl w:val="EFFCD92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4AB7D"/>
    <w:multiLevelType w:val="multilevel"/>
    <w:tmpl w:val="5CDB6C5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7457F"/>
    <w:multiLevelType w:val="multilevel"/>
    <w:tmpl w:val="F767FC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D410CFE"/>
    <w:multiLevelType w:val="multilevel"/>
    <w:tmpl w:val="5E5EF3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530E14"/>
    <w:multiLevelType w:val="multilevel"/>
    <w:tmpl w:val="CAFDAEE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06661C"/>
    <w:multiLevelType w:val="hybridMultilevel"/>
    <w:tmpl w:val="F3AA57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68C2FA"/>
    <w:multiLevelType w:val="multilevel"/>
    <w:tmpl w:val="E89F45D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9202829">
    <w:abstractNumId w:val="1"/>
  </w:num>
  <w:num w:numId="2" w16cid:durableId="1026711251">
    <w:abstractNumId w:val="6"/>
  </w:num>
  <w:num w:numId="3" w16cid:durableId="1256791239">
    <w:abstractNumId w:val="3"/>
  </w:num>
  <w:num w:numId="4" w16cid:durableId="1584561605">
    <w:abstractNumId w:val="2"/>
  </w:num>
  <w:num w:numId="5" w16cid:durableId="1865971819">
    <w:abstractNumId w:val="4"/>
  </w:num>
  <w:num w:numId="6" w16cid:durableId="793794901">
    <w:abstractNumId w:val="0"/>
  </w:num>
  <w:num w:numId="7" w16cid:durableId="1765802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F66"/>
    <w:rsid w:val="00002107"/>
    <w:rsid w:val="000164D8"/>
    <w:rsid w:val="00040B52"/>
    <w:rsid w:val="00051F66"/>
    <w:rsid w:val="00065111"/>
    <w:rsid w:val="00110EAF"/>
    <w:rsid w:val="001648F2"/>
    <w:rsid w:val="001822B1"/>
    <w:rsid w:val="00193153"/>
    <w:rsid w:val="001940DC"/>
    <w:rsid w:val="0027428E"/>
    <w:rsid w:val="00284C70"/>
    <w:rsid w:val="002A5C5A"/>
    <w:rsid w:val="002E3CFD"/>
    <w:rsid w:val="00303A0E"/>
    <w:rsid w:val="0034074F"/>
    <w:rsid w:val="003F6504"/>
    <w:rsid w:val="0041289B"/>
    <w:rsid w:val="00423943"/>
    <w:rsid w:val="0043564B"/>
    <w:rsid w:val="00455335"/>
    <w:rsid w:val="00456F59"/>
    <w:rsid w:val="00484B30"/>
    <w:rsid w:val="004A1540"/>
    <w:rsid w:val="004E47ED"/>
    <w:rsid w:val="00573074"/>
    <w:rsid w:val="0057643F"/>
    <w:rsid w:val="00593C2C"/>
    <w:rsid w:val="005C1116"/>
    <w:rsid w:val="005D24A1"/>
    <w:rsid w:val="005D69EE"/>
    <w:rsid w:val="005E0307"/>
    <w:rsid w:val="005E063F"/>
    <w:rsid w:val="005F37AC"/>
    <w:rsid w:val="006900FD"/>
    <w:rsid w:val="006A2B49"/>
    <w:rsid w:val="006C245F"/>
    <w:rsid w:val="0070193A"/>
    <w:rsid w:val="00702F5C"/>
    <w:rsid w:val="007226AB"/>
    <w:rsid w:val="007321B4"/>
    <w:rsid w:val="00742F4B"/>
    <w:rsid w:val="007A3CFD"/>
    <w:rsid w:val="007C649D"/>
    <w:rsid w:val="0081286B"/>
    <w:rsid w:val="00866D45"/>
    <w:rsid w:val="008C181D"/>
    <w:rsid w:val="008F676E"/>
    <w:rsid w:val="0099301F"/>
    <w:rsid w:val="009C0B15"/>
    <w:rsid w:val="009D18A6"/>
    <w:rsid w:val="009E4C35"/>
    <w:rsid w:val="009F6660"/>
    <w:rsid w:val="00A008D9"/>
    <w:rsid w:val="00A034B6"/>
    <w:rsid w:val="00A21264"/>
    <w:rsid w:val="00A37DD4"/>
    <w:rsid w:val="00A44C3E"/>
    <w:rsid w:val="00A46FCB"/>
    <w:rsid w:val="00AC081A"/>
    <w:rsid w:val="00AF5CEF"/>
    <w:rsid w:val="00B22F5C"/>
    <w:rsid w:val="00B40EEF"/>
    <w:rsid w:val="00B57049"/>
    <w:rsid w:val="00B86BC4"/>
    <w:rsid w:val="00B9637B"/>
    <w:rsid w:val="00BA2C65"/>
    <w:rsid w:val="00BC2757"/>
    <w:rsid w:val="00C403EE"/>
    <w:rsid w:val="00C53B80"/>
    <w:rsid w:val="00C61E30"/>
    <w:rsid w:val="00C82828"/>
    <w:rsid w:val="00CB0EAA"/>
    <w:rsid w:val="00CD2977"/>
    <w:rsid w:val="00CD78B0"/>
    <w:rsid w:val="00D122DB"/>
    <w:rsid w:val="00D72E11"/>
    <w:rsid w:val="00D93464"/>
    <w:rsid w:val="00DC6859"/>
    <w:rsid w:val="00DD3B7F"/>
    <w:rsid w:val="00DF3BF5"/>
    <w:rsid w:val="00E3453F"/>
    <w:rsid w:val="00E42201"/>
    <w:rsid w:val="00E539FC"/>
    <w:rsid w:val="00EB3324"/>
    <w:rsid w:val="00EC23CA"/>
    <w:rsid w:val="00EC70A8"/>
    <w:rsid w:val="00EE5170"/>
    <w:rsid w:val="00F0553D"/>
    <w:rsid w:val="00F121DC"/>
    <w:rsid w:val="00FD5C46"/>
    <w:rsid w:val="00FF6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D708E2B"/>
  <w15:docId w15:val="{0FE19769-6273-44D9-8529-FB0883A9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C64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649D"/>
    <w:rPr>
      <w:rFonts w:ascii="Verdana" w:hAnsi="Verdana"/>
      <w:color w:val="000000"/>
      <w:sz w:val="18"/>
      <w:szCs w:val="18"/>
    </w:rPr>
  </w:style>
  <w:style w:type="paragraph" w:styleId="Voettekst">
    <w:name w:val="footer"/>
    <w:basedOn w:val="Standaard"/>
    <w:link w:val="VoettekstChar"/>
    <w:uiPriority w:val="99"/>
    <w:unhideWhenUsed/>
    <w:rsid w:val="007C64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C649D"/>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456F59"/>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456F59"/>
    <w:rPr>
      <w:rFonts w:ascii="Verdana" w:hAnsi="Verdana"/>
      <w:color w:val="000000"/>
    </w:rPr>
  </w:style>
  <w:style w:type="character" w:styleId="Voetnootmarkering">
    <w:name w:val="footnote reference"/>
    <w:basedOn w:val="Standaardalinea-lettertype"/>
    <w:uiPriority w:val="99"/>
    <w:semiHidden/>
    <w:unhideWhenUsed/>
    <w:qFormat/>
    <w:rsid w:val="00456F59"/>
    <w:rPr>
      <w:vertAlign w:val="superscript"/>
    </w:rPr>
  </w:style>
  <w:style w:type="character" w:styleId="Verwijzingopmerking">
    <w:name w:val="annotation reference"/>
    <w:basedOn w:val="Standaardalinea-lettertype"/>
    <w:uiPriority w:val="99"/>
    <w:semiHidden/>
    <w:unhideWhenUsed/>
    <w:rsid w:val="00BC2757"/>
    <w:rPr>
      <w:sz w:val="16"/>
      <w:szCs w:val="16"/>
    </w:rPr>
  </w:style>
  <w:style w:type="paragraph" w:styleId="Tekstopmerking">
    <w:name w:val="annotation text"/>
    <w:basedOn w:val="Standaard"/>
    <w:link w:val="TekstopmerkingChar"/>
    <w:uiPriority w:val="99"/>
    <w:unhideWhenUsed/>
    <w:rsid w:val="00BC2757"/>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BC2757"/>
    <w:rPr>
      <w:rFonts w:ascii="Verdana" w:eastAsiaTheme="minorHAnsi" w:hAnsi="Verdana" w:cstheme="minorBidi"/>
      <w:kern w:val="2"/>
      <w:lang w:val="en-US" w:eastAsia="en-US"/>
      <w14:ligatures w14:val="standardContextual"/>
    </w:rPr>
  </w:style>
  <w:style w:type="paragraph" w:styleId="Revisie">
    <w:name w:val="Revision"/>
    <w:hidden/>
    <w:uiPriority w:val="99"/>
    <w:semiHidden/>
    <w:rsid w:val="00BC2757"/>
    <w:pPr>
      <w:autoSpaceDN/>
      <w:textAlignment w:val="auto"/>
    </w:pPr>
    <w:rPr>
      <w:rFonts w:ascii="Verdana" w:hAnsi="Verdana"/>
      <w:color w:val="000000"/>
      <w:sz w:val="18"/>
      <w:szCs w:val="18"/>
    </w:rPr>
  </w:style>
  <w:style w:type="table" w:styleId="Tabelraster">
    <w:name w:val="Table Grid"/>
    <w:basedOn w:val="Standaardtabel"/>
    <w:uiPriority w:val="39"/>
    <w:rsid w:val="00BC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semiHidden/>
    <w:rsid w:val="004A1540"/>
    <w:pPr>
      <w:ind w:left="720"/>
      <w:contextualSpacing/>
    </w:pPr>
  </w:style>
  <w:style w:type="table" w:customStyle="1" w:styleId="Tabelraster1">
    <w:name w:val="Tabelraster1"/>
    <w:basedOn w:val="Standaardtabel"/>
    <w:next w:val="Tabelraster"/>
    <w:uiPriority w:val="39"/>
    <w:rsid w:val="004E47ED"/>
    <w:pPr>
      <w:autoSpaceDN/>
      <w:textAlignment w:val="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50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chart" Target="charts/chart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content/dam/oecd/en/topics/policy-issues/beps/statement-oecd-g20-inclusive-framework-on-beps-april-2025.pdf" TargetMode="External"/><Relationship Id="rId2" Type="http://schemas.openxmlformats.org/officeDocument/2006/relationships/hyperlink" Target="https://www.canada.ca/en/department-finance/news/2025/06/g7-statement-on-global-minimum-taxes.html" TargetMode="External"/><Relationship Id="rId1" Type="http://schemas.openxmlformats.org/officeDocument/2006/relationships/hyperlink" Target="https://www.whitehouse.gov/presidential-actions/2025/01/the-organization-for-economic-co-operation-and-development-oecd-global-tax-deal-global-tax-de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Downloads\ac8e4bf9-c435-44fe-a5f3-0177a58370fe_Cijfers%208okt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Downloads\ac8e4bf9-c435-44fe-a5f3-0177a58370fe_Cijfers%208okt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rd.shsdir.nl\orgData\FIN\DGFZ\AFP\Analyse\C13.%20Vennootschapsbelasting\Monitoringsbrief%202024\FDI%20flo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rd.shsdir.nl\orgData\FIN\DGFZ\AFP\Analyse\C13.%20Vennootschapsbelasting\Monitoringsbrief%202024\MinFin%20directioneel%20DI%202009-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nl-NL" sz="1000">
                <a:solidFill>
                  <a:sysClr val="windowText" lastClr="000000"/>
                </a:solidFill>
              </a:rPr>
              <a:t>Het</a:t>
            </a:r>
            <a:r>
              <a:rPr lang="nl-NL" sz="1000" baseline="0">
                <a:solidFill>
                  <a:sysClr val="windowText" lastClr="000000"/>
                </a:solidFill>
              </a:rPr>
              <a:t> a</a:t>
            </a:r>
            <a:r>
              <a:rPr lang="nl-NL" sz="1000">
                <a:solidFill>
                  <a:sysClr val="windowText" lastClr="000000"/>
                </a:solidFill>
              </a:rPr>
              <a:t>antal informele kapitaalstortingen en verkapte dividenduitkeringen van buitenlandse gelieerde lichamen,</a:t>
            </a:r>
            <a:r>
              <a:rPr lang="nl-NL" sz="1000" baseline="0">
                <a:solidFill>
                  <a:sysClr val="windowText" lastClr="000000"/>
                </a:solidFill>
              </a:rPr>
              <a:t> met vanaf 2022 de voorwaarde dat zij voldoen aan artikelen 8bb t/m 8bd Vpb</a:t>
            </a:r>
            <a:endParaRPr lang="nl-NL" sz="1000">
              <a:solidFill>
                <a:sysClr val="windowText" lastClr="000000"/>
              </a:solidFill>
            </a:endParaRPr>
          </a:p>
        </c:rich>
      </c:tx>
      <c:layout>
        <c:manualLayout>
          <c:xMode val="edge"/>
          <c:yMode val="edge"/>
          <c:x val="0.11597072273182349"/>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9.8038260681332354E-2"/>
          <c:y val="0.18285678305363343"/>
          <c:w val="0.86416105203344429"/>
          <c:h val="0.68514519649690264"/>
        </c:manualLayout>
      </c:layout>
      <c:lineChart>
        <c:grouping val="standard"/>
        <c:varyColors val="0"/>
        <c:ser>
          <c:idx val="0"/>
          <c:order val="0"/>
          <c:tx>
            <c:strRef>
              <c:f>Sheet0!$B$27</c:f>
              <c:strCache>
                <c:ptCount val="1"/>
                <c:pt idx="0">
                  <c:v>Informele kapitaalstortingen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Sheet0!$A$28:$A$35</c:f>
              <c:strCache>
                <c:ptCount val="8"/>
                <c:pt idx="0">
                  <c:v>2016</c:v>
                </c:pt>
                <c:pt idx="1">
                  <c:v>2017</c:v>
                </c:pt>
                <c:pt idx="2">
                  <c:v>2018</c:v>
                </c:pt>
                <c:pt idx="3">
                  <c:v>2019</c:v>
                </c:pt>
                <c:pt idx="4">
                  <c:v>2020</c:v>
                </c:pt>
                <c:pt idx="5">
                  <c:v>2021</c:v>
                </c:pt>
                <c:pt idx="6">
                  <c:v>2022</c:v>
                </c:pt>
                <c:pt idx="7">
                  <c:v>2023*</c:v>
                </c:pt>
              </c:strCache>
            </c:strRef>
          </c:cat>
          <c:val>
            <c:numRef>
              <c:f>Sheet0!$B$28:$B$35</c:f>
              <c:numCache>
                <c:formatCode>#,##0</c:formatCode>
                <c:ptCount val="8"/>
                <c:pt idx="0">
                  <c:v>317</c:v>
                </c:pt>
                <c:pt idx="1">
                  <c:v>392</c:v>
                </c:pt>
                <c:pt idx="2">
                  <c:v>442</c:v>
                </c:pt>
                <c:pt idx="3">
                  <c:v>521</c:v>
                </c:pt>
                <c:pt idx="4">
                  <c:v>390</c:v>
                </c:pt>
                <c:pt idx="5">
                  <c:v>288</c:v>
                </c:pt>
                <c:pt idx="6">
                  <c:v>139</c:v>
                </c:pt>
                <c:pt idx="7">
                  <c:v>97</c:v>
                </c:pt>
              </c:numCache>
            </c:numRef>
          </c:val>
          <c:smooth val="0"/>
          <c:extLst>
            <c:ext xmlns:c16="http://schemas.microsoft.com/office/drawing/2014/chart" uri="{C3380CC4-5D6E-409C-BE32-E72D297353CC}">
              <c16:uniqueId val="{00000000-B3C4-4805-97CC-A0F194727FC7}"/>
            </c:ext>
          </c:extLst>
        </c:ser>
        <c:ser>
          <c:idx val="3"/>
          <c:order val="1"/>
          <c:tx>
            <c:strRef>
              <c:f>Blad1!$B$27</c:f>
              <c:strCache>
                <c:ptCount val="1"/>
                <c:pt idx="0">
                  <c:v>Verkapte dividenduitkeringen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Sheet0!$A$28:$A$35</c:f>
              <c:strCache>
                <c:ptCount val="8"/>
                <c:pt idx="0">
                  <c:v>2016</c:v>
                </c:pt>
                <c:pt idx="1">
                  <c:v>2017</c:v>
                </c:pt>
                <c:pt idx="2">
                  <c:v>2018</c:v>
                </c:pt>
                <c:pt idx="3">
                  <c:v>2019</c:v>
                </c:pt>
                <c:pt idx="4">
                  <c:v>2020</c:v>
                </c:pt>
                <c:pt idx="5">
                  <c:v>2021</c:v>
                </c:pt>
                <c:pt idx="6">
                  <c:v>2022</c:v>
                </c:pt>
                <c:pt idx="7">
                  <c:v>2023*</c:v>
                </c:pt>
              </c:strCache>
            </c:strRef>
          </c:cat>
          <c:val>
            <c:numRef>
              <c:f>Blad1!$B$28:$B$35</c:f>
              <c:numCache>
                <c:formatCode>#,##0</c:formatCode>
                <c:ptCount val="8"/>
                <c:pt idx="0">
                  <c:v>57</c:v>
                </c:pt>
                <c:pt idx="1">
                  <c:v>97</c:v>
                </c:pt>
                <c:pt idx="2">
                  <c:v>97</c:v>
                </c:pt>
                <c:pt idx="3">
                  <c:v>110</c:v>
                </c:pt>
                <c:pt idx="4">
                  <c:v>93</c:v>
                </c:pt>
                <c:pt idx="5">
                  <c:v>65</c:v>
                </c:pt>
                <c:pt idx="6">
                  <c:v>18</c:v>
                </c:pt>
                <c:pt idx="7">
                  <c:v>8</c:v>
                </c:pt>
              </c:numCache>
            </c:numRef>
          </c:val>
          <c:smooth val="0"/>
          <c:extLst>
            <c:ext xmlns:c16="http://schemas.microsoft.com/office/drawing/2014/chart" uri="{C3380CC4-5D6E-409C-BE32-E72D297353CC}">
              <c16:uniqueId val="{00000001-B3C4-4805-97CC-A0F194727FC7}"/>
            </c:ext>
          </c:extLst>
        </c:ser>
        <c:dLbls>
          <c:showLegendKey val="0"/>
          <c:showVal val="0"/>
          <c:showCatName val="0"/>
          <c:showSerName val="0"/>
          <c:showPercent val="0"/>
          <c:showBubbleSize val="0"/>
        </c:dLbls>
        <c:marker val="1"/>
        <c:smooth val="0"/>
        <c:axId val="1811519280"/>
        <c:axId val="1811517360"/>
        <c:extLst>
          <c:ext xmlns:c15="http://schemas.microsoft.com/office/drawing/2012/chart" uri="{02D57815-91ED-43cb-92C2-25804820EDAC}">
            <c15:filteredLineSeries>
              <c15:ser>
                <c:idx val="1"/>
                <c:order val="2"/>
                <c:tx>
                  <c:strRef>
                    <c:extLst>
                      <c:ext uri="{02D57815-91ED-43cb-92C2-25804820EDAC}">
                        <c15:formulaRef>
                          <c15:sqref>Sheet0!$C$27</c15:sqref>
                        </c15:formulaRef>
                      </c:ext>
                    </c:extLst>
                    <c:strCache>
                      <c:ptCount val="1"/>
                      <c:pt idx="0">
                        <c:v>Nederland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c:ex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c:ext uri="{02D57815-91ED-43cb-92C2-25804820EDAC}">
                        <c15:formulaRef>
                          <c15:sqref>Sheet0!$C$28:$C$35</c15:sqref>
                        </c15:formulaRef>
                      </c:ext>
                    </c:extLst>
                    <c:numCache>
                      <c:formatCode>#,##0</c:formatCode>
                      <c:ptCount val="8"/>
                      <c:pt idx="0">
                        <c:v>1115</c:v>
                      </c:pt>
                      <c:pt idx="1">
                        <c:v>1099</c:v>
                      </c:pt>
                      <c:pt idx="2">
                        <c:v>1151</c:v>
                      </c:pt>
                      <c:pt idx="3">
                        <c:v>1352</c:v>
                      </c:pt>
                      <c:pt idx="4">
                        <c:v>1330</c:v>
                      </c:pt>
                      <c:pt idx="5">
                        <c:v>1337</c:v>
                      </c:pt>
                      <c:pt idx="6">
                        <c:v>1010</c:v>
                      </c:pt>
                      <c:pt idx="7">
                        <c:v>973</c:v>
                      </c:pt>
                    </c:numCache>
                  </c:numRef>
                </c:val>
                <c:smooth val="0"/>
                <c:extLst>
                  <c:ext xmlns:c16="http://schemas.microsoft.com/office/drawing/2014/chart" uri="{C3380CC4-5D6E-409C-BE32-E72D297353CC}">
                    <c16:uniqueId val="{00000002-B3C4-4805-97CC-A0F194727FC7}"/>
                  </c:ext>
                </c:extLst>
              </c15:ser>
            </c15:filteredLineSeries>
            <c15:filteredLineSeries>
              <c15:ser>
                <c:idx val="2"/>
                <c:order val="3"/>
                <c:tx>
                  <c:strRef>
                    <c:extLst xmlns:c15="http://schemas.microsoft.com/office/drawing/2012/chart">
                      <c:ext xmlns:c15="http://schemas.microsoft.com/office/drawing/2012/chart" uri="{02D57815-91ED-43cb-92C2-25804820EDAC}">
                        <c15:formulaRef>
                          <c15:sqref>Sheet0!$D$27</c15:sqref>
                        </c15:formulaRef>
                      </c:ext>
                    </c:extLst>
                    <c:strCache>
                      <c:ptCount val="1"/>
                      <c:pt idx="0">
                        <c:v>Onbekend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Sheet0!$D$28:$D$35</c15:sqref>
                        </c15:formulaRef>
                      </c:ext>
                    </c:extLst>
                    <c:numCache>
                      <c:formatCode>#,##0</c:formatCode>
                      <c:ptCount val="8"/>
                      <c:pt idx="0">
                        <c:v>597</c:v>
                      </c:pt>
                      <c:pt idx="1">
                        <c:v>516</c:v>
                      </c:pt>
                      <c:pt idx="2">
                        <c:v>330</c:v>
                      </c:pt>
                      <c:pt idx="3">
                        <c:v>661</c:v>
                      </c:pt>
                      <c:pt idx="4">
                        <c:v>620</c:v>
                      </c:pt>
                      <c:pt idx="5">
                        <c:v>598</c:v>
                      </c:pt>
                      <c:pt idx="6">
                        <c:v>392</c:v>
                      </c:pt>
                      <c:pt idx="7">
                        <c:v>378</c:v>
                      </c:pt>
                    </c:numCache>
                  </c:numRef>
                </c:val>
                <c:smooth val="0"/>
                <c:extLst xmlns:c15="http://schemas.microsoft.com/office/drawing/2012/chart">
                  <c:ext xmlns:c16="http://schemas.microsoft.com/office/drawing/2014/chart" uri="{C3380CC4-5D6E-409C-BE32-E72D297353CC}">
                    <c16:uniqueId val="{00000003-B3C4-4805-97CC-A0F194727FC7}"/>
                  </c:ext>
                </c:extLst>
              </c15:ser>
            </c15:filteredLineSeries>
          </c:ext>
        </c:extLst>
      </c:lineChart>
      <c:catAx>
        <c:axId val="18115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11517360"/>
        <c:crosses val="autoZero"/>
        <c:auto val="1"/>
        <c:lblAlgn val="ctr"/>
        <c:lblOffset val="100"/>
        <c:noMultiLvlLbl val="0"/>
      </c:catAx>
      <c:valAx>
        <c:axId val="1811517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11519280"/>
        <c:crosses val="autoZero"/>
        <c:crossBetween val="between"/>
      </c:valAx>
      <c:spPr>
        <a:noFill/>
        <a:ln>
          <a:noFill/>
        </a:ln>
        <a:effectLst/>
      </c:spPr>
    </c:plotArea>
    <c:legend>
      <c:legendPos val="b"/>
      <c:layout>
        <c:manualLayout>
          <c:xMode val="edge"/>
          <c:yMode val="edge"/>
          <c:x val="2.5472069027808769E-2"/>
          <c:y val="0.92620153824055573"/>
          <c:w val="0.97267259608743251"/>
          <c:h val="5.389796424700642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nl-NL" sz="1000">
                <a:solidFill>
                  <a:sysClr val="windowText" lastClr="000000"/>
                </a:solidFill>
              </a:rPr>
              <a:t>De totale waarde van informele kapitaalstortingen en verkapte dividenduitkeringen van buitenlandse gelieerde lichamen, met vanaf 2022 de voorwaarde dat zij voldoen aan artikelen 8bb t/m 8bd Vpb</a:t>
            </a:r>
          </a:p>
        </c:rich>
      </c:tx>
      <c:layout>
        <c:manualLayout>
          <c:xMode val="edge"/>
          <c:yMode val="edge"/>
          <c:x val="0.11597072273182349"/>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nl-NL"/>
        </a:p>
      </c:txPr>
    </c:title>
    <c:autoTitleDeleted val="0"/>
    <c:plotArea>
      <c:layout>
        <c:manualLayout>
          <c:layoutTarget val="inner"/>
          <c:xMode val="edge"/>
          <c:yMode val="edge"/>
          <c:x val="0.16880102254178184"/>
          <c:y val="0.18699986140346317"/>
          <c:w val="0.80810965650462607"/>
          <c:h val="0.67435899101721197"/>
        </c:manualLayout>
      </c:layout>
      <c:lineChart>
        <c:grouping val="standard"/>
        <c:varyColors val="0"/>
        <c:ser>
          <c:idx val="4"/>
          <c:order val="0"/>
          <c:tx>
            <c:strRef>
              <c:f>Sheet0!$E$27</c:f>
              <c:strCache>
                <c:ptCount val="1"/>
                <c:pt idx="0">
                  <c:v>Informele kapitaalstortingen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Sheet0!$A$28:$A$35</c:f>
              <c:strCache>
                <c:ptCount val="8"/>
                <c:pt idx="0">
                  <c:v>2016</c:v>
                </c:pt>
                <c:pt idx="1">
                  <c:v>2017</c:v>
                </c:pt>
                <c:pt idx="2">
                  <c:v>2018</c:v>
                </c:pt>
                <c:pt idx="3">
                  <c:v>2019</c:v>
                </c:pt>
                <c:pt idx="4">
                  <c:v>2020</c:v>
                </c:pt>
                <c:pt idx="5">
                  <c:v>2021</c:v>
                </c:pt>
                <c:pt idx="6">
                  <c:v>2022</c:v>
                </c:pt>
                <c:pt idx="7">
                  <c:v>2023*</c:v>
                </c:pt>
              </c:strCache>
            </c:strRef>
          </c:cat>
          <c:val>
            <c:numRef>
              <c:f>Sheet0!$E$28:$E$35</c:f>
              <c:numCache>
                <c:formatCode>#,##0</c:formatCode>
                <c:ptCount val="8"/>
                <c:pt idx="0">
                  <c:v>11236.070205288026</c:v>
                </c:pt>
                <c:pt idx="1">
                  <c:v>8088.5027693436768</c:v>
                </c:pt>
                <c:pt idx="2">
                  <c:v>6198.1331013914032</c:v>
                </c:pt>
                <c:pt idx="3">
                  <c:v>17405.049395788948</c:v>
                </c:pt>
                <c:pt idx="4">
                  <c:v>15075.738848395462</c:v>
                </c:pt>
                <c:pt idx="5">
                  <c:v>8311.3193022927098</c:v>
                </c:pt>
                <c:pt idx="6">
                  <c:v>2837.6345550412912</c:v>
                </c:pt>
                <c:pt idx="7">
                  <c:v>438.18815843056177</c:v>
                </c:pt>
              </c:numCache>
            </c:numRef>
          </c:val>
          <c:smooth val="0"/>
          <c:extLst>
            <c:ext xmlns:c16="http://schemas.microsoft.com/office/drawing/2014/chart" uri="{C3380CC4-5D6E-409C-BE32-E72D297353CC}">
              <c16:uniqueId val="{00000000-3B03-4118-8989-52D4381C9A98}"/>
            </c:ext>
          </c:extLst>
        </c:ser>
        <c:ser>
          <c:idx val="5"/>
          <c:order val="1"/>
          <c:tx>
            <c:strRef>
              <c:f>Blad1!$E$27</c:f>
              <c:strCache>
                <c:ptCount val="1"/>
                <c:pt idx="0">
                  <c:v>Verkapte dividenduitkeringen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Blad1!$E$28:$E$35</c:f>
              <c:numCache>
                <c:formatCode>#,##0</c:formatCode>
                <c:ptCount val="8"/>
                <c:pt idx="0">
                  <c:v>229.69737685921885</c:v>
                </c:pt>
                <c:pt idx="1">
                  <c:v>244.37502373105815</c:v>
                </c:pt>
                <c:pt idx="2">
                  <c:v>3331.4155019612572</c:v>
                </c:pt>
                <c:pt idx="3">
                  <c:v>553.80797699167238</c:v>
                </c:pt>
                <c:pt idx="4">
                  <c:v>1373.6572286773423</c:v>
                </c:pt>
                <c:pt idx="5">
                  <c:v>294.40800973397637</c:v>
                </c:pt>
                <c:pt idx="6">
                  <c:v>979.54776091842291</c:v>
                </c:pt>
                <c:pt idx="7">
                  <c:v>15.906215705591416</c:v>
                </c:pt>
              </c:numCache>
            </c:numRef>
          </c:val>
          <c:smooth val="0"/>
          <c:extLst>
            <c:ext xmlns:c16="http://schemas.microsoft.com/office/drawing/2014/chart" uri="{C3380CC4-5D6E-409C-BE32-E72D297353CC}">
              <c16:uniqueId val="{00000001-3B03-4118-8989-52D4381C9A98}"/>
            </c:ext>
          </c:extLst>
        </c:ser>
        <c:dLbls>
          <c:showLegendKey val="0"/>
          <c:showVal val="0"/>
          <c:showCatName val="0"/>
          <c:showSerName val="0"/>
          <c:showPercent val="0"/>
          <c:showBubbleSize val="0"/>
        </c:dLbls>
        <c:marker val="1"/>
        <c:smooth val="0"/>
        <c:axId val="1811519280"/>
        <c:axId val="1811517360"/>
        <c:extLst>
          <c:ext xmlns:c15="http://schemas.microsoft.com/office/drawing/2012/chart" uri="{02D57815-91ED-43cb-92C2-25804820EDAC}">
            <c15:filteredLineSeries>
              <c15:ser>
                <c:idx val="6"/>
                <c:order val="2"/>
                <c:tx>
                  <c:strRef>
                    <c:extLst>
                      <c:ext uri="{02D57815-91ED-43cb-92C2-25804820EDAC}">
                        <c15:formulaRef>
                          <c15:sqref>Sheet0!$F$27</c15:sqref>
                        </c15:formulaRef>
                      </c:ext>
                    </c:extLst>
                    <c:strCache>
                      <c:ptCount val="1"/>
                      <c:pt idx="0">
                        <c:v>Nederland</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c:ex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c:ext uri="{02D57815-91ED-43cb-92C2-25804820EDAC}">
                        <c15:formulaRef>
                          <c15:sqref>Sheet0!$F$28:$F$35</c15:sqref>
                        </c15:formulaRef>
                      </c:ext>
                    </c:extLst>
                    <c:numCache>
                      <c:formatCode>#,##0</c:formatCode>
                      <c:ptCount val="8"/>
                      <c:pt idx="0">
                        <c:v>1558.4500895673257</c:v>
                      </c:pt>
                      <c:pt idx="1">
                        <c:v>2207.901081851408</c:v>
                      </c:pt>
                      <c:pt idx="2">
                        <c:v>1442.95110882325</c:v>
                      </c:pt>
                      <c:pt idx="3">
                        <c:v>1158.4260060076988</c:v>
                      </c:pt>
                      <c:pt idx="4">
                        <c:v>1126.4167627755619</c:v>
                      </c:pt>
                      <c:pt idx="5">
                        <c:v>5890.671770203091</c:v>
                      </c:pt>
                      <c:pt idx="6">
                        <c:v>1286.3804644663508</c:v>
                      </c:pt>
                      <c:pt idx="7">
                        <c:v>637.24000936106961</c:v>
                      </c:pt>
                    </c:numCache>
                  </c:numRef>
                </c:val>
                <c:smooth val="0"/>
                <c:extLst>
                  <c:ext xmlns:c16="http://schemas.microsoft.com/office/drawing/2014/chart" uri="{C3380CC4-5D6E-409C-BE32-E72D297353CC}">
                    <c16:uniqueId val="{00000002-3B03-4118-8989-52D4381C9A98}"/>
                  </c:ext>
                </c:extLst>
              </c15:ser>
            </c15:filteredLineSeries>
            <c15:filteredLineSeries>
              <c15:ser>
                <c:idx val="7"/>
                <c:order val="3"/>
                <c:tx>
                  <c:strRef>
                    <c:extLst xmlns:c15="http://schemas.microsoft.com/office/drawing/2012/chart">
                      <c:ext xmlns:c15="http://schemas.microsoft.com/office/drawing/2012/chart" uri="{02D57815-91ED-43cb-92C2-25804820EDAC}">
                        <c15:formulaRef>
                          <c15:sqref>Sheet0!$G$27</c15:sqref>
                        </c15:formulaRef>
                      </c:ext>
                    </c:extLst>
                    <c:strCache>
                      <c:ptCount val="1"/>
                      <c:pt idx="0">
                        <c:v>Onbekend</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Sheet0!$G$28:$G$35</c15:sqref>
                        </c15:formulaRef>
                      </c:ext>
                    </c:extLst>
                    <c:numCache>
                      <c:formatCode>#,##0</c:formatCode>
                      <c:ptCount val="8"/>
                      <c:pt idx="0">
                        <c:v>244.21201959531564</c:v>
                      </c:pt>
                      <c:pt idx="1">
                        <c:v>1450.5554797998527</c:v>
                      </c:pt>
                      <c:pt idx="2">
                        <c:v>1824.2746115200209</c:v>
                      </c:pt>
                      <c:pt idx="3">
                        <c:v>1809.8683997958865</c:v>
                      </c:pt>
                      <c:pt idx="4">
                        <c:v>2695.4899728394739</c:v>
                      </c:pt>
                      <c:pt idx="5">
                        <c:v>6784.6785969019211</c:v>
                      </c:pt>
                      <c:pt idx="6">
                        <c:v>3122.6167457312704</c:v>
                      </c:pt>
                      <c:pt idx="7">
                        <c:v>2140.4383215889907</c:v>
                      </c:pt>
                    </c:numCache>
                  </c:numRef>
                </c:val>
                <c:smooth val="0"/>
                <c:extLst xmlns:c15="http://schemas.microsoft.com/office/drawing/2012/chart">
                  <c:ext xmlns:c16="http://schemas.microsoft.com/office/drawing/2014/chart" uri="{C3380CC4-5D6E-409C-BE32-E72D297353CC}">
                    <c16:uniqueId val="{00000003-3B03-4118-8989-52D4381C9A98}"/>
                  </c:ext>
                </c:extLst>
              </c15:ser>
            </c15:filteredLineSeries>
            <c15:filteredLineSeries>
              <c15:ser>
                <c:idx val="0"/>
                <c:order val="4"/>
                <c:tx>
                  <c:strRef>
                    <c:extLst xmlns:c15="http://schemas.microsoft.com/office/drawing/2012/chart">
                      <c:ext xmlns:c15="http://schemas.microsoft.com/office/drawing/2012/chart" uri="{02D57815-91ED-43cb-92C2-25804820EDAC}">
                        <c15:formulaRef>
                          <c15:sqref>Sheet0!$B$27</c15:sqref>
                        </c15:formulaRef>
                      </c:ext>
                    </c:extLst>
                    <c:strCache>
                      <c:ptCount val="1"/>
                      <c:pt idx="0">
                        <c:v>Informele kapitaalstortingen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Sheet0!$B$28:$B$35</c15:sqref>
                        </c15:formulaRef>
                      </c:ext>
                    </c:extLst>
                    <c:numCache>
                      <c:formatCode>#,##0</c:formatCode>
                      <c:ptCount val="8"/>
                      <c:pt idx="0">
                        <c:v>317</c:v>
                      </c:pt>
                      <c:pt idx="1">
                        <c:v>392</c:v>
                      </c:pt>
                      <c:pt idx="2">
                        <c:v>442</c:v>
                      </c:pt>
                      <c:pt idx="3">
                        <c:v>521</c:v>
                      </c:pt>
                      <c:pt idx="4">
                        <c:v>390</c:v>
                      </c:pt>
                      <c:pt idx="5">
                        <c:v>288</c:v>
                      </c:pt>
                      <c:pt idx="6">
                        <c:v>139</c:v>
                      </c:pt>
                      <c:pt idx="7">
                        <c:v>97</c:v>
                      </c:pt>
                    </c:numCache>
                  </c:numRef>
                </c:val>
                <c:smooth val="0"/>
                <c:extLst xmlns:c15="http://schemas.microsoft.com/office/drawing/2012/chart">
                  <c:ext xmlns:c16="http://schemas.microsoft.com/office/drawing/2014/chart" uri="{C3380CC4-5D6E-409C-BE32-E72D297353CC}">
                    <c16:uniqueId val="{00000004-3B03-4118-8989-52D4381C9A98}"/>
                  </c:ext>
                </c:extLst>
              </c15:ser>
            </c15:filteredLineSeries>
            <c15:filteredLineSeries>
              <c15:ser>
                <c:idx val="3"/>
                <c:order val="5"/>
                <c:tx>
                  <c:strRef>
                    <c:extLst xmlns:c15="http://schemas.microsoft.com/office/drawing/2012/chart">
                      <c:ext xmlns:c15="http://schemas.microsoft.com/office/drawing/2012/chart" uri="{02D57815-91ED-43cb-92C2-25804820EDAC}">
                        <c15:formulaRef>
                          <c15:sqref>Blad1!$B$27</c15:sqref>
                        </c15:formulaRef>
                      </c:ext>
                    </c:extLst>
                    <c:strCache>
                      <c:ptCount val="1"/>
                      <c:pt idx="0">
                        <c:v>Verkapte dividenduitkeringen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extLst xmlns:c15="http://schemas.microsoft.com/office/drawing/2012/chart">
                      <c:ext xmlns:c15="http://schemas.microsoft.com/office/drawing/2012/chart" uri="{02D57815-91ED-43cb-92C2-25804820EDAC}">
                        <c15:formulaRef>
                          <c15:sqref>Blad1!$B$28:$B$35</c15:sqref>
                        </c15:formulaRef>
                      </c:ext>
                    </c:extLst>
                    <c:numCache>
                      <c:formatCode>#,##0</c:formatCode>
                      <c:ptCount val="8"/>
                      <c:pt idx="0">
                        <c:v>57</c:v>
                      </c:pt>
                      <c:pt idx="1">
                        <c:v>97</c:v>
                      </c:pt>
                      <c:pt idx="2">
                        <c:v>97</c:v>
                      </c:pt>
                      <c:pt idx="3">
                        <c:v>110</c:v>
                      </c:pt>
                      <c:pt idx="4">
                        <c:v>93</c:v>
                      </c:pt>
                      <c:pt idx="5">
                        <c:v>65</c:v>
                      </c:pt>
                      <c:pt idx="6">
                        <c:v>18</c:v>
                      </c:pt>
                      <c:pt idx="7">
                        <c:v>8</c:v>
                      </c:pt>
                    </c:numCache>
                  </c:numRef>
                </c:val>
                <c:smooth val="0"/>
                <c:extLst xmlns:c15="http://schemas.microsoft.com/office/drawing/2012/chart">
                  <c:ext xmlns:c16="http://schemas.microsoft.com/office/drawing/2014/chart" uri="{C3380CC4-5D6E-409C-BE32-E72D297353CC}">
                    <c16:uniqueId val="{00000005-3B03-4118-8989-52D4381C9A98}"/>
                  </c:ext>
                </c:extLst>
              </c15:ser>
            </c15:filteredLineSeries>
            <c15:filteredLineSeries>
              <c15:ser>
                <c:idx val="1"/>
                <c:order val="6"/>
                <c:tx>
                  <c:strRef>
                    <c:extLst xmlns:c15="http://schemas.microsoft.com/office/drawing/2012/chart">
                      <c:ext xmlns:c15="http://schemas.microsoft.com/office/drawing/2012/chart" uri="{02D57815-91ED-43cb-92C2-25804820EDAC}">
                        <c15:formulaRef>
                          <c15:sqref>Sheet0!$C$27</c15:sqref>
                        </c15:formulaRef>
                      </c:ext>
                    </c:extLst>
                    <c:strCache>
                      <c:ptCount val="1"/>
                      <c:pt idx="0">
                        <c:v>Nederland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Sheet0!$C$28:$C$35</c15:sqref>
                        </c15:formulaRef>
                      </c:ext>
                    </c:extLst>
                    <c:numCache>
                      <c:formatCode>#,##0</c:formatCode>
                      <c:ptCount val="8"/>
                      <c:pt idx="0">
                        <c:v>1115</c:v>
                      </c:pt>
                      <c:pt idx="1">
                        <c:v>1099</c:v>
                      </c:pt>
                      <c:pt idx="2">
                        <c:v>1151</c:v>
                      </c:pt>
                      <c:pt idx="3">
                        <c:v>1352</c:v>
                      </c:pt>
                      <c:pt idx="4">
                        <c:v>1330</c:v>
                      </c:pt>
                      <c:pt idx="5">
                        <c:v>1337</c:v>
                      </c:pt>
                      <c:pt idx="6">
                        <c:v>1010</c:v>
                      </c:pt>
                      <c:pt idx="7">
                        <c:v>973</c:v>
                      </c:pt>
                    </c:numCache>
                  </c:numRef>
                </c:val>
                <c:smooth val="0"/>
                <c:extLst xmlns:c15="http://schemas.microsoft.com/office/drawing/2012/chart">
                  <c:ext xmlns:c16="http://schemas.microsoft.com/office/drawing/2014/chart" uri="{C3380CC4-5D6E-409C-BE32-E72D297353CC}">
                    <c16:uniqueId val="{00000006-3B03-4118-8989-52D4381C9A98}"/>
                  </c:ext>
                </c:extLst>
              </c15:ser>
            </c15:filteredLineSeries>
            <c15:filteredLineSeries>
              <c15:ser>
                <c:idx val="2"/>
                <c:order val="7"/>
                <c:tx>
                  <c:strRef>
                    <c:extLst xmlns:c15="http://schemas.microsoft.com/office/drawing/2012/chart">
                      <c:ext xmlns:c15="http://schemas.microsoft.com/office/drawing/2012/chart" uri="{02D57815-91ED-43cb-92C2-25804820EDAC}">
                        <c15:formulaRef>
                          <c15:sqref>Sheet0!$D$27</c15:sqref>
                        </c15:formulaRef>
                      </c:ext>
                    </c:extLst>
                    <c:strCache>
                      <c:ptCount val="1"/>
                      <c:pt idx="0">
                        <c:v>Onbekend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extLst xmlns:c15="http://schemas.microsoft.com/office/drawing/2012/chart">
                      <c:ext xmlns:c15="http://schemas.microsoft.com/office/drawing/2012/chart" uri="{02D57815-91ED-43cb-92C2-25804820EDAC}">
                        <c15:formulaRef>
                          <c15:sqref>Sheet0!$A$28:$A$35</c15:sqref>
                        </c15:formulaRef>
                      </c:ext>
                    </c:extLst>
                    <c:strCache>
                      <c:ptCount val="8"/>
                      <c:pt idx="0">
                        <c:v>2016</c:v>
                      </c:pt>
                      <c:pt idx="1">
                        <c:v>2017</c:v>
                      </c:pt>
                      <c:pt idx="2">
                        <c:v>2018</c:v>
                      </c:pt>
                      <c:pt idx="3">
                        <c:v>2019</c:v>
                      </c:pt>
                      <c:pt idx="4">
                        <c:v>2020</c:v>
                      </c:pt>
                      <c:pt idx="5">
                        <c:v>2021</c:v>
                      </c:pt>
                      <c:pt idx="6">
                        <c:v>2022</c:v>
                      </c:pt>
                      <c:pt idx="7">
                        <c:v>2023*</c:v>
                      </c:pt>
                    </c:strCache>
                  </c:strRef>
                </c:cat>
                <c:val>
                  <c:numRef>
                    <c:extLst xmlns:c15="http://schemas.microsoft.com/office/drawing/2012/chart">
                      <c:ext xmlns:c15="http://schemas.microsoft.com/office/drawing/2012/chart" uri="{02D57815-91ED-43cb-92C2-25804820EDAC}">
                        <c15:formulaRef>
                          <c15:sqref>Sheet0!$D$28:$D$35</c15:sqref>
                        </c15:formulaRef>
                      </c:ext>
                    </c:extLst>
                    <c:numCache>
                      <c:formatCode>#,##0</c:formatCode>
                      <c:ptCount val="8"/>
                      <c:pt idx="0">
                        <c:v>597</c:v>
                      </c:pt>
                      <c:pt idx="1">
                        <c:v>516</c:v>
                      </c:pt>
                      <c:pt idx="2">
                        <c:v>330</c:v>
                      </c:pt>
                      <c:pt idx="3">
                        <c:v>661</c:v>
                      </c:pt>
                      <c:pt idx="4">
                        <c:v>620</c:v>
                      </c:pt>
                      <c:pt idx="5">
                        <c:v>598</c:v>
                      </c:pt>
                      <c:pt idx="6">
                        <c:v>392</c:v>
                      </c:pt>
                      <c:pt idx="7">
                        <c:v>378</c:v>
                      </c:pt>
                    </c:numCache>
                  </c:numRef>
                </c:val>
                <c:smooth val="0"/>
                <c:extLst xmlns:c15="http://schemas.microsoft.com/office/drawing/2012/chart">
                  <c:ext xmlns:c16="http://schemas.microsoft.com/office/drawing/2014/chart" uri="{C3380CC4-5D6E-409C-BE32-E72D297353CC}">
                    <c16:uniqueId val="{00000007-3B03-4118-8989-52D4381C9A98}"/>
                  </c:ext>
                </c:extLst>
              </c15:ser>
            </c15:filteredLineSeries>
          </c:ext>
        </c:extLst>
      </c:lineChart>
      <c:catAx>
        <c:axId val="181151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11517360"/>
        <c:crosses val="autoZero"/>
        <c:auto val="1"/>
        <c:lblAlgn val="ctr"/>
        <c:lblOffset val="100"/>
        <c:noMultiLvlLbl val="0"/>
      </c:catAx>
      <c:valAx>
        <c:axId val="1811517360"/>
        <c:scaling>
          <c:orientation val="minMax"/>
          <c:max val="1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nl-NL">
                    <a:solidFill>
                      <a:sysClr val="windowText" lastClr="000000"/>
                    </a:solidFill>
                  </a:rPr>
                  <a:t>€ mln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81151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showDLblsOverMax val="0"/>
    <c:extLst/>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50" b="0" i="0" u="none" strike="noStrike" kern="1200" spc="0" baseline="0">
                <a:solidFill>
                  <a:schemeClr val="tx1">
                    <a:lumMod val="65000"/>
                    <a:lumOff val="35000"/>
                  </a:schemeClr>
                </a:solidFill>
                <a:latin typeface="+mn-lt"/>
                <a:ea typeface="+mn-ea"/>
                <a:cs typeface="+mn-cs"/>
              </a:defRPr>
            </a:pPr>
            <a:r>
              <a:rPr lang="nl-NL" sz="1150">
                <a:solidFill>
                  <a:sysClr val="windowText" lastClr="000000"/>
                </a:solidFill>
              </a:rPr>
              <a:t>Nieuwe</a:t>
            </a:r>
            <a:r>
              <a:rPr lang="nl-NL" sz="1150" baseline="0">
                <a:solidFill>
                  <a:sysClr val="windowText" lastClr="000000"/>
                </a:solidFill>
              </a:rPr>
              <a:t> d</a:t>
            </a:r>
            <a:r>
              <a:rPr lang="nl-NL" sz="1150">
                <a:solidFill>
                  <a:sysClr val="windowText" lastClr="000000"/>
                </a:solidFill>
              </a:rPr>
              <a:t>irecte buitenlandse investeringen als percentage</a:t>
            </a:r>
            <a:r>
              <a:rPr lang="nl-NL" sz="1150" baseline="0">
                <a:solidFill>
                  <a:sysClr val="windowText" lastClr="000000"/>
                </a:solidFill>
              </a:rPr>
              <a:t> van het bbp</a:t>
            </a:r>
            <a:endParaRPr lang="nl-NL" sz="1150">
              <a:solidFill>
                <a:sysClr val="windowText" lastClr="000000"/>
              </a:solidFill>
            </a:endParaRPr>
          </a:p>
        </c:rich>
      </c:tx>
      <c:overlay val="0"/>
      <c:spPr>
        <a:noFill/>
        <a:ln>
          <a:noFill/>
        </a:ln>
        <a:effectLst/>
      </c:spPr>
      <c:txPr>
        <a:bodyPr rot="0" spcFirstLastPara="1" vertOverflow="ellipsis" vert="horz" wrap="square" anchor="ctr" anchorCtr="1"/>
        <a:lstStyle/>
        <a:p>
          <a:pPr>
            <a:defRPr sz="115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2"/>
          <c:order val="0"/>
          <c:tx>
            <c:strRef>
              <c:f>Blad1!$A$178</c:f>
              <c:strCache>
                <c:ptCount val="1"/>
                <c:pt idx="0">
                  <c:v>Nederland - Inkomende investeringen (stroom)</c:v>
                </c:pt>
              </c:strCache>
            </c:strRef>
          </c:tx>
          <c:spPr>
            <a:ln w="28575" cap="rnd">
              <a:solidFill>
                <a:schemeClr val="accent3"/>
              </a:solidFill>
              <a:round/>
            </a:ln>
            <a:effectLst/>
          </c:spPr>
          <c:marker>
            <c:symbol val="none"/>
          </c:marker>
          <c:cat>
            <c:strRef>
              <c:f>Blad1!$O$1:$BQ$1</c:f>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strRef>
          </c:cat>
          <c:val>
            <c:numRef>
              <c:f>Blad1!$O$178:$BQ$178</c:f>
              <c:numCache>
                <c:formatCode>General</c:formatCode>
                <c:ptCount val="55"/>
                <c:pt idx="0">
                  <c:v>1.6551073911021639</c:v>
                </c:pt>
                <c:pt idx="1">
                  <c:v>1.6864201570018229</c:v>
                </c:pt>
                <c:pt idx="2">
                  <c:v>1.3772473248718271</c:v>
                </c:pt>
                <c:pt idx="3">
                  <c:v>1.5553130133410502</c:v>
                </c:pt>
                <c:pt idx="4">
                  <c:v>1.2625518957185602</c:v>
                </c:pt>
                <c:pt idx="5">
                  <c:v>1.227503411572779</c:v>
                </c:pt>
                <c:pt idx="6">
                  <c:v>0.53151153349482572</c:v>
                </c:pt>
                <c:pt idx="7">
                  <c:v>0.47584809552917423</c:v>
                </c:pt>
                <c:pt idx="8">
                  <c:v>0.69328709091709628</c:v>
                </c:pt>
                <c:pt idx="9">
                  <c:v>0.95321441486018821</c:v>
                </c:pt>
                <c:pt idx="10">
                  <c:v>1.1657726313969643</c:v>
                </c:pt>
                <c:pt idx="11">
                  <c:v>1.0944790153956769</c:v>
                </c:pt>
                <c:pt idx="12">
                  <c:v>0.77340786899244685</c:v>
                </c:pt>
                <c:pt idx="13">
                  <c:v>0.88370176197325856</c:v>
                </c:pt>
                <c:pt idx="14">
                  <c:v>1.1912885866482337</c:v>
                </c:pt>
                <c:pt idx="15">
                  <c:v>1.0444621914752337</c:v>
                </c:pt>
                <c:pt idx="16">
                  <c:v>1.5555299002153511</c:v>
                </c:pt>
                <c:pt idx="17">
                  <c:v>1.2342915196432094</c:v>
                </c:pt>
                <c:pt idx="18">
                  <c:v>1.8228846850243337</c:v>
                </c:pt>
                <c:pt idx="19">
                  <c:v>3.3083685937133014</c:v>
                </c:pt>
                <c:pt idx="20">
                  <c:v>3.3487086216979955</c:v>
                </c:pt>
                <c:pt idx="21">
                  <c:v>1.7146715533459054</c:v>
                </c:pt>
                <c:pt idx="22">
                  <c:v>1.7019443516458763</c:v>
                </c:pt>
                <c:pt idx="23">
                  <c:v>1.8019869311072394</c:v>
                </c:pt>
                <c:pt idx="24">
                  <c:v>1.8769386960848264</c:v>
                </c:pt>
                <c:pt idx="25">
                  <c:v>2.6947132046611775</c:v>
                </c:pt>
                <c:pt idx="26">
                  <c:v>3.6786398797094542</c:v>
                </c:pt>
                <c:pt idx="27">
                  <c:v>2.6426818993043866</c:v>
                </c:pt>
                <c:pt idx="28">
                  <c:v>8.5767952546292694</c:v>
                </c:pt>
                <c:pt idx="29">
                  <c:v>9.1924684168597146</c:v>
                </c:pt>
                <c:pt idx="30">
                  <c:v>15.110700540196204</c:v>
                </c:pt>
                <c:pt idx="31">
                  <c:v>12.021863957993485</c:v>
                </c:pt>
                <c:pt idx="32">
                  <c:v>5.3592923353640023</c:v>
                </c:pt>
                <c:pt idx="33">
                  <c:v>3.5122237802764036</c:v>
                </c:pt>
                <c:pt idx="34">
                  <c:v>21.160832133528952</c:v>
                </c:pt>
                <c:pt idx="35">
                  <c:v>30.501169388035937</c:v>
                </c:pt>
                <c:pt idx="36">
                  <c:v>50.909581086130473</c:v>
                </c:pt>
                <c:pt idx="37">
                  <c:v>85.978554836380155</c:v>
                </c:pt>
                <c:pt idx="38">
                  <c:v>20.412338457522583</c:v>
                </c:pt>
                <c:pt idx="39">
                  <c:v>23.118552974628347</c:v>
                </c:pt>
                <c:pt idx="40">
                  <c:v>6.4772417025041804</c:v>
                </c:pt>
                <c:pt idx="41">
                  <c:v>39.040846919455909</c:v>
                </c:pt>
                <c:pt idx="42">
                  <c:v>30.904238493127558</c:v>
                </c:pt>
                <c:pt idx="43">
                  <c:v>36.69557179293227</c:v>
                </c:pt>
                <c:pt idx="44">
                  <c:v>15.987995634450536</c:v>
                </c:pt>
                <c:pt idx="45">
                  <c:v>48.470619627908142</c:v>
                </c:pt>
                <c:pt idx="46">
                  <c:v>34.791854745068584</c:v>
                </c:pt>
                <c:pt idx="47">
                  <c:v>23.713175837608517</c:v>
                </c:pt>
                <c:pt idx="48">
                  <c:v>-30.657676856465482</c:v>
                </c:pt>
                <c:pt idx="49">
                  <c:v>-13.756532715694878</c:v>
                </c:pt>
                <c:pt idx="50">
                  <c:v>-23.686011762586272</c:v>
                </c:pt>
                <c:pt idx="51">
                  <c:v>-10.97259415891725</c:v>
                </c:pt>
                <c:pt idx="52">
                  <c:v>1.4770180597923748</c:v>
                </c:pt>
                <c:pt idx="53">
                  <c:v>-29.748294340979669</c:v>
                </c:pt>
                <c:pt idx="54">
                  <c:v>-1.38960557622991</c:v>
                </c:pt>
              </c:numCache>
            </c:numRef>
          </c:val>
          <c:smooth val="0"/>
          <c:extLst>
            <c:ext xmlns:c16="http://schemas.microsoft.com/office/drawing/2014/chart" uri="{C3380CC4-5D6E-409C-BE32-E72D297353CC}">
              <c16:uniqueId val="{00000000-AA1F-4E1B-92CB-DB31EE302F74}"/>
            </c:ext>
          </c:extLst>
        </c:ser>
        <c:ser>
          <c:idx val="3"/>
          <c:order val="1"/>
          <c:tx>
            <c:strRef>
              <c:f>Blad2!$A$178</c:f>
              <c:strCache>
                <c:ptCount val="1"/>
                <c:pt idx="0">
                  <c:v>Nederland - Uitgaande investeringen (stroom)</c:v>
                </c:pt>
              </c:strCache>
            </c:strRef>
          </c:tx>
          <c:spPr>
            <a:ln w="28575" cap="rnd">
              <a:solidFill>
                <a:schemeClr val="accent4"/>
              </a:solidFill>
              <a:round/>
            </a:ln>
            <a:effectLst/>
          </c:spPr>
          <c:marker>
            <c:symbol val="none"/>
          </c:marker>
          <c:cat>
            <c:strRef>
              <c:f>Blad1!$O$1:$BQ$1</c:f>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strRef>
          </c:cat>
          <c:val>
            <c:numRef>
              <c:f>Blad2!$O$178:$BQ$178</c:f>
              <c:numCache>
                <c:formatCode>General</c:formatCode>
                <c:ptCount val="55"/>
                <c:pt idx="0">
                  <c:v>3.4453698399056774</c:v>
                </c:pt>
                <c:pt idx="1">
                  <c:v>2.9547016181357031</c:v>
                </c:pt>
                <c:pt idx="2">
                  <c:v>2.9942171710229881</c:v>
                </c:pt>
                <c:pt idx="3">
                  <c:v>2.9423954923528526</c:v>
                </c:pt>
                <c:pt idx="4">
                  <c:v>3.1916570490620884</c:v>
                </c:pt>
                <c:pt idx="5">
                  <c:v>2.5088743283171748</c:v>
                </c:pt>
                <c:pt idx="6">
                  <c:v>2.1517629314576965</c:v>
                </c:pt>
                <c:pt idx="7">
                  <c:v>2.3885906433817543</c:v>
                </c:pt>
                <c:pt idx="8">
                  <c:v>2.1690721607597294</c:v>
                </c:pt>
                <c:pt idx="9">
                  <c:v>3.4913160707072262</c:v>
                </c:pt>
                <c:pt idx="10">
                  <c:v>3.0280528922181547</c:v>
                </c:pt>
                <c:pt idx="11">
                  <c:v>2.7538140804691222</c:v>
                </c:pt>
                <c:pt idx="12">
                  <c:v>2.055842466669846</c:v>
                </c:pt>
                <c:pt idx="13">
                  <c:v>2.495831276578695</c:v>
                </c:pt>
                <c:pt idx="14">
                  <c:v>3.3612508145828968</c:v>
                </c:pt>
                <c:pt idx="15">
                  <c:v>1.8774046168520286</c:v>
                </c:pt>
                <c:pt idx="16">
                  <c:v>2.0349237623706626</c:v>
                </c:pt>
                <c:pt idx="17">
                  <c:v>3.528012212111062</c:v>
                </c:pt>
                <c:pt idx="18">
                  <c:v>2.7133525653442252</c:v>
                </c:pt>
                <c:pt idx="19">
                  <c:v>5.7432701185316777</c:v>
                </c:pt>
                <c:pt idx="20">
                  <c:v>4.3030478865917017</c:v>
                </c:pt>
                <c:pt idx="21">
                  <c:v>3.9132751673302302</c:v>
                </c:pt>
                <c:pt idx="22">
                  <c:v>3.5147260206433537</c:v>
                </c:pt>
                <c:pt idx="23">
                  <c:v>2.8113385200221384</c:v>
                </c:pt>
                <c:pt idx="24">
                  <c:v>4.6304631763305597</c:v>
                </c:pt>
                <c:pt idx="25">
                  <c:v>4.4567730778234784</c:v>
                </c:pt>
                <c:pt idx="26">
                  <c:v>7.0754969620889927</c:v>
                </c:pt>
                <c:pt idx="27">
                  <c:v>5.8679890699988961</c:v>
                </c:pt>
                <c:pt idx="28">
                  <c:v>8.4215670302577585</c:v>
                </c:pt>
                <c:pt idx="29">
                  <c:v>12.763752853608851</c:v>
                </c:pt>
                <c:pt idx="30">
                  <c:v>17.841118614115896</c:v>
                </c:pt>
                <c:pt idx="31">
                  <c:v>11.740034511789526</c:v>
                </c:pt>
                <c:pt idx="32">
                  <c:v>6.6855588892490356</c:v>
                </c:pt>
                <c:pt idx="33">
                  <c:v>7.6699542879424278</c:v>
                </c:pt>
                <c:pt idx="34">
                  <c:v>22.911555436726914</c:v>
                </c:pt>
                <c:pt idx="35">
                  <c:v>38.740492731031324</c:v>
                </c:pt>
                <c:pt idx="36">
                  <c:v>70.995713276410115</c:v>
                </c:pt>
                <c:pt idx="37">
                  <c:v>69.879136618755254</c:v>
                </c:pt>
                <c:pt idx="38">
                  <c:v>28.456941709735872</c:v>
                </c:pt>
                <c:pt idx="39">
                  <c:v>34.685552706322241</c:v>
                </c:pt>
                <c:pt idx="40">
                  <c:v>19.837820907247401</c:v>
                </c:pt>
                <c:pt idx="41">
                  <c:v>42.197854749718189</c:v>
                </c:pt>
                <c:pt idx="42">
                  <c:v>38.056113815916284</c:v>
                </c:pt>
                <c:pt idx="43">
                  <c:v>45.505828798735209</c:v>
                </c:pt>
                <c:pt idx="44">
                  <c:v>19.14346323286253</c:v>
                </c:pt>
                <c:pt idx="45">
                  <c:v>52.543183284534535</c:v>
                </c:pt>
                <c:pt idx="46">
                  <c:v>48.690559551818772</c:v>
                </c:pt>
                <c:pt idx="47">
                  <c:v>25.066713498030051</c:v>
                </c:pt>
                <c:pt idx="48">
                  <c:v>-28.929236804390769</c:v>
                </c:pt>
                <c:pt idx="49">
                  <c:v>-13.105920538211244</c:v>
                </c:pt>
                <c:pt idx="50">
                  <c:v>-25.960878594402871</c:v>
                </c:pt>
                <c:pt idx="51">
                  <c:v>6.5105147618361006</c:v>
                </c:pt>
                <c:pt idx="52">
                  <c:v>16.623651086760514</c:v>
                </c:pt>
                <c:pt idx="53">
                  <c:v>-31.309690705538141</c:v>
                </c:pt>
                <c:pt idx="54">
                  <c:v>-0.4829690264852744</c:v>
                </c:pt>
              </c:numCache>
            </c:numRef>
          </c:val>
          <c:smooth val="0"/>
          <c:extLst>
            <c:ext xmlns:c16="http://schemas.microsoft.com/office/drawing/2014/chart" uri="{C3380CC4-5D6E-409C-BE32-E72D297353CC}">
              <c16:uniqueId val="{00000001-AA1F-4E1B-92CB-DB31EE302F74}"/>
            </c:ext>
          </c:extLst>
        </c:ser>
        <c:ser>
          <c:idx val="0"/>
          <c:order val="2"/>
          <c:tx>
            <c:strRef>
              <c:f>Blad1!$A$57</c:f>
              <c:strCache>
                <c:ptCount val="1"/>
                <c:pt idx="0">
                  <c:v>Duitland - Inkomende investeringen (stroom)</c:v>
                </c:pt>
              </c:strCache>
              <c:extLst xmlns:c15="http://schemas.microsoft.com/office/drawing/2012/chart"/>
            </c:strRef>
          </c:tx>
          <c:spPr>
            <a:ln w="28575" cap="rnd">
              <a:solidFill>
                <a:schemeClr val="accent1"/>
              </a:solidFill>
              <a:round/>
            </a:ln>
            <a:effectLst/>
          </c:spPr>
          <c:marker>
            <c:symbol val="none"/>
          </c:marker>
          <c:cat>
            <c:strRef>
              <c:f>Blad1!$O$1:$BQ$1</c:f>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extLst xmlns:c15="http://schemas.microsoft.com/office/drawing/2012/chart"/>
            </c:strRef>
          </c:cat>
          <c:val>
            <c:numRef>
              <c:f>Blad1!$O$57:$BQ$57</c:f>
              <c:numCache>
                <c:formatCode>General</c:formatCode>
                <c:ptCount val="55"/>
                <c:pt idx="1">
                  <c:v>0.43975074163459049</c:v>
                </c:pt>
                <c:pt idx="2">
                  <c:v>0.6305320849595899</c:v>
                </c:pt>
                <c:pt idx="3">
                  <c:v>0.52579435418678255</c:v>
                </c:pt>
                <c:pt idx="4">
                  <c:v>0.4870937569083465</c:v>
                </c:pt>
                <c:pt idx="5">
                  <c:v>0.14022116461874351</c:v>
                </c:pt>
                <c:pt idx="6">
                  <c:v>0.25330161402830292</c:v>
                </c:pt>
                <c:pt idx="7">
                  <c:v>0.15762177729685017</c:v>
                </c:pt>
                <c:pt idx="8">
                  <c:v>0.21575563033602632</c:v>
                </c:pt>
                <c:pt idx="9">
                  <c:v>0.19586285334952441</c:v>
                </c:pt>
                <c:pt idx="10">
                  <c:v>-1.9561625155511814E-2</c:v>
                </c:pt>
                <c:pt idx="11">
                  <c:v>-5.1759656043449398E-2</c:v>
                </c:pt>
                <c:pt idx="12">
                  <c:v>6.0078354879566746E-2</c:v>
                </c:pt>
                <c:pt idx="13">
                  <c:v>0.12900390646959864</c:v>
                </c:pt>
                <c:pt idx="14">
                  <c:v>8.1161111915410575E-2</c:v>
                </c:pt>
                <c:pt idx="15">
                  <c:v>7.2238153395973392E-2</c:v>
                </c:pt>
                <c:pt idx="16">
                  <c:v>0.11351613866244947</c:v>
                </c:pt>
                <c:pt idx="17">
                  <c:v>0.12434802891679024</c:v>
                </c:pt>
                <c:pt idx="18">
                  <c:v>-0.10726749156647068</c:v>
                </c:pt>
                <c:pt idx="19">
                  <c:v>0.36845328342703881</c:v>
                </c:pt>
                <c:pt idx="20">
                  <c:v>0.14378344402800153</c:v>
                </c:pt>
                <c:pt idx="21">
                  <c:v>0.25277560650201647</c:v>
                </c:pt>
                <c:pt idx="22">
                  <c:v>-9.9818125486977077E-2</c:v>
                </c:pt>
                <c:pt idx="23">
                  <c:v>2.2975915507997467E-2</c:v>
                </c:pt>
                <c:pt idx="24">
                  <c:v>0.33934381859740936</c:v>
                </c:pt>
                <c:pt idx="25">
                  <c:v>0.46434799293888818</c:v>
                </c:pt>
                <c:pt idx="26">
                  <c:v>0.62198727135542875</c:v>
                </c:pt>
                <c:pt idx="27">
                  <c:v>0.84002636569274503</c:v>
                </c:pt>
                <c:pt idx="28">
                  <c:v>1.3135625626024063</c:v>
                </c:pt>
                <c:pt idx="29">
                  <c:v>3.8862051644770119</c:v>
                </c:pt>
                <c:pt idx="30">
                  <c:v>12.60853230423046</c:v>
                </c:pt>
                <c:pt idx="31">
                  <c:v>2.8961085366277151</c:v>
                </c:pt>
                <c:pt idx="32">
                  <c:v>2.4386137143210491</c:v>
                </c:pt>
                <c:pt idx="33">
                  <c:v>2.5802310174771979</c:v>
                </c:pt>
                <c:pt idx="34">
                  <c:v>-0.71550301252061743</c:v>
                </c:pt>
                <c:pt idx="35">
                  <c:v>2.0679939140849379</c:v>
                </c:pt>
                <c:pt idx="36">
                  <c:v>2.8704956164964845</c:v>
                </c:pt>
                <c:pt idx="37">
                  <c:v>1.4594247021416995</c:v>
                </c:pt>
                <c:pt idx="38">
                  <c:v>0.81271920545514853</c:v>
                </c:pt>
                <c:pt idx="39">
                  <c:v>1.6294586878367114</c:v>
                </c:pt>
                <c:pt idx="40">
                  <c:v>2.4807864239323512</c:v>
                </c:pt>
                <c:pt idx="41">
                  <c:v>2.5500594950261326</c:v>
                </c:pt>
                <c:pt idx="42">
                  <c:v>1.8189263536367972</c:v>
                </c:pt>
                <c:pt idx="43">
                  <c:v>1.7646578705226279</c:v>
                </c:pt>
                <c:pt idx="44">
                  <c:v>0.43765991966091389</c:v>
                </c:pt>
                <c:pt idx="45">
                  <c:v>1.8232144151170748</c:v>
                </c:pt>
                <c:pt idx="46">
                  <c:v>1.6431955596059156</c:v>
                </c:pt>
                <c:pt idx="47">
                  <c:v>2.8908805286802286</c:v>
                </c:pt>
                <c:pt idx="48">
                  <c:v>4.0042102636044072</c:v>
                </c:pt>
                <c:pt idx="49">
                  <c:v>1.9069868805970229</c:v>
                </c:pt>
                <c:pt idx="50">
                  <c:v>4.4866657107403585</c:v>
                </c:pt>
                <c:pt idx="51">
                  <c:v>2.9347078597478657</c:v>
                </c:pt>
                <c:pt idx="52">
                  <c:v>2.0947134896351969</c:v>
                </c:pt>
                <c:pt idx="53">
                  <c:v>1.711092009644513</c:v>
                </c:pt>
                <c:pt idx="54">
                  <c:v>1.0214563365148281</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2-AA1F-4E1B-92CB-DB31EE302F74}"/>
            </c:ext>
          </c:extLst>
        </c:ser>
        <c:ser>
          <c:idx val="4"/>
          <c:order val="4"/>
          <c:tx>
            <c:strRef>
              <c:f>Blad2!$A$57</c:f>
              <c:strCache>
                <c:ptCount val="1"/>
                <c:pt idx="0">
                  <c:v>Duitsland - Uitgaande investeringen (stroom)</c:v>
                </c:pt>
              </c:strCache>
              <c:extLst xmlns:c15="http://schemas.microsoft.com/office/drawing/2012/chart"/>
            </c:strRef>
          </c:tx>
          <c:spPr>
            <a:ln w="28575" cap="rnd">
              <a:solidFill>
                <a:schemeClr val="accent5"/>
              </a:solidFill>
              <a:round/>
            </a:ln>
            <a:effectLst/>
          </c:spPr>
          <c:marker>
            <c:symbol val="none"/>
          </c:marker>
          <c:cat>
            <c:strRef>
              <c:f>Blad1!$O$1:$BQ$1</c:f>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extLst xmlns:c15="http://schemas.microsoft.com/office/drawing/2012/chart"/>
            </c:strRef>
          </c:cat>
          <c:val>
            <c:numRef>
              <c:f>Blad2!$O$57:$BQ$57</c:f>
              <c:numCache>
                <c:formatCode>General</c:formatCode>
                <c:ptCount val="55"/>
                <c:pt idx="1">
                  <c:v>0.47838466093791854</c:v>
                </c:pt>
                <c:pt idx="2">
                  <c:v>0.59971868365679359</c:v>
                </c:pt>
                <c:pt idx="3">
                  <c:v>0.49109058132593886</c:v>
                </c:pt>
                <c:pt idx="4">
                  <c:v>0.47483930923189016</c:v>
                </c:pt>
                <c:pt idx="5">
                  <c:v>0.44294923968349609</c:v>
                </c:pt>
                <c:pt idx="6">
                  <c:v>0.50013344111358138</c:v>
                </c:pt>
                <c:pt idx="7">
                  <c:v>0.39938104716391559</c:v>
                </c:pt>
                <c:pt idx="8">
                  <c:v>0.53014641579537924</c:v>
                </c:pt>
                <c:pt idx="9">
                  <c:v>0.56699860665304103</c:v>
                </c:pt>
                <c:pt idx="10">
                  <c:v>0.4362774402215383</c:v>
                </c:pt>
                <c:pt idx="11">
                  <c:v>0.46883126436701789</c:v>
                </c:pt>
                <c:pt idx="12">
                  <c:v>0.34993368706714051</c:v>
                </c:pt>
                <c:pt idx="13">
                  <c:v>0.38052905134022175</c:v>
                </c:pt>
                <c:pt idx="14">
                  <c:v>0.64947353496795701</c:v>
                </c:pt>
                <c:pt idx="15">
                  <c:v>0.74750771401036809</c:v>
                </c:pt>
                <c:pt idx="16">
                  <c:v>0.89493338756205298</c:v>
                </c:pt>
                <c:pt idx="17">
                  <c:v>0.63403748279033922</c:v>
                </c:pt>
                <c:pt idx="18">
                  <c:v>0.85041927466344303</c:v>
                </c:pt>
                <c:pt idx="19">
                  <c:v>0.94980141760695247</c:v>
                </c:pt>
                <c:pt idx="20">
                  <c:v>1.3517830677132341</c:v>
                </c:pt>
                <c:pt idx="21">
                  <c:v>1.2419486820627454</c:v>
                </c:pt>
                <c:pt idx="22">
                  <c:v>0.89162607448710451</c:v>
                </c:pt>
                <c:pt idx="23">
                  <c:v>0.84858010702147402</c:v>
                </c:pt>
                <c:pt idx="24">
                  <c:v>0.89632446222902229</c:v>
                </c:pt>
                <c:pt idx="25">
                  <c:v>1.5356072877666267</c:v>
                </c:pt>
                <c:pt idx="26">
                  <c:v>2.4164008453910686</c:v>
                </c:pt>
                <c:pt idx="27">
                  <c:v>2.2322163127836721</c:v>
                </c:pt>
                <c:pt idx="28">
                  <c:v>4.3156302564505706</c:v>
                </c:pt>
                <c:pt idx="29">
                  <c:v>6.2967487379527061</c:v>
                </c:pt>
                <c:pt idx="30">
                  <c:v>4.9910047671052338</c:v>
                </c:pt>
                <c:pt idx="31">
                  <c:v>3.572149505003523</c:v>
                </c:pt>
                <c:pt idx="32">
                  <c:v>0.81826118086305477</c:v>
                </c:pt>
                <c:pt idx="33">
                  <c:v>1.5505029829783654</c:v>
                </c:pt>
                <c:pt idx="34">
                  <c:v>0.31797572892365311</c:v>
                </c:pt>
                <c:pt idx="35">
                  <c:v>3.0733928837273758</c:v>
                </c:pt>
                <c:pt idx="36">
                  <c:v>4.8575291752505159</c:v>
                </c:pt>
                <c:pt idx="37">
                  <c:v>4.0370616356994402</c:v>
                </c:pt>
                <c:pt idx="38">
                  <c:v>2.573645979129231</c:v>
                </c:pt>
                <c:pt idx="39">
                  <c:v>2.8661938050246496</c:v>
                </c:pt>
                <c:pt idx="40">
                  <c:v>4.2282727319625435</c:v>
                </c:pt>
                <c:pt idx="41">
                  <c:v>2.8212650820524288</c:v>
                </c:pt>
                <c:pt idx="42">
                  <c:v>2.7538941456579327</c:v>
                </c:pt>
                <c:pt idx="43">
                  <c:v>2.4498739989723539</c:v>
                </c:pt>
                <c:pt idx="44">
                  <c:v>2.6599505285305391</c:v>
                </c:pt>
                <c:pt idx="45">
                  <c:v>3.4835348238338733</c:v>
                </c:pt>
                <c:pt idx="46">
                  <c:v>3.2945650611594837</c:v>
                </c:pt>
                <c:pt idx="47">
                  <c:v>3.9592023114277612</c:v>
                </c:pt>
                <c:pt idx="48">
                  <c:v>5.2548761535899127</c:v>
                </c:pt>
                <c:pt idx="49">
                  <c:v>4.3299226385712046</c:v>
                </c:pt>
                <c:pt idx="50">
                  <c:v>3.6768028929558612</c:v>
                </c:pt>
                <c:pt idx="51">
                  <c:v>4.9376926531208074</c:v>
                </c:pt>
                <c:pt idx="52">
                  <c:v>3.6247145958100497</c:v>
                </c:pt>
                <c:pt idx="53">
                  <c:v>2.28280329592525</c:v>
                </c:pt>
                <c:pt idx="54">
                  <c:v>1.7202811940647089</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3-AA1F-4E1B-92CB-DB31EE302F74}"/>
            </c:ext>
          </c:extLst>
        </c:ser>
        <c:dLbls>
          <c:showLegendKey val="0"/>
          <c:showVal val="0"/>
          <c:showCatName val="0"/>
          <c:showSerName val="0"/>
          <c:showPercent val="0"/>
          <c:showBubbleSize val="0"/>
        </c:dLbls>
        <c:smooth val="0"/>
        <c:axId val="531870319"/>
        <c:axId val="531869359"/>
        <c:extLst>
          <c:ext xmlns:c15="http://schemas.microsoft.com/office/drawing/2012/chart" uri="{02D57815-91ED-43cb-92C2-25804820EDAC}">
            <c15:filteredLineSeries>
              <c15:ser>
                <c:idx val="1"/>
                <c:order val="3"/>
                <c:tx>
                  <c:strRef>
                    <c:extLst>
                      <c:ext uri="{02D57815-91ED-43cb-92C2-25804820EDAC}">
                        <c15:formulaRef>
                          <c15:sqref>Blad1!$A$19</c15:sqref>
                        </c15:formulaRef>
                      </c:ext>
                    </c:extLst>
                    <c:strCache>
                      <c:ptCount val="1"/>
                      <c:pt idx="0">
                        <c:v>Belgium - Inflow</c:v>
                      </c:pt>
                    </c:strCache>
                  </c:strRef>
                </c:tx>
                <c:spPr>
                  <a:ln w="28575" cap="rnd">
                    <a:solidFill>
                      <a:schemeClr val="accent2"/>
                    </a:solidFill>
                    <a:round/>
                  </a:ln>
                  <a:effectLst/>
                </c:spPr>
                <c:marker>
                  <c:symbol val="none"/>
                </c:marker>
                <c:cat>
                  <c:strRef>
                    <c:extLst>
                      <c:ext uri="{02D57815-91ED-43cb-92C2-25804820EDAC}">
                        <c15:formulaRef>
                          <c15:sqref>Blad1!$O$1:$BQ$1</c15:sqref>
                        </c15:formulaRef>
                      </c:ext>
                    </c:extLst>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strRef>
                </c:cat>
                <c:val>
                  <c:numRef>
                    <c:extLst>
                      <c:ext uri="{02D57815-91ED-43cb-92C2-25804820EDAC}">
                        <c15:formulaRef>
                          <c15:sqref>Blad1!$O$19:$BQ$19</c15:sqref>
                        </c15:formulaRef>
                      </c:ext>
                    </c:extLst>
                    <c:numCache>
                      <c:formatCode>General</c:formatCode>
                      <c:ptCount val="55"/>
                      <c:pt idx="0">
                        <c:v>1.1757571143783534</c:v>
                      </c:pt>
                      <c:pt idx="1">
                        <c:v>1.4351983530194281</c:v>
                      </c:pt>
                      <c:pt idx="2">
                        <c:v>1.0373717745543531</c:v>
                      </c:pt>
                      <c:pt idx="3">
                        <c:v>1.5059546528672485</c:v>
                      </c:pt>
                      <c:pt idx="4">
                        <c:v>2.0291585667567498</c:v>
                      </c:pt>
                      <c:pt idx="5">
                        <c:v>1.4534505489880767</c:v>
                      </c:pt>
                      <c:pt idx="6">
                        <c:v>1.2259069024498446</c:v>
                      </c:pt>
                      <c:pt idx="7">
                        <c:v>1.5390287964978071</c:v>
                      </c:pt>
                      <c:pt idx="8">
                        <c:v>1.41812272871722</c:v>
                      </c:pt>
                      <c:pt idx="9">
                        <c:v>0.97156476965316252</c:v>
                      </c:pt>
                      <c:pt idx="10">
                        <c:v>1.2179991727084725</c:v>
                      </c:pt>
                      <c:pt idx="11">
                        <c:v>1.3238324792180769</c:v>
                      </c:pt>
                      <c:pt idx="12">
                        <c:v>1.5985289045274698</c:v>
                      </c:pt>
                      <c:pt idx="13">
                        <c:v>1.4792811338437182</c:v>
                      </c:pt>
                      <c:pt idx="14">
                        <c:v>0.46715320321112347</c:v>
                      </c:pt>
                      <c:pt idx="15">
                        <c:v>1.2188607367727473</c:v>
                      </c:pt>
                      <c:pt idx="16">
                        <c:v>0.60812145892064862</c:v>
                      </c:pt>
                      <c:pt idx="17">
                        <c:v>1.5763107153135836</c:v>
                      </c:pt>
                      <c:pt idx="18">
                        <c:v>3.2116443541360993</c:v>
                      </c:pt>
                      <c:pt idx="19">
                        <c:v>4.2748902906536506</c:v>
                      </c:pt>
                      <c:pt idx="20">
                        <c:v>3.9188922708843119</c:v>
                      </c:pt>
                      <c:pt idx="21">
                        <c:v>4.4475395709821193</c:v>
                      </c:pt>
                      <c:pt idx="22">
                        <c:v>4.8069343930370785</c:v>
                      </c:pt>
                      <c:pt idx="23">
                        <c:v>4.7836926391967278</c:v>
                      </c:pt>
                      <c:pt idx="24">
                        <c:v>3.476574826506261</c:v>
                      </c:pt>
                      <c:pt idx="25">
                        <c:v>3.7110244473466794</c:v>
                      </c:pt>
                      <c:pt idx="26">
                        <c:v>5.0371876095201245</c:v>
                      </c:pt>
                      <c:pt idx="27">
                        <c:v>4.7478898802551521</c:v>
                      </c:pt>
                      <c:pt idx="28">
                        <c:v>8.7767940769603108</c:v>
                      </c:pt>
                      <c:pt idx="29">
                        <c:v>46.348457148507123</c:v>
                      </c:pt>
                      <c:pt idx="30">
                        <c:v>37.475312297908673</c:v>
                      </c:pt>
                      <c:pt idx="31">
                        <c:v>37.256469483417234</c:v>
                      </c:pt>
                      <c:pt idx="32">
                        <c:v>7.0124244399365683</c:v>
                      </c:pt>
                      <c:pt idx="33">
                        <c:v>10.864874487751838</c:v>
                      </c:pt>
                      <c:pt idx="34">
                        <c:v>12.052110674756856</c:v>
                      </c:pt>
                      <c:pt idx="35">
                        <c:v>8.7271772018646274</c:v>
                      </c:pt>
                      <c:pt idx="36">
                        <c:v>14.407871393667524</c:v>
                      </c:pt>
                      <c:pt idx="37">
                        <c:v>20.502674006232755</c:v>
                      </c:pt>
                      <c:pt idx="38">
                        <c:v>36.802920454997526</c:v>
                      </c:pt>
                      <c:pt idx="39">
                        <c:v>15.948905674900951</c:v>
                      </c:pt>
                      <c:pt idx="40">
                        <c:v>26.059640749028645</c:v>
                      </c:pt>
                      <c:pt idx="41">
                        <c:v>31.036688431129811</c:v>
                      </c:pt>
                      <c:pt idx="42">
                        <c:v>2.3695690095095445</c:v>
                      </c:pt>
                      <c:pt idx="43">
                        <c:v>-5.6556178485725219</c:v>
                      </c:pt>
                      <c:pt idx="44">
                        <c:v>-2.8264362355508394</c:v>
                      </c:pt>
                      <c:pt idx="45">
                        <c:v>-4.2326141035412306</c:v>
                      </c:pt>
                      <c:pt idx="46">
                        <c:v>12.131942022711295</c:v>
                      </c:pt>
                      <c:pt idx="47">
                        <c:v>-7.444237901766301</c:v>
                      </c:pt>
                      <c:pt idx="48">
                        <c:v>-7.6664953871346739</c:v>
                      </c:pt>
                      <c:pt idx="49">
                        <c:v>-1.9725299781891459</c:v>
                      </c:pt>
                      <c:pt idx="50">
                        <c:v>-5.7423522714293593</c:v>
                      </c:pt>
                      <c:pt idx="51">
                        <c:v>5.9057971055121774</c:v>
                      </c:pt>
                      <c:pt idx="52">
                        <c:v>2.0004645644055445</c:v>
                      </c:pt>
                      <c:pt idx="53">
                        <c:v>-0.43063634067363155</c:v>
                      </c:pt>
                      <c:pt idx="54">
                        <c:v>-5.3522237592935342</c:v>
                      </c:pt>
                    </c:numCache>
                  </c:numRef>
                </c:val>
                <c:smooth val="0"/>
                <c:extLst>
                  <c:ext xmlns:c16="http://schemas.microsoft.com/office/drawing/2014/chart" uri="{C3380CC4-5D6E-409C-BE32-E72D297353CC}">
                    <c16:uniqueId val="{00000004-AA1F-4E1B-92CB-DB31EE302F74}"/>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Blad2!$A$19</c15:sqref>
                        </c15:formulaRef>
                      </c:ext>
                    </c:extLst>
                    <c:strCache>
                      <c:ptCount val="1"/>
                      <c:pt idx="0">
                        <c:v>Belgium - Outflow</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Blad1!$O$1:$BQ$1</c15:sqref>
                        </c15:formulaRef>
                      </c:ext>
                    </c:extLst>
                    <c:strCach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strCache>
                  </c:strRef>
                </c:cat>
                <c:val>
                  <c:numRef>
                    <c:extLst xmlns:c15="http://schemas.microsoft.com/office/drawing/2012/chart">
                      <c:ext xmlns:c15="http://schemas.microsoft.com/office/drawing/2012/chart" uri="{02D57815-91ED-43cb-92C2-25804820EDAC}">
                        <c15:formulaRef>
                          <c15:sqref>Blad2!$O$19:$BQ$19</c15:sqref>
                        </c15:formulaRef>
                      </c:ext>
                    </c:extLst>
                    <c:numCache>
                      <c:formatCode>General</c:formatCode>
                      <c:ptCount val="55"/>
                      <c:pt idx="0">
                        <c:v>0.65153419713959715</c:v>
                      </c:pt>
                      <c:pt idx="1">
                        <c:v>0.69077303907009857</c:v>
                      </c:pt>
                      <c:pt idx="2">
                        <c:v>0.47568602097440543</c:v>
                      </c:pt>
                      <c:pt idx="3">
                        <c:v>0.5634239243689706</c:v>
                      </c:pt>
                      <c:pt idx="4">
                        <c:v>0.85485220182628252</c:v>
                      </c:pt>
                      <c:pt idx="5">
                        <c:v>0.36209889945003076</c:v>
                      </c:pt>
                      <c:pt idx="6">
                        <c:v>0.49471352894659398</c:v>
                      </c:pt>
                      <c:pt idx="7">
                        <c:v>0.56157717385647987</c:v>
                      </c:pt>
                      <c:pt idx="8">
                        <c:v>0.55287822796505492</c:v>
                      </c:pt>
                      <c:pt idx="9">
                        <c:v>1.1526241111194466</c:v>
                      </c:pt>
                      <c:pt idx="10">
                        <c:v>0.15456205920975277</c:v>
                      </c:pt>
                      <c:pt idx="11">
                        <c:v>9.9102436451400475E-2</c:v>
                      </c:pt>
                      <c:pt idx="12">
                        <c:v>-7.4987030218225392E-2</c:v>
                      </c:pt>
                      <c:pt idx="13">
                        <c:v>0.40686252911300586</c:v>
                      </c:pt>
                      <c:pt idx="14">
                        <c:v>0.35137570594663614</c:v>
                      </c:pt>
                      <c:pt idx="15">
                        <c:v>0.34368374387369532</c:v>
                      </c:pt>
                      <c:pt idx="16">
                        <c:v>1.4356085738638609</c:v>
                      </c:pt>
                      <c:pt idx="17">
                        <c:v>1.8623455252902155</c:v>
                      </c:pt>
                      <c:pt idx="18">
                        <c:v>2.3315902024767756</c:v>
                      </c:pt>
                      <c:pt idx="19">
                        <c:v>3.9497005668474068</c:v>
                      </c:pt>
                      <c:pt idx="20">
                        <c:v>3.0752380297291859</c:v>
                      </c:pt>
                      <c:pt idx="21">
                        <c:v>2.978908473949315</c:v>
                      </c:pt>
                      <c:pt idx="22">
                        <c:v>4.8585568255129417</c:v>
                      </c:pt>
                      <c:pt idx="23">
                        <c:v>2.1820580351497214</c:v>
                      </c:pt>
                      <c:pt idx="24">
                        <c:v>0.56001179122932498</c:v>
                      </c:pt>
                      <c:pt idx="25">
                        <c:v>4.0284615212854247</c:v>
                      </c:pt>
                      <c:pt idx="26">
                        <c:v>2.8746700571336303</c:v>
                      </c:pt>
                      <c:pt idx="27">
                        <c:v>2.8697621461703737</c:v>
                      </c:pt>
                      <c:pt idx="28">
                        <c:v>11.157500195594777</c:v>
                      </c:pt>
                      <c:pt idx="29">
                        <c:v>47.35961073754266</c:v>
                      </c:pt>
                      <c:pt idx="30">
                        <c:v>36.471477971062583</c:v>
                      </c:pt>
                      <c:pt idx="31">
                        <c:v>42.512240460582042</c:v>
                      </c:pt>
                      <c:pt idx="32">
                        <c:v>3.4521947975091249</c:v>
                      </c:pt>
                      <c:pt idx="33">
                        <c:v>12.28173294343082</c:v>
                      </c:pt>
                      <c:pt idx="34">
                        <c:v>9.4111490094227772</c:v>
                      </c:pt>
                      <c:pt idx="35">
                        <c:v>8.4358598702847551</c:v>
                      </c:pt>
                      <c:pt idx="36">
                        <c:v>12.279198772308613</c:v>
                      </c:pt>
                      <c:pt idx="37">
                        <c:v>17.722256045095513</c:v>
                      </c:pt>
                      <c:pt idx="38">
                        <c:v>43.155570728389449</c:v>
                      </c:pt>
                      <c:pt idx="39">
                        <c:v>6.8739090416832891</c:v>
                      </c:pt>
                      <c:pt idx="40">
                        <c:v>13.877268168432488</c:v>
                      </c:pt>
                      <c:pt idx="41">
                        <c:v>24.489145705193526</c:v>
                      </c:pt>
                      <c:pt idx="42">
                        <c:v>8.3253239213868699</c:v>
                      </c:pt>
                      <c:pt idx="43">
                        <c:v>-2.3600870861910765</c:v>
                      </c:pt>
                      <c:pt idx="44">
                        <c:v>-7.7739808145457556E-2</c:v>
                      </c:pt>
                      <c:pt idx="45">
                        <c:v>1.5898958410431181</c:v>
                      </c:pt>
                      <c:pt idx="46">
                        <c:v>7.2859424141487921</c:v>
                      </c:pt>
                      <c:pt idx="47">
                        <c:v>-1.0581078413287366</c:v>
                      </c:pt>
                      <c:pt idx="48">
                        <c:v>-6.6345163098204303</c:v>
                      </c:pt>
                      <c:pt idx="49">
                        <c:v>-3.3557518599598284</c:v>
                      </c:pt>
                      <c:pt idx="50">
                        <c:v>-4.1865988708334907</c:v>
                      </c:pt>
                      <c:pt idx="51">
                        <c:v>9.8107379999012885</c:v>
                      </c:pt>
                      <c:pt idx="52">
                        <c:v>5.9305339339055214</c:v>
                      </c:pt>
                      <c:pt idx="53">
                        <c:v>-2.0713346287833301</c:v>
                      </c:pt>
                      <c:pt idx="54">
                        <c:v>-0.91364385534284209</c:v>
                      </c:pt>
                    </c:numCache>
                  </c:numRef>
                </c:val>
                <c:smooth val="0"/>
                <c:extLst xmlns:c15="http://schemas.microsoft.com/office/drawing/2012/chart">
                  <c:ext xmlns:c16="http://schemas.microsoft.com/office/drawing/2014/chart" uri="{C3380CC4-5D6E-409C-BE32-E72D297353CC}">
                    <c16:uniqueId val="{00000005-AA1F-4E1B-92CB-DB31EE302F74}"/>
                  </c:ext>
                </c:extLst>
              </c15:ser>
            </c15:filteredLineSeries>
          </c:ext>
        </c:extLst>
      </c:lineChart>
      <c:catAx>
        <c:axId val="531870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531869359"/>
        <c:crosses val="autoZero"/>
        <c:auto val="1"/>
        <c:lblAlgn val="ctr"/>
        <c:lblOffset val="100"/>
        <c:noMultiLvlLbl val="0"/>
      </c:catAx>
      <c:valAx>
        <c:axId val="531869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531870319"/>
        <c:crosses val="autoZero"/>
        <c:crossBetween val="between"/>
      </c:valAx>
      <c:spPr>
        <a:noFill/>
        <a:ln>
          <a:noFill/>
        </a:ln>
        <a:effectLst/>
      </c:spPr>
    </c:plotArea>
    <c:legend>
      <c:legendPos val="b"/>
      <c:layout>
        <c:manualLayout>
          <c:xMode val="edge"/>
          <c:yMode val="edge"/>
          <c:x val="3.6106839184164484E-2"/>
          <c:y val="0.85620760640214089"/>
          <c:w val="0.93031120133420819"/>
          <c:h val="0.140524419741649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a:solidFill>
                  <a:sysClr val="windowText" lastClr="000000"/>
                </a:solidFill>
              </a:rPr>
              <a:t>Voorraad</a:t>
            </a:r>
            <a:r>
              <a:rPr lang="nl-NL" sz="1200" baseline="0">
                <a:solidFill>
                  <a:sysClr val="windowText" lastClr="000000"/>
                </a:solidFill>
              </a:rPr>
              <a:t> inkomende dbi als percentage van het bbp</a:t>
            </a:r>
            <a:endParaRPr lang="nl-NL"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areaChart>
        <c:grouping val="stacked"/>
        <c:varyColors val="0"/>
        <c:ser>
          <c:idx val="1"/>
          <c:order val="0"/>
          <c:tx>
            <c:strRef>
              <c:f>Sheet1!$U$2</c:f>
              <c:strCache>
                <c:ptCount val="1"/>
                <c:pt idx="0">
                  <c:v>Overige vennootschappen</c:v>
                </c:pt>
              </c:strCache>
            </c:strRef>
          </c:tx>
          <c:spPr>
            <a:solidFill>
              <a:schemeClr val="accent2"/>
            </a:solidFill>
            <a:ln>
              <a:noFill/>
            </a:ln>
            <a:effectLst/>
          </c:spPr>
          <c:cat>
            <c:numRef>
              <c:f>Sheet1!$S$3:$S$18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Sheet1!$U$3:$U$18</c:f>
              <c:numCache>
                <c:formatCode>0%</c:formatCode>
                <c:ptCount val="16"/>
                <c:pt idx="0">
                  <c:v>1.1665122378315163</c:v>
                </c:pt>
                <c:pt idx="1">
                  <c:v>1.2297718844460173</c:v>
                </c:pt>
                <c:pt idx="2">
                  <c:v>1.2794014953020842</c:v>
                </c:pt>
                <c:pt idx="3">
                  <c:v>1.2861252155376384</c:v>
                </c:pt>
                <c:pt idx="4">
                  <c:v>1.3635927507128995</c:v>
                </c:pt>
                <c:pt idx="5">
                  <c:v>1.4772216567799634</c:v>
                </c:pt>
                <c:pt idx="6">
                  <c:v>1.6686604990724765</c:v>
                </c:pt>
                <c:pt idx="7">
                  <c:v>1.7391230078645075</c:v>
                </c:pt>
                <c:pt idx="8">
                  <c:v>1.7660447892150253</c:v>
                </c:pt>
                <c:pt idx="9">
                  <c:v>1.8332630571319299</c:v>
                </c:pt>
                <c:pt idx="10">
                  <c:v>1.8876792752037934</c:v>
                </c:pt>
                <c:pt idx="11">
                  <c:v>1.8767030410268295</c:v>
                </c:pt>
                <c:pt idx="12">
                  <c:v>2.1831057286618116</c:v>
                </c:pt>
                <c:pt idx="13">
                  <c:v>2.284158423866145</c:v>
                </c:pt>
                <c:pt idx="14">
                  <c:v>2.0604806161450901</c:v>
                </c:pt>
                <c:pt idx="15">
                  <c:v>2.1200331596513964</c:v>
                </c:pt>
              </c:numCache>
            </c:numRef>
          </c:val>
          <c:extLst>
            <c:ext xmlns:c16="http://schemas.microsoft.com/office/drawing/2014/chart" uri="{C3380CC4-5D6E-409C-BE32-E72D297353CC}">
              <c16:uniqueId val="{00000000-112F-4324-8740-BA4908C24BF4}"/>
            </c:ext>
          </c:extLst>
        </c:ser>
        <c:ser>
          <c:idx val="0"/>
          <c:order val="1"/>
          <c:tx>
            <c:strRef>
              <c:f>Sheet1!$T$2</c:f>
              <c:strCache>
                <c:ptCount val="1"/>
                <c:pt idx="0">
                  <c:v>Doorstroomvennootschappen</c:v>
                </c:pt>
              </c:strCache>
            </c:strRef>
          </c:tx>
          <c:spPr>
            <a:solidFill>
              <a:schemeClr val="accent1"/>
            </a:solidFill>
            <a:ln>
              <a:noFill/>
            </a:ln>
            <a:effectLst/>
          </c:spPr>
          <c:cat>
            <c:numRef>
              <c:f>Sheet1!$S$3:$S$18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Sheet1!$T$3:$T$18</c:f>
              <c:numCache>
                <c:formatCode>0%</c:formatCode>
                <c:ptCount val="16"/>
                <c:pt idx="0">
                  <c:v>2.6520963847276859</c:v>
                </c:pt>
                <c:pt idx="1">
                  <c:v>2.7359738393989628</c:v>
                </c:pt>
                <c:pt idx="2">
                  <c:v>3.0027927241213206</c:v>
                </c:pt>
                <c:pt idx="3">
                  <c:v>3.2512910674427857</c:v>
                </c:pt>
                <c:pt idx="4">
                  <c:v>3.2986493374355996</c:v>
                </c:pt>
                <c:pt idx="5">
                  <c:v>3.4360028624251613</c:v>
                </c:pt>
                <c:pt idx="6">
                  <c:v>3.6232523373032506</c:v>
                </c:pt>
                <c:pt idx="7">
                  <c:v>3.8442774315506645</c:v>
                </c:pt>
                <c:pt idx="8">
                  <c:v>3.8239332000423514</c:v>
                </c:pt>
                <c:pt idx="9">
                  <c:v>3.3886832146574317</c:v>
                </c:pt>
                <c:pt idx="10">
                  <c:v>3.2827508315442766</c:v>
                </c:pt>
                <c:pt idx="11">
                  <c:v>2.9424339169221385</c:v>
                </c:pt>
                <c:pt idx="12">
                  <c:v>2.5949720911020138</c:v>
                </c:pt>
                <c:pt idx="13">
                  <c:v>2.3753891714153466</c:v>
                </c:pt>
                <c:pt idx="14">
                  <c:v>2.0675586001325543</c:v>
                </c:pt>
                <c:pt idx="15">
                  <c:v>1.9523815481581066</c:v>
                </c:pt>
              </c:numCache>
            </c:numRef>
          </c:val>
          <c:extLst>
            <c:ext xmlns:c16="http://schemas.microsoft.com/office/drawing/2014/chart" uri="{C3380CC4-5D6E-409C-BE32-E72D297353CC}">
              <c16:uniqueId val="{00000001-112F-4324-8740-BA4908C24BF4}"/>
            </c:ext>
          </c:extLst>
        </c:ser>
        <c:dLbls>
          <c:showLegendKey val="0"/>
          <c:showVal val="0"/>
          <c:showCatName val="0"/>
          <c:showSerName val="0"/>
          <c:showPercent val="0"/>
          <c:showBubbleSize val="0"/>
        </c:dLbls>
        <c:axId val="1402886927"/>
        <c:axId val="1161291599"/>
      </c:areaChart>
      <c:catAx>
        <c:axId val="140288692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161291599"/>
        <c:crosses val="autoZero"/>
        <c:auto val="1"/>
        <c:lblAlgn val="ctr"/>
        <c:lblOffset val="100"/>
        <c:noMultiLvlLbl val="0"/>
      </c:catAx>
      <c:valAx>
        <c:axId val="11612915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crossAx val="140288692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6231</ap:Words>
  <ap:Characters>34272</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Brief aan Eerste of Tweede Kamer - Monitoring van de effecten van de aanpak van belastingontwijking</vt:lpstr>
    </vt:vector>
  </ap:TitlesOfParts>
  <ap:LinksUpToDate>false</ap:LinksUpToDate>
  <ap:CharactersWithSpaces>40423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2025-12-15T14:39:00.0000000Z</lastPrinted>
  <dcterms:created xsi:type="dcterms:W3CDTF">2025-12-15T14:39:00.0000000Z</dcterms:created>
  <dcterms:modified xsi:type="dcterms:W3CDTF">2025-12-15T14:40:00.0000000Z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Monitoring van de effecten van de aanpak van belastingontwijking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2025-0000489583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Monitoring van de effecten van de aanpak van belastingontwijking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2025-10-15T08:32:12Z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79a6bd7a-6c14-4cd6-9e1a-242145a265be</vt:lpwstr>
  </property>
  <property fmtid="{D5CDD505-2E9C-101B-9397-08002B2CF9AE}" pid="37" name="MSIP_Label_b2aa6e22-2c82-48c6-bf24-1790f4b9c128_ContentBits">
    <vt:lpwstr>0</vt:lpwstr>
  </property>
</Properties>
</file>