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7E7A0D74" w14:textId="77777777">
        <w:trPr>
          <w:cantSplit/>
        </w:trPr>
        <w:tc>
          <w:tcPr>
            <w:tcW w:w="9212" w:type="dxa"/>
            <w:gridSpan w:val="2"/>
          </w:tcPr>
          <w:p w:rsidR="003B4752" w:rsidRDefault="003B4752" w14:paraId="1760FA96" w14:textId="77777777">
            <w:pPr>
              <w:tabs>
                <w:tab w:val="left" w:pos="-1440"/>
                <w:tab w:val="left" w:pos="-720"/>
              </w:tabs>
              <w:suppressAutoHyphens/>
            </w:pPr>
          </w:p>
        </w:tc>
      </w:tr>
      <w:tr w:rsidR="003B4752" w14:paraId="11231311" w14:textId="77777777">
        <w:trPr>
          <w:cantSplit/>
        </w:trPr>
        <w:tc>
          <w:tcPr>
            <w:tcW w:w="9212" w:type="dxa"/>
            <w:gridSpan w:val="2"/>
          </w:tcPr>
          <w:p w:rsidR="003B4752" w:rsidRDefault="003B4752" w14:paraId="2B63077D" w14:textId="77777777">
            <w:pPr>
              <w:tabs>
                <w:tab w:val="left" w:pos="-1440"/>
                <w:tab w:val="left" w:pos="-720"/>
              </w:tabs>
              <w:suppressAutoHyphens/>
              <w:rPr>
                <w:b/>
              </w:rPr>
            </w:pPr>
          </w:p>
        </w:tc>
      </w:tr>
      <w:tr w:rsidR="009833D1" w14:paraId="6D57B929" w14:textId="77777777">
        <w:tc>
          <w:tcPr>
            <w:tcW w:w="2622" w:type="dxa"/>
          </w:tcPr>
          <w:p w:rsidR="009833D1" w:rsidRDefault="002A301D" w14:paraId="099F1FB0" w14:textId="6A270E1A">
            <w:pPr>
              <w:widowControl w:val="0"/>
              <w:rPr>
                <w:b/>
              </w:rPr>
            </w:pPr>
            <w:r>
              <w:rPr>
                <w:b/>
              </w:rPr>
              <w:t>36 765</w:t>
            </w:r>
          </w:p>
        </w:tc>
        <w:tc>
          <w:tcPr>
            <w:tcW w:w="6590" w:type="dxa"/>
          </w:tcPr>
          <w:p w:rsidRPr="002A301D" w:rsidR="009833D1" w:rsidP="002A301D" w:rsidRDefault="002A301D" w14:paraId="388F525E" w14:textId="540CF211">
            <w:pPr>
              <w:rPr>
                <w:b/>
                <w:bCs/>
                <w:szCs w:val="24"/>
              </w:rPr>
            </w:pPr>
            <w:r w:rsidRPr="002A301D">
              <w:rPr>
                <w:b/>
                <w:bCs/>
                <w:szCs w:val="24"/>
              </w:rPr>
              <w:t>Regels ter implementatie van Richtlijn (EU) 2022/2557 van het Europees Parlement en de Raad van 14 december 2022 betreffende de weerbaarheid van kritieke entiteiten en tot intrekking van Richtlijn 2008/114/EG van de Raad (PbEU 2022, L 333) (Wet weerbaarheid kritieke entiteiten)</w:t>
            </w:r>
          </w:p>
        </w:tc>
      </w:tr>
      <w:tr w:rsidR="003B4752" w14:paraId="0573F330" w14:textId="77777777">
        <w:tc>
          <w:tcPr>
            <w:tcW w:w="2622" w:type="dxa"/>
          </w:tcPr>
          <w:p w:rsidR="003B4752" w:rsidRDefault="003B4752" w14:paraId="59675201" w14:textId="77777777">
            <w:pPr>
              <w:tabs>
                <w:tab w:val="left" w:pos="284"/>
              </w:tabs>
              <w:rPr>
                <w:b/>
              </w:rPr>
            </w:pPr>
          </w:p>
        </w:tc>
        <w:tc>
          <w:tcPr>
            <w:tcW w:w="6590" w:type="dxa"/>
          </w:tcPr>
          <w:p w:rsidR="003B4752" w:rsidRDefault="003B4752" w14:paraId="6BC1D0CB" w14:textId="77777777">
            <w:pPr>
              <w:tabs>
                <w:tab w:val="left" w:pos="284"/>
              </w:tabs>
              <w:rPr>
                <w:b/>
              </w:rPr>
            </w:pPr>
          </w:p>
        </w:tc>
      </w:tr>
      <w:tr w:rsidR="003B4752" w14:paraId="7D59F750" w14:textId="77777777">
        <w:tc>
          <w:tcPr>
            <w:tcW w:w="2622" w:type="dxa"/>
          </w:tcPr>
          <w:p w:rsidR="003B4752" w:rsidRDefault="003B4752" w14:paraId="4C451A3B" w14:textId="539A9B41">
            <w:pPr>
              <w:tabs>
                <w:tab w:val="left" w:pos="284"/>
              </w:tabs>
              <w:rPr>
                <w:b/>
              </w:rPr>
            </w:pPr>
            <w:r>
              <w:rPr>
                <w:b/>
              </w:rPr>
              <w:t xml:space="preserve">Nr. </w:t>
            </w:r>
            <w:r w:rsidR="002A301D">
              <w:rPr>
                <w:b/>
              </w:rPr>
              <w:t>8</w:t>
            </w:r>
          </w:p>
        </w:tc>
        <w:tc>
          <w:tcPr>
            <w:tcW w:w="6590" w:type="dxa"/>
          </w:tcPr>
          <w:p w:rsidR="003B4752" w:rsidRDefault="002A301D" w14:paraId="120C2034" w14:textId="72776882">
            <w:pPr>
              <w:tabs>
                <w:tab w:val="left" w:pos="284"/>
              </w:tabs>
              <w:rPr>
                <w:b/>
              </w:rPr>
            </w:pPr>
            <w:r>
              <w:rPr>
                <w:b/>
              </w:rPr>
              <w:t xml:space="preserve">TWEEDE </w:t>
            </w:r>
            <w:r w:rsidR="003B4752">
              <w:rPr>
                <w:b/>
              </w:rPr>
              <w:t>NOTA VAN WIJZIGING</w:t>
            </w:r>
          </w:p>
          <w:p w:rsidR="003B4752" w:rsidP="009833D1" w:rsidRDefault="003B4752" w14:paraId="763C2B67" w14:textId="6AFA7EC5">
            <w:pPr>
              <w:tabs>
                <w:tab w:val="left" w:pos="284"/>
              </w:tabs>
            </w:pPr>
            <w:r>
              <w:t xml:space="preserve">Ontvangen </w:t>
            </w:r>
            <w:r w:rsidRPr="002A301D" w:rsidR="002A301D">
              <w:rPr>
                <w:bCs/>
              </w:rPr>
              <w:t>20 januari 2026</w:t>
            </w:r>
          </w:p>
        </w:tc>
      </w:tr>
    </w:tbl>
    <w:p w:rsidR="009833D1" w:rsidP="00FE223B" w:rsidRDefault="009833D1" w14:paraId="7F71C3A6" w14:textId="77777777">
      <w:pPr>
        <w:tabs>
          <w:tab w:val="left" w:pos="284"/>
        </w:tabs>
      </w:pPr>
    </w:p>
    <w:p w:rsidRPr="002A301D" w:rsidR="002A301D" w:rsidP="002A301D" w:rsidRDefault="002A301D" w14:paraId="2AAB5351" w14:textId="03C24D41">
      <w:pPr>
        <w:tabs>
          <w:tab w:val="left" w:pos="284"/>
        </w:tabs>
      </w:pPr>
      <w:r>
        <w:tab/>
      </w:r>
      <w:r w:rsidRPr="002A301D">
        <w:t>Het voorstel van wet wordt als volgt gewijzigd:</w:t>
      </w:r>
    </w:p>
    <w:p w:rsidRPr="002A301D" w:rsidR="002A301D" w:rsidP="002A301D" w:rsidRDefault="002A301D" w14:paraId="09A82145" w14:textId="77777777">
      <w:pPr>
        <w:tabs>
          <w:tab w:val="left" w:pos="284"/>
        </w:tabs>
      </w:pPr>
    </w:p>
    <w:p w:rsidRPr="002A301D" w:rsidR="002A301D" w:rsidP="002A301D" w:rsidRDefault="002A301D" w14:paraId="12111B8D" w14:textId="501A6CC9">
      <w:pPr>
        <w:tabs>
          <w:tab w:val="left" w:pos="284"/>
        </w:tabs>
      </w:pPr>
      <w:r>
        <w:tab/>
      </w:r>
      <w:r w:rsidRPr="002A301D">
        <w:t xml:space="preserve">In artikel 24, tweede lid, wordt “een kritieke entiteit die niet behoort tot een in de bijlage van deze wet genoemde sector” vervangen door “een kritieke entiteit die behoort tot een op grond van artikel 7, eerste lid, aangewezen sector, subsector of categorie van entiteiten”. </w:t>
      </w:r>
    </w:p>
    <w:p w:rsidRPr="002A301D" w:rsidR="002A301D" w:rsidP="002A301D" w:rsidRDefault="002A301D" w14:paraId="72EA88D1" w14:textId="77777777">
      <w:pPr>
        <w:tabs>
          <w:tab w:val="left" w:pos="284"/>
        </w:tabs>
      </w:pPr>
    </w:p>
    <w:p w:rsidRPr="002A301D" w:rsidR="002A301D" w:rsidP="002A301D" w:rsidRDefault="002A301D" w14:paraId="2A8F9F75" w14:textId="0A0533DB">
      <w:pPr>
        <w:tabs>
          <w:tab w:val="left" w:pos="284"/>
        </w:tabs>
        <w:rPr>
          <w:b/>
          <w:bCs/>
        </w:rPr>
      </w:pPr>
      <w:r w:rsidRPr="002A301D">
        <w:rPr>
          <w:b/>
          <w:bCs/>
        </w:rPr>
        <w:t>T</w:t>
      </w:r>
      <w:r>
        <w:rPr>
          <w:b/>
          <w:bCs/>
        </w:rPr>
        <w:t>oelichting</w:t>
      </w:r>
    </w:p>
    <w:p w:rsidRPr="002A301D" w:rsidR="002A301D" w:rsidP="002A301D" w:rsidRDefault="002A301D" w14:paraId="62E503C6" w14:textId="77777777">
      <w:pPr>
        <w:tabs>
          <w:tab w:val="left" w:pos="284"/>
        </w:tabs>
      </w:pPr>
    </w:p>
    <w:p w:rsidRPr="002A301D" w:rsidR="002A301D" w:rsidP="002A301D" w:rsidRDefault="002A301D" w14:paraId="06CEAC95" w14:textId="77777777">
      <w:pPr>
        <w:tabs>
          <w:tab w:val="left" w:pos="284"/>
        </w:tabs>
      </w:pPr>
      <w:r w:rsidRPr="002A301D">
        <w:t xml:space="preserve">Deze nota van wijziging wijzigt artikel 24, tweede lid, van het wetsvoorstel Wet weerbaarheid kritieke entiteiten (hierna: Wwke) en is technisch van aard. De hierin geregelde wijziging houdt verband met de wijziging van artikel 7, eerste lid, Wwke bij nota van wijziging van 4 november 2025. Er is toen over het hoofd gezien dat ook artikel 24, tweede lid, Wwke moet worden gewijzigd als gevolg van de wijziging van artikel 7, eerste lid, Wwke. Artikel 24, tweede lid, Wwke ziet namelijk specifiek op de kritieke entiteiten, bedoeld in artikel 7, eerste lid, Wwke. Zonder wijziging van artikel 24, tweede lid, Wwke sluit de doelgroep van die bepaling niet meer aan op de groep, bedoeld in artikel 7, eerste lid, Wwke. Met deze nota van wijziging wordt deze omissie hersteld.  </w:t>
      </w:r>
    </w:p>
    <w:p w:rsidRPr="002A301D" w:rsidR="002A301D" w:rsidP="002A301D" w:rsidRDefault="002A301D" w14:paraId="41BF87F3" w14:textId="77777777">
      <w:pPr>
        <w:tabs>
          <w:tab w:val="left" w:pos="284"/>
        </w:tabs>
      </w:pPr>
    </w:p>
    <w:p w:rsidR="002A301D" w:rsidP="002A301D" w:rsidRDefault="002A301D" w14:paraId="0CF54E3C" w14:textId="77777777">
      <w:pPr>
        <w:tabs>
          <w:tab w:val="left" w:pos="284"/>
        </w:tabs>
      </w:pPr>
      <w:r w:rsidRPr="002A301D">
        <w:t xml:space="preserve">De Minister van Justitie en Veiligheid, </w:t>
      </w:r>
    </w:p>
    <w:p w:rsidRPr="002A301D" w:rsidR="002A301D" w:rsidP="002A301D" w:rsidRDefault="002A301D" w14:paraId="7F001C34" w14:textId="49969FE6">
      <w:pPr>
        <w:tabs>
          <w:tab w:val="left" w:pos="284"/>
        </w:tabs>
      </w:pPr>
      <w:r>
        <w:t>F. van Oosten</w:t>
      </w:r>
    </w:p>
    <w:p w:rsidR="002A301D" w:rsidP="00FE223B" w:rsidRDefault="002A301D" w14:paraId="0A388E36" w14:textId="77777777">
      <w:pPr>
        <w:tabs>
          <w:tab w:val="left" w:pos="284"/>
        </w:tabs>
      </w:pPr>
    </w:p>
    <w:sectPr w:rsidR="002A301D" w:rsidSect="00961C1B">
      <w:footerReference w:type="even" r:id="rId9"/>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278A3" w14:textId="77777777" w:rsidR="002A301D" w:rsidRDefault="002A301D">
      <w:r>
        <w:separator/>
      </w:r>
    </w:p>
  </w:endnote>
  <w:endnote w:type="continuationSeparator" w:id="0">
    <w:p w14:paraId="10F9E58A" w14:textId="77777777" w:rsidR="002A301D" w:rsidRDefault="002A3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5F5F0"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5F8AEE2"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62D98" w14:textId="77777777" w:rsidR="002A301D" w:rsidRDefault="002A301D">
      <w:r>
        <w:separator/>
      </w:r>
    </w:p>
  </w:footnote>
  <w:footnote w:type="continuationSeparator" w:id="0">
    <w:p w14:paraId="58E1B465" w14:textId="77777777" w:rsidR="002A301D" w:rsidRDefault="002A3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1D"/>
    <w:rsid w:val="002A301D"/>
    <w:rsid w:val="003B4752"/>
    <w:rsid w:val="004D5FF9"/>
    <w:rsid w:val="007C02C8"/>
    <w:rsid w:val="00961C1B"/>
    <w:rsid w:val="009833D1"/>
    <w:rsid w:val="009A6FE2"/>
    <w:rsid w:val="00A23DA4"/>
    <w:rsid w:val="00B73FB5"/>
    <w:rsid w:val="00F5790A"/>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1C40C"/>
  <w15:docId w15:val="{C7BE721F-F493-46D4-B327-9B52F468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link w:val="KoptekstChar"/>
    <w:rsid w:val="009A6FE2"/>
    <w:pPr>
      <w:tabs>
        <w:tab w:val="center" w:pos="4536"/>
        <w:tab w:val="right" w:pos="9072"/>
      </w:tabs>
    </w:pPr>
  </w:style>
  <w:style w:type="character" w:customStyle="1" w:styleId="KoptekstChar">
    <w:name w:val="Koptekst Char"/>
    <w:basedOn w:val="Standaardalinea-lettertype"/>
    <w:link w:val="Koptekst"/>
    <w:rsid w:val="009A6F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235</ap:Words>
  <ap:Characters>1297</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2026-02-10T13:49:00.0000000Z</dcterms:created>
  <dcterms:modified xsi:type="dcterms:W3CDTF">2026-02-10T13:50:00.0000000Z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