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1D88" w:rsidR="00D01D88" w:rsidRDefault="00B77DEF" w14:paraId="26B857E1" w14:textId="4A94028C">
      <w:pPr>
        <w:rPr>
          <w:rFonts w:ascii="Calibri" w:hAnsi="Calibri" w:cs="Calibri"/>
        </w:rPr>
      </w:pPr>
      <w:r w:rsidRPr="00D01D88">
        <w:rPr>
          <w:rFonts w:ascii="Calibri" w:hAnsi="Calibri" w:cs="Calibri"/>
        </w:rPr>
        <w:t>29</w:t>
      </w:r>
      <w:r w:rsidRPr="00D01D88" w:rsidR="00D01D88">
        <w:rPr>
          <w:rFonts w:ascii="Calibri" w:hAnsi="Calibri" w:cs="Calibri"/>
        </w:rPr>
        <w:t xml:space="preserve"> </w:t>
      </w:r>
      <w:r w:rsidRPr="00D01D88">
        <w:rPr>
          <w:rFonts w:ascii="Calibri" w:hAnsi="Calibri" w:cs="Calibri"/>
        </w:rPr>
        <w:t>398</w:t>
      </w:r>
      <w:r w:rsidRPr="00D01D88" w:rsidR="00D01D88">
        <w:rPr>
          <w:rFonts w:ascii="Calibri" w:hAnsi="Calibri" w:cs="Calibri"/>
        </w:rPr>
        <w:tab/>
      </w:r>
      <w:r w:rsidRPr="00D01D88" w:rsidR="00D01D88">
        <w:rPr>
          <w:rFonts w:ascii="Calibri" w:hAnsi="Calibri" w:cs="Calibri"/>
        </w:rPr>
        <w:tab/>
        <w:t>Maatregelen verkeersveiligheid</w:t>
      </w:r>
    </w:p>
    <w:p w:rsidRPr="00D01D88" w:rsidR="00D01D88" w:rsidP="004474D9" w:rsidRDefault="00D01D88" w14:paraId="78E4F632" w14:textId="77777777">
      <w:pPr>
        <w:rPr>
          <w:rFonts w:ascii="Calibri" w:hAnsi="Calibri" w:cs="Calibri"/>
          <w:color w:val="000000"/>
        </w:rPr>
      </w:pPr>
      <w:r w:rsidRPr="00D01D88">
        <w:rPr>
          <w:rFonts w:ascii="Calibri" w:hAnsi="Calibri" w:cs="Calibri"/>
        </w:rPr>
        <w:t xml:space="preserve">Nr. </w:t>
      </w:r>
      <w:r w:rsidRPr="00D01D88" w:rsidR="00B77DEF">
        <w:rPr>
          <w:rFonts w:ascii="Calibri" w:hAnsi="Calibri" w:cs="Calibri"/>
        </w:rPr>
        <w:t>1196</w:t>
      </w:r>
      <w:r w:rsidRPr="00D01D88">
        <w:rPr>
          <w:rFonts w:ascii="Calibri" w:hAnsi="Calibri" w:cs="Calibri"/>
        </w:rPr>
        <w:tab/>
        <w:t>Brief van de minister van Infrastructuur en Waterstaat</w:t>
      </w:r>
    </w:p>
    <w:p w:rsidRPr="00D01D88" w:rsidR="00B77DEF" w:rsidP="00D01D88" w:rsidRDefault="00D01D88" w14:paraId="6D1E3383" w14:textId="2592C3B6">
      <w:pPr>
        <w:pStyle w:val="WitregelW1bodytekst"/>
        <w:spacing w:after="160" w:line="240" w:lineRule="auto"/>
        <w:rPr>
          <w:rFonts w:ascii="Calibri" w:hAnsi="Calibri" w:cs="Calibri"/>
          <w:sz w:val="22"/>
          <w:szCs w:val="22"/>
        </w:rPr>
      </w:pPr>
      <w:r w:rsidRPr="00D01D88">
        <w:rPr>
          <w:rFonts w:ascii="Calibri" w:hAnsi="Calibri" w:cs="Calibri"/>
          <w:sz w:val="22"/>
          <w:szCs w:val="22"/>
        </w:rPr>
        <w:t>Aan de Voorzitter van de Tweede Kamer der Staten-Generaal</w:t>
      </w:r>
    </w:p>
    <w:p w:rsidRPr="00D01D88" w:rsidR="00D01D88" w:rsidP="00D01D88" w:rsidRDefault="00D01D88" w14:paraId="42ADFC67" w14:textId="32402463">
      <w:pPr>
        <w:rPr>
          <w:rFonts w:ascii="Calibri" w:hAnsi="Calibri" w:cs="Calibri"/>
          <w:lang w:eastAsia="nl-NL"/>
        </w:rPr>
      </w:pPr>
      <w:r w:rsidRPr="00D01D88">
        <w:rPr>
          <w:rFonts w:ascii="Calibri" w:hAnsi="Calibri" w:cs="Calibri"/>
          <w:lang w:eastAsia="nl-NL"/>
        </w:rPr>
        <w:t>Den Haag, 15 december 2025</w:t>
      </w:r>
    </w:p>
    <w:p w:rsidRPr="00D01D88" w:rsidR="00B77DEF" w:rsidP="00B77DEF" w:rsidRDefault="00B77DEF" w14:paraId="7F731955" w14:textId="77777777">
      <w:pPr>
        <w:pStyle w:val="WitregelW1bodytekst"/>
        <w:rPr>
          <w:rFonts w:ascii="Calibri" w:hAnsi="Calibri" w:cs="Calibri"/>
          <w:sz w:val="22"/>
          <w:szCs w:val="22"/>
        </w:rPr>
      </w:pPr>
    </w:p>
    <w:p w:rsidRPr="00D01D88" w:rsidR="00B77DEF" w:rsidP="00B77DEF" w:rsidRDefault="00B77DEF" w14:paraId="25CBB253" w14:textId="6F6B38E8">
      <w:pPr>
        <w:pStyle w:val="WitregelW1bodytekst"/>
        <w:rPr>
          <w:rFonts w:ascii="Calibri" w:hAnsi="Calibri" w:cs="Calibri"/>
          <w:sz w:val="22"/>
          <w:szCs w:val="22"/>
        </w:rPr>
      </w:pPr>
      <w:r w:rsidRPr="00D01D88">
        <w:rPr>
          <w:rFonts w:ascii="Calibri" w:hAnsi="Calibri" w:cs="Calibri"/>
          <w:sz w:val="22"/>
          <w:szCs w:val="22"/>
        </w:rPr>
        <w:t>Met deze brief wordt de Kamer geïnformeerd over de uitvoering van de motie Heutink en Vedder over de omwisseling van de rijbewijzen van expats</w:t>
      </w:r>
      <w:r w:rsidRPr="00D01D88">
        <w:rPr>
          <w:rStyle w:val="Voetnootmarkering"/>
          <w:rFonts w:ascii="Calibri" w:hAnsi="Calibri" w:cs="Calibri"/>
          <w:sz w:val="22"/>
          <w:szCs w:val="22"/>
        </w:rPr>
        <w:footnoteReference w:id="1"/>
      </w:r>
      <w:r w:rsidRPr="00D01D88">
        <w:rPr>
          <w:rFonts w:ascii="Calibri" w:hAnsi="Calibri" w:cs="Calibri"/>
          <w:sz w:val="22"/>
          <w:szCs w:val="22"/>
        </w:rPr>
        <w:t xml:space="preserve">. </w:t>
      </w:r>
      <w:bookmarkStart w:name="_Hlk214839928" w:id="0"/>
      <w:r w:rsidRPr="00D01D88">
        <w:rPr>
          <w:rFonts w:ascii="Calibri" w:hAnsi="Calibri" w:cs="Calibri"/>
          <w:sz w:val="22"/>
          <w:szCs w:val="22"/>
        </w:rPr>
        <w:t xml:space="preserve">Deze motie verzoekt de regering om te onderzoeken uit welke landen de expats komen die op basis van de 30%-regeling een Nederlands rijbewijs krijgen, of deze landen daar geschikt voor zijn en of de kennis om aan het verkeer deel te nemen daar voldoende aanwezig is. De conclusie is dat het aantal omwisselingen sinds 2021 weliswaar is gestegen, maar dat er geen aanwijzingen zijn dat dit bovenmatige risico’s voor de verkeersveiligheid met zich meebrengt. </w:t>
      </w:r>
    </w:p>
    <w:bookmarkEnd w:id="0"/>
    <w:p w:rsidRPr="00D01D88" w:rsidR="00B77DEF" w:rsidP="00B77DEF" w:rsidRDefault="00B77DEF" w14:paraId="1284E4EF" w14:textId="77777777">
      <w:pPr>
        <w:pStyle w:val="Slotzin"/>
        <w:rPr>
          <w:rFonts w:ascii="Calibri" w:hAnsi="Calibri" w:cs="Calibri"/>
          <w:sz w:val="22"/>
          <w:szCs w:val="22"/>
        </w:rPr>
      </w:pPr>
      <w:r w:rsidRPr="00D01D88">
        <w:rPr>
          <w:rFonts w:ascii="Calibri" w:hAnsi="Calibri" w:cs="Calibri"/>
          <w:sz w:val="22"/>
          <w:szCs w:val="22"/>
        </w:rPr>
        <w:t>De uitvoering van de motie is grotendeels gebaseerd op het eerdere onderzoek naar de verkeersveiligheid van expats met omgewisselde rijbewijzen op grond van de 30%-regeling.</w:t>
      </w:r>
      <w:r w:rsidRPr="00D01D88">
        <w:rPr>
          <w:rStyle w:val="Voetnootmarkering"/>
          <w:rFonts w:ascii="Calibri" w:hAnsi="Calibri" w:cs="Calibri"/>
          <w:sz w:val="22"/>
          <w:szCs w:val="22"/>
        </w:rPr>
        <w:footnoteReference w:id="2"/>
      </w:r>
      <w:r w:rsidRPr="00D01D88">
        <w:rPr>
          <w:rFonts w:ascii="Calibri" w:hAnsi="Calibri" w:cs="Calibri"/>
          <w:sz w:val="22"/>
          <w:szCs w:val="22"/>
        </w:rPr>
        <w:t xml:space="preserve"> Op basis van dat onderzoek is in mei 2023 geconcludeerd dat er geen aanwijzingen zijn dat de omwisselingsregeling voor expats bovenmatige risico’s voor de verkeersveiligheid met zich meebrengt.</w:t>
      </w:r>
      <w:r w:rsidRPr="00D01D88">
        <w:rPr>
          <w:rStyle w:val="Voetnootmarkering"/>
          <w:rFonts w:ascii="Calibri" w:hAnsi="Calibri" w:cs="Calibri"/>
          <w:sz w:val="22"/>
          <w:szCs w:val="22"/>
        </w:rPr>
        <w:footnoteReference w:id="3"/>
      </w:r>
      <w:r w:rsidRPr="00D01D88">
        <w:rPr>
          <w:rFonts w:ascii="Calibri" w:hAnsi="Calibri" w:cs="Calibri"/>
          <w:sz w:val="22"/>
          <w:szCs w:val="22"/>
        </w:rPr>
        <w:t xml:space="preserve"> </w:t>
      </w:r>
    </w:p>
    <w:p w:rsidRPr="00D01D88" w:rsidR="00B77DEF" w:rsidP="00B77DEF" w:rsidRDefault="00B77DEF" w14:paraId="0F4F62F1" w14:textId="77777777">
      <w:pPr>
        <w:pStyle w:val="Slotzin"/>
        <w:rPr>
          <w:rFonts w:ascii="Calibri" w:hAnsi="Calibri" w:cs="Calibri"/>
          <w:b/>
          <w:bCs/>
          <w:sz w:val="22"/>
          <w:szCs w:val="22"/>
        </w:rPr>
      </w:pPr>
      <w:r w:rsidRPr="00D01D88">
        <w:rPr>
          <w:rFonts w:ascii="Calibri" w:hAnsi="Calibri" w:cs="Calibri"/>
          <w:b/>
          <w:bCs/>
          <w:sz w:val="22"/>
          <w:szCs w:val="22"/>
        </w:rPr>
        <w:t>De rijbewijsregeling voor expats</w:t>
      </w:r>
    </w:p>
    <w:p w:rsidRPr="00D01D88" w:rsidR="00B77DEF" w:rsidP="00B77DEF" w:rsidRDefault="00B77DEF" w14:paraId="73938147" w14:textId="77777777">
      <w:pPr>
        <w:rPr>
          <w:rFonts w:ascii="Calibri" w:hAnsi="Calibri" w:cs="Calibri"/>
        </w:rPr>
      </w:pPr>
    </w:p>
    <w:p w:rsidRPr="00D01D88" w:rsidR="00B77DEF" w:rsidP="00B77DEF" w:rsidRDefault="00B77DEF" w14:paraId="7CD376CD" w14:textId="77777777">
      <w:pPr>
        <w:rPr>
          <w:rFonts w:ascii="Calibri" w:hAnsi="Calibri" w:cs="Calibri"/>
        </w:rPr>
      </w:pPr>
      <w:r w:rsidRPr="00D01D88">
        <w:rPr>
          <w:rFonts w:ascii="Calibri" w:hAnsi="Calibri" w:cs="Calibri"/>
        </w:rPr>
        <w:t>De rijbewijsregeling voor expats is ingevoerd in 1995. In dat jaar is in de Regeling omwisseling niet-Nederlandse rijbewijzen bepaald dat expats die in het bezit zijn van een beschikking van de Belastingdienst voor de toepassing van de fiscale 30%-regeling, hun buitenlandse rijbewijs mogen omwisselen voor een Nederlands rijbewijs. Naast de expat zelf hebben ook de eventueel inwonende gezinsleden recht op omwisseling van het buitenlandse rijbewijs. De achtergrond van de omwisselingsregeling is, net als bij de fiscale faciliteiten van de 30%-regeling, het bijdragen aan een gunstig vestigingsklimaat voor internationaal talent en het vergemakkelijken van het aantrekken van dit talent door het bedrijfsleven en andere organisaties. Het betreft werknemers in loondienst bij in Nederland gevestigde bedrijven en andere organisaties, die in het buitenland worden geworven. Bij de aanvraag van de fiscale faciliteiten is altijd de werkgever betrokken.</w:t>
      </w:r>
    </w:p>
    <w:p w:rsidRPr="00D01D88" w:rsidR="00B77DEF" w:rsidP="00D01D88" w:rsidRDefault="00B77DEF" w14:paraId="578199F8" w14:textId="77777777">
      <w:pPr>
        <w:pStyle w:val="Geenafstand"/>
      </w:pPr>
    </w:p>
    <w:p w:rsidRPr="00D01D88" w:rsidR="00B77DEF" w:rsidP="00B77DEF" w:rsidRDefault="00B77DEF" w14:paraId="21FCB6E8" w14:textId="77777777">
      <w:pPr>
        <w:rPr>
          <w:rFonts w:ascii="Calibri" w:hAnsi="Calibri" w:cs="Calibri"/>
        </w:rPr>
      </w:pPr>
      <w:r w:rsidRPr="00D01D88">
        <w:rPr>
          <w:rFonts w:ascii="Calibri" w:hAnsi="Calibri" w:cs="Calibri"/>
        </w:rPr>
        <w:t xml:space="preserve">Deze omwisselrechten zijn gebaseerd op omwisselrechten die al langer bestonden voor andere groepen: diplomaten, werknemers van internationale organisaties in Nederland en in Nederland geplaatste NAVO-militairen en -burgermedewerkers. </w:t>
      </w:r>
    </w:p>
    <w:p w:rsidRPr="00D01D88" w:rsidR="00B77DEF" w:rsidP="00D01D88" w:rsidRDefault="00B77DEF" w14:paraId="7701A6C3" w14:textId="77777777">
      <w:pPr>
        <w:pStyle w:val="Geenafstand"/>
      </w:pPr>
    </w:p>
    <w:p w:rsidRPr="00D01D88" w:rsidR="00B77DEF" w:rsidP="00B77DEF" w:rsidRDefault="00B77DEF" w14:paraId="156787CB" w14:textId="77777777">
      <w:pPr>
        <w:rPr>
          <w:rFonts w:ascii="Calibri" w:hAnsi="Calibri" w:cs="Calibri"/>
        </w:rPr>
      </w:pPr>
      <w:r w:rsidRPr="00D01D88">
        <w:rPr>
          <w:rFonts w:ascii="Calibri" w:hAnsi="Calibri" w:cs="Calibri"/>
        </w:rPr>
        <w:lastRenderedPageBreak/>
        <w:t xml:space="preserve">Een expat die het rijbewijs omwisselt moet daarbij altijd een recente verklaring van medische rijgeschiktheid van het CBR indienen. Deze wordt afgegeven op grond van de zogenaamde eigen verklaring of, afhankelijk van de situatie, de uitkomst van een nieuwe medische keuring. Daarnaast controleert de RDW bij iedere omwisseling of er mogelijk sprake is van fraude of vervalsing, onder meer aan de hand van de echtheidskenmerken van het buitenlandse rijbewijsdocument. </w:t>
      </w:r>
    </w:p>
    <w:p w:rsidRPr="00D01D88" w:rsidR="00B77DEF" w:rsidP="00B77DEF" w:rsidRDefault="00B77DEF" w14:paraId="3FD14173" w14:textId="77777777">
      <w:pPr>
        <w:pStyle w:val="Slotzin"/>
        <w:rPr>
          <w:rFonts w:ascii="Calibri" w:hAnsi="Calibri" w:cs="Calibri"/>
          <w:b/>
          <w:bCs/>
          <w:sz w:val="22"/>
          <w:szCs w:val="22"/>
        </w:rPr>
      </w:pPr>
      <w:r w:rsidRPr="00D01D88">
        <w:rPr>
          <w:rFonts w:ascii="Calibri" w:hAnsi="Calibri" w:cs="Calibri"/>
          <w:b/>
          <w:bCs/>
          <w:sz w:val="22"/>
          <w:szCs w:val="22"/>
        </w:rPr>
        <w:t>Aantal omwisselingen minder dan 1% van totaal afgegeven rijbewijzen</w:t>
      </w:r>
    </w:p>
    <w:p w:rsidRPr="00D01D88" w:rsidR="00B77DEF" w:rsidP="00B77DEF" w:rsidRDefault="00B77DEF" w14:paraId="59C8B649" w14:textId="77777777">
      <w:pPr>
        <w:rPr>
          <w:rFonts w:ascii="Calibri" w:hAnsi="Calibri" w:cs="Calibri"/>
        </w:rPr>
      </w:pPr>
    </w:p>
    <w:p w:rsidRPr="00D01D88" w:rsidR="00B77DEF" w:rsidP="00B77DEF" w:rsidRDefault="00B77DEF" w14:paraId="040602BD" w14:textId="77777777">
      <w:pPr>
        <w:rPr>
          <w:rFonts w:ascii="Calibri" w:hAnsi="Calibri" w:cs="Calibri"/>
        </w:rPr>
      </w:pPr>
      <w:r w:rsidRPr="00D01D88">
        <w:rPr>
          <w:rFonts w:ascii="Calibri" w:hAnsi="Calibri" w:cs="Calibri"/>
        </w:rPr>
        <w:t>De gegevens over het aantal omwisselingen op basis van de 30%-regeling worden door de RDW niet structureel bijgehouden in de administratie rond het rijbewijsregister, omdat de betreffende dossiers maar een korte periode worden bewaard. Na onderzoek door de RDW van de recente dossiers zijn de volgende aantallen te vermelden:</w:t>
      </w:r>
    </w:p>
    <w:p w:rsidRPr="00D01D88" w:rsidR="00B77DEF" w:rsidP="00B77DEF" w:rsidRDefault="00B77DEF" w14:paraId="75A3B591" w14:textId="77777777">
      <w:pPr>
        <w:rPr>
          <w:rFonts w:ascii="Calibri" w:hAnsi="Calibri" w:cs="Calibri"/>
        </w:rPr>
      </w:pPr>
    </w:p>
    <w:tbl>
      <w:tblPr>
        <w:tblStyle w:val="Tabelraster"/>
        <w:tblW w:w="0" w:type="auto"/>
        <w:tblCellMar>
          <w:left w:w="28" w:type="dxa"/>
          <w:right w:w="28" w:type="dxa"/>
        </w:tblCellMar>
        <w:tblLook w:val="04A0" w:firstRow="1" w:lastRow="0" w:firstColumn="1" w:lastColumn="0" w:noHBand="0" w:noVBand="1"/>
      </w:tblPr>
      <w:tblGrid>
        <w:gridCol w:w="704"/>
        <w:gridCol w:w="3402"/>
        <w:gridCol w:w="3425"/>
      </w:tblGrid>
      <w:tr w:rsidRPr="00D01D88" w:rsidR="00B77DEF" w:rsidTr="0090703E" w14:paraId="32E20B23" w14:textId="77777777">
        <w:tc>
          <w:tcPr>
            <w:tcW w:w="704" w:type="dxa"/>
          </w:tcPr>
          <w:p w:rsidRPr="00D01D88" w:rsidR="00B77DEF" w:rsidP="0090703E" w:rsidRDefault="00B77DEF" w14:paraId="247982A0" w14:textId="77777777">
            <w:pPr>
              <w:rPr>
                <w:rFonts w:ascii="Calibri" w:hAnsi="Calibri" w:cs="Calibri"/>
                <w:b/>
                <w:bCs/>
                <w:sz w:val="22"/>
                <w:szCs w:val="22"/>
              </w:rPr>
            </w:pPr>
            <w:r w:rsidRPr="00D01D88">
              <w:rPr>
                <w:rFonts w:ascii="Calibri" w:hAnsi="Calibri" w:cs="Calibri"/>
                <w:b/>
                <w:bCs/>
                <w:sz w:val="22"/>
                <w:szCs w:val="22"/>
              </w:rPr>
              <w:t>jaar</w:t>
            </w:r>
          </w:p>
        </w:tc>
        <w:tc>
          <w:tcPr>
            <w:tcW w:w="3402" w:type="dxa"/>
          </w:tcPr>
          <w:p w:rsidRPr="00D01D88" w:rsidR="00B77DEF" w:rsidP="0090703E" w:rsidRDefault="00B77DEF" w14:paraId="6494ECD8" w14:textId="77777777">
            <w:pPr>
              <w:rPr>
                <w:rFonts w:ascii="Calibri" w:hAnsi="Calibri" w:cs="Calibri"/>
                <w:b/>
                <w:bCs/>
                <w:sz w:val="22"/>
                <w:szCs w:val="22"/>
              </w:rPr>
            </w:pPr>
            <w:r w:rsidRPr="00D01D88">
              <w:rPr>
                <w:rFonts w:ascii="Calibri" w:hAnsi="Calibri" w:cs="Calibri"/>
                <w:b/>
                <w:bCs/>
                <w:sz w:val="22"/>
                <w:szCs w:val="22"/>
              </w:rPr>
              <w:t>aantal rijbewijsomwisselingen onder de 30%-regeling</w:t>
            </w:r>
          </w:p>
        </w:tc>
        <w:tc>
          <w:tcPr>
            <w:tcW w:w="3425" w:type="dxa"/>
          </w:tcPr>
          <w:p w:rsidRPr="00D01D88" w:rsidR="00B77DEF" w:rsidP="0090703E" w:rsidRDefault="00B77DEF" w14:paraId="404F0791" w14:textId="77777777">
            <w:pPr>
              <w:rPr>
                <w:rFonts w:ascii="Calibri" w:hAnsi="Calibri" w:cs="Calibri"/>
                <w:b/>
                <w:bCs/>
                <w:sz w:val="22"/>
                <w:szCs w:val="22"/>
              </w:rPr>
            </w:pPr>
            <w:r w:rsidRPr="00D01D88">
              <w:rPr>
                <w:rFonts w:ascii="Calibri" w:hAnsi="Calibri" w:cs="Calibri"/>
                <w:b/>
                <w:bCs/>
                <w:sz w:val="22"/>
                <w:szCs w:val="22"/>
              </w:rPr>
              <w:t>toelichting</w:t>
            </w:r>
          </w:p>
        </w:tc>
      </w:tr>
      <w:tr w:rsidRPr="00D01D88" w:rsidR="00B77DEF" w:rsidTr="0090703E" w14:paraId="2D395119" w14:textId="77777777">
        <w:tc>
          <w:tcPr>
            <w:tcW w:w="704" w:type="dxa"/>
          </w:tcPr>
          <w:p w:rsidRPr="00D01D88" w:rsidR="00B77DEF" w:rsidP="0090703E" w:rsidRDefault="00B77DEF" w14:paraId="24D1FFCE" w14:textId="77777777">
            <w:pPr>
              <w:rPr>
                <w:rFonts w:ascii="Calibri" w:hAnsi="Calibri" w:cs="Calibri"/>
                <w:sz w:val="22"/>
                <w:szCs w:val="22"/>
              </w:rPr>
            </w:pPr>
            <w:r w:rsidRPr="00D01D88">
              <w:rPr>
                <w:rFonts w:ascii="Calibri" w:hAnsi="Calibri" w:cs="Calibri"/>
                <w:sz w:val="22"/>
                <w:szCs w:val="22"/>
              </w:rPr>
              <w:t>2021</w:t>
            </w:r>
          </w:p>
        </w:tc>
        <w:tc>
          <w:tcPr>
            <w:tcW w:w="3402" w:type="dxa"/>
          </w:tcPr>
          <w:p w:rsidRPr="00D01D88" w:rsidR="00B77DEF" w:rsidP="0090703E" w:rsidRDefault="00B77DEF" w14:paraId="274F3D42" w14:textId="77777777">
            <w:pPr>
              <w:rPr>
                <w:rFonts w:ascii="Calibri" w:hAnsi="Calibri" w:cs="Calibri"/>
                <w:sz w:val="22"/>
                <w:szCs w:val="22"/>
              </w:rPr>
            </w:pPr>
            <w:r w:rsidRPr="00D01D88">
              <w:rPr>
                <w:rFonts w:ascii="Calibri" w:hAnsi="Calibri" w:cs="Calibri"/>
                <w:sz w:val="22"/>
                <w:szCs w:val="22"/>
              </w:rPr>
              <w:t>10.223</w:t>
            </w:r>
          </w:p>
        </w:tc>
        <w:tc>
          <w:tcPr>
            <w:tcW w:w="3425" w:type="dxa"/>
          </w:tcPr>
          <w:p w:rsidRPr="00D01D88" w:rsidR="00B77DEF" w:rsidP="0090703E" w:rsidRDefault="00B77DEF" w14:paraId="25EDC207" w14:textId="77777777">
            <w:pPr>
              <w:rPr>
                <w:rFonts w:ascii="Calibri" w:hAnsi="Calibri" w:cs="Calibri"/>
                <w:sz w:val="22"/>
                <w:szCs w:val="22"/>
              </w:rPr>
            </w:pPr>
            <w:r w:rsidRPr="00D01D88">
              <w:rPr>
                <w:rFonts w:ascii="Calibri" w:hAnsi="Calibri" w:cs="Calibri"/>
                <w:sz w:val="22"/>
                <w:szCs w:val="22"/>
              </w:rPr>
              <w:t>eerdere inventarisatie t.b.v. het Royal HaskoningDHV rapport (2022)</w:t>
            </w:r>
          </w:p>
        </w:tc>
      </w:tr>
      <w:tr w:rsidRPr="00D01D88" w:rsidR="00B77DEF" w:rsidTr="0090703E" w14:paraId="4707CD6E" w14:textId="77777777">
        <w:tc>
          <w:tcPr>
            <w:tcW w:w="704" w:type="dxa"/>
          </w:tcPr>
          <w:p w:rsidRPr="00D01D88" w:rsidR="00B77DEF" w:rsidP="0090703E" w:rsidRDefault="00B77DEF" w14:paraId="0AE8FBA9" w14:textId="77777777">
            <w:pPr>
              <w:rPr>
                <w:rFonts w:ascii="Calibri" w:hAnsi="Calibri" w:cs="Calibri"/>
                <w:sz w:val="22"/>
                <w:szCs w:val="22"/>
              </w:rPr>
            </w:pPr>
            <w:r w:rsidRPr="00D01D88">
              <w:rPr>
                <w:rFonts w:ascii="Calibri" w:hAnsi="Calibri" w:cs="Calibri"/>
                <w:sz w:val="22"/>
                <w:szCs w:val="22"/>
              </w:rPr>
              <w:t>2024</w:t>
            </w:r>
          </w:p>
        </w:tc>
        <w:tc>
          <w:tcPr>
            <w:tcW w:w="3402" w:type="dxa"/>
          </w:tcPr>
          <w:p w:rsidRPr="00D01D88" w:rsidR="00B77DEF" w:rsidP="0090703E" w:rsidRDefault="00B77DEF" w14:paraId="270B3220" w14:textId="77777777">
            <w:pPr>
              <w:rPr>
                <w:rFonts w:ascii="Calibri" w:hAnsi="Calibri" w:cs="Calibri"/>
                <w:sz w:val="22"/>
                <w:szCs w:val="22"/>
              </w:rPr>
            </w:pPr>
            <w:r w:rsidRPr="00D01D88">
              <w:rPr>
                <w:rFonts w:ascii="Calibri" w:hAnsi="Calibri" w:cs="Calibri"/>
                <w:sz w:val="22"/>
                <w:szCs w:val="22"/>
              </w:rPr>
              <w:t>14.380</w:t>
            </w:r>
          </w:p>
        </w:tc>
        <w:tc>
          <w:tcPr>
            <w:tcW w:w="3425" w:type="dxa"/>
          </w:tcPr>
          <w:p w:rsidRPr="00D01D88" w:rsidR="00B77DEF" w:rsidP="0090703E" w:rsidRDefault="00B77DEF" w14:paraId="738EC426" w14:textId="77777777">
            <w:pPr>
              <w:rPr>
                <w:rFonts w:ascii="Calibri" w:hAnsi="Calibri" w:cs="Calibri"/>
                <w:sz w:val="22"/>
                <w:szCs w:val="22"/>
              </w:rPr>
            </w:pPr>
            <w:r w:rsidRPr="00D01D88">
              <w:rPr>
                <w:rFonts w:ascii="Calibri" w:hAnsi="Calibri" w:cs="Calibri"/>
                <w:sz w:val="22"/>
                <w:szCs w:val="22"/>
              </w:rPr>
              <w:t>meest recente inventarisatie</w:t>
            </w:r>
          </w:p>
        </w:tc>
      </w:tr>
    </w:tbl>
    <w:p w:rsidRPr="00D01D88" w:rsidR="00B77DEF" w:rsidP="00B77DEF" w:rsidRDefault="00B77DEF" w14:paraId="1160D6E5" w14:textId="77777777">
      <w:pPr>
        <w:rPr>
          <w:rFonts w:ascii="Calibri" w:hAnsi="Calibri" w:cs="Calibri"/>
        </w:rPr>
      </w:pPr>
    </w:p>
    <w:p w:rsidRPr="00D01D88" w:rsidR="00B77DEF" w:rsidP="00B77DEF" w:rsidRDefault="00B77DEF" w14:paraId="4B20D22D" w14:textId="77777777">
      <w:pPr>
        <w:rPr>
          <w:rFonts w:ascii="Calibri" w:hAnsi="Calibri" w:cs="Calibri"/>
        </w:rPr>
      </w:pPr>
      <w:r w:rsidRPr="00D01D88">
        <w:rPr>
          <w:rFonts w:ascii="Calibri" w:hAnsi="Calibri" w:cs="Calibri"/>
        </w:rPr>
        <w:t>De eerder aan de Kamer gemelde reeks in de antwoorden voor het schriftelijk overleg verkeersveiligheid in juni 2024</w:t>
      </w:r>
      <w:r w:rsidRPr="00D01D88">
        <w:rPr>
          <w:rStyle w:val="Voetnootmarkering"/>
          <w:rFonts w:ascii="Calibri" w:hAnsi="Calibri" w:cs="Calibri"/>
        </w:rPr>
        <w:footnoteReference w:id="4"/>
      </w:r>
      <w:r w:rsidRPr="00D01D88">
        <w:rPr>
          <w:rFonts w:ascii="Calibri" w:hAnsi="Calibri" w:cs="Calibri"/>
        </w:rPr>
        <w:t xml:space="preserve">, waarin voor 2023 het getal 26.264 werd vermeld, bleek bij nadere analyse te hoog. In deze cijfers zaten ook omwisselingen die op een andere grondslag dan de 30%-regeling plaatsvinden. Omdat deze gegevens maar korte tijd bewaard worden is het voor de RDW niet mogelijk om voor voorgaande jaren alsnog een overzicht te maken. </w:t>
      </w:r>
    </w:p>
    <w:p w:rsidRPr="00D01D88" w:rsidR="00B77DEF" w:rsidP="00B77DEF" w:rsidRDefault="00B77DEF" w14:paraId="452BF106" w14:textId="77777777">
      <w:pPr>
        <w:rPr>
          <w:rFonts w:ascii="Calibri" w:hAnsi="Calibri" w:cs="Calibri"/>
        </w:rPr>
      </w:pPr>
      <w:r w:rsidRPr="00D01D88">
        <w:rPr>
          <w:rFonts w:ascii="Calibri" w:hAnsi="Calibri" w:cs="Calibri"/>
        </w:rPr>
        <w:t xml:space="preserve">In Nederland hebben zo’n 12 miljoen mensen een autorijbewijs. Als het aantal omgewisselde rijbewijzen voor expats in 2024 wordt afgezet tegen het totale aantal nieuw afgegeven en vernieuwde rijbewijzen (1.464.850) dan is het aandeel hierin minder dan 1%. </w:t>
      </w:r>
    </w:p>
    <w:p w:rsidRPr="00D01D88" w:rsidR="00B77DEF" w:rsidP="00B77DEF" w:rsidRDefault="00B77DEF" w14:paraId="41CA4381" w14:textId="77777777">
      <w:pPr>
        <w:rPr>
          <w:rFonts w:ascii="Calibri" w:hAnsi="Calibri" w:cs="Calibri"/>
        </w:rPr>
      </w:pPr>
    </w:p>
    <w:p w:rsidRPr="00D01D88" w:rsidR="00B77DEF" w:rsidP="00B77DEF" w:rsidRDefault="00B77DEF" w14:paraId="078C7AEB" w14:textId="77777777">
      <w:pPr>
        <w:rPr>
          <w:rFonts w:ascii="Calibri" w:hAnsi="Calibri" w:cs="Calibri"/>
          <w:b/>
          <w:bCs/>
        </w:rPr>
      </w:pPr>
      <w:r w:rsidRPr="00D01D88">
        <w:rPr>
          <w:rFonts w:ascii="Calibri" w:hAnsi="Calibri" w:cs="Calibri"/>
          <w:b/>
          <w:bCs/>
        </w:rPr>
        <w:t>Meeste omwisselingen voor rijbewijshouders uit India, Zuid-Afrika en Turkije</w:t>
      </w:r>
    </w:p>
    <w:p w:rsidRPr="00D01D88" w:rsidR="00B77DEF" w:rsidP="00D01D88" w:rsidRDefault="00B77DEF" w14:paraId="33542EB0" w14:textId="77777777">
      <w:pPr>
        <w:pStyle w:val="Geenafstand"/>
      </w:pPr>
    </w:p>
    <w:p w:rsidRPr="00D01D88" w:rsidR="00B77DEF" w:rsidP="00B77DEF" w:rsidRDefault="00B77DEF" w14:paraId="3F8FDAF2" w14:textId="77777777">
      <w:pPr>
        <w:rPr>
          <w:rFonts w:ascii="Calibri" w:hAnsi="Calibri" w:cs="Calibri"/>
        </w:rPr>
      </w:pPr>
      <w:r w:rsidRPr="00D01D88">
        <w:rPr>
          <w:rFonts w:ascii="Calibri" w:hAnsi="Calibri" w:cs="Calibri"/>
        </w:rPr>
        <w:t>Een uitsplitsing van het totale aantal van 14.380 omwisselingen in 2024 per land geeft de volgende top-25 te zien:</w:t>
      </w:r>
    </w:p>
    <w:p w:rsidRPr="00D01D88" w:rsidR="00B77DEF" w:rsidP="00B77DEF" w:rsidRDefault="00B77DEF" w14:paraId="0CCF5AEC" w14:textId="77777777">
      <w:pPr>
        <w:rPr>
          <w:rFonts w:ascii="Calibri" w:hAnsi="Calibri" w:cs="Calibri"/>
        </w:rPr>
      </w:pPr>
    </w:p>
    <w:tbl>
      <w:tblPr>
        <w:tblStyle w:val="Tabelraster"/>
        <w:tblW w:w="0" w:type="auto"/>
        <w:tblLook w:val="04A0" w:firstRow="1" w:lastRow="0" w:firstColumn="1" w:lastColumn="0" w:noHBand="0" w:noVBand="1"/>
      </w:tblPr>
      <w:tblGrid>
        <w:gridCol w:w="897"/>
        <w:gridCol w:w="1711"/>
        <w:gridCol w:w="2490"/>
        <w:gridCol w:w="2433"/>
      </w:tblGrid>
      <w:tr w:rsidRPr="00D01D88" w:rsidR="00B77DEF" w:rsidTr="0090703E" w14:paraId="3B37791C" w14:textId="77777777">
        <w:tc>
          <w:tcPr>
            <w:tcW w:w="897" w:type="dxa"/>
          </w:tcPr>
          <w:p w:rsidRPr="00D01D88" w:rsidR="00B77DEF" w:rsidP="0090703E" w:rsidRDefault="00B77DEF" w14:paraId="09DFBD85" w14:textId="77777777">
            <w:pPr>
              <w:jc w:val="center"/>
              <w:rPr>
                <w:rFonts w:ascii="Calibri" w:hAnsi="Calibri" w:cs="Calibri"/>
                <w:b/>
                <w:bCs/>
                <w:sz w:val="22"/>
                <w:szCs w:val="22"/>
              </w:rPr>
            </w:pPr>
            <w:r w:rsidRPr="00D01D88">
              <w:rPr>
                <w:rFonts w:ascii="Calibri" w:hAnsi="Calibri" w:cs="Calibri"/>
                <w:b/>
                <w:bCs/>
                <w:sz w:val="22"/>
                <w:szCs w:val="22"/>
              </w:rPr>
              <w:lastRenderedPageBreak/>
              <w:t>positie</w:t>
            </w:r>
          </w:p>
        </w:tc>
        <w:tc>
          <w:tcPr>
            <w:tcW w:w="1711" w:type="dxa"/>
          </w:tcPr>
          <w:p w:rsidRPr="00D01D88" w:rsidR="00B77DEF" w:rsidP="0090703E" w:rsidRDefault="00B77DEF" w14:paraId="67764A1E" w14:textId="77777777">
            <w:pPr>
              <w:jc w:val="center"/>
              <w:rPr>
                <w:rFonts w:ascii="Calibri" w:hAnsi="Calibri" w:cs="Calibri"/>
                <w:b/>
                <w:bCs/>
                <w:sz w:val="22"/>
                <w:szCs w:val="22"/>
              </w:rPr>
            </w:pPr>
            <w:r w:rsidRPr="00D01D88">
              <w:rPr>
                <w:rFonts w:ascii="Calibri" w:hAnsi="Calibri" w:cs="Calibri"/>
                <w:b/>
                <w:bCs/>
                <w:sz w:val="22"/>
                <w:szCs w:val="22"/>
              </w:rPr>
              <w:t>land (herkomstland rijbewijs)</w:t>
            </w:r>
          </w:p>
        </w:tc>
        <w:tc>
          <w:tcPr>
            <w:tcW w:w="2490" w:type="dxa"/>
          </w:tcPr>
          <w:p w:rsidRPr="00D01D88" w:rsidR="00B77DEF" w:rsidP="0090703E" w:rsidRDefault="00B77DEF" w14:paraId="40064095" w14:textId="77777777">
            <w:pPr>
              <w:jc w:val="center"/>
              <w:rPr>
                <w:rFonts w:ascii="Calibri" w:hAnsi="Calibri" w:cs="Calibri"/>
                <w:b/>
                <w:bCs/>
                <w:sz w:val="22"/>
                <w:szCs w:val="22"/>
              </w:rPr>
            </w:pPr>
            <w:r w:rsidRPr="00D01D88">
              <w:rPr>
                <w:rFonts w:ascii="Calibri" w:hAnsi="Calibri" w:cs="Calibri"/>
                <w:b/>
                <w:bCs/>
                <w:sz w:val="22"/>
                <w:szCs w:val="22"/>
              </w:rPr>
              <w:t>aantal omwisselingen</w:t>
            </w:r>
          </w:p>
          <w:p w:rsidRPr="00D01D88" w:rsidR="00B77DEF" w:rsidP="0090703E" w:rsidRDefault="00B77DEF" w14:paraId="4AE86C3F" w14:textId="77777777">
            <w:pPr>
              <w:jc w:val="center"/>
              <w:rPr>
                <w:rFonts w:ascii="Calibri" w:hAnsi="Calibri" w:cs="Calibri"/>
                <w:b/>
                <w:bCs/>
                <w:sz w:val="22"/>
                <w:szCs w:val="22"/>
              </w:rPr>
            </w:pPr>
            <w:r w:rsidRPr="00D01D88">
              <w:rPr>
                <w:rFonts w:ascii="Calibri" w:hAnsi="Calibri" w:cs="Calibri"/>
                <w:b/>
                <w:bCs/>
                <w:sz w:val="22"/>
                <w:szCs w:val="22"/>
              </w:rPr>
              <w:t>expats 30%-regeling 2024</w:t>
            </w:r>
          </w:p>
        </w:tc>
        <w:tc>
          <w:tcPr>
            <w:tcW w:w="2433" w:type="dxa"/>
          </w:tcPr>
          <w:p w:rsidRPr="00D01D88" w:rsidR="00B77DEF" w:rsidP="0090703E" w:rsidRDefault="00B77DEF" w14:paraId="518D77BD" w14:textId="77777777">
            <w:pPr>
              <w:jc w:val="center"/>
              <w:rPr>
                <w:rFonts w:ascii="Calibri" w:hAnsi="Calibri" w:cs="Calibri"/>
                <w:b/>
                <w:bCs/>
                <w:sz w:val="22"/>
                <w:szCs w:val="22"/>
              </w:rPr>
            </w:pPr>
            <w:r w:rsidRPr="00D01D88">
              <w:rPr>
                <w:rFonts w:ascii="Calibri" w:hAnsi="Calibri" w:cs="Calibri"/>
                <w:b/>
                <w:bCs/>
                <w:sz w:val="22"/>
                <w:szCs w:val="22"/>
              </w:rPr>
              <w:t>aantal omwisselingen expats 30%-regeling 2021 (positie)</w:t>
            </w:r>
          </w:p>
        </w:tc>
      </w:tr>
      <w:tr w:rsidRPr="00D01D88" w:rsidR="00B77DEF" w:rsidTr="0090703E" w14:paraId="2E883185" w14:textId="77777777">
        <w:tc>
          <w:tcPr>
            <w:tcW w:w="897" w:type="dxa"/>
          </w:tcPr>
          <w:p w:rsidRPr="00D01D88" w:rsidR="00B77DEF" w:rsidP="0090703E" w:rsidRDefault="00B77DEF" w14:paraId="5A2DECC7" w14:textId="77777777">
            <w:pPr>
              <w:jc w:val="center"/>
              <w:rPr>
                <w:rFonts w:ascii="Calibri" w:hAnsi="Calibri" w:cs="Calibri"/>
                <w:sz w:val="22"/>
                <w:szCs w:val="22"/>
              </w:rPr>
            </w:pPr>
            <w:r w:rsidRPr="00D01D88">
              <w:rPr>
                <w:rFonts w:ascii="Calibri" w:hAnsi="Calibri" w:cs="Calibri"/>
                <w:sz w:val="22"/>
                <w:szCs w:val="22"/>
              </w:rPr>
              <w:t>1</w:t>
            </w:r>
          </w:p>
        </w:tc>
        <w:tc>
          <w:tcPr>
            <w:tcW w:w="1711" w:type="dxa"/>
          </w:tcPr>
          <w:p w:rsidRPr="00D01D88" w:rsidR="00B77DEF" w:rsidP="0090703E" w:rsidRDefault="00B77DEF" w14:paraId="2EE184AE" w14:textId="77777777">
            <w:pPr>
              <w:jc w:val="center"/>
              <w:rPr>
                <w:rFonts w:ascii="Calibri" w:hAnsi="Calibri" w:cs="Calibri"/>
                <w:sz w:val="22"/>
                <w:szCs w:val="22"/>
              </w:rPr>
            </w:pPr>
            <w:r w:rsidRPr="00D01D88">
              <w:rPr>
                <w:rFonts w:ascii="Calibri" w:hAnsi="Calibri" w:cs="Calibri"/>
                <w:sz w:val="22"/>
                <w:szCs w:val="22"/>
              </w:rPr>
              <w:t>India</w:t>
            </w:r>
          </w:p>
        </w:tc>
        <w:tc>
          <w:tcPr>
            <w:tcW w:w="2490" w:type="dxa"/>
          </w:tcPr>
          <w:p w:rsidRPr="00D01D88" w:rsidR="00B77DEF" w:rsidP="0090703E" w:rsidRDefault="00B77DEF" w14:paraId="1CABE0C1" w14:textId="77777777">
            <w:pPr>
              <w:jc w:val="center"/>
              <w:rPr>
                <w:rFonts w:ascii="Calibri" w:hAnsi="Calibri" w:cs="Calibri"/>
                <w:sz w:val="22"/>
                <w:szCs w:val="22"/>
              </w:rPr>
            </w:pPr>
            <w:r w:rsidRPr="00D01D88">
              <w:rPr>
                <w:rFonts w:ascii="Calibri" w:hAnsi="Calibri" w:cs="Calibri"/>
                <w:sz w:val="22"/>
                <w:szCs w:val="22"/>
              </w:rPr>
              <w:t>3053</w:t>
            </w:r>
          </w:p>
        </w:tc>
        <w:tc>
          <w:tcPr>
            <w:tcW w:w="2433" w:type="dxa"/>
          </w:tcPr>
          <w:p w:rsidRPr="00D01D88" w:rsidR="00B77DEF" w:rsidP="0090703E" w:rsidRDefault="00B77DEF" w14:paraId="08DA01EA" w14:textId="77777777">
            <w:pPr>
              <w:jc w:val="center"/>
              <w:rPr>
                <w:rFonts w:ascii="Calibri" w:hAnsi="Calibri" w:cs="Calibri"/>
                <w:sz w:val="22"/>
                <w:szCs w:val="22"/>
              </w:rPr>
            </w:pPr>
            <w:r w:rsidRPr="00D01D88">
              <w:rPr>
                <w:rFonts w:ascii="Calibri" w:hAnsi="Calibri" w:cs="Calibri"/>
                <w:sz w:val="22"/>
                <w:szCs w:val="22"/>
              </w:rPr>
              <w:t>2634 (1)</w:t>
            </w:r>
          </w:p>
        </w:tc>
      </w:tr>
      <w:tr w:rsidRPr="00D01D88" w:rsidR="00B77DEF" w:rsidTr="0090703E" w14:paraId="2DC3B286" w14:textId="77777777">
        <w:tc>
          <w:tcPr>
            <w:tcW w:w="897" w:type="dxa"/>
          </w:tcPr>
          <w:p w:rsidRPr="00D01D88" w:rsidR="00B77DEF" w:rsidP="0090703E" w:rsidRDefault="00B77DEF" w14:paraId="39E0880B" w14:textId="77777777">
            <w:pPr>
              <w:jc w:val="center"/>
              <w:rPr>
                <w:rFonts w:ascii="Calibri" w:hAnsi="Calibri" w:cs="Calibri"/>
                <w:sz w:val="22"/>
                <w:szCs w:val="22"/>
              </w:rPr>
            </w:pPr>
            <w:r w:rsidRPr="00D01D88">
              <w:rPr>
                <w:rFonts w:ascii="Calibri" w:hAnsi="Calibri" w:cs="Calibri"/>
                <w:sz w:val="22"/>
                <w:szCs w:val="22"/>
              </w:rPr>
              <w:t>2</w:t>
            </w:r>
          </w:p>
        </w:tc>
        <w:tc>
          <w:tcPr>
            <w:tcW w:w="1711" w:type="dxa"/>
          </w:tcPr>
          <w:p w:rsidRPr="00D01D88" w:rsidR="00B77DEF" w:rsidP="0090703E" w:rsidRDefault="00B77DEF" w14:paraId="75CFE7D5" w14:textId="77777777">
            <w:pPr>
              <w:jc w:val="center"/>
              <w:rPr>
                <w:rFonts w:ascii="Calibri" w:hAnsi="Calibri" w:cs="Calibri"/>
                <w:sz w:val="22"/>
                <w:szCs w:val="22"/>
              </w:rPr>
            </w:pPr>
            <w:r w:rsidRPr="00D01D88">
              <w:rPr>
                <w:rFonts w:ascii="Calibri" w:hAnsi="Calibri" w:cs="Calibri"/>
                <w:sz w:val="22"/>
                <w:szCs w:val="22"/>
              </w:rPr>
              <w:t>Zuid-Afrika</w:t>
            </w:r>
          </w:p>
        </w:tc>
        <w:tc>
          <w:tcPr>
            <w:tcW w:w="2490" w:type="dxa"/>
          </w:tcPr>
          <w:p w:rsidRPr="00D01D88" w:rsidR="00B77DEF" w:rsidP="0090703E" w:rsidRDefault="00B77DEF" w14:paraId="43FDCE6A" w14:textId="77777777">
            <w:pPr>
              <w:jc w:val="center"/>
              <w:rPr>
                <w:rFonts w:ascii="Calibri" w:hAnsi="Calibri" w:cs="Calibri"/>
                <w:sz w:val="22"/>
                <w:szCs w:val="22"/>
              </w:rPr>
            </w:pPr>
            <w:r w:rsidRPr="00D01D88">
              <w:rPr>
                <w:rFonts w:ascii="Calibri" w:hAnsi="Calibri" w:cs="Calibri"/>
                <w:sz w:val="22"/>
                <w:szCs w:val="22"/>
              </w:rPr>
              <w:t>2106</w:t>
            </w:r>
          </w:p>
        </w:tc>
        <w:tc>
          <w:tcPr>
            <w:tcW w:w="2433" w:type="dxa"/>
          </w:tcPr>
          <w:p w:rsidRPr="00D01D88" w:rsidR="00B77DEF" w:rsidP="0090703E" w:rsidRDefault="00B77DEF" w14:paraId="7AE4920B" w14:textId="77777777">
            <w:pPr>
              <w:jc w:val="center"/>
              <w:rPr>
                <w:rFonts w:ascii="Calibri" w:hAnsi="Calibri" w:cs="Calibri"/>
                <w:sz w:val="22"/>
                <w:szCs w:val="22"/>
              </w:rPr>
            </w:pPr>
            <w:r w:rsidRPr="00D01D88">
              <w:rPr>
                <w:rFonts w:ascii="Calibri" w:hAnsi="Calibri" w:cs="Calibri"/>
                <w:sz w:val="22"/>
                <w:szCs w:val="22"/>
              </w:rPr>
              <w:t>1173 (3)</w:t>
            </w:r>
          </w:p>
        </w:tc>
      </w:tr>
      <w:tr w:rsidRPr="00D01D88" w:rsidR="00B77DEF" w:rsidTr="0090703E" w14:paraId="7839510E" w14:textId="77777777">
        <w:tc>
          <w:tcPr>
            <w:tcW w:w="897" w:type="dxa"/>
          </w:tcPr>
          <w:p w:rsidRPr="00D01D88" w:rsidR="00B77DEF" w:rsidP="0090703E" w:rsidRDefault="00B77DEF" w14:paraId="47A48257" w14:textId="77777777">
            <w:pPr>
              <w:jc w:val="center"/>
              <w:rPr>
                <w:rFonts w:ascii="Calibri" w:hAnsi="Calibri" w:cs="Calibri"/>
                <w:sz w:val="22"/>
                <w:szCs w:val="22"/>
              </w:rPr>
            </w:pPr>
            <w:r w:rsidRPr="00D01D88">
              <w:rPr>
                <w:rFonts w:ascii="Calibri" w:hAnsi="Calibri" w:cs="Calibri"/>
                <w:sz w:val="22"/>
                <w:szCs w:val="22"/>
              </w:rPr>
              <w:t>3</w:t>
            </w:r>
          </w:p>
        </w:tc>
        <w:tc>
          <w:tcPr>
            <w:tcW w:w="1711" w:type="dxa"/>
          </w:tcPr>
          <w:p w:rsidRPr="00D01D88" w:rsidR="00B77DEF" w:rsidP="0090703E" w:rsidRDefault="00B77DEF" w14:paraId="0D291E46" w14:textId="77777777">
            <w:pPr>
              <w:jc w:val="center"/>
              <w:rPr>
                <w:rFonts w:ascii="Calibri" w:hAnsi="Calibri" w:cs="Calibri"/>
                <w:sz w:val="22"/>
                <w:szCs w:val="22"/>
              </w:rPr>
            </w:pPr>
            <w:r w:rsidRPr="00D01D88">
              <w:rPr>
                <w:rFonts w:ascii="Calibri" w:hAnsi="Calibri" w:cs="Calibri"/>
                <w:sz w:val="22"/>
                <w:szCs w:val="22"/>
              </w:rPr>
              <w:t>Turkije</w:t>
            </w:r>
          </w:p>
        </w:tc>
        <w:tc>
          <w:tcPr>
            <w:tcW w:w="2490" w:type="dxa"/>
          </w:tcPr>
          <w:p w:rsidRPr="00D01D88" w:rsidR="00B77DEF" w:rsidP="0090703E" w:rsidRDefault="00B77DEF" w14:paraId="7D7B0EA9" w14:textId="77777777">
            <w:pPr>
              <w:jc w:val="center"/>
              <w:rPr>
                <w:rFonts w:ascii="Calibri" w:hAnsi="Calibri" w:cs="Calibri"/>
                <w:sz w:val="22"/>
                <w:szCs w:val="22"/>
              </w:rPr>
            </w:pPr>
            <w:r w:rsidRPr="00D01D88">
              <w:rPr>
                <w:rFonts w:ascii="Calibri" w:hAnsi="Calibri" w:cs="Calibri"/>
                <w:sz w:val="22"/>
                <w:szCs w:val="22"/>
              </w:rPr>
              <w:t>1952</w:t>
            </w:r>
          </w:p>
        </w:tc>
        <w:tc>
          <w:tcPr>
            <w:tcW w:w="2433" w:type="dxa"/>
          </w:tcPr>
          <w:p w:rsidRPr="00D01D88" w:rsidR="00B77DEF" w:rsidP="0090703E" w:rsidRDefault="00B77DEF" w14:paraId="74EE622D" w14:textId="77777777">
            <w:pPr>
              <w:jc w:val="center"/>
              <w:rPr>
                <w:rFonts w:ascii="Calibri" w:hAnsi="Calibri" w:cs="Calibri"/>
                <w:sz w:val="22"/>
                <w:szCs w:val="22"/>
              </w:rPr>
            </w:pPr>
            <w:r w:rsidRPr="00D01D88">
              <w:rPr>
                <w:rFonts w:ascii="Calibri" w:hAnsi="Calibri" w:cs="Calibri"/>
                <w:sz w:val="22"/>
                <w:szCs w:val="22"/>
              </w:rPr>
              <w:t>1204 (2)</w:t>
            </w:r>
          </w:p>
        </w:tc>
      </w:tr>
      <w:tr w:rsidRPr="00D01D88" w:rsidR="00B77DEF" w:rsidTr="0090703E" w14:paraId="064B8079" w14:textId="77777777">
        <w:tc>
          <w:tcPr>
            <w:tcW w:w="897" w:type="dxa"/>
          </w:tcPr>
          <w:p w:rsidRPr="00D01D88" w:rsidR="00B77DEF" w:rsidP="0090703E" w:rsidRDefault="00B77DEF" w14:paraId="49E777E7" w14:textId="77777777">
            <w:pPr>
              <w:jc w:val="center"/>
              <w:rPr>
                <w:rFonts w:ascii="Calibri" w:hAnsi="Calibri" w:cs="Calibri"/>
                <w:sz w:val="22"/>
                <w:szCs w:val="22"/>
              </w:rPr>
            </w:pPr>
            <w:r w:rsidRPr="00D01D88">
              <w:rPr>
                <w:rFonts w:ascii="Calibri" w:hAnsi="Calibri" w:cs="Calibri"/>
                <w:sz w:val="22"/>
                <w:szCs w:val="22"/>
              </w:rPr>
              <w:t>4</w:t>
            </w:r>
          </w:p>
        </w:tc>
        <w:tc>
          <w:tcPr>
            <w:tcW w:w="1711" w:type="dxa"/>
          </w:tcPr>
          <w:p w:rsidRPr="00D01D88" w:rsidR="00B77DEF" w:rsidP="0090703E" w:rsidRDefault="00B77DEF" w14:paraId="4FEFAF76" w14:textId="77777777">
            <w:pPr>
              <w:jc w:val="center"/>
              <w:rPr>
                <w:rFonts w:ascii="Calibri" w:hAnsi="Calibri" w:cs="Calibri"/>
                <w:sz w:val="22"/>
                <w:szCs w:val="22"/>
              </w:rPr>
            </w:pPr>
            <w:r w:rsidRPr="00D01D88">
              <w:rPr>
                <w:rFonts w:ascii="Calibri" w:hAnsi="Calibri" w:cs="Calibri"/>
                <w:sz w:val="22"/>
                <w:szCs w:val="22"/>
              </w:rPr>
              <w:t>Rusland</w:t>
            </w:r>
          </w:p>
        </w:tc>
        <w:tc>
          <w:tcPr>
            <w:tcW w:w="2490" w:type="dxa"/>
          </w:tcPr>
          <w:p w:rsidRPr="00D01D88" w:rsidR="00B77DEF" w:rsidP="0090703E" w:rsidRDefault="00B77DEF" w14:paraId="392B13D7" w14:textId="77777777">
            <w:pPr>
              <w:jc w:val="center"/>
              <w:rPr>
                <w:rFonts w:ascii="Calibri" w:hAnsi="Calibri" w:cs="Calibri"/>
                <w:sz w:val="22"/>
                <w:szCs w:val="22"/>
              </w:rPr>
            </w:pPr>
            <w:r w:rsidRPr="00D01D88">
              <w:rPr>
                <w:rFonts w:ascii="Calibri" w:hAnsi="Calibri" w:cs="Calibri"/>
                <w:sz w:val="22"/>
                <w:szCs w:val="22"/>
              </w:rPr>
              <w:t>859</w:t>
            </w:r>
          </w:p>
        </w:tc>
        <w:tc>
          <w:tcPr>
            <w:tcW w:w="2433" w:type="dxa"/>
          </w:tcPr>
          <w:p w:rsidRPr="00D01D88" w:rsidR="00B77DEF" w:rsidP="0090703E" w:rsidRDefault="00B77DEF" w14:paraId="44A4EE01" w14:textId="77777777">
            <w:pPr>
              <w:jc w:val="center"/>
              <w:rPr>
                <w:rFonts w:ascii="Calibri" w:hAnsi="Calibri" w:cs="Calibri"/>
                <w:sz w:val="22"/>
                <w:szCs w:val="22"/>
              </w:rPr>
            </w:pPr>
            <w:r w:rsidRPr="00D01D88">
              <w:rPr>
                <w:rFonts w:ascii="Calibri" w:hAnsi="Calibri" w:cs="Calibri"/>
                <w:sz w:val="22"/>
                <w:szCs w:val="22"/>
              </w:rPr>
              <w:t>493 (6)</w:t>
            </w:r>
          </w:p>
        </w:tc>
      </w:tr>
      <w:tr w:rsidRPr="00D01D88" w:rsidR="00B77DEF" w:rsidTr="0090703E" w14:paraId="66186153" w14:textId="77777777">
        <w:tc>
          <w:tcPr>
            <w:tcW w:w="897" w:type="dxa"/>
          </w:tcPr>
          <w:p w:rsidRPr="00D01D88" w:rsidR="00B77DEF" w:rsidP="0090703E" w:rsidRDefault="00B77DEF" w14:paraId="198C48D9" w14:textId="77777777">
            <w:pPr>
              <w:jc w:val="center"/>
              <w:rPr>
                <w:rFonts w:ascii="Calibri" w:hAnsi="Calibri" w:cs="Calibri"/>
                <w:sz w:val="22"/>
                <w:szCs w:val="22"/>
              </w:rPr>
            </w:pPr>
            <w:r w:rsidRPr="00D01D88">
              <w:rPr>
                <w:rFonts w:ascii="Calibri" w:hAnsi="Calibri" w:cs="Calibri"/>
                <w:sz w:val="22"/>
                <w:szCs w:val="22"/>
              </w:rPr>
              <w:t>5</w:t>
            </w:r>
          </w:p>
        </w:tc>
        <w:tc>
          <w:tcPr>
            <w:tcW w:w="1711" w:type="dxa"/>
          </w:tcPr>
          <w:p w:rsidRPr="00D01D88" w:rsidR="00B77DEF" w:rsidP="0090703E" w:rsidRDefault="00B77DEF" w14:paraId="35D36AB9" w14:textId="77777777">
            <w:pPr>
              <w:jc w:val="center"/>
              <w:rPr>
                <w:rFonts w:ascii="Calibri" w:hAnsi="Calibri" w:cs="Calibri"/>
                <w:sz w:val="22"/>
                <w:szCs w:val="22"/>
              </w:rPr>
            </w:pPr>
            <w:r w:rsidRPr="00D01D88">
              <w:rPr>
                <w:rFonts w:ascii="Calibri" w:hAnsi="Calibri" w:cs="Calibri"/>
                <w:sz w:val="22"/>
                <w:szCs w:val="22"/>
              </w:rPr>
              <w:t>China</w:t>
            </w:r>
          </w:p>
        </w:tc>
        <w:tc>
          <w:tcPr>
            <w:tcW w:w="2490" w:type="dxa"/>
          </w:tcPr>
          <w:p w:rsidRPr="00D01D88" w:rsidR="00B77DEF" w:rsidP="0090703E" w:rsidRDefault="00B77DEF" w14:paraId="0AB21666" w14:textId="77777777">
            <w:pPr>
              <w:jc w:val="center"/>
              <w:rPr>
                <w:rFonts w:ascii="Calibri" w:hAnsi="Calibri" w:cs="Calibri"/>
                <w:sz w:val="22"/>
                <w:szCs w:val="22"/>
              </w:rPr>
            </w:pPr>
            <w:r w:rsidRPr="00D01D88">
              <w:rPr>
                <w:rFonts w:ascii="Calibri" w:hAnsi="Calibri" w:cs="Calibri"/>
                <w:sz w:val="22"/>
                <w:szCs w:val="22"/>
              </w:rPr>
              <w:t>841</w:t>
            </w:r>
          </w:p>
        </w:tc>
        <w:tc>
          <w:tcPr>
            <w:tcW w:w="2433" w:type="dxa"/>
          </w:tcPr>
          <w:p w:rsidRPr="00D01D88" w:rsidR="00B77DEF" w:rsidP="0090703E" w:rsidRDefault="00B77DEF" w14:paraId="6D11FCB3" w14:textId="77777777">
            <w:pPr>
              <w:jc w:val="center"/>
              <w:rPr>
                <w:rFonts w:ascii="Calibri" w:hAnsi="Calibri" w:cs="Calibri"/>
                <w:sz w:val="22"/>
                <w:szCs w:val="22"/>
              </w:rPr>
            </w:pPr>
            <w:r w:rsidRPr="00D01D88">
              <w:rPr>
                <w:rFonts w:ascii="Calibri" w:hAnsi="Calibri" w:cs="Calibri"/>
                <w:sz w:val="22"/>
                <w:szCs w:val="22"/>
              </w:rPr>
              <w:t>362 (8)</w:t>
            </w:r>
          </w:p>
        </w:tc>
      </w:tr>
      <w:tr w:rsidRPr="00D01D88" w:rsidR="00B77DEF" w:rsidTr="0090703E" w14:paraId="6EC59B5F" w14:textId="77777777">
        <w:tc>
          <w:tcPr>
            <w:tcW w:w="897" w:type="dxa"/>
          </w:tcPr>
          <w:p w:rsidRPr="00D01D88" w:rsidR="00B77DEF" w:rsidP="0090703E" w:rsidRDefault="00B77DEF" w14:paraId="505AA88F" w14:textId="77777777">
            <w:pPr>
              <w:jc w:val="center"/>
              <w:rPr>
                <w:rFonts w:ascii="Calibri" w:hAnsi="Calibri" w:cs="Calibri"/>
                <w:sz w:val="22"/>
                <w:szCs w:val="22"/>
              </w:rPr>
            </w:pPr>
            <w:r w:rsidRPr="00D01D88">
              <w:rPr>
                <w:rFonts w:ascii="Calibri" w:hAnsi="Calibri" w:cs="Calibri"/>
                <w:sz w:val="22"/>
                <w:szCs w:val="22"/>
              </w:rPr>
              <w:t>6</w:t>
            </w:r>
          </w:p>
        </w:tc>
        <w:tc>
          <w:tcPr>
            <w:tcW w:w="1711" w:type="dxa"/>
          </w:tcPr>
          <w:p w:rsidRPr="00D01D88" w:rsidR="00B77DEF" w:rsidP="0090703E" w:rsidRDefault="00B77DEF" w14:paraId="41015602" w14:textId="77777777">
            <w:pPr>
              <w:jc w:val="center"/>
              <w:rPr>
                <w:rFonts w:ascii="Calibri" w:hAnsi="Calibri" w:cs="Calibri"/>
                <w:sz w:val="22"/>
                <w:szCs w:val="22"/>
              </w:rPr>
            </w:pPr>
            <w:r w:rsidRPr="00D01D88">
              <w:rPr>
                <w:rFonts w:ascii="Calibri" w:hAnsi="Calibri" w:cs="Calibri"/>
                <w:sz w:val="22"/>
                <w:szCs w:val="22"/>
              </w:rPr>
              <w:t>VS</w:t>
            </w:r>
          </w:p>
        </w:tc>
        <w:tc>
          <w:tcPr>
            <w:tcW w:w="2490" w:type="dxa"/>
          </w:tcPr>
          <w:p w:rsidRPr="00D01D88" w:rsidR="00B77DEF" w:rsidP="0090703E" w:rsidRDefault="00B77DEF" w14:paraId="6B4D5F51" w14:textId="77777777">
            <w:pPr>
              <w:jc w:val="center"/>
              <w:rPr>
                <w:rFonts w:ascii="Calibri" w:hAnsi="Calibri" w:cs="Calibri"/>
                <w:sz w:val="22"/>
                <w:szCs w:val="22"/>
              </w:rPr>
            </w:pPr>
            <w:r w:rsidRPr="00D01D88">
              <w:rPr>
                <w:rFonts w:ascii="Calibri" w:hAnsi="Calibri" w:cs="Calibri"/>
                <w:sz w:val="22"/>
                <w:szCs w:val="22"/>
              </w:rPr>
              <w:t>836</w:t>
            </w:r>
          </w:p>
        </w:tc>
        <w:tc>
          <w:tcPr>
            <w:tcW w:w="2433" w:type="dxa"/>
          </w:tcPr>
          <w:p w:rsidRPr="00D01D88" w:rsidR="00B77DEF" w:rsidP="0090703E" w:rsidRDefault="00B77DEF" w14:paraId="124EA967" w14:textId="77777777">
            <w:pPr>
              <w:jc w:val="center"/>
              <w:rPr>
                <w:rFonts w:ascii="Calibri" w:hAnsi="Calibri" w:cs="Calibri"/>
                <w:sz w:val="22"/>
                <w:szCs w:val="22"/>
              </w:rPr>
            </w:pPr>
            <w:r w:rsidRPr="00D01D88">
              <w:rPr>
                <w:rFonts w:ascii="Calibri" w:hAnsi="Calibri" w:cs="Calibri"/>
                <w:sz w:val="22"/>
                <w:szCs w:val="22"/>
              </w:rPr>
              <w:t>879 (4)</w:t>
            </w:r>
          </w:p>
        </w:tc>
      </w:tr>
      <w:tr w:rsidRPr="00D01D88" w:rsidR="00B77DEF" w:rsidTr="0090703E" w14:paraId="0B218F8E" w14:textId="77777777">
        <w:tc>
          <w:tcPr>
            <w:tcW w:w="897" w:type="dxa"/>
          </w:tcPr>
          <w:p w:rsidRPr="00D01D88" w:rsidR="00B77DEF" w:rsidP="0090703E" w:rsidRDefault="00B77DEF" w14:paraId="2DE68C3D" w14:textId="77777777">
            <w:pPr>
              <w:jc w:val="center"/>
              <w:rPr>
                <w:rFonts w:ascii="Calibri" w:hAnsi="Calibri" w:cs="Calibri"/>
                <w:sz w:val="22"/>
                <w:szCs w:val="22"/>
              </w:rPr>
            </w:pPr>
            <w:r w:rsidRPr="00D01D88">
              <w:rPr>
                <w:rFonts w:ascii="Calibri" w:hAnsi="Calibri" w:cs="Calibri"/>
                <w:sz w:val="22"/>
                <w:szCs w:val="22"/>
              </w:rPr>
              <w:t>7</w:t>
            </w:r>
          </w:p>
        </w:tc>
        <w:tc>
          <w:tcPr>
            <w:tcW w:w="1711" w:type="dxa"/>
          </w:tcPr>
          <w:p w:rsidRPr="00D01D88" w:rsidR="00B77DEF" w:rsidP="0090703E" w:rsidRDefault="00B77DEF" w14:paraId="009EDC67" w14:textId="77777777">
            <w:pPr>
              <w:jc w:val="center"/>
              <w:rPr>
                <w:rFonts w:ascii="Calibri" w:hAnsi="Calibri" w:cs="Calibri"/>
                <w:sz w:val="22"/>
                <w:szCs w:val="22"/>
              </w:rPr>
            </w:pPr>
            <w:r w:rsidRPr="00D01D88">
              <w:rPr>
                <w:rFonts w:ascii="Calibri" w:hAnsi="Calibri" w:cs="Calibri"/>
                <w:sz w:val="22"/>
                <w:szCs w:val="22"/>
              </w:rPr>
              <w:t>Brazilië</w:t>
            </w:r>
          </w:p>
        </w:tc>
        <w:tc>
          <w:tcPr>
            <w:tcW w:w="2490" w:type="dxa"/>
          </w:tcPr>
          <w:p w:rsidRPr="00D01D88" w:rsidR="00B77DEF" w:rsidP="0090703E" w:rsidRDefault="00B77DEF" w14:paraId="6979FF88" w14:textId="77777777">
            <w:pPr>
              <w:jc w:val="center"/>
              <w:rPr>
                <w:rFonts w:ascii="Calibri" w:hAnsi="Calibri" w:cs="Calibri"/>
                <w:sz w:val="22"/>
                <w:szCs w:val="22"/>
              </w:rPr>
            </w:pPr>
            <w:r w:rsidRPr="00D01D88">
              <w:rPr>
                <w:rFonts w:ascii="Calibri" w:hAnsi="Calibri" w:cs="Calibri"/>
                <w:sz w:val="22"/>
                <w:szCs w:val="22"/>
              </w:rPr>
              <w:t>707</w:t>
            </w:r>
          </w:p>
        </w:tc>
        <w:tc>
          <w:tcPr>
            <w:tcW w:w="2433" w:type="dxa"/>
          </w:tcPr>
          <w:p w:rsidRPr="00D01D88" w:rsidR="00B77DEF" w:rsidP="0090703E" w:rsidRDefault="00B77DEF" w14:paraId="084CF361" w14:textId="77777777">
            <w:pPr>
              <w:jc w:val="center"/>
              <w:rPr>
                <w:rFonts w:ascii="Calibri" w:hAnsi="Calibri" w:cs="Calibri"/>
                <w:sz w:val="22"/>
                <w:szCs w:val="22"/>
              </w:rPr>
            </w:pPr>
            <w:r w:rsidRPr="00D01D88">
              <w:rPr>
                <w:rFonts w:ascii="Calibri" w:hAnsi="Calibri" w:cs="Calibri"/>
                <w:sz w:val="22"/>
                <w:szCs w:val="22"/>
              </w:rPr>
              <w:t>749 (5)</w:t>
            </w:r>
          </w:p>
        </w:tc>
      </w:tr>
      <w:tr w:rsidRPr="00D01D88" w:rsidR="00B77DEF" w:rsidTr="0090703E" w14:paraId="749C94A3" w14:textId="77777777">
        <w:tc>
          <w:tcPr>
            <w:tcW w:w="897" w:type="dxa"/>
          </w:tcPr>
          <w:p w:rsidRPr="00D01D88" w:rsidR="00B77DEF" w:rsidP="0090703E" w:rsidRDefault="00B77DEF" w14:paraId="218D00B9" w14:textId="77777777">
            <w:pPr>
              <w:jc w:val="center"/>
              <w:rPr>
                <w:rFonts w:ascii="Calibri" w:hAnsi="Calibri" w:cs="Calibri"/>
                <w:sz w:val="22"/>
                <w:szCs w:val="22"/>
              </w:rPr>
            </w:pPr>
            <w:r w:rsidRPr="00D01D88">
              <w:rPr>
                <w:rFonts w:ascii="Calibri" w:hAnsi="Calibri" w:cs="Calibri"/>
                <w:sz w:val="22"/>
                <w:szCs w:val="22"/>
              </w:rPr>
              <w:t>8</w:t>
            </w:r>
          </w:p>
        </w:tc>
        <w:tc>
          <w:tcPr>
            <w:tcW w:w="1711" w:type="dxa"/>
          </w:tcPr>
          <w:p w:rsidRPr="00D01D88" w:rsidR="00B77DEF" w:rsidP="0090703E" w:rsidRDefault="00B77DEF" w14:paraId="39616D48" w14:textId="77777777">
            <w:pPr>
              <w:jc w:val="center"/>
              <w:rPr>
                <w:rFonts w:ascii="Calibri" w:hAnsi="Calibri" w:cs="Calibri"/>
                <w:sz w:val="22"/>
                <w:szCs w:val="22"/>
              </w:rPr>
            </w:pPr>
            <w:r w:rsidRPr="00D01D88">
              <w:rPr>
                <w:rFonts w:ascii="Calibri" w:hAnsi="Calibri" w:cs="Calibri"/>
                <w:sz w:val="22"/>
                <w:szCs w:val="22"/>
              </w:rPr>
              <w:t>Iran</w:t>
            </w:r>
          </w:p>
        </w:tc>
        <w:tc>
          <w:tcPr>
            <w:tcW w:w="2490" w:type="dxa"/>
          </w:tcPr>
          <w:p w:rsidRPr="00D01D88" w:rsidR="00B77DEF" w:rsidP="0090703E" w:rsidRDefault="00B77DEF" w14:paraId="69AA4636" w14:textId="77777777">
            <w:pPr>
              <w:jc w:val="center"/>
              <w:rPr>
                <w:rFonts w:ascii="Calibri" w:hAnsi="Calibri" w:cs="Calibri"/>
                <w:sz w:val="22"/>
                <w:szCs w:val="22"/>
              </w:rPr>
            </w:pPr>
            <w:r w:rsidRPr="00D01D88">
              <w:rPr>
                <w:rFonts w:ascii="Calibri" w:hAnsi="Calibri" w:cs="Calibri"/>
                <w:sz w:val="22"/>
                <w:szCs w:val="22"/>
              </w:rPr>
              <w:t>598</w:t>
            </w:r>
          </w:p>
        </w:tc>
        <w:tc>
          <w:tcPr>
            <w:tcW w:w="2433" w:type="dxa"/>
          </w:tcPr>
          <w:p w:rsidRPr="00D01D88" w:rsidR="00B77DEF" w:rsidP="0090703E" w:rsidRDefault="00B77DEF" w14:paraId="44546467" w14:textId="77777777">
            <w:pPr>
              <w:jc w:val="center"/>
              <w:rPr>
                <w:rFonts w:ascii="Calibri" w:hAnsi="Calibri" w:cs="Calibri"/>
                <w:sz w:val="22"/>
                <w:szCs w:val="22"/>
              </w:rPr>
            </w:pPr>
            <w:r w:rsidRPr="00D01D88">
              <w:rPr>
                <w:rFonts w:ascii="Calibri" w:hAnsi="Calibri" w:cs="Calibri"/>
                <w:sz w:val="22"/>
                <w:szCs w:val="22"/>
              </w:rPr>
              <w:t>423 (7)</w:t>
            </w:r>
          </w:p>
        </w:tc>
      </w:tr>
      <w:tr w:rsidRPr="00D01D88" w:rsidR="00B77DEF" w:rsidTr="0090703E" w14:paraId="780E4511" w14:textId="77777777">
        <w:tc>
          <w:tcPr>
            <w:tcW w:w="897" w:type="dxa"/>
          </w:tcPr>
          <w:p w:rsidRPr="00D01D88" w:rsidR="00B77DEF" w:rsidP="0090703E" w:rsidRDefault="00B77DEF" w14:paraId="35FF2D86" w14:textId="77777777">
            <w:pPr>
              <w:jc w:val="center"/>
              <w:rPr>
                <w:rFonts w:ascii="Calibri" w:hAnsi="Calibri" w:cs="Calibri"/>
                <w:sz w:val="22"/>
                <w:szCs w:val="22"/>
              </w:rPr>
            </w:pPr>
            <w:r w:rsidRPr="00D01D88">
              <w:rPr>
                <w:rFonts w:ascii="Calibri" w:hAnsi="Calibri" w:cs="Calibri"/>
                <w:sz w:val="22"/>
                <w:szCs w:val="22"/>
              </w:rPr>
              <w:t>9</w:t>
            </w:r>
          </w:p>
        </w:tc>
        <w:tc>
          <w:tcPr>
            <w:tcW w:w="1711" w:type="dxa"/>
          </w:tcPr>
          <w:p w:rsidRPr="00D01D88" w:rsidR="00B77DEF" w:rsidP="0090703E" w:rsidRDefault="00B77DEF" w14:paraId="19822E58" w14:textId="77777777">
            <w:pPr>
              <w:jc w:val="center"/>
              <w:rPr>
                <w:rFonts w:ascii="Calibri" w:hAnsi="Calibri" w:cs="Calibri"/>
                <w:sz w:val="22"/>
                <w:szCs w:val="22"/>
              </w:rPr>
            </w:pPr>
            <w:r w:rsidRPr="00D01D88">
              <w:rPr>
                <w:rFonts w:ascii="Calibri" w:hAnsi="Calibri" w:cs="Calibri"/>
                <w:sz w:val="22"/>
                <w:szCs w:val="22"/>
              </w:rPr>
              <w:t>Oekraïne</w:t>
            </w:r>
          </w:p>
        </w:tc>
        <w:tc>
          <w:tcPr>
            <w:tcW w:w="2490" w:type="dxa"/>
          </w:tcPr>
          <w:p w:rsidRPr="00D01D88" w:rsidR="00B77DEF" w:rsidP="0090703E" w:rsidRDefault="00B77DEF" w14:paraId="3238B671" w14:textId="77777777">
            <w:pPr>
              <w:jc w:val="center"/>
              <w:rPr>
                <w:rFonts w:ascii="Calibri" w:hAnsi="Calibri" w:cs="Calibri"/>
                <w:sz w:val="22"/>
                <w:szCs w:val="22"/>
              </w:rPr>
            </w:pPr>
            <w:r w:rsidRPr="00D01D88">
              <w:rPr>
                <w:rFonts w:ascii="Calibri" w:hAnsi="Calibri" w:cs="Calibri"/>
                <w:sz w:val="22"/>
                <w:szCs w:val="22"/>
              </w:rPr>
              <w:t>300</w:t>
            </w:r>
          </w:p>
        </w:tc>
        <w:tc>
          <w:tcPr>
            <w:tcW w:w="2433" w:type="dxa"/>
          </w:tcPr>
          <w:p w:rsidRPr="00D01D88" w:rsidR="00B77DEF" w:rsidP="0090703E" w:rsidRDefault="00B77DEF" w14:paraId="44BBEA09" w14:textId="77777777">
            <w:pPr>
              <w:jc w:val="center"/>
              <w:rPr>
                <w:rFonts w:ascii="Calibri" w:hAnsi="Calibri" w:cs="Calibri"/>
                <w:sz w:val="22"/>
                <w:szCs w:val="22"/>
              </w:rPr>
            </w:pPr>
            <w:r w:rsidRPr="00D01D88">
              <w:rPr>
                <w:rFonts w:ascii="Calibri" w:hAnsi="Calibri" w:cs="Calibri"/>
                <w:sz w:val="22"/>
                <w:szCs w:val="22"/>
              </w:rPr>
              <w:t>215 (9)</w:t>
            </w:r>
          </w:p>
        </w:tc>
      </w:tr>
      <w:tr w:rsidRPr="00D01D88" w:rsidR="00B77DEF" w:rsidTr="0090703E" w14:paraId="66EDC234" w14:textId="77777777">
        <w:tc>
          <w:tcPr>
            <w:tcW w:w="897" w:type="dxa"/>
          </w:tcPr>
          <w:p w:rsidRPr="00D01D88" w:rsidR="00B77DEF" w:rsidP="0090703E" w:rsidRDefault="00B77DEF" w14:paraId="567C894C" w14:textId="77777777">
            <w:pPr>
              <w:jc w:val="center"/>
              <w:rPr>
                <w:rFonts w:ascii="Calibri" w:hAnsi="Calibri" w:cs="Calibri"/>
                <w:sz w:val="22"/>
                <w:szCs w:val="22"/>
              </w:rPr>
            </w:pPr>
            <w:r w:rsidRPr="00D01D88">
              <w:rPr>
                <w:rFonts w:ascii="Calibri" w:hAnsi="Calibri" w:cs="Calibri"/>
                <w:sz w:val="22"/>
                <w:szCs w:val="22"/>
              </w:rPr>
              <w:t>10</w:t>
            </w:r>
          </w:p>
        </w:tc>
        <w:tc>
          <w:tcPr>
            <w:tcW w:w="1711" w:type="dxa"/>
          </w:tcPr>
          <w:p w:rsidRPr="00D01D88" w:rsidR="00B77DEF" w:rsidP="0090703E" w:rsidRDefault="00B77DEF" w14:paraId="02AC06A6" w14:textId="77777777">
            <w:pPr>
              <w:jc w:val="center"/>
              <w:rPr>
                <w:rFonts w:ascii="Calibri" w:hAnsi="Calibri" w:cs="Calibri"/>
                <w:sz w:val="22"/>
                <w:szCs w:val="22"/>
              </w:rPr>
            </w:pPr>
            <w:r w:rsidRPr="00D01D88">
              <w:rPr>
                <w:rFonts w:ascii="Calibri" w:hAnsi="Calibri" w:cs="Calibri"/>
                <w:sz w:val="22"/>
                <w:szCs w:val="22"/>
              </w:rPr>
              <w:t>Suriname</w:t>
            </w:r>
          </w:p>
        </w:tc>
        <w:tc>
          <w:tcPr>
            <w:tcW w:w="2490" w:type="dxa"/>
          </w:tcPr>
          <w:p w:rsidRPr="00D01D88" w:rsidR="00B77DEF" w:rsidP="0090703E" w:rsidRDefault="00B77DEF" w14:paraId="1C87C036" w14:textId="77777777">
            <w:pPr>
              <w:jc w:val="center"/>
              <w:rPr>
                <w:rFonts w:ascii="Calibri" w:hAnsi="Calibri" w:cs="Calibri"/>
                <w:sz w:val="22"/>
                <w:szCs w:val="22"/>
              </w:rPr>
            </w:pPr>
            <w:r w:rsidRPr="00D01D88">
              <w:rPr>
                <w:rFonts w:ascii="Calibri" w:hAnsi="Calibri" w:cs="Calibri"/>
                <w:sz w:val="22"/>
                <w:szCs w:val="22"/>
              </w:rPr>
              <w:t>242</w:t>
            </w:r>
          </w:p>
        </w:tc>
        <w:tc>
          <w:tcPr>
            <w:tcW w:w="2433" w:type="dxa"/>
          </w:tcPr>
          <w:p w:rsidRPr="00D01D88" w:rsidR="00B77DEF" w:rsidP="0090703E" w:rsidRDefault="00B77DEF" w14:paraId="1EE58A0C" w14:textId="77777777">
            <w:pPr>
              <w:jc w:val="center"/>
              <w:rPr>
                <w:rFonts w:ascii="Calibri" w:hAnsi="Calibri" w:cs="Calibri"/>
                <w:sz w:val="22"/>
                <w:szCs w:val="22"/>
              </w:rPr>
            </w:pPr>
          </w:p>
        </w:tc>
      </w:tr>
      <w:tr w:rsidRPr="00D01D88" w:rsidR="00B77DEF" w:rsidTr="0090703E" w14:paraId="2C38D7C8" w14:textId="77777777">
        <w:tc>
          <w:tcPr>
            <w:tcW w:w="897" w:type="dxa"/>
          </w:tcPr>
          <w:p w:rsidRPr="00D01D88" w:rsidR="00B77DEF" w:rsidP="0090703E" w:rsidRDefault="00B77DEF" w14:paraId="4A40288C" w14:textId="77777777">
            <w:pPr>
              <w:jc w:val="center"/>
              <w:rPr>
                <w:rFonts w:ascii="Calibri" w:hAnsi="Calibri" w:cs="Calibri"/>
                <w:sz w:val="22"/>
                <w:szCs w:val="22"/>
              </w:rPr>
            </w:pPr>
            <w:r w:rsidRPr="00D01D88">
              <w:rPr>
                <w:rFonts w:ascii="Calibri" w:hAnsi="Calibri" w:cs="Calibri"/>
                <w:sz w:val="22"/>
                <w:szCs w:val="22"/>
              </w:rPr>
              <w:t>11</w:t>
            </w:r>
          </w:p>
        </w:tc>
        <w:tc>
          <w:tcPr>
            <w:tcW w:w="1711" w:type="dxa"/>
          </w:tcPr>
          <w:p w:rsidRPr="00D01D88" w:rsidR="00B77DEF" w:rsidP="0090703E" w:rsidRDefault="00B77DEF" w14:paraId="1A604CAB" w14:textId="77777777">
            <w:pPr>
              <w:jc w:val="center"/>
              <w:rPr>
                <w:rFonts w:ascii="Calibri" w:hAnsi="Calibri" w:cs="Calibri"/>
                <w:sz w:val="22"/>
                <w:szCs w:val="22"/>
              </w:rPr>
            </w:pPr>
            <w:r w:rsidRPr="00D01D88">
              <w:rPr>
                <w:rFonts w:ascii="Calibri" w:hAnsi="Calibri" w:cs="Calibri"/>
                <w:sz w:val="22"/>
                <w:szCs w:val="22"/>
              </w:rPr>
              <w:t>Australië</w:t>
            </w:r>
          </w:p>
        </w:tc>
        <w:tc>
          <w:tcPr>
            <w:tcW w:w="2490" w:type="dxa"/>
          </w:tcPr>
          <w:p w:rsidRPr="00D01D88" w:rsidR="00B77DEF" w:rsidP="0090703E" w:rsidRDefault="00B77DEF" w14:paraId="7B69EC5F" w14:textId="77777777">
            <w:pPr>
              <w:jc w:val="center"/>
              <w:rPr>
                <w:rFonts w:ascii="Calibri" w:hAnsi="Calibri" w:cs="Calibri"/>
                <w:sz w:val="22"/>
                <w:szCs w:val="22"/>
              </w:rPr>
            </w:pPr>
            <w:r w:rsidRPr="00D01D88">
              <w:rPr>
                <w:rFonts w:ascii="Calibri" w:hAnsi="Calibri" w:cs="Calibri"/>
                <w:sz w:val="22"/>
                <w:szCs w:val="22"/>
              </w:rPr>
              <w:t>213</w:t>
            </w:r>
          </w:p>
        </w:tc>
        <w:tc>
          <w:tcPr>
            <w:tcW w:w="2433" w:type="dxa"/>
          </w:tcPr>
          <w:p w:rsidRPr="00D01D88" w:rsidR="00B77DEF" w:rsidP="0090703E" w:rsidRDefault="00B77DEF" w14:paraId="299DF7D1" w14:textId="77777777">
            <w:pPr>
              <w:jc w:val="center"/>
              <w:rPr>
                <w:rFonts w:ascii="Calibri" w:hAnsi="Calibri" w:cs="Calibri"/>
                <w:sz w:val="22"/>
                <w:szCs w:val="22"/>
              </w:rPr>
            </w:pPr>
            <w:r w:rsidRPr="00D01D88">
              <w:rPr>
                <w:rFonts w:ascii="Calibri" w:hAnsi="Calibri" w:cs="Calibri"/>
                <w:sz w:val="22"/>
                <w:szCs w:val="22"/>
              </w:rPr>
              <w:t>193 (10)</w:t>
            </w:r>
          </w:p>
        </w:tc>
      </w:tr>
      <w:tr w:rsidRPr="00D01D88" w:rsidR="00B77DEF" w:rsidTr="0090703E" w14:paraId="24D5433F" w14:textId="77777777">
        <w:tc>
          <w:tcPr>
            <w:tcW w:w="897" w:type="dxa"/>
          </w:tcPr>
          <w:p w:rsidRPr="00D01D88" w:rsidR="00B77DEF" w:rsidP="0090703E" w:rsidRDefault="00B77DEF" w14:paraId="1BBAD8BE" w14:textId="77777777">
            <w:pPr>
              <w:jc w:val="center"/>
              <w:rPr>
                <w:rFonts w:ascii="Calibri" w:hAnsi="Calibri" w:cs="Calibri"/>
                <w:sz w:val="22"/>
                <w:szCs w:val="22"/>
              </w:rPr>
            </w:pPr>
            <w:r w:rsidRPr="00D01D88">
              <w:rPr>
                <w:rFonts w:ascii="Calibri" w:hAnsi="Calibri" w:cs="Calibri"/>
                <w:sz w:val="22"/>
                <w:szCs w:val="22"/>
              </w:rPr>
              <w:t>12</w:t>
            </w:r>
          </w:p>
        </w:tc>
        <w:tc>
          <w:tcPr>
            <w:tcW w:w="1711" w:type="dxa"/>
          </w:tcPr>
          <w:p w:rsidRPr="00D01D88" w:rsidR="00B77DEF" w:rsidP="0090703E" w:rsidRDefault="00B77DEF" w14:paraId="6A19B6A1" w14:textId="77777777">
            <w:pPr>
              <w:jc w:val="center"/>
              <w:rPr>
                <w:rFonts w:ascii="Calibri" w:hAnsi="Calibri" w:cs="Calibri"/>
                <w:sz w:val="22"/>
                <w:szCs w:val="22"/>
              </w:rPr>
            </w:pPr>
            <w:r w:rsidRPr="00D01D88">
              <w:rPr>
                <w:rFonts w:ascii="Calibri" w:hAnsi="Calibri" w:cs="Calibri"/>
                <w:sz w:val="22"/>
                <w:szCs w:val="22"/>
              </w:rPr>
              <w:t>Egypte</w:t>
            </w:r>
          </w:p>
        </w:tc>
        <w:tc>
          <w:tcPr>
            <w:tcW w:w="2490" w:type="dxa"/>
          </w:tcPr>
          <w:p w:rsidRPr="00D01D88" w:rsidR="00B77DEF" w:rsidP="0090703E" w:rsidRDefault="00B77DEF" w14:paraId="778034DF" w14:textId="77777777">
            <w:pPr>
              <w:jc w:val="center"/>
              <w:rPr>
                <w:rFonts w:ascii="Calibri" w:hAnsi="Calibri" w:cs="Calibri"/>
                <w:sz w:val="22"/>
                <w:szCs w:val="22"/>
              </w:rPr>
            </w:pPr>
            <w:r w:rsidRPr="00D01D88">
              <w:rPr>
                <w:rFonts w:ascii="Calibri" w:hAnsi="Calibri" w:cs="Calibri"/>
                <w:sz w:val="22"/>
                <w:szCs w:val="22"/>
              </w:rPr>
              <w:t>185</w:t>
            </w:r>
          </w:p>
        </w:tc>
        <w:tc>
          <w:tcPr>
            <w:tcW w:w="2433" w:type="dxa"/>
          </w:tcPr>
          <w:p w:rsidRPr="00D01D88" w:rsidR="00B77DEF" w:rsidP="0090703E" w:rsidRDefault="00B77DEF" w14:paraId="0C794EEB" w14:textId="77777777">
            <w:pPr>
              <w:jc w:val="center"/>
              <w:rPr>
                <w:rFonts w:ascii="Calibri" w:hAnsi="Calibri" w:cs="Calibri"/>
                <w:sz w:val="22"/>
                <w:szCs w:val="22"/>
              </w:rPr>
            </w:pPr>
          </w:p>
        </w:tc>
      </w:tr>
      <w:tr w:rsidRPr="00D01D88" w:rsidR="00B77DEF" w:rsidTr="0090703E" w14:paraId="4BAEB6E8" w14:textId="77777777">
        <w:tc>
          <w:tcPr>
            <w:tcW w:w="897" w:type="dxa"/>
          </w:tcPr>
          <w:p w:rsidRPr="00D01D88" w:rsidR="00B77DEF" w:rsidP="0090703E" w:rsidRDefault="00B77DEF" w14:paraId="2481925E" w14:textId="77777777">
            <w:pPr>
              <w:jc w:val="center"/>
              <w:rPr>
                <w:rFonts w:ascii="Calibri" w:hAnsi="Calibri" w:cs="Calibri"/>
                <w:sz w:val="22"/>
                <w:szCs w:val="22"/>
              </w:rPr>
            </w:pPr>
            <w:r w:rsidRPr="00D01D88">
              <w:rPr>
                <w:rFonts w:ascii="Calibri" w:hAnsi="Calibri" w:cs="Calibri"/>
                <w:sz w:val="22"/>
                <w:szCs w:val="22"/>
              </w:rPr>
              <w:t>13</w:t>
            </w:r>
          </w:p>
        </w:tc>
        <w:tc>
          <w:tcPr>
            <w:tcW w:w="1711" w:type="dxa"/>
          </w:tcPr>
          <w:p w:rsidRPr="00D01D88" w:rsidR="00B77DEF" w:rsidP="0090703E" w:rsidRDefault="00B77DEF" w14:paraId="19D8E8C2" w14:textId="77777777">
            <w:pPr>
              <w:jc w:val="center"/>
              <w:rPr>
                <w:rFonts w:ascii="Calibri" w:hAnsi="Calibri" w:cs="Calibri"/>
                <w:sz w:val="22"/>
                <w:szCs w:val="22"/>
              </w:rPr>
            </w:pPr>
            <w:r w:rsidRPr="00D01D88">
              <w:rPr>
                <w:rFonts w:ascii="Calibri" w:hAnsi="Calibri" w:cs="Calibri"/>
                <w:sz w:val="22"/>
                <w:szCs w:val="22"/>
              </w:rPr>
              <w:t>Mexico</w:t>
            </w:r>
          </w:p>
        </w:tc>
        <w:tc>
          <w:tcPr>
            <w:tcW w:w="2490" w:type="dxa"/>
          </w:tcPr>
          <w:p w:rsidRPr="00D01D88" w:rsidR="00B77DEF" w:rsidP="0090703E" w:rsidRDefault="00B77DEF" w14:paraId="31660E54" w14:textId="77777777">
            <w:pPr>
              <w:jc w:val="center"/>
              <w:rPr>
                <w:rFonts w:ascii="Calibri" w:hAnsi="Calibri" w:cs="Calibri"/>
                <w:sz w:val="22"/>
                <w:szCs w:val="22"/>
              </w:rPr>
            </w:pPr>
            <w:r w:rsidRPr="00D01D88">
              <w:rPr>
                <w:rFonts w:ascii="Calibri" w:hAnsi="Calibri" w:cs="Calibri"/>
                <w:sz w:val="22"/>
                <w:szCs w:val="22"/>
              </w:rPr>
              <w:t>168</w:t>
            </w:r>
          </w:p>
        </w:tc>
        <w:tc>
          <w:tcPr>
            <w:tcW w:w="2433" w:type="dxa"/>
          </w:tcPr>
          <w:p w:rsidRPr="00D01D88" w:rsidR="00B77DEF" w:rsidP="0090703E" w:rsidRDefault="00B77DEF" w14:paraId="33407AAB" w14:textId="77777777">
            <w:pPr>
              <w:jc w:val="center"/>
              <w:rPr>
                <w:rFonts w:ascii="Calibri" w:hAnsi="Calibri" w:cs="Calibri"/>
                <w:sz w:val="22"/>
                <w:szCs w:val="22"/>
              </w:rPr>
            </w:pPr>
          </w:p>
        </w:tc>
      </w:tr>
      <w:tr w:rsidRPr="00D01D88" w:rsidR="00B77DEF" w:rsidTr="0090703E" w14:paraId="6AEBFF09" w14:textId="77777777">
        <w:tc>
          <w:tcPr>
            <w:tcW w:w="897" w:type="dxa"/>
          </w:tcPr>
          <w:p w:rsidRPr="00D01D88" w:rsidR="00B77DEF" w:rsidP="0090703E" w:rsidRDefault="00B77DEF" w14:paraId="08ABB262" w14:textId="77777777">
            <w:pPr>
              <w:jc w:val="center"/>
              <w:rPr>
                <w:rFonts w:ascii="Calibri" w:hAnsi="Calibri" w:cs="Calibri"/>
                <w:sz w:val="22"/>
                <w:szCs w:val="22"/>
              </w:rPr>
            </w:pPr>
            <w:r w:rsidRPr="00D01D88">
              <w:rPr>
                <w:rFonts w:ascii="Calibri" w:hAnsi="Calibri" w:cs="Calibri"/>
                <w:sz w:val="22"/>
                <w:szCs w:val="22"/>
              </w:rPr>
              <w:t>14</w:t>
            </w:r>
          </w:p>
        </w:tc>
        <w:tc>
          <w:tcPr>
            <w:tcW w:w="1711" w:type="dxa"/>
          </w:tcPr>
          <w:p w:rsidRPr="00D01D88" w:rsidR="00B77DEF" w:rsidP="0090703E" w:rsidRDefault="00B77DEF" w14:paraId="3DE713BF" w14:textId="77777777">
            <w:pPr>
              <w:jc w:val="center"/>
              <w:rPr>
                <w:rFonts w:ascii="Calibri" w:hAnsi="Calibri" w:cs="Calibri"/>
                <w:sz w:val="22"/>
                <w:szCs w:val="22"/>
              </w:rPr>
            </w:pPr>
            <w:r w:rsidRPr="00D01D88">
              <w:rPr>
                <w:rFonts w:ascii="Calibri" w:hAnsi="Calibri" w:cs="Calibri"/>
                <w:sz w:val="22"/>
                <w:szCs w:val="22"/>
              </w:rPr>
              <w:t>Pakistan</w:t>
            </w:r>
          </w:p>
        </w:tc>
        <w:tc>
          <w:tcPr>
            <w:tcW w:w="2490" w:type="dxa"/>
          </w:tcPr>
          <w:p w:rsidRPr="00D01D88" w:rsidR="00B77DEF" w:rsidP="0090703E" w:rsidRDefault="00B77DEF" w14:paraId="64ED5E6D" w14:textId="77777777">
            <w:pPr>
              <w:jc w:val="center"/>
              <w:rPr>
                <w:rFonts w:ascii="Calibri" w:hAnsi="Calibri" w:cs="Calibri"/>
                <w:sz w:val="22"/>
                <w:szCs w:val="22"/>
              </w:rPr>
            </w:pPr>
            <w:r w:rsidRPr="00D01D88">
              <w:rPr>
                <w:rFonts w:ascii="Calibri" w:hAnsi="Calibri" w:cs="Calibri"/>
                <w:sz w:val="22"/>
                <w:szCs w:val="22"/>
              </w:rPr>
              <w:t>163</w:t>
            </w:r>
          </w:p>
        </w:tc>
        <w:tc>
          <w:tcPr>
            <w:tcW w:w="2433" w:type="dxa"/>
          </w:tcPr>
          <w:p w:rsidRPr="00D01D88" w:rsidR="00B77DEF" w:rsidP="0090703E" w:rsidRDefault="00B77DEF" w14:paraId="014C65DA" w14:textId="77777777">
            <w:pPr>
              <w:jc w:val="center"/>
              <w:rPr>
                <w:rFonts w:ascii="Calibri" w:hAnsi="Calibri" w:cs="Calibri"/>
                <w:sz w:val="22"/>
                <w:szCs w:val="22"/>
              </w:rPr>
            </w:pPr>
          </w:p>
        </w:tc>
      </w:tr>
      <w:tr w:rsidRPr="00D01D88" w:rsidR="00B77DEF" w:rsidTr="0090703E" w14:paraId="29D44B13" w14:textId="77777777">
        <w:tc>
          <w:tcPr>
            <w:tcW w:w="897" w:type="dxa"/>
          </w:tcPr>
          <w:p w:rsidRPr="00D01D88" w:rsidR="00B77DEF" w:rsidP="0090703E" w:rsidRDefault="00B77DEF" w14:paraId="7AA3E7DD" w14:textId="77777777">
            <w:pPr>
              <w:jc w:val="center"/>
              <w:rPr>
                <w:rFonts w:ascii="Calibri" w:hAnsi="Calibri" w:cs="Calibri"/>
                <w:sz w:val="22"/>
                <w:szCs w:val="22"/>
              </w:rPr>
            </w:pPr>
            <w:r w:rsidRPr="00D01D88">
              <w:rPr>
                <w:rFonts w:ascii="Calibri" w:hAnsi="Calibri" w:cs="Calibri"/>
                <w:sz w:val="22"/>
                <w:szCs w:val="22"/>
              </w:rPr>
              <w:t>15</w:t>
            </w:r>
          </w:p>
        </w:tc>
        <w:tc>
          <w:tcPr>
            <w:tcW w:w="1711" w:type="dxa"/>
          </w:tcPr>
          <w:p w:rsidRPr="00D01D88" w:rsidR="00B77DEF" w:rsidP="0090703E" w:rsidRDefault="00B77DEF" w14:paraId="7D030EBB" w14:textId="77777777">
            <w:pPr>
              <w:jc w:val="center"/>
              <w:rPr>
                <w:rFonts w:ascii="Calibri" w:hAnsi="Calibri" w:cs="Calibri"/>
                <w:sz w:val="22"/>
                <w:szCs w:val="22"/>
              </w:rPr>
            </w:pPr>
            <w:r w:rsidRPr="00D01D88">
              <w:rPr>
                <w:rFonts w:ascii="Calibri" w:hAnsi="Calibri" w:cs="Calibri"/>
                <w:sz w:val="22"/>
                <w:szCs w:val="22"/>
              </w:rPr>
              <w:t>Argentinië</w:t>
            </w:r>
          </w:p>
        </w:tc>
        <w:tc>
          <w:tcPr>
            <w:tcW w:w="2490" w:type="dxa"/>
          </w:tcPr>
          <w:p w:rsidRPr="00D01D88" w:rsidR="00B77DEF" w:rsidP="0090703E" w:rsidRDefault="00B77DEF" w14:paraId="7959091A" w14:textId="77777777">
            <w:pPr>
              <w:jc w:val="center"/>
              <w:rPr>
                <w:rFonts w:ascii="Calibri" w:hAnsi="Calibri" w:cs="Calibri"/>
                <w:sz w:val="22"/>
                <w:szCs w:val="22"/>
              </w:rPr>
            </w:pPr>
            <w:r w:rsidRPr="00D01D88">
              <w:rPr>
                <w:rFonts w:ascii="Calibri" w:hAnsi="Calibri" w:cs="Calibri"/>
                <w:sz w:val="22"/>
                <w:szCs w:val="22"/>
              </w:rPr>
              <w:t>133</w:t>
            </w:r>
          </w:p>
        </w:tc>
        <w:tc>
          <w:tcPr>
            <w:tcW w:w="2433" w:type="dxa"/>
          </w:tcPr>
          <w:p w:rsidRPr="00D01D88" w:rsidR="00B77DEF" w:rsidP="0090703E" w:rsidRDefault="00B77DEF" w14:paraId="67BF1D4F" w14:textId="77777777">
            <w:pPr>
              <w:jc w:val="center"/>
              <w:rPr>
                <w:rFonts w:ascii="Calibri" w:hAnsi="Calibri" w:cs="Calibri"/>
                <w:sz w:val="22"/>
                <w:szCs w:val="22"/>
              </w:rPr>
            </w:pPr>
          </w:p>
        </w:tc>
      </w:tr>
      <w:tr w:rsidRPr="00D01D88" w:rsidR="00B77DEF" w:rsidTr="0090703E" w14:paraId="445BB9DF" w14:textId="77777777">
        <w:tc>
          <w:tcPr>
            <w:tcW w:w="897" w:type="dxa"/>
          </w:tcPr>
          <w:p w:rsidRPr="00D01D88" w:rsidR="00B77DEF" w:rsidP="0090703E" w:rsidRDefault="00B77DEF" w14:paraId="5050D68B" w14:textId="77777777">
            <w:pPr>
              <w:jc w:val="center"/>
              <w:rPr>
                <w:rFonts w:ascii="Calibri" w:hAnsi="Calibri" w:cs="Calibri"/>
                <w:sz w:val="22"/>
                <w:szCs w:val="22"/>
              </w:rPr>
            </w:pPr>
            <w:r w:rsidRPr="00D01D88">
              <w:rPr>
                <w:rFonts w:ascii="Calibri" w:hAnsi="Calibri" w:cs="Calibri"/>
                <w:sz w:val="22"/>
                <w:szCs w:val="22"/>
              </w:rPr>
              <w:t>16</w:t>
            </w:r>
          </w:p>
        </w:tc>
        <w:tc>
          <w:tcPr>
            <w:tcW w:w="1711" w:type="dxa"/>
          </w:tcPr>
          <w:p w:rsidRPr="00D01D88" w:rsidR="00B77DEF" w:rsidP="0090703E" w:rsidRDefault="00B77DEF" w14:paraId="484366A4" w14:textId="77777777">
            <w:pPr>
              <w:jc w:val="center"/>
              <w:rPr>
                <w:rFonts w:ascii="Calibri" w:hAnsi="Calibri" w:cs="Calibri"/>
                <w:sz w:val="22"/>
                <w:szCs w:val="22"/>
              </w:rPr>
            </w:pPr>
            <w:r w:rsidRPr="00D01D88">
              <w:rPr>
                <w:rFonts w:ascii="Calibri" w:hAnsi="Calibri" w:cs="Calibri"/>
                <w:sz w:val="22"/>
                <w:szCs w:val="22"/>
              </w:rPr>
              <w:t>Colombia</w:t>
            </w:r>
          </w:p>
        </w:tc>
        <w:tc>
          <w:tcPr>
            <w:tcW w:w="2490" w:type="dxa"/>
          </w:tcPr>
          <w:p w:rsidRPr="00D01D88" w:rsidR="00B77DEF" w:rsidP="0090703E" w:rsidRDefault="00B77DEF" w14:paraId="5CC57ABE" w14:textId="77777777">
            <w:pPr>
              <w:jc w:val="center"/>
              <w:rPr>
                <w:rFonts w:ascii="Calibri" w:hAnsi="Calibri" w:cs="Calibri"/>
                <w:sz w:val="22"/>
                <w:szCs w:val="22"/>
              </w:rPr>
            </w:pPr>
            <w:r w:rsidRPr="00D01D88">
              <w:rPr>
                <w:rFonts w:ascii="Calibri" w:hAnsi="Calibri" w:cs="Calibri"/>
                <w:sz w:val="22"/>
                <w:szCs w:val="22"/>
              </w:rPr>
              <w:t>129</w:t>
            </w:r>
          </w:p>
        </w:tc>
        <w:tc>
          <w:tcPr>
            <w:tcW w:w="2433" w:type="dxa"/>
          </w:tcPr>
          <w:p w:rsidRPr="00D01D88" w:rsidR="00B77DEF" w:rsidP="0090703E" w:rsidRDefault="00B77DEF" w14:paraId="1F02AAB6" w14:textId="77777777">
            <w:pPr>
              <w:jc w:val="center"/>
              <w:rPr>
                <w:rFonts w:ascii="Calibri" w:hAnsi="Calibri" w:cs="Calibri"/>
                <w:sz w:val="22"/>
                <w:szCs w:val="22"/>
              </w:rPr>
            </w:pPr>
          </w:p>
        </w:tc>
      </w:tr>
      <w:tr w:rsidRPr="00D01D88" w:rsidR="00B77DEF" w:rsidTr="0090703E" w14:paraId="1C2C3DE1" w14:textId="77777777">
        <w:tc>
          <w:tcPr>
            <w:tcW w:w="897" w:type="dxa"/>
          </w:tcPr>
          <w:p w:rsidRPr="00D01D88" w:rsidR="00B77DEF" w:rsidP="0090703E" w:rsidRDefault="00B77DEF" w14:paraId="0DF66ADE" w14:textId="77777777">
            <w:pPr>
              <w:jc w:val="center"/>
              <w:rPr>
                <w:rFonts w:ascii="Calibri" w:hAnsi="Calibri" w:cs="Calibri"/>
                <w:sz w:val="22"/>
                <w:szCs w:val="22"/>
              </w:rPr>
            </w:pPr>
            <w:r w:rsidRPr="00D01D88">
              <w:rPr>
                <w:rFonts w:ascii="Calibri" w:hAnsi="Calibri" w:cs="Calibri"/>
                <w:sz w:val="22"/>
                <w:szCs w:val="22"/>
              </w:rPr>
              <w:t>17</w:t>
            </w:r>
          </w:p>
        </w:tc>
        <w:tc>
          <w:tcPr>
            <w:tcW w:w="1711" w:type="dxa"/>
          </w:tcPr>
          <w:p w:rsidRPr="00D01D88" w:rsidR="00B77DEF" w:rsidP="0090703E" w:rsidRDefault="00B77DEF" w14:paraId="416E8BBC" w14:textId="77777777">
            <w:pPr>
              <w:jc w:val="center"/>
              <w:rPr>
                <w:rFonts w:ascii="Calibri" w:hAnsi="Calibri" w:cs="Calibri"/>
                <w:sz w:val="22"/>
                <w:szCs w:val="22"/>
              </w:rPr>
            </w:pPr>
            <w:r w:rsidRPr="00D01D88">
              <w:rPr>
                <w:rFonts w:ascii="Calibri" w:hAnsi="Calibri" w:cs="Calibri"/>
                <w:sz w:val="22"/>
                <w:szCs w:val="22"/>
              </w:rPr>
              <w:t>Filipijnen</w:t>
            </w:r>
          </w:p>
        </w:tc>
        <w:tc>
          <w:tcPr>
            <w:tcW w:w="2490" w:type="dxa"/>
          </w:tcPr>
          <w:p w:rsidRPr="00D01D88" w:rsidR="00B77DEF" w:rsidP="0090703E" w:rsidRDefault="00B77DEF" w14:paraId="48F370E8" w14:textId="77777777">
            <w:pPr>
              <w:jc w:val="center"/>
              <w:rPr>
                <w:rFonts w:ascii="Calibri" w:hAnsi="Calibri" w:cs="Calibri"/>
                <w:sz w:val="22"/>
                <w:szCs w:val="22"/>
              </w:rPr>
            </w:pPr>
            <w:r w:rsidRPr="00D01D88">
              <w:rPr>
                <w:rFonts w:ascii="Calibri" w:hAnsi="Calibri" w:cs="Calibri"/>
                <w:sz w:val="22"/>
                <w:szCs w:val="22"/>
              </w:rPr>
              <w:t>125</w:t>
            </w:r>
          </w:p>
        </w:tc>
        <w:tc>
          <w:tcPr>
            <w:tcW w:w="2433" w:type="dxa"/>
          </w:tcPr>
          <w:p w:rsidRPr="00D01D88" w:rsidR="00B77DEF" w:rsidP="0090703E" w:rsidRDefault="00B77DEF" w14:paraId="3E3F444E" w14:textId="77777777">
            <w:pPr>
              <w:jc w:val="center"/>
              <w:rPr>
                <w:rFonts w:ascii="Calibri" w:hAnsi="Calibri" w:cs="Calibri"/>
                <w:sz w:val="22"/>
                <w:szCs w:val="22"/>
              </w:rPr>
            </w:pPr>
          </w:p>
        </w:tc>
      </w:tr>
      <w:tr w:rsidRPr="00D01D88" w:rsidR="00B77DEF" w:rsidTr="0090703E" w14:paraId="7DF78509" w14:textId="77777777">
        <w:tc>
          <w:tcPr>
            <w:tcW w:w="897" w:type="dxa"/>
          </w:tcPr>
          <w:p w:rsidRPr="00D01D88" w:rsidR="00B77DEF" w:rsidP="0090703E" w:rsidRDefault="00B77DEF" w14:paraId="684E9689" w14:textId="77777777">
            <w:pPr>
              <w:jc w:val="center"/>
              <w:rPr>
                <w:rFonts w:ascii="Calibri" w:hAnsi="Calibri" w:cs="Calibri"/>
                <w:sz w:val="22"/>
                <w:szCs w:val="22"/>
              </w:rPr>
            </w:pPr>
            <w:r w:rsidRPr="00D01D88">
              <w:rPr>
                <w:rFonts w:ascii="Calibri" w:hAnsi="Calibri" w:cs="Calibri"/>
                <w:sz w:val="22"/>
                <w:szCs w:val="22"/>
              </w:rPr>
              <w:t>18</w:t>
            </w:r>
          </w:p>
        </w:tc>
        <w:tc>
          <w:tcPr>
            <w:tcW w:w="1711" w:type="dxa"/>
          </w:tcPr>
          <w:p w:rsidRPr="00D01D88" w:rsidR="00B77DEF" w:rsidP="0090703E" w:rsidRDefault="00B77DEF" w14:paraId="29F1EFA5" w14:textId="77777777">
            <w:pPr>
              <w:jc w:val="center"/>
              <w:rPr>
                <w:rFonts w:ascii="Calibri" w:hAnsi="Calibri" w:cs="Calibri"/>
                <w:sz w:val="22"/>
                <w:szCs w:val="22"/>
              </w:rPr>
            </w:pPr>
            <w:r w:rsidRPr="00D01D88">
              <w:rPr>
                <w:rFonts w:ascii="Calibri" w:hAnsi="Calibri" w:cs="Calibri"/>
                <w:sz w:val="22"/>
                <w:szCs w:val="22"/>
              </w:rPr>
              <w:t>Verenigde Arabische Emiraten</w:t>
            </w:r>
          </w:p>
        </w:tc>
        <w:tc>
          <w:tcPr>
            <w:tcW w:w="2490" w:type="dxa"/>
          </w:tcPr>
          <w:p w:rsidRPr="00D01D88" w:rsidR="00B77DEF" w:rsidP="0090703E" w:rsidRDefault="00B77DEF" w14:paraId="418359AB" w14:textId="77777777">
            <w:pPr>
              <w:jc w:val="center"/>
              <w:rPr>
                <w:rFonts w:ascii="Calibri" w:hAnsi="Calibri" w:cs="Calibri"/>
                <w:sz w:val="22"/>
                <w:szCs w:val="22"/>
              </w:rPr>
            </w:pPr>
            <w:r w:rsidRPr="00D01D88">
              <w:rPr>
                <w:rFonts w:ascii="Calibri" w:hAnsi="Calibri" w:cs="Calibri"/>
                <w:sz w:val="22"/>
                <w:szCs w:val="22"/>
              </w:rPr>
              <w:t>122</w:t>
            </w:r>
          </w:p>
        </w:tc>
        <w:tc>
          <w:tcPr>
            <w:tcW w:w="2433" w:type="dxa"/>
          </w:tcPr>
          <w:p w:rsidRPr="00D01D88" w:rsidR="00B77DEF" w:rsidP="0090703E" w:rsidRDefault="00B77DEF" w14:paraId="6713CEF5" w14:textId="77777777">
            <w:pPr>
              <w:jc w:val="center"/>
              <w:rPr>
                <w:rFonts w:ascii="Calibri" w:hAnsi="Calibri" w:cs="Calibri"/>
                <w:sz w:val="22"/>
                <w:szCs w:val="22"/>
              </w:rPr>
            </w:pPr>
          </w:p>
        </w:tc>
      </w:tr>
      <w:tr w:rsidRPr="00D01D88" w:rsidR="00B77DEF" w:rsidTr="0090703E" w14:paraId="66046E78" w14:textId="77777777">
        <w:tc>
          <w:tcPr>
            <w:tcW w:w="897" w:type="dxa"/>
          </w:tcPr>
          <w:p w:rsidRPr="00D01D88" w:rsidR="00B77DEF" w:rsidP="0090703E" w:rsidRDefault="00B77DEF" w14:paraId="1BB7AA06" w14:textId="77777777">
            <w:pPr>
              <w:jc w:val="center"/>
              <w:rPr>
                <w:rFonts w:ascii="Calibri" w:hAnsi="Calibri" w:cs="Calibri"/>
                <w:sz w:val="22"/>
                <w:szCs w:val="22"/>
              </w:rPr>
            </w:pPr>
            <w:r w:rsidRPr="00D01D88">
              <w:rPr>
                <w:rFonts w:ascii="Calibri" w:hAnsi="Calibri" w:cs="Calibri"/>
                <w:sz w:val="22"/>
                <w:szCs w:val="22"/>
              </w:rPr>
              <w:t>19</w:t>
            </w:r>
          </w:p>
        </w:tc>
        <w:tc>
          <w:tcPr>
            <w:tcW w:w="1711" w:type="dxa"/>
          </w:tcPr>
          <w:p w:rsidRPr="00D01D88" w:rsidR="00B77DEF" w:rsidP="0090703E" w:rsidRDefault="00B77DEF" w14:paraId="7002767A" w14:textId="77777777">
            <w:pPr>
              <w:jc w:val="center"/>
              <w:rPr>
                <w:rFonts w:ascii="Calibri" w:hAnsi="Calibri" w:cs="Calibri"/>
                <w:sz w:val="22"/>
                <w:szCs w:val="22"/>
              </w:rPr>
            </w:pPr>
            <w:r w:rsidRPr="00D01D88">
              <w:rPr>
                <w:rFonts w:ascii="Calibri" w:hAnsi="Calibri" w:cs="Calibri"/>
                <w:sz w:val="22"/>
                <w:szCs w:val="22"/>
              </w:rPr>
              <w:t>Canada</w:t>
            </w:r>
          </w:p>
        </w:tc>
        <w:tc>
          <w:tcPr>
            <w:tcW w:w="2490" w:type="dxa"/>
          </w:tcPr>
          <w:p w:rsidRPr="00D01D88" w:rsidR="00B77DEF" w:rsidP="0090703E" w:rsidRDefault="00B77DEF" w14:paraId="29881F68" w14:textId="77777777">
            <w:pPr>
              <w:jc w:val="center"/>
              <w:rPr>
                <w:rFonts w:ascii="Calibri" w:hAnsi="Calibri" w:cs="Calibri"/>
                <w:sz w:val="22"/>
                <w:szCs w:val="22"/>
              </w:rPr>
            </w:pPr>
            <w:r w:rsidRPr="00D01D88">
              <w:rPr>
                <w:rFonts w:ascii="Calibri" w:hAnsi="Calibri" w:cs="Calibri"/>
                <w:sz w:val="22"/>
                <w:szCs w:val="22"/>
              </w:rPr>
              <w:t>103</w:t>
            </w:r>
          </w:p>
        </w:tc>
        <w:tc>
          <w:tcPr>
            <w:tcW w:w="2433" w:type="dxa"/>
          </w:tcPr>
          <w:p w:rsidRPr="00D01D88" w:rsidR="00B77DEF" w:rsidP="0090703E" w:rsidRDefault="00B77DEF" w14:paraId="6629A0A3" w14:textId="77777777">
            <w:pPr>
              <w:jc w:val="center"/>
              <w:rPr>
                <w:rFonts w:ascii="Calibri" w:hAnsi="Calibri" w:cs="Calibri"/>
                <w:sz w:val="22"/>
                <w:szCs w:val="22"/>
              </w:rPr>
            </w:pPr>
          </w:p>
        </w:tc>
      </w:tr>
      <w:tr w:rsidRPr="00D01D88" w:rsidR="00B77DEF" w:rsidTr="0090703E" w14:paraId="24306493" w14:textId="77777777">
        <w:tc>
          <w:tcPr>
            <w:tcW w:w="897" w:type="dxa"/>
          </w:tcPr>
          <w:p w:rsidRPr="00D01D88" w:rsidR="00B77DEF" w:rsidP="0090703E" w:rsidRDefault="00B77DEF" w14:paraId="530EE8F4" w14:textId="77777777">
            <w:pPr>
              <w:jc w:val="center"/>
              <w:rPr>
                <w:rFonts w:ascii="Calibri" w:hAnsi="Calibri" w:cs="Calibri"/>
                <w:sz w:val="22"/>
                <w:szCs w:val="22"/>
              </w:rPr>
            </w:pPr>
            <w:r w:rsidRPr="00D01D88">
              <w:rPr>
                <w:rFonts w:ascii="Calibri" w:hAnsi="Calibri" w:cs="Calibri"/>
                <w:sz w:val="22"/>
                <w:szCs w:val="22"/>
              </w:rPr>
              <w:t>20</w:t>
            </w:r>
          </w:p>
        </w:tc>
        <w:tc>
          <w:tcPr>
            <w:tcW w:w="1711" w:type="dxa"/>
          </w:tcPr>
          <w:p w:rsidRPr="00D01D88" w:rsidR="00B77DEF" w:rsidP="0090703E" w:rsidRDefault="00B77DEF" w14:paraId="7E0BC00A" w14:textId="77777777">
            <w:pPr>
              <w:jc w:val="center"/>
              <w:rPr>
                <w:rFonts w:ascii="Calibri" w:hAnsi="Calibri" w:cs="Calibri"/>
                <w:sz w:val="22"/>
                <w:szCs w:val="22"/>
              </w:rPr>
            </w:pPr>
            <w:r w:rsidRPr="00D01D88">
              <w:rPr>
                <w:rFonts w:ascii="Calibri" w:hAnsi="Calibri" w:cs="Calibri"/>
                <w:sz w:val="22"/>
                <w:szCs w:val="22"/>
              </w:rPr>
              <w:t>Nieuw-Zeeland</w:t>
            </w:r>
          </w:p>
        </w:tc>
        <w:tc>
          <w:tcPr>
            <w:tcW w:w="2490" w:type="dxa"/>
          </w:tcPr>
          <w:p w:rsidRPr="00D01D88" w:rsidR="00B77DEF" w:rsidP="0090703E" w:rsidRDefault="00B77DEF" w14:paraId="23D332F3" w14:textId="77777777">
            <w:pPr>
              <w:jc w:val="center"/>
              <w:rPr>
                <w:rFonts w:ascii="Calibri" w:hAnsi="Calibri" w:cs="Calibri"/>
                <w:sz w:val="22"/>
                <w:szCs w:val="22"/>
              </w:rPr>
            </w:pPr>
            <w:r w:rsidRPr="00D01D88">
              <w:rPr>
                <w:rFonts w:ascii="Calibri" w:hAnsi="Calibri" w:cs="Calibri"/>
                <w:sz w:val="22"/>
                <w:szCs w:val="22"/>
              </w:rPr>
              <w:t>85</w:t>
            </w:r>
          </w:p>
        </w:tc>
        <w:tc>
          <w:tcPr>
            <w:tcW w:w="2433" w:type="dxa"/>
          </w:tcPr>
          <w:p w:rsidRPr="00D01D88" w:rsidR="00B77DEF" w:rsidP="0090703E" w:rsidRDefault="00B77DEF" w14:paraId="78565CBB" w14:textId="77777777">
            <w:pPr>
              <w:jc w:val="center"/>
              <w:rPr>
                <w:rFonts w:ascii="Calibri" w:hAnsi="Calibri" w:cs="Calibri"/>
                <w:sz w:val="22"/>
                <w:szCs w:val="22"/>
              </w:rPr>
            </w:pPr>
          </w:p>
        </w:tc>
      </w:tr>
      <w:tr w:rsidRPr="00D01D88" w:rsidR="00B77DEF" w:rsidTr="0090703E" w14:paraId="225287DD" w14:textId="77777777">
        <w:tc>
          <w:tcPr>
            <w:tcW w:w="897" w:type="dxa"/>
          </w:tcPr>
          <w:p w:rsidRPr="00D01D88" w:rsidR="00B77DEF" w:rsidP="0090703E" w:rsidRDefault="00B77DEF" w14:paraId="6F8F31F1" w14:textId="77777777">
            <w:pPr>
              <w:jc w:val="center"/>
              <w:rPr>
                <w:rFonts w:ascii="Calibri" w:hAnsi="Calibri" w:cs="Calibri"/>
                <w:sz w:val="22"/>
                <w:szCs w:val="22"/>
              </w:rPr>
            </w:pPr>
            <w:r w:rsidRPr="00D01D88">
              <w:rPr>
                <w:rFonts w:ascii="Calibri" w:hAnsi="Calibri" w:cs="Calibri"/>
                <w:sz w:val="22"/>
                <w:szCs w:val="22"/>
              </w:rPr>
              <w:t>21</w:t>
            </w:r>
          </w:p>
        </w:tc>
        <w:tc>
          <w:tcPr>
            <w:tcW w:w="1711" w:type="dxa"/>
          </w:tcPr>
          <w:p w:rsidRPr="00D01D88" w:rsidR="00B77DEF" w:rsidP="0090703E" w:rsidRDefault="00B77DEF" w14:paraId="637BE2E2" w14:textId="77777777">
            <w:pPr>
              <w:jc w:val="center"/>
              <w:rPr>
                <w:rFonts w:ascii="Calibri" w:hAnsi="Calibri" w:cs="Calibri"/>
                <w:sz w:val="22"/>
                <w:szCs w:val="22"/>
              </w:rPr>
            </w:pPr>
            <w:r w:rsidRPr="00D01D88">
              <w:rPr>
                <w:rFonts w:ascii="Calibri" w:hAnsi="Calibri" w:cs="Calibri"/>
                <w:sz w:val="22"/>
                <w:szCs w:val="22"/>
              </w:rPr>
              <w:t>Belarus</w:t>
            </w:r>
          </w:p>
        </w:tc>
        <w:tc>
          <w:tcPr>
            <w:tcW w:w="2490" w:type="dxa"/>
          </w:tcPr>
          <w:p w:rsidRPr="00D01D88" w:rsidR="00B77DEF" w:rsidP="0090703E" w:rsidRDefault="00B77DEF" w14:paraId="22BBED84" w14:textId="77777777">
            <w:pPr>
              <w:jc w:val="center"/>
              <w:rPr>
                <w:rFonts w:ascii="Calibri" w:hAnsi="Calibri" w:cs="Calibri"/>
                <w:sz w:val="22"/>
                <w:szCs w:val="22"/>
              </w:rPr>
            </w:pPr>
            <w:r w:rsidRPr="00D01D88">
              <w:rPr>
                <w:rFonts w:ascii="Calibri" w:hAnsi="Calibri" w:cs="Calibri"/>
                <w:sz w:val="22"/>
                <w:szCs w:val="22"/>
              </w:rPr>
              <w:t>82</w:t>
            </w:r>
          </w:p>
        </w:tc>
        <w:tc>
          <w:tcPr>
            <w:tcW w:w="2433" w:type="dxa"/>
          </w:tcPr>
          <w:p w:rsidRPr="00D01D88" w:rsidR="00B77DEF" w:rsidP="0090703E" w:rsidRDefault="00B77DEF" w14:paraId="1E93ACA2" w14:textId="77777777">
            <w:pPr>
              <w:jc w:val="center"/>
              <w:rPr>
                <w:rFonts w:ascii="Calibri" w:hAnsi="Calibri" w:cs="Calibri"/>
                <w:sz w:val="22"/>
                <w:szCs w:val="22"/>
              </w:rPr>
            </w:pPr>
          </w:p>
        </w:tc>
      </w:tr>
      <w:tr w:rsidRPr="00D01D88" w:rsidR="00B77DEF" w:rsidTr="0090703E" w14:paraId="212A58E1" w14:textId="77777777">
        <w:tc>
          <w:tcPr>
            <w:tcW w:w="897" w:type="dxa"/>
          </w:tcPr>
          <w:p w:rsidRPr="00D01D88" w:rsidR="00B77DEF" w:rsidP="0090703E" w:rsidRDefault="00B77DEF" w14:paraId="5332E7ED" w14:textId="77777777">
            <w:pPr>
              <w:jc w:val="center"/>
              <w:rPr>
                <w:rFonts w:ascii="Calibri" w:hAnsi="Calibri" w:cs="Calibri"/>
                <w:sz w:val="22"/>
                <w:szCs w:val="22"/>
              </w:rPr>
            </w:pPr>
            <w:r w:rsidRPr="00D01D88">
              <w:rPr>
                <w:rFonts w:ascii="Calibri" w:hAnsi="Calibri" w:cs="Calibri"/>
                <w:sz w:val="22"/>
                <w:szCs w:val="22"/>
              </w:rPr>
              <w:t>22</w:t>
            </w:r>
          </w:p>
        </w:tc>
        <w:tc>
          <w:tcPr>
            <w:tcW w:w="1711" w:type="dxa"/>
          </w:tcPr>
          <w:p w:rsidRPr="00D01D88" w:rsidR="00B77DEF" w:rsidP="0090703E" w:rsidRDefault="00B77DEF" w14:paraId="62F8433E" w14:textId="77777777">
            <w:pPr>
              <w:jc w:val="center"/>
              <w:rPr>
                <w:rFonts w:ascii="Calibri" w:hAnsi="Calibri" w:cs="Calibri"/>
                <w:sz w:val="22"/>
                <w:szCs w:val="22"/>
              </w:rPr>
            </w:pPr>
            <w:r w:rsidRPr="00D01D88">
              <w:rPr>
                <w:rFonts w:ascii="Calibri" w:hAnsi="Calibri" w:cs="Calibri"/>
                <w:sz w:val="22"/>
                <w:szCs w:val="22"/>
              </w:rPr>
              <w:t>Indonesië</w:t>
            </w:r>
          </w:p>
        </w:tc>
        <w:tc>
          <w:tcPr>
            <w:tcW w:w="2490" w:type="dxa"/>
          </w:tcPr>
          <w:p w:rsidRPr="00D01D88" w:rsidR="00B77DEF" w:rsidP="0090703E" w:rsidRDefault="00B77DEF" w14:paraId="69387AB0" w14:textId="77777777">
            <w:pPr>
              <w:jc w:val="center"/>
              <w:rPr>
                <w:rFonts w:ascii="Calibri" w:hAnsi="Calibri" w:cs="Calibri"/>
                <w:sz w:val="22"/>
                <w:szCs w:val="22"/>
              </w:rPr>
            </w:pPr>
            <w:r w:rsidRPr="00D01D88">
              <w:rPr>
                <w:rFonts w:ascii="Calibri" w:hAnsi="Calibri" w:cs="Calibri"/>
                <w:sz w:val="22"/>
                <w:szCs w:val="22"/>
              </w:rPr>
              <w:t>72</w:t>
            </w:r>
          </w:p>
        </w:tc>
        <w:tc>
          <w:tcPr>
            <w:tcW w:w="2433" w:type="dxa"/>
          </w:tcPr>
          <w:p w:rsidRPr="00D01D88" w:rsidR="00B77DEF" w:rsidP="0090703E" w:rsidRDefault="00B77DEF" w14:paraId="36C7919F" w14:textId="77777777">
            <w:pPr>
              <w:jc w:val="center"/>
              <w:rPr>
                <w:rFonts w:ascii="Calibri" w:hAnsi="Calibri" w:cs="Calibri"/>
                <w:sz w:val="22"/>
                <w:szCs w:val="22"/>
              </w:rPr>
            </w:pPr>
          </w:p>
        </w:tc>
      </w:tr>
      <w:tr w:rsidRPr="00D01D88" w:rsidR="00B77DEF" w:rsidTr="0090703E" w14:paraId="3623BE82" w14:textId="77777777">
        <w:tc>
          <w:tcPr>
            <w:tcW w:w="897" w:type="dxa"/>
          </w:tcPr>
          <w:p w:rsidRPr="00D01D88" w:rsidR="00B77DEF" w:rsidP="0090703E" w:rsidRDefault="00B77DEF" w14:paraId="70A07A97" w14:textId="77777777">
            <w:pPr>
              <w:jc w:val="center"/>
              <w:rPr>
                <w:rFonts w:ascii="Calibri" w:hAnsi="Calibri" w:cs="Calibri"/>
                <w:sz w:val="22"/>
                <w:szCs w:val="22"/>
              </w:rPr>
            </w:pPr>
            <w:r w:rsidRPr="00D01D88">
              <w:rPr>
                <w:rFonts w:ascii="Calibri" w:hAnsi="Calibri" w:cs="Calibri"/>
                <w:sz w:val="22"/>
                <w:szCs w:val="22"/>
              </w:rPr>
              <w:t>23</w:t>
            </w:r>
          </w:p>
        </w:tc>
        <w:tc>
          <w:tcPr>
            <w:tcW w:w="1711" w:type="dxa"/>
          </w:tcPr>
          <w:p w:rsidRPr="00D01D88" w:rsidR="00B77DEF" w:rsidP="0090703E" w:rsidRDefault="00B77DEF" w14:paraId="578BDE4D" w14:textId="77777777">
            <w:pPr>
              <w:jc w:val="center"/>
              <w:rPr>
                <w:rFonts w:ascii="Calibri" w:hAnsi="Calibri" w:cs="Calibri"/>
                <w:sz w:val="22"/>
                <w:szCs w:val="22"/>
              </w:rPr>
            </w:pPr>
            <w:r w:rsidRPr="00D01D88">
              <w:rPr>
                <w:rFonts w:ascii="Calibri" w:hAnsi="Calibri" w:cs="Calibri"/>
                <w:sz w:val="22"/>
                <w:szCs w:val="22"/>
              </w:rPr>
              <w:t>Sri Lanka</w:t>
            </w:r>
          </w:p>
        </w:tc>
        <w:tc>
          <w:tcPr>
            <w:tcW w:w="2490" w:type="dxa"/>
          </w:tcPr>
          <w:p w:rsidRPr="00D01D88" w:rsidR="00B77DEF" w:rsidP="0090703E" w:rsidRDefault="00B77DEF" w14:paraId="2BDC1C19" w14:textId="77777777">
            <w:pPr>
              <w:jc w:val="center"/>
              <w:rPr>
                <w:rFonts w:ascii="Calibri" w:hAnsi="Calibri" w:cs="Calibri"/>
                <w:sz w:val="22"/>
                <w:szCs w:val="22"/>
              </w:rPr>
            </w:pPr>
            <w:r w:rsidRPr="00D01D88">
              <w:rPr>
                <w:rFonts w:ascii="Calibri" w:hAnsi="Calibri" w:cs="Calibri"/>
                <w:sz w:val="22"/>
                <w:szCs w:val="22"/>
              </w:rPr>
              <w:t>68</w:t>
            </w:r>
          </w:p>
        </w:tc>
        <w:tc>
          <w:tcPr>
            <w:tcW w:w="2433" w:type="dxa"/>
          </w:tcPr>
          <w:p w:rsidRPr="00D01D88" w:rsidR="00B77DEF" w:rsidP="0090703E" w:rsidRDefault="00B77DEF" w14:paraId="362EA2AE" w14:textId="77777777">
            <w:pPr>
              <w:jc w:val="center"/>
              <w:rPr>
                <w:rFonts w:ascii="Calibri" w:hAnsi="Calibri" w:cs="Calibri"/>
                <w:sz w:val="22"/>
                <w:szCs w:val="22"/>
              </w:rPr>
            </w:pPr>
          </w:p>
        </w:tc>
      </w:tr>
      <w:tr w:rsidRPr="00D01D88" w:rsidR="00B77DEF" w:rsidTr="0090703E" w14:paraId="1CF4FCB5" w14:textId="77777777">
        <w:tc>
          <w:tcPr>
            <w:tcW w:w="897" w:type="dxa"/>
          </w:tcPr>
          <w:p w:rsidRPr="00D01D88" w:rsidR="00B77DEF" w:rsidP="0090703E" w:rsidRDefault="00B77DEF" w14:paraId="14505E24" w14:textId="77777777">
            <w:pPr>
              <w:jc w:val="center"/>
              <w:rPr>
                <w:rFonts w:ascii="Calibri" w:hAnsi="Calibri" w:cs="Calibri"/>
                <w:sz w:val="22"/>
                <w:szCs w:val="22"/>
              </w:rPr>
            </w:pPr>
            <w:r w:rsidRPr="00D01D88">
              <w:rPr>
                <w:rFonts w:ascii="Calibri" w:hAnsi="Calibri" w:cs="Calibri"/>
                <w:sz w:val="22"/>
                <w:szCs w:val="22"/>
              </w:rPr>
              <w:t>24</w:t>
            </w:r>
          </w:p>
        </w:tc>
        <w:tc>
          <w:tcPr>
            <w:tcW w:w="1711" w:type="dxa"/>
          </w:tcPr>
          <w:p w:rsidRPr="00D01D88" w:rsidR="00B77DEF" w:rsidP="0090703E" w:rsidRDefault="00B77DEF" w14:paraId="6A38478B" w14:textId="77777777">
            <w:pPr>
              <w:jc w:val="center"/>
              <w:rPr>
                <w:rFonts w:ascii="Calibri" w:hAnsi="Calibri" w:cs="Calibri"/>
                <w:sz w:val="22"/>
                <w:szCs w:val="22"/>
              </w:rPr>
            </w:pPr>
            <w:r w:rsidRPr="00D01D88">
              <w:rPr>
                <w:rFonts w:ascii="Calibri" w:hAnsi="Calibri" w:cs="Calibri"/>
                <w:sz w:val="22"/>
                <w:szCs w:val="22"/>
              </w:rPr>
              <w:t>Servië</w:t>
            </w:r>
          </w:p>
        </w:tc>
        <w:tc>
          <w:tcPr>
            <w:tcW w:w="2490" w:type="dxa"/>
          </w:tcPr>
          <w:p w:rsidRPr="00D01D88" w:rsidR="00B77DEF" w:rsidP="0090703E" w:rsidRDefault="00B77DEF" w14:paraId="0C1D8FBE" w14:textId="77777777">
            <w:pPr>
              <w:jc w:val="center"/>
              <w:rPr>
                <w:rFonts w:ascii="Calibri" w:hAnsi="Calibri" w:cs="Calibri"/>
                <w:sz w:val="22"/>
                <w:szCs w:val="22"/>
              </w:rPr>
            </w:pPr>
            <w:r w:rsidRPr="00D01D88">
              <w:rPr>
                <w:rFonts w:ascii="Calibri" w:hAnsi="Calibri" w:cs="Calibri"/>
                <w:sz w:val="22"/>
                <w:szCs w:val="22"/>
              </w:rPr>
              <w:t>66</w:t>
            </w:r>
          </w:p>
        </w:tc>
        <w:tc>
          <w:tcPr>
            <w:tcW w:w="2433" w:type="dxa"/>
          </w:tcPr>
          <w:p w:rsidRPr="00D01D88" w:rsidR="00B77DEF" w:rsidP="0090703E" w:rsidRDefault="00B77DEF" w14:paraId="6520233E" w14:textId="77777777">
            <w:pPr>
              <w:jc w:val="center"/>
              <w:rPr>
                <w:rFonts w:ascii="Calibri" w:hAnsi="Calibri" w:cs="Calibri"/>
                <w:sz w:val="22"/>
                <w:szCs w:val="22"/>
              </w:rPr>
            </w:pPr>
          </w:p>
        </w:tc>
      </w:tr>
      <w:tr w:rsidRPr="00D01D88" w:rsidR="00B77DEF" w:rsidTr="0090703E" w14:paraId="69A8773F" w14:textId="77777777">
        <w:tc>
          <w:tcPr>
            <w:tcW w:w="897" w:type="dxa"/>
          </w:tcPr>
          <w:p w:rsidRPr="00D01D88" w:rsidR="00B77DEF" w:rsidP="0090703E" w:rsidRDefault="00B77DEF" w14:paraId="7D8F76E7" w14:textId="77777777">
            <w:pPr>
              <w:jc w:val="center"/>
              <w:rPr>
                <w:rFonts w:ascii="Calibri" w:hAnsi="Calibri" w:cs="Calibri"/>
                <w:sz w:val="22"/>
                <w:szCs w:val="22"/>
              </w:rPr>
            </w:pPr>
            <w:r w:rsidRPr="00D01D88">
              <w:rPr>
                <w:rFonts w:ascii="Calibri" w:hAnsi="Calibri" w:cs="Calibri"/>
                <w:sz w:val="22"/>
                <w:szCs w:val="22"/>
              </w:rPr>
              <w:t>25</w:t>
            </w:r>
          </w:p>
        </w:tc>
        <w:tc>
          <w:tcPr>
            <w:tcW w:w="1711" w:type="dxa"/>
          </w:tcPr>
          <w:p w:rsidRPr="00D01D88" w:rsidR="00B77DEF" w:rsidP="0090703E" w:rsidRDefault="00B77DEF" w14:paraId="03D1833E" w14:textId="77777777">
            <w:pPr>
              <w:jc w:val="center"/>
              <w:rPr>
                <w:rFonts w:ascii="Calibri" w:hAnsi="Calibri" w:cs="Calibri"/>
                <w:sz w:val="22"/>
                <w:szCs w:val="22"/>
              </w:rPr>
            </w:pPr>
            <w:r w:rsidRPr="00D01D88">
              <w:rPr>
                <w:rFonts w:ascii="Calibri" w:hAnsi="Calibri" w:cs="Calibri"/>
                <w:sz w:val="22"/>
                <w:szCs w:val="22"/>
              </w:rPr>
              <w:t>Maleisië</w:t>
            </w:r>
          </w:p>
        </w:tc>
        <w:tc>
          <w:tcPr>
            <w:tcW w:w="2490" w:type="dxa"/>
          </w:tcPr>
          <w:p w:rsidRPr="00D01D88" w:rsidR="00B77DEF" w:rsidP="0090703E" w:rsidRDefault="00B77DEF" w14:paraId="17A496CD" w14:textId="77777777">
            <w:pPr>
              <w:jc w:val="center"/>
              <w:rPr>
                <w:rFonts w:ascii="Calibri" w:hAnsi="Calibri" w:cs="Calibri"/>
                <w:sz w:val="22"/>
                <w:szCs w:val="22"/>
              </w:rPr>
            </w:pPr>
            <w:r w:rsidRPr="00D01D88">
              <w:rPr>
                <w:rFonts w:ascii="Calibri" w:hAnsi="Calibri" w:cs="Calibri"/>
                <w:sz w:val="22"/>
                <w:szCs w:val="22"/>
              </w:rPr>
              <w:t>64</w:t>
            </w:r>
          </w:p>
        </w:tc>
        <w:tc>
          <w:tcPr>
            <w:tcW w:w="2433" w:type="dxa"/>
          </w:tcPr>
          <w:p w:rsidRPr="00D01D88" w:rsidR="00B77DEF" w:rsidP="0090703E" w:rsidRDefault="00B77DEF" w14:paraId="2039EF92" w14:textId="77777777">
            <w:pPr>
              <w:jc w:val="center"/>
              <w:rPr>
                <w:rFonts w:ascii="Calibri" w:hAnsi="Calibri" w:cs="Calibri"/>
                <w:sz w:val="22"/>
                <w:szCs w:val="22"/>
              </w:rPr>
            </w:pPr>
          </w:p>
        </w:tc>
      </w:tr>
    </w:tbl>
    <w:p w:rsidRPr="00D01D88" w:rsidR="00B77DEF" w:rsidP="00B77DEF" w:rsidRDefault="00B77DEF" w14:paraId="7EF3A977" w14:textId="77777777">
      <w:pPr>
        <w:rPr>
          <w:rFonts w:ascii="Calibri" w:hAnsi="Calibri" w:cs="Calibri"/>
        </w:rPr>
      </w:pPr>
    </w:p>
    <w:p w:rsidRPr="00D01D88" w:rsidR="00B77DEF" w:rsidP="00B77DEF" w:rsidRDefault="00B77DEF" w14:paraId="64B9248D" w14:textId="77777777">
      <w:pPr>
        <w:rPr>
          <w:rFonts w:ascii="Calibri" w:hAnsi="Calibri" w:cs="Calibri"/>
        </w:rPr>
      </w:pPr>
      <w:r w:rsidRPr="00D01D88">
        <w:rPr>
          <w:rFonts w:ascii="Calibri" w:hAnsi="Calibri" w:cs="Calibri"/>
        </w:rPr>
        <w:t>Op basis van deze cijfers kan worden geconcludeerd dat ongeveer de helft van alle omwisselingen voor expats in 2024 rijbewijzen uit India, Zuid-Afrika en Turkije betrof. Als een onderverdeling gemaakt wordt naar regio, dan is deze ruwweg: Azië ca. 35%, Europa incl. Turkije ca. 20%, Latijns-Amerika ca. 10%, VS en Canada ca. 6,5%.</w:t>
      </w:r>
    </w:p>
    <w:p w:rsidRPr="00D01D88" w:rsidR="00B77DEF" w:rsidP="00D01D88" w:rsidRDefault="00B77DEF" w14:paraId="2DBC2BD6" w14:textId="77777777">
      <w:pPr>
        <w:pStyle w:val="Geenafstand"/>
      </w:pPr>
    </w:p>
    <w:p w:rsidRPr="00D01D88" w:rsidR="00B77DEF" w:rsidP="00B77DEF" w:rsidRDefault="00B77DEF" w14:paraId="26EA78D3" w14:textId="77777777">
      <w:pPr>
        <w:rPr>
          <w:rFonts w:ascii="Calibri" w:hAnsi="Calibri" w:cs="Calibri"/>
        </w:rPr>
      </w:pPr>
      <w:r w:rsidRPr="00D01D88">
        <w:rPr>
          <w:rFonts w:ascii="Calibri" w:hAnsi="Calibri" w:cs="Calibri"/>
          <w:b/>
          <w:bCs/>
        </w:rPr>
        <w:t>Omwisseling niet-EU rijbewijzen in EU nog niet geharmoniseerd</w:t>
      </w:r>
      <w:r w:rsidRPr="00D01D88" w:rsidDel="00302019">
        <w:rPr>
          <w:rFonts w:ascii="Calibri" w:hAnsi="Calibri" w:cs="Calibri"/>
          <w:b/>
          <w:bCs/>
        </w:rPr>
        <w:t xml:space="preserve"> </w:t>
      </w:r>
    </w:p>
    <w:p w:rsidRPr="00D01D88" w:rsidR="00B77DEF" w:rsidP="00D01D88" w:rsidRDefault="00B77DEF" w14:paraId="0C2A0674" w14:textId="25887C4F">
      <w:r w:rsidRPr="00D01D88">
        <w:t xml:space="preserve">Ondanks dat het rijbewijs binnen de EU in hoge mate is geharmoniseerd, valt het beleid voor het omwisselen van rijbewijzen van niet-EU-landen op dit moment nog steeds volledig binnen de nationale competentie. Dit heeft in de praktijk geleid tot grote verschillen tussen de EU-landen in het omgaan met deze rijbewijzen, met op de achtergrond verschillen in visie op de verkeersveiligheidswaarde van het rijbewijs. Sommige EU-landen zijn heel </w:t>
      </w:r>
      <w:r w:rsidRPr="00D01D88">
        <w:lastRenderedPageBreak/>
        <w:t>beperkt met het geven van omwisselrechten, maar andere landen wisselen rijbewijzen uit meer dan 100 landen, deelstaten of gebieden om. Vaak liggen hier samenwerkingsrelaties of historische banden aan ten grondslag. Met name Duitsland (ca. 80 landen of deelstaten), België en Frankrijk (ieder ca. 130) springen daarbij in het oog.</w:t>
      </w:r>
    </w:p>
    <w:p w:rsidRPr="00D01D88" w:rsidR="00B77DEF" w:rsidP="00D01D88" w:rsidRDefault="00B77DEF" w14:paraId="434654C6" w14:textId="77777777">
      <w:r w:rsidRPr="00D01D88">
        <w:t xml:space="preserve">Deze diversiteit in omwisselrechten is de afgelopen jaren aan de orde gekomen bij het opstellen van de vierde Europese rijbewijsrichtlijn. Deze moet over drie jaar in alle EU-landen zijn geïmplementeerd. Op voorstel van de Europese Commissie bevat de nieuwe richtlijn een regeling die op termijn waarschijnlijk een vergaande harmonisatie van de omwisselrechten brengt. De Commissie kan, na raadpleging van de lidstaten, het besluit nemen dat een rijbewijs van een niet-EU-land of -deelstaat qua verkeersveiligheidswaarde gelijk is aan het EU-rijbewijs. Vervolgens zijn de EU-lidstaten verplicht om het desbetreffende rijbewijs om te wisselen als de houder ervan zich duurzaam in de lidstaat vestigt. Hoewel het nog onduidelijk is hoe actief de Commissie deze bevoegdheid gaat invullen, is het de verwachting dat het afsluiten van nieuwe bilaterale akkoorden over omwisseling snel zal teruglopen en het besluit van de Europese Commissie als een standaard gaat fungeren. </w:t>
      </w:r>
    </w:p>
    <w:p w:rsidRPr="00D01D88" w:rsidR="00B77DEF" w:rsidP="00B77DEF" w:rsidRDefault="00B77DEF" w14:paraId="7C2F1874" w14:textId="77777777">
      <w:pPr>
        <w:pStyle w:val="Slotzin"/>
        <w:rPr>
          <w:rFonts w:ascii="Calibri" w:hAnsi="Calibri" w:cs="Calibri"/>
          <w:b/>
          <w:bCs/>
          <w:sz w:val="22"/>
          <w:szCs w:val="22"/>
        </w:rPr>
      </w:pPr>
      <w:r w:rsidRPr="00D01D88">
        <w:rPr>
          <w:rFonts w:ascii="Calibri" w:hAnsi="Calibri" w:cs="Calibri"/>
          <w:b/>
          <w:bCs/>
          <w:sz w:val="22"/>
          <w:szCs w:val="22"/>
        </w:rPr>
        <w:t>Verkeersveiligheidsaspecten: geen aanwijzing voor verhoogd risico</w:t>
      </w:r>
    </w:p>
    <w:p w:rsidRPr="00D01D88" w:rsidR="00B77DEF" w:rsidP="00B77DEF" w:rsidRDefault="00B77DEF" w14:paraId="35CA02E4" w14:textId="77777777">
      <w:pPr>
        <w:pStyle w:val="WitregelW1bodytekst"/>
        <w:rPr>
          <w:rFonts w:ascii="Calibri" w:hAnsi="Calibri" w:cs="Calibri"/>
          <w:sz w:val="22"/>
          <w:szCs w:val="22"/>
        </w:rPr>
      </w:pPr>
    </w:p>
    <w:p w:rsidRPr="00D01D88" w:rsidR="00B77DEF" w:rsidP="00D01D88" w:rsidRDefault="00B77DEF" w14:paraId="21DDBC46" w14:textId="77777777">
      <w:r w:rsidRPr="00D01D88">
        <w:t xml:space="preserve">Voor de beantwoording van de vragen in de motie over de verkeersveiligheidsaspecten van de omwisselingen kan in de eerste plaats verwezen worden naar het in 2022 verrichte onderzoek van Royal HaskoningDHV, </w:t>
      </w:r>
      <w:r w:rsidRPr="00D01D88">
        <w:rPr>
          <w:i/>
          <w:iCs/>
        </w:rPr>
        <w:t>Kennismigrantenregeling en risico’s voor de verkeersveiligheid</w:t>
      </w:r>
      <w:r w:rsidRPr="00D01D88">
        <w:t>, en de conclusies die naar aanleiding hiervan aan de Kamer zijn bericht in de eerdere verzamelbrief verkeersveiligheid.</w:t>
      </w:r>
      <w:r w:rsidRPr="00D01D88">
        <w:rPr>
          <w:rStyle w:val="Voetnootmarkering"/>
          <w:rFonts w:ascii="Calibri" w:hAnsi="Calibri" w:cs="Calibri"/>
        </w:rPr>
        <w:footnoteReference w:id="5"/>
      </w:r>
      <w:r w:rsidRPr="00D01D88">
        <w:t xml:space="preserve"> Er zijn geen aanwijzingen dat de omwisselingsregeling bovenmatige risico’s voor de verkeersveiligheid met zich meebrengt. Bij raadpleging van een aantal partijen op het gebied van de verkeersveiligheid, waaronder verzekeraars, politie en het Openbaar Ministerie, zijn er geen signalen geuit over een bovenmatig risico met betrekking tot de expats met omgewisselde rijbewijzen. Daarnaast was een belangrijk gegeven in het onderzoek dat er twee factoren in de groep zijn die geassocieerd worden met een lager verkeersveiligheidsrisico: de gemiddelde leeftijd van de expats met omgewisselde rijbewijzen is 35 jaar en gemiddeld beschikte de groep in 2021 over 11 jaar rijervaring. De RDW heeft opnieuw een analyse uitgevoerd op deze factoren met betrekking tot de omwisselingen die in 2024 zijn uitgevoerd. De uitkomst is dat er geen grote verschuivingen zijn waar te nemen in deze factoren. </w:t>
      </w:r>
    </w:p>
    <w:p w:rsidRPr="00D01D88" w:rsidR="00B77DEF" w:rsidP="00D01D88" w:rsidRDefault="00B77DEF" w14:paraId="528C7BEE" w14:textId="77777777">
      <w:pPr>
        <w:pStyle w:val="Geenafstand"/>
      </w:pPr>
    </w:p>
    <w:p w:rsidRPr="00D01D88" w:rsidR="00B77DEF" w:rsidP="00B77DEF" w:rsidRDefault="00B77DEF" w14:paraId="727B43A2" w14:textId="77777777">
      <w:pPr>
        <w:rPr>
          <w:rFonts w:ascii="Calibri" w:hAnsi="Calibri" w:cs="Calibri"/>
          <w:i/>
          <w:iCs/>
        </w:rPr>
      </w:pPr>
      <w:r w:rsidRPr="00D01D88">
        <w:rPr>
          <w:rFonts w:ascii="Calibri" w:hAnsi="Calibri" w:cs="Calibri"/>
        </w:rPr>
        <w:t xml:space="preserve">Een andere conclusie uit het onderzoek van 2022 was dat de overgang naar een nieuwe verkeersomgeving en gewenning hieraan een rol kunnen spelen, onder </w:t>
      </w:r>
      <w:r w:rsidRPr="00D01D88">
        <w:rPr>
          <w:rFonts w:ascii="Calibri" w:hAnsi="Calibri" w:cs="Calibri"/>
        </w:rPr>
        <w:lastRenderedPageBreak/>
        <w:t xml:space="preserve">meer vanuit een gebrek aan kennis over de verkeerssituatie en verkeersregels in ons land. Daarom was de maatregel aangekondigd om werkgevers en andere betrokken organisaties te ondersteunen bij de voorlichting aan expats. Deze maatregel is in 2024 uitgevoerd met de publicatie van twee Engelstalige brochures op de website van de rijksoverheid: </w:t>
      </w:r>
      <w:r w:rsidRPr="00D01D88">
        <w:rPr>
          <w:rFonts w:ascii="Calibri" w:hAnsi="Calibri" w:cs="Calibri"/>
          <w:i/>
          <w:iCs/>
        </w:rPr>
        <w:t>Participating in Dutch traffic</w:t>
      </w:r>
      <w:r w:rsidRPr="00D01D88">
        <w:rPr>
          <w:rFonts w:ascii="Calibri" w:hAnsi="Calibri" w:cs="Calibri"/>
        </w:rPr>
        <w:t xml:space="preserve"> en </w:t>
      </w:r>
      <w:r w:rsidRPr="00D01D88">
        <w:rPr>
          <w:rFonts w:ascii="Calibri" w:hAnsi="Calibri" w:cs="Calibri"/>
          <w:i/>
          <w:iCs/>
        </w:rPr>
        <w:t>Road Traffic Signs and Regulations in The Netherlands.</w:t>
      </w:r>
      <w:r w:rsidRPr="00D01D88">
        <w:rPr>
          <w:rStyle w:val="Voetnootmarkering"/>
          <w:rFonts w:ascii="Calibri" w:hAnsi="Calibri" w:cs="Calibri"/>
          <w:i/>
          <w:iCs/>
        </w:rPr>
        <w:footnoteReference w:id="6"/>
      </w:r>
    </w:p>
    <w:p w:rsidRPr="00D01D88" w:rsidR="00B77DEF" w:rsidP="00D01D88" w:rsidRDefault="00B77DEF" w14:paraId="7DDE8673" w14:textId="77777777">
      <w:pPr>
        <w:pStyle w:val="Geenafstand"/>
      </w:pPr>
    </w:p>
    <w:p w:rsidRPr="00D01D88" w:rsidR="00B77DEF" w:rsidP="00B77DEF" w:rsidRDefault="00B77DEF" w14:paraId="5CD8D97E" w14:textId="77777777">
      <w:pPr>
        <w:rPr>
          <w:rFonts w:ascii="Calibri" w:hAnsi="Calibri" w:cs="Calibri"/>
        </w:rPr>
      </w:pPr>
      <w:r w:rsidRPr="00D01D88">
        <w:rPr>
          <w:rFonts w:ascii="Calibri" w:hAnsi="Calibri" w:cs="Calibri"/>
        </w:rPr>
        <w:t xml:space="preserve">Ten slotte kan er voor wat betreft de verkeersveiligheid van de expats met omgewisselde rijbewijzen nog worden gewezen op het vangnet dat wordt gevormd door de politiecontroles op de weg en eventuele vervolgmaatregelen daarop. Wanneer er zware verkeersovertredingen worden geconstateerd, kan de politie een mededeling over de betrokken bestuurder uitbrengen bij het CBR. Het CBR kan dan een lichte educatieve maatregel gedrag (LEMG) of een educatieve maatregel gedrag (EMG) opleggen. </w:t>
      </w:r>
    </w:p>
    <w:p w:rsidRPr="00D01D88" w:rsidR="00B77DEF" w:rsidP="00B77DEF" w:rsidRDefault="00B77DEF" w14:paraId="061CB063" w14:textId="77777777">
      <w:pPr>
        <w:rPr>
          <w:rFonts w:ascii="Calibri" w:hAnsi="Calibri" w:cs="Calibri"/>
          <w:b/>
          <w:bCs/>
        </w:rPr>
      </w:pPr>
    </w:p>
    <w:p w:rsidRPr="00D01D88" w:rsidR="00B77DEF" w:rsidP="00B77DEF" w:rsidRDefault="00B77DEF" w14:paraId="15A771E0" w14:textId="77777777">
      <w:pPr>
        <w:rPr>
          <w:rFonts w:ascii="Calibri" w:hAnsi="Calibri" w:cs="Calibri"/>
          <w:b/>
          <w:bCs/>
        </w:rPr>
      </w:pPr>
      <w:r w:rsidRPr="00D01D88">
        <w:rPr>
          <w:rFonts w:ascii="Calibri" w:hAnsi="Calibri" w:cs="Calibri"/>
          <w:b/>
          <w:bCs/>
        </w:rPr>
        <w:t>Conclusie</w:t>
      </w:r>
    </w:p>
    <w:p w:rsidRPr="00D01D88" w:rsidR="00B77DEF" w:rsidP="00D01D88" w:rsidRDefault="00B77DEF" w14:paraId="53C862C9" w14:textId="77777777">
      <w:bookmarkStart w:name="_Hlk215218438" w:id="1"/>
      <w:r w:rsidRPr="00D01D88">
        <w:t>Er is geen aanleiding om de omwisselingsregeling voor rijbewijzen van expats die vallen onder de 30%-regeling aan te passen. Het aantal omwisselingen stijgt weliswaar, maar betreft nog steeds minder dan 1% van het aantal rijbewijzen dat de RDW jaarlijks nieuw afgeeft of vernieuwt. Daarnaast zijn er geen aanwijzingen dat de regeling bovenmatige risico’s voor de verkeersveiligheid met zich meebrengt. Onlangs bleek uit een evaluatie van de 30%-regeling dat de regeling bijdraagt bij aan een gunstig vestigingsklimaat voor schaars internationaal talent</w:t>
      </w:r>
      <w:r w:rsidRPr="00D01D88">
        <w:rPr>
          <w:rStyle w:val="Voetnootmarkering"/>
          <w:rFonts w:ascii="Calibri" w:hAnsi="Calibri" w:cs="Calibri"/>
        </w:rPr>
        <w:footnoteReference w:id="7"/>
      </w:r>
      <w:r w:rsidRPr="00D01D88">
        <w:t xml:space="preserve">. Het kabinet wil de kenniseconomie, innovatie en (digitale) infrastructuur verder versterken, wat belangrijk is voor ons toekomstig verdienvermogen. De inzet op het aantrekken van internationaal talent is en blijft hiervoor van essentieel belang. Het grote aantal aanpassingen in de 30%-faciliteiten heeft een negatief effect op het vestigingsklimaat, mede door het gebrek aan voorspelbaarheid en stabiliteit. Met het oog hierop is het kabinet geen voorstander van nieuwe aanpassingen.  </w:t>
      </w:r>
    </w:p>
    <w:p w:rsidRPr="00D01D88" w:rsidR="00B77DEF" w:rsidP="00B77DEF" w:rsidRDefault="00B77DEF" w14:paraId="49828CA4" w14:textId="77777777">
      <w:pPr>
        <w:pStyle w:val="Slotzin"/>
        <w:rPr>
          <w:rFonts w:ascii="Calibri" w:hAnsi="Calibri" w:cs="Calibri"/>
          <w:sz w:val="22"/>
          <w:szCs w:val="22"/>
        </w:rPr>
      </w:pPr>
      <w:r w:rsidRPr="00D01D88">
        <w:rPr>
          <w:rFonts w:ascii="Calibri" w:hAnsi="Calibri" w:cs="Calibri"/>
          <w:sz w:val="22"/>
          <w:szCs w:val="22"/>
        </w:rPr>
        <w:t xml:space="preserve">De motie van de leden Heutink en Vedder wordt met deze brief als afgedaan beschouwd. </w:t>
      </w:r>
    </w:p>
    <w:p w:rsidRPr="00D01D88" w:rsidR="00D01D88" w:rsidP="00D01D88" w:rsidRDefault="00D01D88" w14:paraId="531D5EA2" w14:textId="77777777">
      <w:pPr>
        <w:pStyle w:val="Geenafstand"/>
        <w:rPr>
          <w:rFonts w:ascii="Calibri" w:hAnsi="Calibri" w:cs="Calibri"/>
        </w:rPr>
      </w:pPr>
    </w:p>
    <w:p w:rsidRPr="00D01D88" w:rsidR="00D01D88" w:rsidP="00D01D88" w:rsidRDefault="00D01D88" w14:paraId="41A12933" w14:textId="304222E3">
      <w:pPr>
        <w:pStyle w:val="Geenafstand"/>
        <w:rPr>
          <w:rFonts w:ascii="Calibri" w:hAnsi="Calibri" w:cs="Calibri"/>
          <w:color w:val="000000"/>
        </w:rPr>
      </w:pPr>
      <w:r w:rsidRPr="00D01D88">
        <w:rPr>
          <w:rFonts w:ascii="Calibri" w:hAnsi="Calibri" w:cs="Calibri"/>
        </w:rPr>
        <w:t>De minister van Infrastructuur en Waterstaat,</w:t>
      </w:r>
    </w:p>
    <w:p w:rsidRPr="00D01D88" w:rsidR="00B77DEF" w:rsidP="00D01D88" w:rsidRDefault="00B77DEF" w14:paraId="00E5ECB6" w14:textId="41E2AE36">
      <w:pPr>
        <w:pStyle w:val="Geenafstand"/>
        <w:rPr>
          <w:rFonts w:ascii="Calibri" w:hAnsi="Calibri" w:cs="Calibri"/>
        </w:rPr>
      </w:pPr>
      <w:r w:rsidRPr="00D01D88">
        <w:rPr>
          <w:rFonts w:ascii="Calibri" w:hAnsi="Calibri" w:cs="Calibri"/>
        </w:rPr>
        <w:t>R. Tieman</w:t>
      </w:r>
      <w:bookmarkEnd w:id="1"/>
    </w:p>
    <w:p w:rsidRPr="00D01D88" w:rsidR="00E6311E" w:rsidP="00D01D88" w:rsidRDefault="00E6311E" w14:paraId="0FB6A975" w14:textId="77777777">
      <w:pPr>
        <w:pStyle w:val="Geenafstand"/>
        <w:rPr>
          <w:rFonts w:ascii="Calibri" w:hAnsi="Calibri" w:cs="Calibri"/>
        </w:rPr>
      </w:pPr>
    </w:p>
    <w:sectPr w:rsidRPr="00D01D88" w:rsidR="00E6311E" w:rsidSect="00AB3EE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F438F" w14:textId="77777777" w:rsidR="00B77DEF" w:rsidRDefault="00B77DEF" w:rsidP="00B77DEF">
      <w:pPr>
        <w:spacing w:after="0" w:line="240" w:lineRule="auto"/>
      </w:pPr>
      <w:r>
        <w:separator/>
      </w:r>
    </w:p>
  </w:endnote>
  <w:endnote w:type="continuationSeparator" w:id="0">
    <w:p w14:paraId="0549C5B5" w14:textId="77777777" w:rsidR="00B77DEF" w:rsidRDefault="00B77DEF" w:rsidP="00B77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1C9D" w14:textId="77777777" w:rsidR="00B77DEF" w:rsidRPr="00B77DEF" w:rsidRDefault="00B77DEF" w:rsidP="00B77D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6A80" w14:textId="77777777" w:rsidR="00B77DEF" w:rsidRPr="00B77DEF" w:rsidRDefault="00B77DEF" w:rsidP="00B77D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0FD2" w14:textId="77777777" w:rsidR="00B77DEF" w:rsidRPr="00B77DEF" w:rsidRDefault="00B77DEF" w:rsidP="00B77D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1043A" w14:textId="77777777" w:rsidR="00B77DEF" w:rsidRDefault="00B77DEF" w:rsidP="00B77DEF">
      <w:pPr>
        <w:spacing w:after="0" w:line="240" w:lineRule="auto"/>
      </w:pPr>
      <w:r>
        <w:separator/>
      </w:r>
    </w:p>
  </w:footnote>
  <w:footnote w:type="continuationSeparator" w:id="0">
    <w:p w14:paraId="5786D4FA" w14:textId="77777777" w:rsidR="00B77DEF" w:rsidRDefault="00B77DEF" w:rsidP="00B77DEF">
      <w:pPr>
        <w:spacing w:after="0" w:line="240" w:lineRule="auto"/>
      </w:pPr>
      <w:r>
        <w:continuationSeparator/>
      </w:r>
    </w:p>
  </w:footnote>
  <w:footnote w:id="1">
    <w:p w14:paraId="2A1CC13B" w14:textId="261942B9" w:rsidR="00B77DEF" w:rsidRPr="00D01D88" w:rsidRDefault="00B77DEF" w:rsidP="00B77DEF">
      <w:pPr>
        <w:pStyle w:val="Voetnoottekst"/>
        <w:rPr>
          <w:rFonts w:ascii="Calibri" w:hAnsi="Calibri" w:cs="Calibri"/>
        </w:rPr>
      </w:pPr>
      <w:r w:rsidRPr="00D01D88">
        <w:rPr>
          <w:rStyle w:val="Voetnootmarkering"/>
          <w:rFonts w:ascii="Calibri" w:hAnsi="Calibri" w:cs="Calibri"/>
        </w:rPr>
        <w:footnoteRef/>
      </w:r>
      <w:r w:rsidRPr="00D01D88">
        <w:rPr>
          <w:rFonts w:ascii="Calibri" w:hAnsi="Calibri" w:cs="Calibri"/>
        </w:rPr>
        <w:t xml:space="preserve"> Kamerstuk 29 398, nr. 1117</w:t>
      </w:r>
    </w:p>
  </w:footnote>
  <w:footnote w:id="2">
    <w:p w14:paraId="2C2DBE50" w14:textId="1AD74A21" w:rsidR="00B77DEF" w:rsidRPr="00D01D88" w:rsidRDefault="00B77DEF" w:rsidP="00B77DEF">
      <w:pPr>
        <w:pStyle w:val="Voetnoottekst"/>
        <w:rPr>
          <w:rFonts w:ascii="Calibri" w:hAnsi="Calibri" w:cs="Calibri"/>
        </w:rPr>
      </w:pPr>
      <w:r w:rsidRPr="00D01D88">
        <w:rPr>
          <w:rStyle w:val="Voetnootmarkering"/>
          <w:rFonts w:ascii="Calibri" w:hAnsi="Calibri" w:cs="Calibri"/>
        </w:rPr>
        <w:footnoteRef/>
      </w:r>
      <w:r w:rsidRPr="00D01D88">
        <w:rPr>
          <w:rFonts w:ascii="Calibri" w:hAnsi="Calibri" w:cs="Calibri"/>
        </w:rPr>
        <w:t xml:space="preserve"> Kamerstuk 29 398, nr. 1033</w:t>
      </w:r>
    </w:p>
  </w:footnote>
  <w:footnote w:id="3">
    <w:p w14:paraId="71EAE0A5" w14:textId="4C1237B0" w:rsidR="00B77DEF" w:rsidRPr="00D01D88" w:rsidRDefault="00B77DEF" w:rsidP="00B77DEF">
      <w:pPr>
        <w:pStyle w:val="Voetnoottekst"/>
        <w:rPr>
          <w:rFonts w:ascii="Calibri" w:hAnsi="Calibri" w:cs="Calibri"/>
        </w:rPr>
      </w:pPr>
      <w:r w:rsidRPr="00D01D88">
        <w:rPr>
          <w:rStyle w:val="Voetnootmarkering"/>
          <w:rFonts w:ascii="Calibri" w:hAnsi="Calibri" w:cs="Calibri"/>
        </w:rPr>
        <w:footnoteRef/>
      </w:r>
      <w:r w:rsidRPr="00D01D88">
        <w:rPr>
          <w:rFonts w:ascii="Calibri" w:hAnsi="Calibri" w:cs="Calibri"/>
        </w:rPr>
        <w:t xml:space="preserve"> Kamerstuk 29 398, nr. 1059</w:t>
      </w:r>
    </w:p>
  </w:footnote>
  <w:footnote w:id="4">
    <w:p w14:paraId="5AB9151F" w14:textId="244EAD73" w:rsidR="00B77DEF" w:rsidRPr="00D01D88" w:rsidRDefault="00B77DEF" w:rsidP="00B77DEF">
      <w:pPr>
        <w:pStyle w:val="Voetnoottekst"/>
        <w:rPr>
          <w:rFonts w:ascii="Calibri" w:hAnsi="Calibri" w:cs="Calibri"/>
        </w:rPr>
      </w:pPr>
      <w:r w:rsidRPr="00D01D88">
        <w:rPr>
          <w:rStyle w:val="Voetnootmarkering"/>
          <w:rFonts w:ascii="Calibri" w:hAnsi="Calibri" w:cs="Calibri"/>
        </w:rPr>
        <w:footnoteRef/>
      </w:r>
      <w:r w:rsidRPr="00D01D88">
        <w:rPr>
          <w:rFonts w:ascii="Calibri" w:hAnsi="Calibri" w:cs="Calibri"/>
        </w:rPr>
        <w:t xml:space="preserve"> Kamerstuk 29 398, nr. 1109</w:t>
      </w:r>
    </w:p>
  </w:footnote>
  <w:footnote w:id="5">
    <w:p w14:paraId="096C37C8" w14:textId="4922C276" w:rsidR="00B77DEF" w:rsidRPr="00D01D88" w:rsidRDefault="00B77DEF" w:rsidP="00B77DEF">
      <w:pPr>
        <w:pStyle w:val="Voetnoottekst"/>
        <w:rPr>
          <w:rFonts w:ascii="Calibri" w:hAnsi="Calibri" w:cs="Calibri"/>
        </w:rPr>
      </w:pPr>
      <w:r w:rsidRPr="00D01D88">
        <w:rPr>
          <w:rStyle w:val="Voetnootmarkering"/>
          <w:rFonts w:ascii="Calibri" w:hAnsi="Calibri" w:cs="Calibri"/>
        </w:rPr>
        <w:footnoteRef/>
      </w:r>
      <w:r w:rsidRPr="00D01D88">
        <w:rPr>
          <w:rFonts w:ascii="Calibri" w:hAnsi="Calibri" w:cs="Calibri"/>
        </w:rPr>
        <w:t xml:space="preserve"> Kamerstuk 29 398, nrs. 1033 en 1059</w:t>
      </w:r>
    </w:p>
  </w:footnote>
  <w:footnote w:id="6">
    <w:p w14:paraId="17A4AE41" w14:textId="77777777" w:rsidR="00B77DEF" w:rsidRPr="00D01D88" w:rsidRDefault="00B77DEF" w:rsidP="00B77DEF">
      <w:pPr>
        <w:pStyle w:val="Voetnoottekst"/>
        <w:rPr>
          <w:rFonts w:ascii="Calibri" w:hAnsi="Calibri" w:cs="Calibri"/>
        </w:rPr>
      </w:pPr>
      <w:r w:rsidRPr="00D01D88">
        <w:rPr>
          <w:rStyle w:val="Voetnootmarkering"/>
          <w:rFonts w:ascii="Calibri" w:hAnsi="Calibri" w:cs="Calibri"/>
        </w:rPr>
        <w:footnoteRef/>
      </w:r>
      <w:r w:rsidRPr="00D01D88">
        <w:rPr>
          <w:rFonts w:ascii="Calibri" w:hAnsi="Calibri" w:cs="Calibri"/>
        </w:rPr>
        <w:t xml:space="preserve"> </w:t>
      </w:r>
      <w:hyperlink r:id="rId1" w:history="1">
        <w:r w:rsidRPr="00D01D88">
          <w:rPr>
            <w:rFonts w:ascii="Calibri" w:hAnsi="Calibri" w:cs="Calibri"/>
            <w:color w:val="0000FF"/>
            <w:u w:val="single"/>
          </w:rPr>
          <w:t>https://www.government.nl/documents/reports/2024/02/09/participating-in-dutch-traffic</w:t>
        </w:r>
      </w:hyperlink>
    </w:p>
  </w:footnote>
  <w:footnote w:id="7">
    <w:p w14:paraId="23BDA8BD" w14:textId="77777777" w:rsidR="00B77DEF" w:rsidRPr="00D01D88" w:rsidRDefault="00B77DEF" w:rsidP="00B77DEF">
      <w:pPr>
        <w:pStyle w:val="Voetnoottekst"/>
        <w:rPr>
          <w:rFonts w:ascii="Calibri" w:hAnsi="Calibri" w:cs="Calibri"/>
        </w:rPr>
      </w:pPr>
      <w:r w:rsidRPr="00D01D88">
        <w:rPr>
          <w:rStyle w:val="Voetnootmarkering"/>
          <w:rFonts w:ascii="Calibri" w:hAnsi="Calibri" w:cs="Calibri"/>
        </w:rPr>
        <w:footnoteRef/>
      </w:r>
      <w:r w:rsidRPr="00D01D88">
        <w:rPr>
          <w:rFonts w:ascii="Calibri" w:hAnsi="Calibri" w:cs="Calibri"/>
        </w:rPr>
        <w:t xml:space="preserve"> </w:t>
      </w:r>
      <w:hyperlink r:id="rId2" w:history="1">
        <w:r w:rsidRPr="00D01D88">
          <w:rPr>
            <w:rFonts w:ascii="Calibri" w:hAnsi="Calibri" w:cs="Calibri"/>
            <w:color w:val="0000FF"/>
            <w:u w:val="single"/>
          </w:rPr>
          <w:t>Kunde, kosten en keuzes; Evaluatie 30%-regeling, extraterritoriale kostenregeling &amp; partiële buitenlandse belastingplicht 2016-2022 - SEO Economisch Onderzoek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3C54" w14:textId="77777777" w:rsidR="00B77DEF" w:rsidRPr="00B77DEF" w:rsidRDefault="00B77DEF" w:rsidP="00B77D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2A0C" w14:textId="77777777" w:rsidR="00B77DEF" w:rsidRPr="00B77DEF" w:rsidRDefault="00B77DEF" w:rsidP="00B77D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B7D9" w14:textId="77777777" w:rsidR="00B77DEF" w:rsidRPr="00B77DEF" w:rsidRDefault="00B77DEF" w:rsidP="00B77DE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EF"/>
    <w:rsid w:val="0025703A"/>
    <w:rsid w:val="00AB3EE9"/>
    <w:rsid w:val="00B77DEF"/>
    <w:rsid w:val="00C57495"/>
    <w:rsid w:val="00D01D88"/>
    <w:rsid w:val="00E6311E"/>
    <w:rsid w:val="00F50DCB"/>
    <w:rsid w:val="00F925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A68EF"/>
  <w15:chartTrackingRefBased/>
  <w15:docId w15:val="{9D68897A-417F-4CCD-816E-5872D432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7D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7D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7D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7D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7D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7D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7D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7D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7D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7D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7D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7D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7D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7D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7D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7D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7D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7DEF"/>
    <w:rPr>
      <w:rFonts w:eastAsiaTheme="majorEastAsia" w:cstheme="majorBidi"/>
      <w:color w:val="272727" w:themeColor="text1" w:themeTint="D8"/>
    </w:rPr>
  </w:style>
  <w:style w:type="paragraph" w:styleId="Titel">
    <w:name w:val="Title"/>
    <w:basedOn w:val="Standaard"/>
    <w:next w:val="Standaard"/>
    <w:link w:val="TitelChar"/>
    <w:uiPriority w:val="10"/>
    <w:qFormat/>
    <w:rsid w:val="00B77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7D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7D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7D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7D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7DEF"/>
    <w:rPr>
      <w:i/>
      <w:iCs/>
      <w:color w:val="404040" w:themeColor="text1" w:themeTint="BF"/>
    </w:rPr>
  </w:style>
  <w:style w:type="paragraph" w:styleId="Lijstalinea">
    <w:name w:val="List Paragraph"/>
    <w:basedOn w:val="Standaard"/>
    <w:uiPriority w:val="34"/>
    <w:qFormat/>
    <w:rsid w:val="00B77DEF"/>
    <w:pPr>
      <w:ind w:left="720"/>
      <w:contextualSpacing/>
    </w:pPr>
  </w:style>
  <w:style w:type="character" w:styleId="Intensievebenadrukking">
    <w:name w:val="Intense Emphasis"/>
    <w:basedOn w:val="Standaardalinea-lettertype"/>
    <w:uiPriority w:val="21"/>
    <w:qFormat/>
    <w:rsid w:val="00B77DEF"/>
    <w:rPr>
      <w:i/>
      <w:iCs/>
      <w:color w:val="0F4761" w:themeColor="accent1" w:themeShade="BF"/>
    </w:rPr>
  </w:style>
  <w:style w:type="paragraph" w:styleId="Duidelijkcitaat">
    <w:name w:val="Intense Quote"/>
    <w:basedOn w:val="Standaard"/>
    <w:next w:val="Standaard"/>
    <w:link w:val="DuidelijkcitaatChar"/>
    <w:uiPriority w:val="30"/>
    <w:qFormat/>
    <w:rsid w:val="00B77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7DEF"/>
    <w:rPr>
      <w:i/>
      <w:iCs/>
      <w:color w:val="0F4761" w:themeColor="accent1" w:themeShade="BF"/>
    </w:rPr>
  </w:style>
  <w:style w:type="character" w:styleId="Intensieveverwijzing">
    <w:name w:val="Intense Reference"/>
    <w:basedOn w:val="Standaardalinea-lettertype"/>
    <w:uiPriority w:val="32"/>
    <w:qFormat/>
    <w:rsid w:val="00B77DEF"/>
    <w:rPr>
      <w:b/>
      <w:bCs/>
      <w:smallCaps/>
      <w:color w:val="0F4761" w:themeColor="accent1" w:themeShade="BF"/>
      <w:spacing w:val="5"/>
    </w:rPr>
  </w:style>
  <w:style w:type="paragraph" w:customStyle="1" w:styleId="OndertekeningArea1">
    <w:name w:val="Ondertekening_Area1"/>
    <w:basedOn w:val="Standaard"/>
    <w:next w:val="Standaard"/>
    <w:rsid w:val="00B77DE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B77DE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B77DE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77DE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77DE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77DE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77DEF"/>
    <w:rPr>
      <w:rFonts w:ascii="Verdana" w:eastAsia="DejaVu Sans" w:hAnsi="Verdana" w:cs="Lohit Hindi"/>
      <w:color w:val="000000"/>
      <w:kern w:val="0"/>
      <w:sz w:val="18"/>
      <w:szCs w:val="18"/>
      <w:lang w:eastAsia="nl-NL"/>
      <w14:ligatures w14:val="none"/>
    </w:rPr>
  </w:style>
  <w:style w:type="table" w:styleId="Tabelraster">
    <w:name w:val="Table Grid"/>
    <w:basedOn w:val="Standaardtabel"/>
    <w:uiPriority w:val="39"/>
    <w:rsid w:val="00B77DEF"/>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B77DE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77DE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77DEF"/>
    <w:rPr>
      <w:vertAlign w:val="superscript"/>
    </w:rPr>
  </w:style>
  <w:style w:type="paragraph" w:styleId="Geenafstand">
    <w:name w:val="No Spacing"/>
    <w:uiPriority w:val="1"/>
    <w:qFormat/>
    <w:rsid w:val="00D01D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seo.nl/publicaties/kunde-kosten-en-keuzes-evaluatie-30-regeling-extraterritoriale-kostenregeling-partiele-buitenlandse-belastingplicht-2016-2022/" TargetMode="External"/><Relationship Id="rId1" Type="http://schemas.openxmlformats.org/officeDocument/2006/relationships/hyperlink" Target="https://www.government.nl/documents/reports/2024/02/09/participating-in-dutch-traffic"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1654</ap:Words>
  <ap:Characters>9097</ap:Characters>
  <ap:DocSecurity>0</ap:DocSecurity>
  <ap:Lines>75</ap:Lines>
  <ap:Paragraphs>21</ap:Paragraphs>
  <ap:ScaleCrop>false</ap:ScaleCrop>
  <ap:LinksUpToDate>false</ap:LinksUpToDate>
  <ap:CharactersWithSpaces>10730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2025-12-18T14:52:00.0000000Z</dcterms:created>
  <dcterms:modified xsi:type="dcterms:W3CDTF">2025-12-18T14:52:00.0000000Z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