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51" w:rsidRDefault="007C2F51">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7C2F51">
        <w:tc>
          <w:tcPr>
            <w:tcW w:w="8844" w:type="dxa"/>
            <w:tcBorders>
              <w:bottom w:val="single" w:color="000000" w:sz="2" w:space="0"/>
            </w:tcBorders>
            <w:shd w:val="clear" w:color="auto" w:fill="auto"/>
            <w:tcMar>
              <w:top w:w="22" w:type="dxa"/>
              <w:left w:w="55" w:type="dxa"/>
              <w:bottom w:w="22" w:type="dxa"/>
              <w:right w:w="55" w:type="dxa"/>
            </w:tcMar>
          </w:tcPr>
          <w:p w:rsidR="007C2F51" w:rsidRDefault="00EE6302">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7C2F51" w:rsidRDefault="00EE6302">
            <w:pPr>
              <w:pStyle w:val="kamernummer-p"/>
            </w:pPr>
            <w:r>
              <w:t>2</w:t>
            </w:r>
          </w:p>
        </w:tc>
      </w:tr>
      <w:tr w:rsidR="007C2F51">
        <w:tc>
          <w:tcPr>
            <w:tcW w:w="9694" w:type="dxa"/>
            <w:gridSpan w:val="2"/>
            <w:tcBorders>
              <w:top w:val="single" w:color="000000" w:sz="4" w:space="0"/>
            </w:tcBorders>
            <w:shd w:val="clear" w:color="auto" w:fill="auto"/>
            <w:tcMar>
              <w:top w:w="0" w:type="dxa"/>
              <w:left w:w="108" w:type="dxa"/>
              <w:bottom w:w="0" w:type="dxa"/>
              <w:right w:w="108" w:type="dxa"/>
            </w:tcMar>
          </w:tcPr>
          <w:p w:rsidR="007C2F51" w:rsidRDefault="00EE6302">
            <w:pPr>
              <w:pStyle w:val="vergaderjaar-p"/>
            </w:pPr>
            <w:r>
              <w:rPr>
                <w:rStyle w:val="vergaderjaar-text"/>
              </w:rPr>
              <w:t>2025‒2026</w:t>
            </w:r>
          </w:p>
        </w:tc>
      </w:tr>
    </w:tbl>
    <w:p w:rsidR="007C2F51" w:rsidRDefault="007C2F51"/>
    <w:p w:rsidR="007C2F51" w:rsidRDefault="007C2F51"/>
    <w:tbl>
      <w:tblPr>
        <w:tblW w:w="9694" w:type="dxa"/>
        <w:tblInd w:w="-3317" w:type="dxa"/>
        <w:tblCellMar>
          <w:left w:w="10" w:type="dxa"/>
          <w:right w:w="10" w:type="dxa"/>
        </w:tblCellMar>
        <w:tblLook w:val="0000" w:firstRow="0" w:lastRow="0" w:firstColumn="0" w:lastColumn="0" w:noHBand="0" w:noVBand="0"/>
      </w:tblPr>
      <w:tblGrid>
        <w:gridCol w:w="3317"/>
        <w:gridCol w:w="6377"/>
      </w:tblGrid>
      <w:tr w:rsidR="007C2F51">
        <w:tc>
          <w:tcPr>
            <w:tcW w:w="3317" w:type="dxa"/>
            <w:tcBorders>
              <w:top w:val="single" w:color="000000" w:sz="2" w:space="0"/>
            </w:tcBorders>
            <w:shd w:val="clear" w:color="auto" w:fill="auto"/>
            <w:tcMar>
              <w:top w:w="22" w:type="dxa"/>
              <w:left w:w="55" w:type="dxa"/>
              <w:bottom w:w="22" w:type="dxa"/>
              <w:right w:w="55" w:type="dxa"/>
            </w:tcMar>
          </w:tcPr>
          <w:p w:rsidR="007C2F51" w:rsidRDefault="00EE6302">
            <w:r>
              <w:rPr>
                <w:rStyle w:val="begrotingshoofdstuk-text"/>
              </w:rPr>
              <w:t>X</w:t>
            </w:r>
          </w:p>
        </w:tc>
        <w:tc>
          <w:tcPr>
            <w:tcW w:w="6378" w:type="dxa"/>
            <w:tcBorders>
              <w:top w:val="single" w:color="000000" w:sz="4" w:space="0"/>
            </w:tcBorders>
            <w:shd w:val="clear" w:color="auto" w:fill="auto"/>
            <w:tcMar>
              <w:top w:w="0" w:type="dxa"/>
              <w:left w:w="0" w:type="dxa"/>
              <w:bottom w:w="0" w:type="dxa"/>
              <w:right w:w="108" w:type="dxa"/>
            </w:tcMar>
          </w:tcPr>
          <w:p w:rsidR="007C2F51" w:rsidRDefault="00EE6302">
            <w:pPr>
              <w:pStyle w:val="title-cell-text"/>
            </w:pPr>
            <w:r>
              <w:rPr>
                <w:rStyle w:val="text-title"/>
              </w:rPr>
              <w:t>Wijziging van de begrotingsstaat van het Ministerie van Defensie (X) voor het jaar 2025</w:t>
            </w:r>
          </w:p>
        </w:tc>
      </w:tr>
    </w:tbl>
    <w:p w:rsidR="007C2F51" w:rsidRDefault="007C2F51"/>
    <w:p w:rsidR="007C2F51" w:rsidRDefault="007C2F51"/>
    <w:p w:rsidR="007C2F51" w:rsidRDefault="007C2F51"/>
    <w:tbl>
      <w:tblPr>
        <w:tblW w:w="9694" w:type="dxa"/>
        <w:tblInd w:w="-3317" w:type="dxa"/>
        <w:tblCellMar>
          <w:left w:w="10" w:type="dxa"/>
          <w:right w:w="10" w:type="dxa"/>
        </w:tblCellMar>
        <w:tblLook w:val="0000" w:firstRow="0" w:lastRow="0" w:firstColumn="0" w:lastColumn="0" w:noHBand="0" w:noVBand="0"/>
      </w:tblPr>
      <w:tblGrid>
        <w:gridCol w:w="3317"/>
        <w:gridCol w:w="6377"/>
      </w:tblGrid>
      <w:tr w:rsidR="007C2F51">
        <w:tc>
          <w:tcPr>
            <w:tcW w:w="3317" w:type="dxa"/>
            <w:shd w:val="clear" w:color="auto" w:fill="auto"/>
            <w:tcMar>
              <w:top w:w="0" w:type="dxa"/>
              <w:left w:w="108" w:type="dxa"/>
              <w:bottom w:w="0" w:type="dxa"/>
              <w:right w:w="108" w:type="dxa"/>
            </w:tcMar>
          </w:tcPr>
          <w:p w:rsidR="007C2F51" w:rsidRDefault="00EE6302">
            <w:pPr>
              <w:pStyle w:val="stuknr-p"/>
            </w:pPr>
            <w:r>
              <w:t>Nr. 3</w:t>
            </w:r>
          </w:p>
        </w:tc>
        <w:tc>
          <w:tcPr>
            <w:tcW w:w="6378" w:type="dxa"/>
            <w:shd w:val="clear" w:color="auto" w:fill="auto"/>
            <w:tcMar>
              <w:top w:w="0" w:type="dxa"/>
              <w:left w:w="0" w:type="dxa"/>
              <w:bottom w:w="0" w:type="dxa"/>
              <w:right w:w="108" w:type="dxa"/>
            </w:tcMar>
          </w:tcPr>
          <w:p w:rsidR="007C2F51" w:rsidRDefault="00EE6302">
            <w:pPr>
              <w:pStyle w:val="titel-p"/>
            </w:pPr>
            <w:r>
              <w:t>NOTA VAN WIJZIGING</w:t>
            </w:r>
          </w:p>
          <w:p w:rsidR="007C2F51" w:rsidRDefault="001A558B">
            <w:pPr>
              <w:pStyle w:val="datumtekst-p"/>
            </w:pPr>
            <w:r>
              <w:t>Ontvangen 15</w:t>
            </w:r>
            <w:bookmarkStart w:name="_GoBack" w:id="0"/>
            <w:bookmarkEnd w:id="0"/>
            <w:r w:rsidR="00EE6302">
              <w:t xml:space="preserve"> december 2025</w:t>
            </w:r>
          </w:p>
          <w:p w:rsidR="007C2F51" w:rsidRDefault="007C2F51"/>
        </w:tc>
      </w:tr>
    </w:tbl>
    <w:p w:rsidR="007C2F51" w:rsidRDefault="007C2F51">
      <w:pPr>
        <w:pStyle w:val="page-break"/>
      </w:pPr>
    </w:p>
    <w:p w:rsidR="007C2F51" w:rsidRDefault="00EE6302">
      <w:pPr>
        <w:pStyle w:val="p"/>
      </w:pPr>
      <w:r>
        <w:t>Het voorstel van wet wordt als volgt gewijzigd:</w:t>
      </w:r>
    </w:p>
    <w:p w:rsidR="007C2F51" w:rsidRDefault="00EE6302">
      <w:pPr>
        <w:pStyle w:val="header-h1"/>
      </w:pPr>
      <w:r>
        <w:t>A</w:t>
      </w:r>
    </w:p>
    <w:p w:rsidR="007C2F51" w:rsidRDefault="007C2F51">
      <w:pPr>
        <w:pStyle w:val="p-marginbottom"/>
      </w:pPr>
    </w:p>
    <w:p w:rsidR="007C2F51" w:rsidRDefault="00EE6302">
      <w:pPr>
        <w:pStyle w:val="p"/>
      </w:pPr>
      <w:r>
        <w:t>De begrotingsstaat van het Ministerie van Defensie voor het jaar 2025 komt te luiden:</w:t>
      </w:r>
    </w:p>
    <w:tbl>
      <w:tblPr>
        <w:tblW w:w="9694" w:type="dxa"/>
        <w:tblInd w:w="-3317" w:type="dxa"/>
        <w:tblCellMar>
          <w:left w:w="10" w:type="dxa"/>
          <w:right w:w="10" w:type="dxa"/>
        </w:tblCellMar>
        <w:tblLook w:val="0000" w:firstRow="0" w:lastRow="0" w:firstColumn="0" w:lastColumn="0" w:noHBand="0" w:noVBand="0"/>
      </w:tblPr>
      <w:tblGrid>
        <w:gridCol w:w="1059"/>
        <w:gridCol w:w="1637"/>
        <w:gridCol w:w="1187"/>
        <w:gridCol w:w="1187"/>
        <w:gridCol w:w="1156"/>
        <w:gridCol w:w="1156"/>
        <w:gridCol w:w="1156"/>
        <w:gridCol w:w="1156"/>
      </w:tblGrid>
      <w:tr w:rsidR="007C2F51">
        <w:trPr>
          <w:tblHeader/>
        </w:trPr>
        <w:tc>
          <w:tcPr>
            <w:tcW w:w="9183" w:type="dxa"/>
            <w:gridSpan w:val="8"/>
            <w:shd w:val="clear" w:color="auto" w:fill="auto"/>
            <w:tcMar>
              <w:top w:w="22" w:type="dxa"/>
              <w:left w:w="113" w:type="dxa"/>
              <w:bottom w:w="22" w:type="dxa"/>
            </w:tcMar>
          </w:tcPr>
          <w:p w:rsidR="007C2F51" w:rsidRDefault="00EE6302">
            <w:pPr>
              <w:pStyle w:val="kio2-table-title"/>
            </w:pPr>
            <w:r>
              <w:t>Wijziging begrotingsstaat van het Ministerie van Defensie (X) voor het jaar 2025 (bedragen x € 1.000)</w:t>
            </w:r>
          </w:p>
        </w:tc>
      </w:tr>
      <w:tr w:rsidR="007C2F51">
        <w:trPr>
          <w:tblHeader/>
        </w:trPr>
        <w:tc>
          <w:tcPr>
            <w:tcW w:w="1010" w:type="dxa"/>
            <w:tcBorders>
              <w:top w:val="single" w:color="000000" w:sz="2" w:space="0"/>
              <w:bottom w:val="single" w:color="009EE0" w:sz="2" w:space="0"/>
            </w:tcBorders>
            <w:shd w:val="clear" w:color="auto" w:fill="auto"/>
            <w:tcMar>
              <w:top w:w="28" w:type="dxa"/>
              <w:bottom w:w="28" w:type="dxa"/>
              <w:right w:w="28" w:type="dxa"/>
            </w:tcMar>
          </w:tcPr>
          <w:p w:rsidR="007C2F51" w:rsidRDefault="00EE6302">
            <w:pPr>
              <w:pStyle w:val="p-table"/>
              <w:rPr>
                <w:color w:val="000000"/>
                <w:sz w:val="17"/>
              </w:rPr>
            </w:pPr>
            <w:r>
              <w:rPr>
                <w:color w:val="000000"/>
                <w:sz w:val="17"/>
              </w:rPr>
              <w:t>Art.</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C2F51" w:rsidRDefault="00EE6302">
            <w:pPr>
              <w:pStyle w:val="p-table"/>
              <w:rPr>
                <w:color w:val="000000"/>
                <w:sz w:val="17"/>
              </w:rPr>
            </w:pPr>
            <w:r>
              <w:rPr>
                <w:color w:val="000000"/>
                <w:sz w:val="17"/>
              </w:rPr>
              <w:t>Omschrijving</w:t>
            </w:r>
          </w:p>
        </w:tc>
        <w:tc>
          <w:tcPr>
            <w:tcW w:w="3306"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7C2F51" w:rsidRDefault="00EE6302">
            <w:pPr>
              <w:pStyle w:val="p-table"/>
              <w:jc w:val="center"/>
              <w:rPr>
                <w:color w:val="000000"/>
                <w:sz w:val="17"/>
              </w:rPr>
            </w:pPr>
            <w:r>
              <w:rPr>
                <w:color w:val="000000"/>
                <w:sz w:val="17"/>
              </w:rPr>
              <w:t xml:space="preserve">Vastgestelde begroting (incl. Suppletoire begrotingen, </w:t>
            </w:r>
            <w:proofErr w:type="spellStart"/>
            <w:r>
              <w:rPr>
                <w:color w:val="000000"/>
                <w:sz w:val="17"/>
              </w:rPr>
              <w:t>NvW</w:t>
            </w:r>
            <w:proofErr w:type="spellEnd"/>
            <w:r>
              <w:rPr>
                <w:color w:val="000000"/>
                <w:sz w:val="17"/>
              </w:rPr>
              <w:t xml:space="preserve"> en amendementen)</w:t>
            </w:r>
          </w:p>
        </w:tc>
        <w:tc>
          <w:tcPr>
            <w:tcW w:w="3306"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7C2F51" w:rsidRDefault="00EE6302">
            <w:pPr>
              <w:pStyle w:val="p-table"/>
              <w:jc w:val="center"/>
              <w:rPr>
                <w:color w:val="000000"/>
                <w:sz w:val="17"/>
              </w:rPr>
            </w:pPr>
            <w:r>
              <w:rPr>
                <w:color w:val="000000"/>
                <w:sz w:val="17"/>
              </w:rPr>
              <w:t xml:space="preserve">Mutaties 2e suppletoire begroting (incl. </w:t>
            </w:r>
            <w:proofErr w:type="spellStart"/>
            <w:r>
              <w:rPr>
                <w:color w:val="000000"/>
                <w:sz w:val="17"/>
              </w:rPr>
              <w:t>NvW</w:t>
            </w:r>
            <w:proofErr w:type="spellEnd"/>
            <w:r>
              <w:rPr>
                <w:color w:val="000000"/>
                <w:sz w:val="17"/>
              </w:rPr>
              <w:t>)</w:t>
            </w: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7C2F51">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Verplichtingen</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Uitgaven</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Ontvangsten</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Verplichtingen</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Uitgaven</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Ontvangsten</w:t>
            </w: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7C2F51">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b/>
                <w:sz w:val="17"/>
              </w:rPr>
              <w:t>Totaal</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b/>
                <w:sz w:val="17"/>
              </w:rPr>
              <w:t>23.550.133</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b/>
                <w:sz w:val="17"/>
              </w:rPr>
              <w:t>14.909.940</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b/>
                <w:sz w:val="17"/>
              </w:rPr>
              <w:t>298.535</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b/>
                <w:sz w:val="17"/>
              </w:rPr>
              <w:t>1.725.951</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b/>
                <w:sz w:val="17"/>
              </w:rPr>
              <w:t>802.644</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b/>
                <w:sz w:val="17"/>
              </w:rPr>
              <w:t>133.295</w:t>
            </w: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7C2F51">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7C2F51">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b/>
                <w:sz w:val="17"/>
              </w:rPr>
              <w:t>Beleidsartikelen</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EE6302">
            <w:pPr>
              <w:pStyle w:val="p-table"/>
              <w:rPr>
                <w:sz w:val="17"/>
              </w:rPr>
            </w:pPr>
            <w:r>
              <w:rPr>
                <w:sz w:val="17"/>
              </w:rPr>
              <w:t>1</w:t>
            </w: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Inzet</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5.027.215</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4.377.894</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151.718</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1.054.558</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804.558</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128.058</w:t>
            </w: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EE6302">
            <w:pPr>
              <w:pStyle w:val="p-table"/>
              <w:rPr>
                <w:sz w:val="17"/>
              </w:rPr>
            </w:pPr>
            <w:r>
              <w:rPr>
                <w:sz w:val="17"/>
              </w:rPr>
              <w:t>2</w:t>
            </w: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Koninklijke Marine</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1.213.641</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1.284.867</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12.324</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55.606</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22.877</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537</w:t>
            </w: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EE6302">
            <w:pPr>
              <w:pStyle w:val="p-table"/>
              <w:rPr>
                <w:sz w:val="17"/>
              </w:rPr>
            </w:pPr>
            <w:r>
              <w:rPr>
                <w:sz w:val="17"/>
              </w:rPr>
              <w:t>3</w:t>
            </w: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Koninklijke Landmacht</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2.144.326</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2.144.326</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8.054</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115.770</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48.252</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w:t>
            </w: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EE6302">
            <w:pPr>
              <w:pStyle w:val="p-table"/>
              <w:rPr>
                <w:sz w:val="17"/>
              </w:rPr>
            </w:pPr>
            <w:r>
              <w:rPr>
                <w:sz w:val="17"/>
              </w:rPr>
              <w:t>4</w:t>
            </w: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Koninklijke Luchtmacht</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1.015.291</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1.030.291</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12.111</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180.735</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21.735</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4.700</w:t>
            </w: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EE6302">
            <w:pPr>
              <w:pStyle w:val="p-table"/>
              <w:rPr>
                <w:sz w:val="17"/>
              </w:rPr>
            </w:pPr>
            <w:r>
              <w:rPr>
                <w:sz w:val="17"/>
              </w:rPr>
              <w:t>5</w:t>
            </w: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Koninklijke Marechaussee</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835.016</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841.016</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4.459</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4.542</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 10.167</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w:t>
            </w: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EE6302">
            <w:pPr>
              <w:pStyle w:val="p-table"/>
              <w:rPr>
                <w:sz w:val="17"/>
              </w:rPr>
            </w:pPr>
            <w:r>
              <w:rPr>
                <w:sz w:val="17"/>
              </w:rPr>
              <w:t>7</w:t>
            </w: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Commando Materieel en IT</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988.088</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1.012.006</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25.765</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43.299</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19.299</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w:t>
            </w: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EE6302">
            <w:pPr>
              <w:pStyle w:val="p-table"/>
              <w:rPr>
                <w:sz w:val="17"/>
              </w:rPr>
            </w:pPr>
            <w:r>
              <w:rPr>
                <w:sz w:val="17"/>
              </w:rPr>
              <w:t>8</w:t>
            </w: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Defensie Ondersteuningscommando</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1.857.403</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1.872.318</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74.195</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13.460</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 15.740</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w:t>
            </w: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7C2F51">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7C2F51">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b/>
                <w:sz w:val="17"/>
              </w:rPr>
              <w:t>Niet-beleidsartikelen</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7C2F51" w:rsidRDefault="007C2F51">
            <w:pPr>
              <w:pStyle w:val="p-table"/>
              <w:rPr>
                <w:sz w:val="17"/>
              </w:rPr>
            </w:pP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EE6302">
            <w:pPr>
              <w:pStyle w:val="p-table"/>
              <w:rPr>
                <w:sz w:val="17"/>
              </w:rPr>
            </w:pPr>
            <w:r>
              <w:rPr>
                <w:sz w:val="17"/>
              </w:rPr>
              <w:t>9</w:t>
            </w: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Algemeen</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267.532</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268.134</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1.600</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29.079</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28.096</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w:t>
            </w: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EE6302">
            <w:pPr>
              <w:pStyle w:val="p-table"/>
              <w:rPr>
                <w:sz w:val="17"/>
              </w:rPr>
            </w:pPr>
            <w:r>
              <w:rPr>
                <w:sz w:val="17"/>
              </w:rPr>
              <w:t>10</w:t>
            </w: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Apparaat kerndepartement</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10.083.178</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1.960.645</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8.309</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322.296</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 22.872</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w:t>
            </w: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EE6302">
            <w:pPr>
              <w:pStyle w:val="p-table"/>
              <w:rPr>
                <w:sz w:val="17"/>
              </w:rPr>
            </w:pPr>
            <w:r>
              <w:rPr>
                <w:sz w:val="17"/>
              </w:rPr>
              <w:t>11</w:t>
            </w: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Geheim</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25.049</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25.049</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w:t>
            </w:r>
          </w:p>
        </w:tc>
      </w:tr>
      <w:tr w:rsidR="007C2F51">
        <w:tc>
          <w:tcPr>
            <w:tcW w:w="1010" w:type="dxa"/>
            <w:tcBorders>
              <w:bottom w:val="single" w:color="009EE0" w:sz="2" w:space="0"/>
            </w:tcBorders>
            <w:shd w:val="clear" w:color="auto" w:fill="auto"/>
            <w:tcMar>
              <w:top w:w="22" w:type="dxa"/>
              <w:bottom w:w="22" w:type="dxa"/>
              <w:right w:w="28" w:type="dxa"/>
            </w:tcMar>
          </w:tcPr>
          <w:p w:rsidR="007C2F51" w:rsidRDefault="00EE6302">
            <w:pPr>
              <w:pStyle w:val="p-table"/>
              <w:rPr>
                <w:sz w:val="17"/>
              </w:rPr>
            </w:pPr>
            <w:r>
              <w:rPr>
                <w:sz w:val="17"/>
              </w:rPr>
              <w:t>12</w:t>
            </w:r>
          </w:p>
        </w:tc>
        <w:tc>
          <w:tcPr>
            <w:tcW w:w="1561"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rPr>
                <w:sz w:val="17"/>
              </w:rPr>
            </w:pPr>
            <w:r>
              <w:rPr>
                <w:sz w:val="17"/>
              </w:rPr>
              <w:t>Nog onverdeeld</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93.394</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93.394</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 93.394</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 93.394</w:t>
            </w:r>
          </w:p>
        </w:tc>
        <w:tc>
          <w:tcPr>
            <w:tcW w:w="1102" w:type="dxa"/>
            <w:tcBorders>
              <w:bottom w:val="single" w:color="009EE0" w:sz="2" w:space="0"/>
            </w:tcBorders>
            <w:shd w:val="clear" w:color="auto" w:fill="auto"/>
            <w:tcMar>
              <w:top w:w="22" w:type="dxa"/>
              <w:left w:w="28" w:type="dxa"/>
              <w:bottom w:w="22" w:type="dxa"/>
              <w:right w:w="28" w:type="dxa"/>
            </w:tcMar>
          </w:tcPr>
          <w:p w:rsidR="007C2F51" w:rsidRDefault="00EE6302">
            <w:pPr>
              <w:pStyle w:val="p-table"/>
              <w:jc w:val="right"/>
              <w:rPr>
                <w:sz w:val="17"/>
              </w:rPr>
            </w:pPr>
            <w:r>
              <w:rPr>
                <w:sz w:val="17"/>
              </w:rPr>
              <w:t>‒</w:t>
            </w:r>
          </w:p>
        </w:tc>
      </w:tr>
    </w:tbl>
    <w:p w:rsidR="007C2F51" w:rsidRDefault="007C2F51">
      <w:pPr>
        <w:pStyle w:val="p-marginbottom"/>
      </w:pPr>
    </w:p>
    <w:p w:rsidR="007C2F51" w:rsidRDefault="007C2F51">
      <w:pPr>
        <w:pStyle w:val="page-break"/>
      </w:pPr>
    </w:p>
    <w:p w:rsidR="007C2F51" w:rsidRDefault="00EE6302">
      <w:pPr>
        <w:pStyle w:val="section-title-1"/>
      </w:pPr>
      <w:bookmarkStart w:name="1072349210723492" w:id="1"/>
      <w:r>
        <w:t>Toelichting</w:t>
      </w:r>
      <w:bookmarkEnd w:id="1"/>
    </w:p>
    <w:p w:rsidR="007C2F51" w:rsidRDefault="00EE6302">
      <w:pPr>
        <w:pStyle w:val="header-h1"/>
      </w:pPr>
      <w:r>
        <w:t>Algemeen</w:t>
      </w:r>
    </w:p>
    <w:p w:rsidR="007C2F51" w:rsidRDefault="007C2F51">
      <w:pPr>
        <w:pStyle w:val="p-marginbottom"/>
      </w:pPr>
    </w:p>
    <w:p w:rsidR="007C2F51" w:rsidRDefault="00EE6302">
      <w:pPr>
        <w:pStyle w:val="p"/>
      </w:pPr>
      <w:r>
        <w:t>Defensie heeft in 2025 de verplichtingenruimte verhoogd met € 8,15 miljard in verband met de afspraken die zijn vastgelegd met het Algemeen Burgerlijk Pensioenfonds (ABP) over het affinancieren van de begrotingsgefinancierde pensioenen (Kamerstuk 36820-X, nr. 4). De meest recente inschatting van de benodigde middelen voor het betalen van de inkoopsom heeft Defensie conform afspraak op 1 december 2025 van het ABP ontvangen. Deze raming is € 336,2 miljoen hoger dan ten tijde van het aangaan van de overeenkomst met het ABP werd geraamd. Dit is het gevolg van autonome ontwikkelingen, zoals de ABP-dekkingsgraad.</w:t>
      </w:r>
    </w:p>
    <w:p w:rsidR="007C2F51" w:rsidRDefault="00EE6302">
      <w:pPr>
        <w:pStyle w:val="p"/>
      </w:pPr>
      <w:r>
        <w:t>Met deze nota van wijziging wordt een technische mutatie verwerkt waarbij de verplichtingenruimte in 2025 met € 336,2 miljoen wordt verhoogd. Hiermee wordt voorkomen dat Defensie haar verplichtingenruimte in 2025 overschrijdt, beide Kamers niet tijdig worden geïnformeerd en Defensie onrechtmatig handelt. De aanpassing van het uitgavenbudget zal plaatsvinden in 2026, het jaar van betaling van de voorlopige koopsom, en derhalve met de eerste suppletoire begroting 2026 worden verwerkt. Relevant om te vermelden is dat er op dat moment wederom sprake kan zijn van een herijking, omdat het ABP rond 15 februari 2026 de eerstvolgende raming zal afgeven. De herijkte raming kan hoger of lager zijn dan de huidige berekening van 1 december 2025.</w:t>
      </w:r>
    </w:p>
    <w:p w:rsidR="007C2F51" w:rsidRDefault="00EE6302">
      <w:pPr>
        <w:pStyle w:val="header-h1"/>
      </w:pPr>
      <w:r>
        <w:t>Artikelsgewijze toelichting bij de begrotingsartikelen</w:t>
      </w:r>
    </w:p>
    <w:p w:rsidR="007C2F51" w:rsidRDefault="007C2F51">
      <w:pPr>
        <w:pStyle w:val="p-marginbottom"/>
      </w:pPr>
    </w:p>
    <w:p w:rsidR="007C2F51" w:rsidRDefault="00EE6302">
      <w:pPr>
        <w:pStyle w:val="p"/>
      </w:pPr>
      <w:r>
        <w:t>In artikel 10 Apparaat kerndepartement wordt de verplichtingenruimte voor het jaar 2025 met € 336,2 miljoen verhoogd.</w:t>
      </w:r>
    </w:p>
    <w:p w:rsidR="007C2F51" w:rsidRDefault="00EE6302">
      <w:pPr>
        <w:pStyle w:val="p"/>
      </w:pPr>
      <w:r>
        <w:t>Gegeven</w:t>
      </w:r>
    </w:p>
    <w:p w:rsidR="007C2F51" w:rsidRDefault="00EE6302">
      <w:pPr>
        <w:pStyle w:val="functie"/>
      </w:pPr>
      <w:r>
        <w:t>De Minister van Defensie,</w:t>
      </w:r>
    </w:p>
    <w:p w:rsidR="007C2F51" w:rsidRDefault="007C2F51">
      <w:pPr>
        <w:pStyle w:val="ondertekening-spacing-large"/>
      </w:pPr>
    </w:p>
    <w:p w:rsidR="007C2F51" w:rsidRDefault="00EE6302">
      <w:pPr>
        <w:pStyle w:val="naam"/>
      </w:pPr>
      <w:r>
        <w:t>R.P. Brekelmans</w:t>
      </w:r>
    </w:p>
    <w:p w:rsidR="007C2F51" w:rsidRDefault="007C2F51"/>
    <w:sectPr w:rsidR="007C2F51">
      <w:headerReference w:type="default" r:id="rId7"/>
      <w:footerReference w:type="default" r:id="rId8"/>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356" w:rsidRDefault="00EE6302">
      <w:r>
        <w:separator/>
      </w:r>
    </w:p>
  </w:endnote>
  <w:endnote w:type="continuationSeparator" w:id="0">
    <w:p w:rsidR="00E65356" w:rsidRDefault="00EE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929" w:rsidRDefault="00EE6302">
    <w:pPr>
      <w:pStyle w:val="Footer"/>
    </w:pPr>
    <w:r>
      <w:t>Tweede Kamer, vergaderjaar 2025–2026, nr. 3</w:t>
    </w:r>
    <w:r>
      <w:tab/>
    </w:r>
    <w:r>
      <w:fldChar w:fldCharType="begin"/>
    </w:r>
    <w:r>
      <w:instrText xml:space="preserve"> PAGE </w:instrText>
    </w:r>
    <w:r>
      <w:fldChar w:fldCharType="separate"/>
    </w:r>
    <w:r w:rsidR="001A55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356" w:rsidRDefault="00EE6302">
      <w:r>
        <w:rPr>
          <w:color w:val="000000"/>
        </w:rPr>
        <w:separator/>
      </w:r>
    </w:p>
  </w:footnote>
  <w:footnote w:type="continuationSeparator" w:id="0">
    <w:p w:rsidR="00E65356" w:rsidRDefault="00EE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929" w:rsidRDefault="001A55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4363"/>
    <w:multiLevelType w:val="multilevel"/>
    <w:tmpl w:val="F3AA511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37F27067"/>
    <w:multiLevelType w:val="multilevel"/>
    <w:tmpl w:val="C9D219E6"/>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B7A7A5B"/>
    <w:multiLevelType w:val="multilevel"/>
    <w:tmpl w:val="B46ADBD0"/>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3C2F221B"/>
    <w:multiLevelType w:val="multilevel"/>
    <w:tmpl w:val="43E2B5E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7C17FF1"/>
    <w:multiLevelType w:val="multilevel"/>
    <w:tmpl w:val="115EAAC2"/>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 w15:restartNumberingAfterBreak="0">
    <w:nsid w:val="7DD17E1E"/>
    <w:multiLevelType w:val="multilevel"/>
    <w:tmpl w:val="1FA429F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51"/>
    <w:rsid w:val="001A558B"/>
    <w:rsid w:val="001B3F54"/>
    <w:rsid w:val="006D1E7B"/>
    <w:rsid w:val="007C2F51"/>
    <w:rsid w:val="00E65356"/>
    <w:rsid w:val="00EE63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2FD0"/>
  <w15:docId w15:val="{D45017D9-8622-4638-B325-BBF84FE1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ind w:firstLine="142"/>
    </w:pPr>
    <w:rPr>
      <w:sz w:val="17"/>
    </w:rPr>
  </w:style>
  <w:style w:type="paragraph" w:customStyle="1" w:styleId="p-marginbottom">
    <w:name w:val="p-marginbottom"/>
    <w:pPr>
      <w:spacing w:after="20" w:line="220" w:lineRule="exact"/>
      <w:ind w:firstLine="142"/>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szCs w:val="18"/>
    </w:rPr>
  </w:style>
  <w:style w:type="paragraph" w:customStyle="1" w:styleId="section-title-2">
    <w:name w:val="section-title-2"/>
    <w:pPr>
      <w:keepNext/>
      <w:spacing w:after="227"/>
    </w:pPr>
    <w:rPr>
      <w:b/>
      <w:i/>
      <w:szCs w:val="18"/>
    </w:rPr>
  </w:style>
  <w:style w:type="paragraph" w:customStyle="1" w:styleId="section-title-3">
    <w:name w:val="section-title-3"/>
    <w:pPr>
      <w:keepNext/>
      <w:spacing w:after="227"/>
    </w:pPr>
    <w:rPr>
      <w:i/>
      <w:szCs w:val="18"/>
    </w:rPr>
  </w:style>
  <w:style w:type="paragraph" w:customStyle="1" w:styleId="section-title-4">
    <w:name w:val="section-title-4"/>
    <w:pPr>
      <w:keepNext/>
      <w:spacing w:after="227"/>
    </w:pPr>
    <w:rPr>
      <w:caps/>
      <w:szCs w:val="18"/>
    </w:rPr>
  </w:style>
  <w:style w:type="paragraph" w:customStyle="1" w:styleId="section-title-5">
    <w:name w:val="section-title-5"/>
    <w:pPr>
      <w:keepNext/>
      <w:spacing w:after="227"/>
    </w:pPr>
    <w:rPr>
      <w:szCs w:val="18"/>
      <w:u w:val="single"/>
    </w:rPr>
  </w:style>
  <w:style w:type="paragraph" w:customStyle="1" w:styleId="section-title-6">
    <w:name w:val="section-title-6"/>
    <w:pPr>
      <w:keepNext/>
      <w:spacing w:after="227"/>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Normal"/>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Footer">
    <w:name w:val="footer"/>
    <w:pPr>
      <w:tabs>
        <w:tab w:val="right" w:pos="10567"/>
      </w:tabs>
      <w:spacing w:before="144"/>
    </w:pPr>
  </w:style>
  <w:style w:type="numbering" w:customStyle="1" w:styleId="ul">
    <w:name w:val="ul"/>
    <w:basedOn w:val="NoList"/>
    <w:pPr>
      <w:numPr>
        <w:numId w:val="1"/>
      </w:numPr>
    </w:pPr>
  </w:style>
  <w:style w:type="numbering" w:customStyle="1" w:styleId="ol">
    <w:name w:val="ol"/>
    <w:basedOn w:val="NoList"/>
    <w:pPr>
      <w:numPr>
        <w:numId w:val="2"/>
      </w:numPr>
    </w:pPr>
  </w:style>
  <w:style w:type="numbering" w:customStyle="1" w:styleId="ol-footnotes">
    <w:name w:val="ol-footnotes"/>
    <w:basedOn w:val="NoList"/>
    <w:pPr>
      <w:numPr>
        <w:numId w:val="3"/>
      </w:numPr>
    </w:pPr>
  </w:style>
  <w:style w:type="numbering" w:customStyle="1" w:styleId="ol-rbg">
    <w:name w:val="ol-rbg"/>
    <w:basedOn w:val="NoList"/>
    <w:pPr>
      <w:numPr>
        <w:numId w:val="4"/>
      </w:numPr>
    </w:pPr>
  </w:style>
  <w:style w:type="numbering" w:customStyle="1" w:styleId="ul-rbg">
    <w:name w:val="ul-rbg"/>
    <w:basedOn w:val="NoList"/>
    <w:pPr>
      <w:numPr>
        <w:numId w:val="5"/>
      </w:numPr>
    </w:pPr>
  </w:style>
  <w:style w:type="numbering" w:customStyle="1" w:styleId="ul-startdisc-rbg">
    <w:name w:val="ul-startdisc-rbg"/>
    <w:basedOn w:val="NoList"/>
    <w:pPr>
      <w:numPr>
        <w:numId w:val="6"/>
      </w:numPr>
    </w:p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477</ap:Words>
  <ap:Characters>2625</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2025-12-05T15:38:00.0000000Z</dcterms:created>
  <dcterms:modified xsi:type="dcterms:W3CDTF">2025-12-12T13:23:00.0000000Z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0x0101007967C526A2C9A44C9B0A42B28BD4F779</vt:lpwstr>
  </property>
</Properties>
</file>