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11AC" w:rsidR="00675E5F" w:rsidP="00675E5F" w:rsidRDefault="00675E5F" w14:paraId="0B950F91" w14:textId="47BE4DF5">
      <w:pPr>
        <w:rPr>
          <w:b/>
          <w:szCs w:val="18"/>
          <w:lang w:val="nl-NL"/>
        </w:rPr>
      </w:pPr>
      <w:r w:rsidRPr="009011AC">
        <w:rPr>
          <w:b/>
          <w:szCs w:val="18"/>
          <w:lang w:val="nl-NL"/>
        </w:rPr>
        <w:t>Overzicht beleidsmatige mutaties na 2</w:t>
      </w:r>
      <w:r w:rsidRPr="009011AC">
        <w:rPr>
          <w:b/>
          <w:szCs w:val="18"/>
          <w:vertAlign w:val="superscript"/>
          <w:lang w:val="nl-NL"/>
        </w:rPr>
        <w:t>e</w:t>
      </w:r>
      <w:r w:rsidRPr="009011AC">
        <w:rPr>
          <w:b/>
          <w:szCs w:val="18"/>
          <w:lang w:val="nl-NL"/>
        </w:rPr>
        <w:t xml:space="preserve"> suppletoire begroting 202</w:t>
      </w:r>
      <w:r w:rsidRPr="009011AC" w:rsidR="00595575">
        <w:rPr>
          <w:b/>
          <w:szCs w:val="18"/>
          <w:lang w:val="nl-NL"/>
        </w:rPr>
        <w:t>5</w:t>
      </w:r>
      <w:r w:rsidRPr="009011AC">
        <w:rPr>
          <w:b/>
          <w:szCs w:val="18"/>
          <w:lang w:val="nl-NL"/>
        </w:rPr>
        <w:t xml:space="preserve"> van het ministerie van Volksgezondheid, Welzijn en Sport (VWS)</w:t>
      </w:r>
    </w:p>
    <w:p w:rsidRPr="00EE40E2" w:rsidR="00675E5F" w:rsidP="00675E5F" w:rsidRDefault="00675E5F" w14:paraId="35F9F04A" w14:textId="7158C37B">
      <w:pPr>
        <w:rPr>
          <w:szCs w:val="18"/>
          <w:lang w:val="nl-NL"/>
        </w:rPr>
      </w:pPr>
      <w:r w:rsidRPr="00EE40E2">
        <w:rPr>
          <w:szCs w:val="18"/>
          <w:lang w:val="nl-NL"/>
        </w:rPr>
        <w:t>In onderstaande tabel zijn</w:t>
      </w:r>
      <w:r w:rsidRPr="00EE40E2" w:rsidR="008C299B">
        <w:rPr>
          <w:szCs w:val="18"/>
          <w:lang w:val="nl-NL"/>
        </w:rPr>
        <w:t xml:space="preserve"> de</w:t>
      </w:r>
      <w:r w:rsidRPr="00EE40E2">
        <w:rPr>
          <w:szCs w:val="18"/>
          <w:lang w:val="nl-NL"/>
        </w:rPr>
        <w:t xml:space="preserve"> </w:t>
      </w:r>
      <w:r w:rsidRPr="00EE40E2" w:rsidR="008C299B">
        <w:rPr>
          <w:szCs w:val="18"/>
          <w:lang w:val="nl-NL"/>
        </w:rPr>
        <w:t>(</w:t>
      </w:r>
      <w:r w:rsidRPr="00EE40E2">
        <w:rPr>
          <w:szCs w:val="18"/>
          <w:lang w:val="nl-NL"/>
        </w:rPr>
        <w:t>beleidsmatige</w:t>
      </w:r>
      <w:r w:rsidRPr="00EE40E2" w:rsidR="008C299B">
        <w:rPr>
          <w:szCs w:val="18"/>
          <w:lang w:val="nl-NL"/>
        </w:rPr>
        <w:t>)</w:t>
      </w:r>
      <w:r w:rsidRPr="00EE40E2">
        <w:rPr>
          <w:szCs w:val="18"/>
          <w:lang w:val="nl-NL"/>
        </w:rPr>
        <w:t xml:space="preserve"> mutaties </w:t>
      </w:r>
      <w:r w:rsidRPr="00EE40E2" w:rsidR="008C299B">
        <w:rPr>
          <w:szCs w:val="18"/>
          <w:lang w:val="nl-NL"/>
        </w:rPr>
        <w:t xml:space="preserve">opgenomen </w:t>
      </w:r>
      <w:r w:rsidRPr="00EE40E2">
        <w:rPr>
          <w:szCs w:val="18"/>
          <w:lang w:val="nl-NL"/>
        </w:rPr>
        <w:t>die zich hebben voorgedaan na de 2</w:t>
      </w:r>
      <w:r w:rsidRPr="00EE40E2">
        <w:rPr>
          <w:szCs w:val="18"/>
          <w:vertAlign w:val="superscript"/>
          <w:lang w:val="nl-NL"/>
        </w:rPr>
        <w:t>e</w:t>
      </w:r>
      <w:r w:rsidRPr="00EE40E2">
        <w:rPr>
          <w:szCs w:val="18"/>
          <w:lang w:val="nl-NL"/>
        </w:rPr>
        <w:t xml:space="preserve"> suppletoire begroting 202</w:t>
      </w:r>
      <w:r w:rsidRPr="00EE40E2" w:rsidR="00595575">
        <w:rPr>
          <w:szCs w:val="18"/>
          <w:lang w:val="nl-NL"/>
        </w:rPr>
        <w:t>5</w:t>
      </w:r>
      <w:r w:rsidRPr="00EE40E2">
        <w:rPr>
          <w:szCs w:val="18"/>
          <w:lang w:val="nl-NL"/>
        </w:rPr>
        <w:t>. Mutaties groter dan € 5 miljoen</w:t>
      </w:r>
      <w:r w:rsidRPr="00EE40E2" w:rsidR="00DF396D">
        <w:rPr>
          <w:szCs w:val="18"/>
          <w:lang w:val="nl-NL"/>
        </w:rPr>
        <w:t>,</w:t>
      </w:r>
      <w:r w:rsidRPr="00EE40E2">
        <w:rPr>
          <w:szCs w:val="18"/>
          <w:lang w:val="nl-NL"/>
        </w:rPr>
        <w:t xml:space="preserve"> of wanneer deze (politiek) relevant zijn, </w:t>
      </w:r>
      <w:r w:rsidRPr="00EE40E2" w:rsidR="00DA2B3D">
        <w:rPr>
          <w:szCs w:val="18"/>
          <w:lang w:val="nl-NL"/>
        </w:rPr>
        <w:t xml:space="preserve">zijn </w:t>
      </w:r>
      <w:r w:rsidRPr="00EE40E2">
        <w:rPr>
          <w:szCs w:val="18"/>
          <w:lang w:val="nl-NL"/>
        </w:rPr>
        <w:t>voorzien van een toelichting. De mutaties na 2</w:t>
      </w:r>
      <w:r w:rsidRPr="00EE40E2">
        <w:rPr>
          <w:szCs w:val="18"/>
          <w:vertAlign w:val="superscript"/>
          <w:lang w:val="nl-NL"/>
        </w:rPr>
        <w:t>e</w:t>
      </w:r>
      <w:r w:rsidRPr="00EE40E2">
        <w:rPr>
          <w:szCs w:val="18"/>
          <w:lang w:val="nl-NL"/>
        </w:rPr>
        <w:t xml:space="preserve"> suppletoire begroting worden verwerkt in </w:t>
      </w:r>
      <w:r w:rsidRPr="00EE40E2" w:rsidR="00DA2B3D">
        <w:rPr>
          <w:szCs w:val="18"/>
          <w:lang w:val="nl-NL"/>
        </w:rPr>
        <w:t xml:space="preserve">de </w:t>
      </w:r>
      <w:proofErr w:type="spellStart"/>
      <w:r w:rsidRPr="00EE40E2">
        <w:rPr>
          <w:szCs w:val="18"/>
          <w:lang w:val="nl-NL"/>
        </w:rPr>
        <w:t>Slotwet</w:t>
      </w:r>
      <w:proofErr w:type="spellEnd"/>
      <w:r w:rsidRPr="00EE40E2">
        <w:rPr>
          <w:szCs w:val="18"/>
          <w:lang w:val="nl-NL"/>
        </w:rPr>
        <w:t xml:space="preserve"> </w:t>
      </w:r>
      <w:r w:rsidRPr="00EE40E2" w:rsidR="00DF396D">
        <w:rPr>
          <w:szCs w:val="18"/>
          <w:lang w:val="nl-NL"/>
        </w:rPr>
        <w:t xml:space="preserve">2025 </w:t>
      </w:r>
      <w:r w:rsidRPr="00EE40E2">
        <w:rPr>
          <w:szCs w:val="18"/>
          <w:lang w:val="nl-NL"/>
        </w:rPr>
        <w:t>van het ministerie van VWS.</w:t>
      </w:r>
    </w:p>
    <w:p w:rsidRPr="00EE40E2" w:rsidR="00D221C5" w:rsidP="00D221C5" w:rsidRDefault="00D221C5" w14:paraId="7D425069" w14:textId="77777777">
      <w:pPr>
        <w:rPr>
          <w:i/>
          <w:iCs/>
          <w:szCs w:val="18"/>
          <w:lang w:val="nl-NL"/>
        </w:rPr>
      </w:pPr>
      <w:r w:rsidRPr="00EE40E2">
        <w:rPr>
          <w:i/>
          <w:iCs/>
          <w:szCs w:val="18"/>
          <w:lang w:val="nl-NL"/>
        </w:rPr>
        <w:t>Tabel 1: Overzicht per instrument per artikel van de totale mutaties na tweede suppletoire begroting</w:t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675"/>
        <w:gridCol w:w="1620"/>
        <w:gridCol w:w="1664"/>
        <w:gridCol w:w="1968"/>
      </w:tblGrid>
      <w:tr w:rsidRPr="00EE40E2" w:rsidR="005F1F12" w:rsidTr="00890187" w14:paraId="6886DCEA" w14:textId="77777777">
        <w:trPr>
          <w:trHeight w:val="380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72158AA1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Art.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3F7433EE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Omschrijving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7F90B99" w14:textId="1ADB6BC4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x €1</w:t>
            </w:r>
            <w:r w:rsidRPr="00EE40E2" w:rsidR="00DA2B3D">
              <w:rPr>
                <w:rFonts w:eastAsia="Times New Roman" w:cs="Calibri"/>
                <w:color w:val="000000"/>
                <w:szCs w:val="18"/>
                <w:lang w:val="nl-NL" w:eastAsia="nl-NL"/>
              </w:rPr>
              <w:t>.</w:t>
            </w: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000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583EDA20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7E42ECE4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</w:tr>
      <w:tr w:rsidRPr="00EE40E2" w:rsidR="005F1F12" w:rsidTr="00890187" w14:paraId="7BECC32C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18D5E10A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602702EA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53A7B362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Verplichtingen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399916A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Uitgaven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156C6F0B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Ontvangsten</w:t>
            </w:r>
          </w:p>
        </w:tc>
      </w:tr>
      <w:tr w:rsidRPr="00EE40E2" w:rsidR="00B64200" w:rsidTr="00521E87" w14:paraId="4D1F7661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B64200" w:rsidP="00B64200" w:rsidRDefault="00B64200" w14:paraId="45086871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B64200" w:rsidP="00B64200" w:rsidRDefault="00B64200" w14:paraId="6E9BA1D2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Totaal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B64200" w:rsidP="00B64200" w:rsidRDefault="0080443D" w14:paraId="639BEF45" w14:textId="01D25E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3</w:t>
            </w:r>
            <w:r w:rsidRPr="00EE40E2" w:rsidR="00EA09A5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6</w:t>
            </w: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9.635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B64200" w:rsidP="00B64200" w:rsidRDefault="002602E8" w14:paraId="70371F2D" w14:textId="0BF25B1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19.764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B64200" w:rsidP="00B64200" w:rsidRDefault="00872504" w14:paraId="0DB3FDE2" w14:textId="21058C2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5F1F12" w:rsidTr="00890187" w14:paraId="79D8380C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4B0D58AE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5A0FE533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2ED8B523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4AA9D0DD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FBE7D42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</w:tr>
      <w:tr w:rsidRPr="00EE40E2" w:rsidR="005F1F12" w:rsidTr="00521E87" w14:paraId="336856C5" w14:textId="77777777">
        <w:trPr>
          <w:trHeight w:val="310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76EB13ED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Beleidsartikelen</w:t>
            </w:r>
          </w:p>
        </w:tc>
      </w:tr>
      <w:tr w:rsidRPr="00EE40E2" w:rsidR="005F1F12" w:rsidTr="00890187" w14:paraId="2F65AB5A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44D59E28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52212F29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Volksgezondheid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9F37C0" w14:paraId="5E1B0E6F" w14:textId="2945922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51</w:t>
            </w:r>
            <w:r w:rsidRPr="00EE40E2" w:rsidR="00B24E09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.7</w:t>
            </w: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C172D" w14:paraId="4F05B0A9" w14:textId="27EC726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553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2857124C" w14:textId="135BC4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5F1F12" w:rsidTr="00890187" w14:paraId="762A78A0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A6B68F2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872504" w14:paraId="35A5F02B" w14:textId="3FDC09FD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1. Gezondheidsbeleid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C172D" w14:paraId="39FB7CCF" w14:textId="256C0C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4</w:t>
            </w:r>
            <w:r w:rsidRPr="00EE40E2" w:rsidR="00C11F2E">
              <w:rPr>
                <w:rFonts w:eastAsia="Times New Roman" w:cs="Calibri"/>
                <w:color w:val="000000"/>
                <w:szCs w:val="18"/>
                <w:lang w:val="nl-NL" w:eastAsia="nl-NL"/>
              </w:rPr>
              <w:t>2.591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7FEFED35" w14:textId="708EC7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</w:t>
            </w:r>
            <w:r w:rsidRPr="00EE40E2" w:rsidR="005C172D">
              <w:rPr>
                <w:rFonts w:eastAsia="Times New Roman" w:cs="Calibri"/>
                <w:color w:val="000000"/>
                <w:szCs w:val="18"/>
                <w:lang w:val="nl-NL" w:eastAsia="nl-NL"/>
              </w:rPr>
              <w:t>409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326C0C8E" w14:textId="0C1CC8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872504" w:rsidTr="00890187" w14:paraId="39055497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3811ABBB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872504" w14:paraId="18F5E779" w14:textId="7F8FC5CB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2. Ziektepreventie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2CBDCBD3" w14:textId="7F552F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658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8412058" w14:textId="3297F3D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658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4582766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872504" w:rsidTr="00890187" w14:paraId="69756193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4A8D9B23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872504" w14:paraId="35856E73" w14:textId="7654194E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3. Gezondheidsbevordering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5C172D" w14:paraId="5AEAF85C" w14:textId="22A51D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2.489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5C172D" w14:paraId="0346BF50" w14:textId="43FA1A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304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4C26040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9F37C0" w:rsidTr="00890187" w14:paraId="26B8E4A6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9F37C0" w:rsidP="005F1F12" w:rsidRDefault="009F37C0" w14:paraId="78E8D6C6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9F37C0" w:rsidP="005F1F12" w:rsidRDefault="009F37C0" w14:paraId="17845BAC" w14:textId="7F52A512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4. Ethiek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9F37C0" w:rsidP="005F1F12" w:rsidRDefault="009F37C0" w14:paraId="4BBDA522" w14:textId="7DE74C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5.980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9F37C0" w:rsidP="005F1F12" w:rsidRDefault="009F37C0" w14:paraId="4574E66A" w14:textId="2D715A2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9F37C0" w:rsidP="005F1F12" w:rsidRDefault="009F37C0" w14:paraId="30B83AEA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5F1F12" w:rsidTr="00890187" w14:paraId="0994883F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5662988C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1F83079B" w14:textId="6AB8C7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 xml:space="preserve">Curatieve </w:t>
            </w:r>
            <w:r w:rsidRPr="00EE40E2" w:rsidR="002C7625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z</w:t>
            </w: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org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B24E09" w14:paraId="00C7897F" w14:textId="21DBAD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10.383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C172D" w14:paraId="01F28BDB" w14:textId="44C883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-250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50EC054F" w14:textId="74444CA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872504" w:rsidTr="00890187" w14:paraId="4728DD29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F2DD246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5C172D" w14:paraId="6BE86DF1" w14:textId="3B8EBCDE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1. Kwaliteit, toegankelijkheid en betaalbaarheid van de zorg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B24E09" w14:paraId="4ECE9E53" w14:textId="72398DA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10.383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5C172D" w14:paraId="679CC605" w14:textId="20F1B4E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-250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4658EED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</w:tr>
      <w:tr w:rsidRPr="00EE40E2" w:rsidR="005F1F12" w:rsidTr="00890187" w14:paraId="14EB29B3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02C50AE7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5C3FF39E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Langdurige zorg en ondersteuning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F86F12" w14:paraId="1C71DAFB" w14:textId="5DC34F7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10</w:t>
            </w:r>
            <w:r w:rsidRPr="00EE40E2" w:rsidR="005C172D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5.747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C172D" w14:paraId="56EA8CD9" w14:textId="17D60D5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-53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7F2A4D79" w14:textId="07F6E7D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872504" w:rsidTr="00890187" w14:paraId="1172117A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CCC49E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872504" w14:paraId="143AD8D7" w14:textId="563A1BB5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1. Participatie en zelfredzaamheid van mensen met beperkingen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5C172D" w14:paraId="309D6801" w14:textId="723DD1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-53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5C172D" w14:paraId="21ABB52C" w14:textId="17D8FB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-53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53522569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5C172D" w:rsidTr="00890187" w14:paraId="74FEE88C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2B1337B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5C172D" w:rsidP="005F1F12" w:rsidRDefault="005C172D" w14:paraId="1B4CCD68" w14:textId="2C998EDE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2. Zorgdragen voor langdurige zorg tegen maatschappelijk aanvaardbare kosten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EA09A5" w14:paraId="6C70E087" w14:textId="7E7B2C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10</w:t>
            </w:r>
            <w:r w:rsidRPr="00EE40E2" w:rsidR="005C172D">
              <w:rPr>
                <w:rFonts w:eastAsia="Times New Roman" w:cs="Calibri"/>
                <w:color w:val="000000"/>
                <w:szCs w:val="18"/>
                <w:lang w:val="nl-NL" w:eastAsia="nl-NL"/>
              </w:rPr>
              <w:t>5.800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41627B67" w14:textId="0901C2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7A24E8A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5F1F12" w:rsidTr="00890187" w14:paraId="32F2CF53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245D2A36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25291A49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proofErr w:type="spellStart"/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Zorgbreed</w:t>
            </w:r>
            <w:proofErr w:type="spellEnd"/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 xml:space="preserve"> beleid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C172D" w14:paraId="34E21822" w14:textId="44A802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155.858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60C4959F" w14:textId="48E26DB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-</w:t>
            </w:r>
            <w:r w:rsidRPr="00EE40E2" w:rsidR="00281FF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400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70ACDEF8" w14:textId="29D4F6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872504" w:rsidTr="00890187" w14:paraId="4D670DD9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60262774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872504" w14:paraId="32C47092" w14:textId="067B89C2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2. Opleidingen, beroepenstructuur en arbeidsmarkt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351F6C4D" w14:textId="54D6BD5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</w:t>
            </w:r>
            <w:r w:rsidRPr="00EE40E2" w:rsidR="00281FFC">
              <w:rPr>
                <w:rFonts w:eastAsia="Times New Roman" w:cs="Calibri"/>
                <w:color w:val="000000"/>
                <w:szCs w:val="18"/>
                <w:lang w:val="nl-NL" w:eastAsia="nl-NL"/>
              </w:rPr>
              <w:t>93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118AA8F5" w14:textId="652F9A7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</w:t>
            </w:r>
            <w:r w:rsidRPr="00EE40E2" w:rsidR="00281FFC">
              <w:rPr>
                <w:rFonts w:eastAsia="Times New Roman" w:cs="Calibri"/>
                <w:color w:val="000000"/>
                <w:szCs w:val="18"/>
                <w:lang w:val="nl-NL" w:eastAsia="nl-NL"/>
              </w:rPr>
              <w:t>93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F80707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281FFC" w:rsidTr="00890187" w14:paraId="281882BD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281FFC" w:rsidP="005F1F12" w:rsidRDefault="00281FFC" w14:paraId="45B3E7D9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281FFC" w:rsidP="005F1F12" w:rsidRDefault="00281FFC" w14:paraId="21D23A2A" w14:textId="1625CD15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3. Informatiebeleid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281FFC" w:rsidP="005F1F12" w:rsidRDefault="005C172D" w14:paraId="190E17EE" w14:textId="3354EA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41.651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281FFC" w:rsidP="005F1F12" w:rsidRDefault="00281FFC" w14:paraId="4CB8C18E" w14:textId="22B59B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-307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281FFC" w:rsidP="005F1F12" w:rsidRDefault="00281FFC" w14:paraId="66E631FC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5C172D" w:rsidTr="00890187" w14:paraId="2A1A4BB4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4275508B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5C172D" w:rsidP="005F1F12" w:rsidRDefault="005C172D" w14:paraId="299FC7DB" w14:textId="4681237B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5. Zorg, welzijn en jeugdzorg op Caribisch Nederland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C172D" w:rsidRDefault="005C172D" w14:paraId="71C2D8E0" w14:textId="0CADA7E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114.300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5B06EBAE" w14:textId="7D0EBF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5C172D" w:rsidP="005F1F12" w:rsidRDefault="005C172D" w14:paraId="338C580A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872504" w:rsidTr="00890187" w14:paraId="0789D73A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728E877" w14:textId="4E1280F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872504" w14:paraId="476AD9FF" w14:textId="56E5D0D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Jeugd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872504" w:rsidRDefault="00E629BB" w14:paraId="6939F163" w14:textId="29ACD3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31.000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872504" w:rsidRDefault="00872504" w14:paraId="6EEE566D" w14:textId="3AFAAD6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872504" w:rsidRDefault="00872504" w14:paraId="48769047" w14:textId="3DDC29A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872504" w:rsidTr="00890187" w14:paraId="2F91F508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02FE015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E40E2" w:rsidR="00872504" w:rsidP="005F1F12" w:rsidRDefault="00E629BB" w14:paraId="6586AFB6" w14:textId="216E6F3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 xml:space="preserve">3. </w:t>
            </w:r>
            <w:r w:rsidRPr="00EE40E2">
              <w:rPr>
                <w:lang w:val="nl-NL"/>
              </w:rPr>
              <w:t>Effectief en efficiënt werkend jeugdstelsel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E629BB" w:rsidRDefault="00E629BB" w14:paraId="7B0FC709" w14:textId="71893F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31.000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E629BB" w14:paraId="2753A705" w14:textId="24AD45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E40E2" w:rsidR="00872504" w:rsidP="005F1F12" w:rsidRDefault="00872504" w14:paraId="4F3B434E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</w:p>
        </w:tc>
      </w:tr>
      <w:tr w:rsidRPr="00EE40E2" w:rsidR="005F1F12" w:rsidTr="00890187" w14:paraId="120E1D6C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E806FF2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E40E2" w:rsidR="005F1F12" w:rsidP="005F1F12" w:rsidRDefault="005F1F12" w14:paraId="505392B2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Sport en bewegen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E629BB" w:rsidRDefault="00B24E09" w14:paraId="312F9334" w14:textId="2137633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5.575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872504" w:rsidRDefault="00872504" w14:paraId="092EF1E2" w14:textId="243C3B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-100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872504" w:rsidRDefault="00872504" w14:paraId="69022338" w14:textId="35BBC9F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5F1F12" w:rsidTr="00890187" w14:paraId="389EA6AC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428B784C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7B92E10F" w14:textId="2E362AA0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4. Sport verenigt Nederland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B24E09" w14:paraId="4CD0FA67" w14:textId="7C49F0A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5.575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0823284C" w14:textId="7975DE6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-100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47CDAE25" w14:textId="10736DA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EE40E2" w:rsidR="005F1F12" w:rsidTr="00890187" w14:paraId="3234C9C1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396CD72C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1F877FCA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Oorlogsgetroffenen en Herinnering Wereldoorlog II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2C3E22D4" w14:textId="7E6CC2A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9.283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66CAEC90" w14:textId="2D755B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11E25071" w14:textId="0A44836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EE40E2" w:rsidR="005F1F12" w:rsidTr="00521E87" w14:paraId="434CB72F" w14:textId="77777777">
        <w:trPr>
          <w:trHeight w:val="244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2E2CCEA0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07FF9DFB" w14:textId="6E16420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  <w:r w:rsidRPr="00EE40E2" w:rsidR="00872504">
              <w:rPr>
                <w:rFonts w:eastAsia="Times New Roman" w:cs="Calibri"/>
                <w:color w:val="000000"/>
                <w:szCs w:val="18"/>
                <w:lang w:val="nl-NL" w:eastAsia="nl-NL"/>
              </w:rPr>
              <w:t>1. De zorg- en dienstverlening aan verzetsdeelnemers en oorlogsgetroffenen WO II en de herinnering aan WO II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872504" w:rsidRDefault="005F1F12" w14:paraId="745C4F17" w14:textId="3341044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  <w:r w:rsidRPr="00EE40E2" w:rsidR="00872504">
              <w:rPr>
                <w:rFonts w:eastAsia="Times New Roman" w:cs="Calibri"/>
                <w:color w:val="000000"/>
                <w:szCs w:val="18"/>
                <w:lang w:val="nl-NL" w:eastAsia="nl-NL"/>
              </w:rPr>
              <w:t>9.283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872504" w:rsidRDefault="00872504" w14:paraId="14532C4E" w14:textId="0EA154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872504" w:rsidRDefault="005F1F12" w14:paraId="55D7650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</w:tr>
      <w:tr w:rsidRPr="009011AC" w:rsidR="005F1F12" w:rsidTr="00890187" w14:paraId="200E227E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711C4B88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5F1F12" w14:paraId="658A88DB" w14:textId="40EA2B9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Tegemoetkoming</w:t>
            </w:r>
            <w:r w:rsidRPr="00EE40E2" w:rsidR="002C7625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en en Rijksbijdragen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0EB11B7E" w14:textId="7F1A8A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E40E2" w:rsidR="005F1F12" w:rsidP="005F1F12" w:rsidRDefault="00872504" w14:paraId="3B7873C3" w14:textId="3849E9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872504" w14:paraId="16FDC227" w14:textId="06880B1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EE40E2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9011AC" w:rsidR="005F1F12" w:rsidTr="00521E87" w14:paraId="36B5A0D3" w14:textId="77777777">
        <w:trPr>
          <w:trHeight w:val="14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594E0AD2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22020C55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439FDDE3" w14:textId="4C8C8C49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  <w:r w:rsidR="00EA2E81">
              <w:rPr>
                <w:rFonts w:eastAsia="Times New Roman" w:cs="Calibri"/>
                <w:color w:val="000000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67103277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736CF9BC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</w:tr>
      <w:tr w:rsidRPr="009011AC" w:rsidR="005F1F12" w:rsidTr="00890187" w14:paraId="00B7E11A" w14:textId="77777777">
        <w:trPr>
          <w:trHeight w:val="380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70E79E7C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lastRenderedPageBreak/>
              <w:t>Niet-beleidsartikelen</w:t>
            </w:r>
          </w:p>
        </w:tc>
      </w:tr>
      <w:tr w:rsidRPr="009011AC" w:rsidR="005F1F12" w:rsidTr="00890187" w14:paraId="41F33891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29436535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198E7607" w14:textId="7777777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Algemeen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872504" w14:paraId="0952AC5F" w14:textId="2C1D215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2602E8" w14:paraId="43AB6EB9" w14:textId="2DE069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20.200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872504" w14:paraId="22C385DD" w14:textId="24194D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9011AC" w:rsidR="005F1F12" w:rsidTr="00890187" w14:paraId="04B54A3D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5F1F12" w:rsidP="005F1F12" w:rsidRDefault="005F1F12" w14:paraId="2ACDDEE1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133FA" w:rsidR="005F1F12" w:rsidP="000133FA" w:rsidRDefault="000133FA" w14:paraId="36EC2D2A" w14:textId="1E707F1A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>
              <w:rPr>
                <w:rFonts w:eastAsia="Times New Roman" w:cs="Calibri"/>
                <w:color w:val="000000"/>
                <w:szCs w:val="18"/>
                <w:lang w:val="nl-NL" w:eastAsia="nl-NL"/>
              </w:rPr>
              <w:t xml:space="preserve">3. </w:t>
            </w:r>
            <w:r w:rsidRPr="000133FA" w:rsidR="00354443">
              <w:rPr>
                <w:rFonts w:eastAsia="Times New Roman" w:cs="Calibri"/>
                <w:color w:val="000000"/>
                <w:szCs w:val="18"/>
                <w:lang w:val="nl-NL" w:eastAsia="nl-NL"/>
              </w:rPr>
              <w:t>Eigenaarsbijdrage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602E8" w:rsidR="005F1F12" w:rsidP="002602E8" w:rsidRDefault="005F1F12" w14:paraId="1D8D6C6B" w14:textId="7237B5A5">
            <w:pPr>
              <w:spacing w:after="0" w:line="240" w:lineRule="auto"/>
              <w:jc w:val="right"/>
              <w:rPr>
                <w:rFonts w:eastAsia="Times New Roman" w:cs="Calibri"/>
                <w:szCs w:val="18"/>
                <w:lang w:val="nl-NL" w:eastAsia="nl-NL"/>
              </w:rPr>
            </w:pPr>
            <w:r w:rsidRPr="002602E8">
              <w:rPr>
                <w:rFonts w:eastAsia="Times New Roman" w:cs="Calibri"/>
                <w:szCs w:val="18"/>
                <w:lang w:val="nl-NL" w:eastAsia="nl-NL"/>
              </w:rPr>
              <w:t> </w:t>
            </w:r>
            <w:r w:rsidRPr="002602E8" w:rsidR="002602E8">
              <w:rPr>
                <w:rFonts w:eastAsia="Times New Roman" w:cs="Calibri"/>
                <w:szCs w:val="18"/>
                <w:lang w:val="nl-NL" w:eastAsia="nl-NL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602E8" w:rsidR="005F1F12" w:rsidP="005F1F12" w:rsidRDefault="005F1F12" w14:paraId="5584F546" w14:textId="6662DE92">
            <w:pPr>
              <w:spacing w:after="0" w:line="240" w:lineRule="auto"/>
              <w:rPr>
                <w:rFonts w:eastAsia="Times New Roman" w:cs="Calibri"/>
                <w:szCs w:val="18"/>
                <w:lang w:val="nl-NL" w:eastAsia="nl-NL"/>
              </w:rPr>
            </w:pPr>
            <w:r w:rsidRPr="002602E8">
              <w:rPr>
                <w:rFonts w:eastAsia="Times New Roman" w:cs="Calibri"/>
                <w:szCs w:val="18"/>
                <w:lang w:val="nl-NL" w:eastAsia="nl-NL"/>
              </w:rPr>
              <w:t> </w:t>
            </w:r>
            <w:r w:rsidRPr="002602E8" w:rsidR="00354443">
              <w:rPr>
                <w:rFonts w:eastAsia="Times New Roman" w:cs="Calibri"/>
                <w:szCs w:val="18"/>
                <w:lang w:val="nl-NL" w:eastAsia="nl-NL"/>
              </w:rPr>
              <w:t xml:space="preserve"> </w:t>
            </w:r>
            <w:r w:rsidRPr="002602E8" w:rsidR="002602E8">
              <w:rPr>
                <w:rFonts w:eastAsia="Times New Roman" w:cs="Calibri"/>
                <w:szCs w:val="18"/>
                <w:lang w:val="nl-NL" w:eastAsia="nl-NL"/>
              </w:rPr>
              <w:t xml:space="preserve">            20.200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602E8" w:rsidR="005F1F12" w:rsidP="005F1F12" w:rsidRDefault="005F1F12" w14:paraId="68C2654E" w14:textId="77777777">
            <w:pPr>
              <w:spacing w:after="0" w:line="240" w:lineRule="auto"/>
              <w:rPr>
                <w:rFonts w:eastAsia="Times New Roman" w:cs="Calibri"/>
                <w:szCs w:val="18"/>
                <w:lang w:val="nl-NL" w:eastAsia="nl-NL"/>
              </w:rPr>
            </w:pPr>
            <w:r w:rsidRPr="002602E8">
              <w:rPr>
                <w:rFonts w:eastAsia="Times New Roman" w:cs="Calibri"/>
                <w:szCs w:val="18"/>
                <w:lang w:val="nl-NL" w:eastAsia="nl-NL"/>
              </w:rPr>
              <w:t> </w:t>
            </w:r>
          </w:p>
        </w:tc>
      </w:tr>
      <w:tr w:rsidRPr="009011AC" w:rsidR="00B72871" w:rsidTr="00521E87" w14:paraId="0D8F8873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39EDC507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71AC603A" w14:textId="787BB55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Apparaat</w:t>
            </w:r>
            <w:r w:rsidRPr="009011AC" w:rsidR="002C7625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 xml:space="preserve"> Kerndepartement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5C172D" w14:paraId="7CF4843B" w14:textId="692211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71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281FFC" w14:paraId="4B81D2AE" w14:textId="447DEB9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-</w:t>
            </w:r>
            <w:r w:rsidRPr="009011AC" w:rsidR="005C172D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186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872504" w14:paraId="4E7C31CE" w14:textId="73503D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b/>
                <w:bCs/>
                <w:color w:val="000000"/>
                <w:szCs w:val="18"/>
                <w:lang w:val="nl-NL" w:eastAsia="nl-NL"/>
              </w:rPr>
              <w:t>0</w:t>
            </w:r>
          </w:p>
        </w:tc>
      </w:tr>
      <w:tr w:rsidRPr="009011AC" w:rsidR="00B72871" w:rsidTr="00521E87" w14:paraId="229DB59E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56726ABC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7E7588A8" w14:textId="1A072058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 xml:space="preserve">3. Kerndepartement   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5C172D" w14:paraId="7E08977A" w14:textId="3E2C6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620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5C172D" w14:paraId="2AA82CAA" w14:textId="301EA1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363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10C64DA7" w14:textId="51564AB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  <w:tr w:rsidRPr="009011AC" w:rsidR="00B72871" w:rsidTr="00521E87" w14:paraId="1AAD5BF5" w14:textId="77777777">
        <w:trPr>
          <w:trHeight w:val="380"/>
        </w:trPr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174D3FD9" w14:textId="77777777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09972C52" w14:textId="0C3CF81D">
            <w:pPr>
              <w:spacing w:after="0" w:line="240" w:lineRule="auto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4. Inspecties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872504" w:rsidRDefault="00872504" w14:paraId="078BFA05" w14:textId="1C886A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-</w:t>
            </w:r>
            <w:r w:rsidRPr="009011AC" w:rsidR="00281FFC">
              <w:rPr>
                <w:rFonts w:eastAsia="Times New Roman" w:cs="Calibri"/>
                <w:color w:val="000000"/>
                <w:szCs w:val="18"/>
                <w:lang w:val="nl-NL" w:eastAsia="nl-NL"/>
              </w:rPr>
              <w:t>549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872504" w14:paraId="20033615" w14:textId="6B03C4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  <w:r w:rsidRPr="009011AC">
              <w:rPr>
                <w:rFonts w:eastAsia="Times New Roman" w:cs="Calibri"/>
                <w:color w:val="000000"/>
                <w:szCs w:val="18"/>
                <w:lang w:val="nl-NL" w:eastAsia="nl-NL"/>
              </w:rPr>
              <w:t>-</w:t>
            </w:r>
            <w:r w:rsidRPr="009011AC" w:rsidR="00281FFC">
              <w:rPr>
                <w:rFonts w:eastAsia="Times New Roman" w:cs="Calibri"/>
                <w:color w:val="000000"/>
                <w:szCs w:val="18"/>
                <w:lang w:val="nl-NL" w:eastAsia="nl-NL"/>
              </w:rPr>
              <w:t>549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011AC" w:rsidR="00B72871" w:rsidP="00B72871" w:rsidRDefault="00B72871" w14:paraId="363E9A2C" w14:textId="767CF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Cs w:val="18"/>
                <w:lang w:val="nl-NL" w:eastAsia="nl-NL"/>
              </w:rPr>
            </w:pPr>
          </w:p>
        </w:tc>
      </w:tr>
    </w:tbl>
    <w:p w:rsidRPr="009011AC" w:rsidR="00DD1A05" w:rsidP="00DD1A05" w:rsidRDefault="003A24F9" w14:paraId="780E9A54" w14:textId="15AB6859">
      <w:pPr>
        <w:rPr>
          <w:szCs w:val="18"/>
          <w:lang w:val="nl-NL"/>
        </w:rPr>
      </w:pPr>
      <w:r w:rsidRPr="009011AC">
        <w:rPr>
          <w:szCs w:val="18"/>
          <w:lang w:val="nl-NL"/>
        </w:rPr>
        <w:t xml:space="preserve"> </w:t>
      </w:r>
    </w:p>
    <w:p w:rsidR="002D16CB" w:rsidP="00DD1A05" w:rsidRDefault="002D16CB" w14:paraId="37B4AE6D" w14:textId="74C0289A">
      <w:pPr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>Artikel 1 Volksgezondheid</w:t>
      </w:r>
    </w:p>
    <w:p w:rsidRPr="00C11F2E" w:rsidR="00C11F2E" w:rsidP="00DD1A05" w:rsidRDefault="00C11F2E" w14:paraId="2CAB1CC1" w14:textId="66706A03">
      <w:pPr>
        <w:rPr>
          <w:szCs w:val="18"/>
          <w:lang w:val="nl-NL"/>
        </w:rPr>
      </w:pPr>
      <w:r>
        <w:rPr>
          <w:szCs w:val="18"/>
          <w:lang w:val="nl-NL"/>
        </w:rPr>
        <w:t>1. Gezondheidsbeleid</w:t>
      </w:r>
    </w:p>
    <w:p w:rsidR="009F37C0" w:rsidP="009F37C0" w:rsidRDefault="009F37C0" w14:paraId="75DB670F" w14:textId="10E1A903">
      <w:pPr>
        <w:rPr>
          <w:szCs w:val="18"/>
          <w:lang w:val="nl-NL"/>
        </w:rPr>
      </w:pPr>
      <w:r w:rsidRPr="009F37C0">
        <w:rPr>
          <w:szCs w:val="18"/>
          <w:lang w:val="nl-NL"/>
        </w:rPr>
        <w:t>Om de verplichting voor de uitbreiding van de Brede SPUK in 2026 aan te gaan is er een verhoging van het verplichtingenbudget van € 43</w:t>
      </w:r>
      <w:r w:rsidR="0080443D">
        <w:rPr>
          <w:szCs w:val="18"/>
          <w:lang w:val="nl-NL"/>
        </w:rPr>
        <w:t>,0</w:t>
      </w:r>
      <w:r w:rsidRPr="009F37C0">
        <w:rPr>
          <w:szCs w:val="18"/>
          <w:lang w:val="nl-NL"/>
        </w:rPr>
        <w:t xml:space="preserve"> miljoen benodigd in 2025. Deze uitbreiding komt door de toegevoegde onderdelen aan deze specifieke uitkering voor 2026 vanuit het Aanvullend Zorg- en Welzijnsakkoord en het Hoofdlijnenakkoord Ouderenzorg. </w:t>
      </w:r>
      <w:r w:rsidR="002A003F">
        <w:rPr>
          <w:szCs w:val="18"/>
          <w:lang w:val="nl-NL"/>
        </w:rPr>
        <w:t>Bij</w:t>
      </w:r>
      <w:r w:rsidRPr="009F37C0" w:rsidR="002A003F">
        <w:rPr>
          <w:szCs w:val="18"/>
          <w:lang w:val="nl-NL"/>
        </w:rPr>
        <w:t xml:space="preserve"> de toekenning van de AZWA-middelen is </w:t>
      </w:r>
      <w:r w:rsidR="002A003F">
        <w:rPr>
          <w:szCs w:val="18"/>
          <w:lang w:val="nl-NL"/>
        </w:rPr>
        <w:t>in</w:t>
      </w:r>
      <w:r w:rsidRPr="009F37C0" w:rsidR="002A003F">
        <w:rPr>
          <w:szCs w:val="18"/>
          <w:lang w:val="nl-NL"/>
        </w:rPr>
        <w:t xml:space="preserve"> </w:t>
      </w:r>
      <w:r w:rsidRPr="009F37C0">
        <w:rPr>
          <w:szCs w:val="18"/>
          <w:lang w:val="nl-NL"/>
        </w:rPr>
        <w:t>de augustusbesluitvorming een boeking op een onjuiste plek terechtgekomen</w:t>
      </w:r>
      <w:r w:rsidR="00DA2B3D">
        <w:rPr>
          <w:szCs w:val="18"/>
          <w:lang w:val="nl-NL"/>
        </w:rPr>
        <w:t>.</w:t>
      </w:r>
      <w:r w:rsidRPr="009F37C0">
        <w:rPr>
          <w:szCs w:val="18"/>
          <w:lang w:val="nl-NL"/>
        </w:rPr>
        <w:t xml:space="preserve"> </w:t>
      </w:r>
      <w:r w:rsidR="00DA2B3D">
        <w:rPr>
          <w:szCs w:val="18"/>
          <w:lang w:val="nl-NL"/>
        </w:rPr>
        <w:t>B</w:t>
      </w:r>
      <w:r w:rsidRPr="009F37C0">
        <w:rPr>
          <w:szCs w:val="18"/>
          <w:lang w:val="nl-NL"/>
        </w:rPr>
        <w:t>ij de afwikkeling van de beschikkingen is dit opgemerkt na de 2</w:t>
      </w:r>
      <w:r w:rsidRPr="009F37C0">
        <w:rPr>
          <w:szCs w:val="18"/>
          <w:vertAlign w:val="superscript"/>
          <w:lang w:val="nl-NL"/>
        </w:rPr>
        <w:t>de</w:t>
      </w:r>
      <w:r w:rsidRPr="009F37C0">
        <w:rPr>
          <w:szCs w:val="18"/>
          <w:lang w:val="nl-NL"/>
        </w:rPr>
        <w:t xml:space="preserve"> suppletoire begroting. Omdat eerder al aan gemeenten was gecommuniceerd dat de middelen voor 2026 zouden worden verhoogd, moet het </w:t>
      </w:r>
      <w:r w:rsidR="00906D70">
        <w:rPr>
          <w:szCs w:val="18"/>
          <w:lang w:val="nl-NL"/>
        </w:rPr>
        <w:t xml:space="preserve">verplichtingenbudget </w:t>
      </w:r>
      <w:r w:rsidRPr="009F37C0">
        <w:rPr>
          <w:szCs w:val="18"/>
          <w:lang w:val="nl-NL"/>
        </w:rPr>
        <w:t xml:space="preserve">via een veegbriefmutatie alsnog in 2025 worden overgeheveld, zodat de bijbehorende verplichtingen tijdig kunnen worden aangegaan. Tezamen met kleinere mutaties resulteert dit in een ophoging van het verplichtingenbudget van € </w:t>
      </w:r>
      <w:r>
        <w:rPr>
          <w:szCs w:val="18"/>
          <w:lang w:val="nl-NL"/>
        </w:rPr>
        <w:t>42,6</w:t>
      </w:r>
      <w:r w:rsidRPr="009F37C0">
        <w:rPr>
          <w:szCs w:val="18"/>
          <w:lang w:val="nl-NL"/>
        </w:rPr>
        <w:t xml:space="preserve"> miljoen.</w:t>
      </w:r>
    </w:p>
    <w:p w:rsidR="009F37C0" w:rsidP="009F37C0" w:rsidRDefault="009F37C0" w14:paraId="3002AA5B" w14:textId="0E00A868">
      <w:pPr>
        <w:rPr>
          <w:szCs w:val="18"/>
          <w:lang w:val="nl-NL"/>
        </w:rPr>
      </w:pPr>
      <w:r>
        <w:rPr>
          <w:szCs w:val="18"/>
          <w:lang w:val="nl-NL"/>
        </w:rPr>
        <w:t>4. Ethiek</w:t>
      </w:r>
    </w:p>
    <w:p w:rsidRPr="009F37C0" w:rsidR="00906D70" w:rsidP="00906D70" w:rsidRDefault="00906D70" w14:paraId="083E4CBC" w14:textId="77777777">
      <w:pPr>
        <w:rPr>
          <w:szCs w:val="18"/>
          <w:lang w:val="nl-NL"/>
        </w:rPr>
      </w:pPr>
      <w:r w:rsidRPr="009F37C0">
        <w:rPr>
          <w:szCs w:val="18"/>
          <w:lang w:val="nl-NL"/>
        </w:rPr>
        <w:t>Daarnaast blijkt dat voor de instellingssubsidies voor abortusklinieken en instellingen omtrent ethisch verantwoord handelen een tekort is ontstaan aan verplichtingenbudget van € 6</w:t>
      </w:r>
      <w:r>
        <w:rPr>
          <w:szCs w:val="18"/>
          <w:lang w:val="nl-NL"/>
        </w:rPr>
        <w:t>,0</w:t>
      </w:r>
      <w:r w:rsidRPr="009F37C0">
        <w:rPr>
          <w:szCs w:val="18"/>
          <w:lang w:val="nl-NL"/>
        </w:rPr>
        <w:t xml:space="preserve"> miljoen voor 2026. Dit wordt opgelost met een verhoging van het verplichtingenbudget van € 6</w:t>
      </w:r>
      <w:r>
        <w:rPr>
          <w:szCs w:val="18"/>
          <w:lang w:val="nl-NL"/>
        </w:rPr>
        <w:t>,0</w:t>
      </w:r>
      <w:r w:rsidRPr="009F37C0">
        <w:rPr>
          <w:szCs w:val="18"/>
          <w:lang w:val="nl-NL"/>
        </w:rPr>
        <w:t xml:space="preserve"> miljoen. Ten tijde van de 2</w:t>
      </w:r>
      <w:r w:rsidRPr="009F37C0">
        <w:rPr>
          <w:szCs w:val="18"/>
          <w:vertAlign w:val="superscript"/>
          <w:lang w:val="nl-NL"/>
        </w:rPr>
        <w:t>e</w:t>
      </w:r>
      <w:r w:rsidRPr="009F37C0">
        <w:rPr>
          <w:szCs w:val="18"/>
          <w:lang w:val="nl-NL"/>
        </w:rPr>
        <w:t xml:space="preserve"> suppletoire begroting werd nog gedacht dat er voldoende verplichtingenbudget aanwezig was, </w:t>
      </w:r>
      <w:r>
        <w:rPr>
          <w:szCs w:val="18"/>
          <w:lang w:val="nl-NL"/>
        </w:rPr>
        <w:t>maar dit blijkt niet het geval</w:t>
      </w:r>
      <w:r w:rsidRPr="009F37C0">
        <w:rPr>
          <w:szCs w:val="18"/>
          <w:lang w:val="nl-NL"/>
        </w:rPr>
        <w:t xml:space="preserve">. </w:t>
      </w:r>
      <w:r>
        <w:rPr>
          <w:szCs w:val="18"/>
          <w:lang w:val="nl-NL"/>
        </w:rPr>
        <w:t>De verhoging is noodzakelijk o</w:t>
      </w:r>
      <w:r w:rsidRPr="009F37C0">
        <w:rPr>
          <w:szCs w:val="18"/>
          <w:lang w:val="nl-NL"/>
        </w:rPr>
        <w:t xml:space="preserve">m de instellingen </w:t>
      </w:r>
      <w:r>
        <w:rPr>
          <w:szCs w:val="18"/>
          <w:lang w:val="nl-NL"/>
        </w:rPr>
        <w:t xml:space="preserve">in staat te stellen </w:t>
      </w:r>
      <w:r w:rsidRPr="009F37C0">
        <w:rPr>
          <w:szCs w:val="18"/>
          <w:lang w:val="nl-NL"/>
        </w:rPr>
        <w:t xml:space="preserve">vanaf de start van 2026 hun werkzaamheden </w:t>
      </w:r>
      <w:r>
        <w:rPr>
          <w:szCs w:val="18"/>
          <w:lang w:val="nl-NL"/>
        </w:rPr>
        <w:t>uit te voeren</w:t>
      </w:r>
      <w:r w:rsidRPr="009F37C0">
        <w:rPr>
          <w:szCs w:val="18"/>
          <w:lang w:val="nl-NL"/>
        </w:rPr>
        <w:t xml:space="preserve">. </w:t>
      </w:r>
    </w:p>
    <w:p w:rsidR="002D16CB" w:rsidP="00DD1A05" w:rsidRDefault="002D16CB" w14:paraId="3C7A5191" w14:textId="77777777">
      <w:pPr>
        <w:rPr>
          <w:b/>
          <w:bCs/>
          <w:szCs w:val="18"/>
          <w:lang w:val="nl-NL"/>
        </w:rPr>
      </w:pPr>
    </w:p>
    <w:p w:rsidRPr="009011AC" w:rsidR="003A0C61" w:rsidP="00DD1A05" w:rsidRDefault="003A0C61" w14:paraId="3AB243B2" w14:textId="299461D8">
      <w:pPr>
        <w:rPr>
          <w:b/>
          <w:bCs/>
          <w:szCs w:val="18"/>
          <w:lang w:val="nl-NL"/>
        </w:rPr>
      </w:pPr>
      <w:r w:rsidRPr="009011AC">
        <w:rPr>
          <w:b/>
          <w:bCs/>
          <w:szCs w:val="18"/>
          <w:lang w:val="nl-NL"/>
        </w:rPr>
        <w:t xml:space="preserve">Artikel </w:t>
      </w:r>
      <w:r w:rsidRPr="009011AC" w:rsidR="002C7625">
        <w:rPr>
          <w:b/>
          <w:bCs/>
          <w:szCs w:val="18"/>
          <w:lang w:val="nl-NL"/>
        </w:rPr>
        <w:t>2 Curatieve zorg</w:t>
      </w:r>
    </w:p>
    <w:p w:rsidRPr="009011AC" w:rsidR="002C7625" w:rsidP="002C7625" w:rsidRDefault="002C7625" w14:paraId="68A15AD2" w14:textId="2BE10298">
      <w:pPr>
        <w:rPr>
          <w:szCs w:val="18"/>
          <w:lang w:val="nl-NL" w:eastAsia="nl-NL"/>
        </w:rPr>
      </w:pPr>
      <w:r w:rsidRPr="009011AC">
        <w:rPr>
          <w:szCs w:val="18"/>
          <w:lang w:val="nl-NL" w:eastAsia="nl-NL"/>
        </w:rPr>
        <w:t>1. Kwaliteit, toegankelijkheid en betaalbaarheid van de zorg</w:t>
      </w:r>
    </w:p>
    <w:p w:rsidRPr="009011AC" w:rsidR="00906D70" w:rsidP="00906D70" w:rsidRDefault="00906D70" w14:paraId="36A88633" w14:textId="5AD8D65B">
      <w:pPr>
        <w:rPr>
          <w:szCs w:val="18"/>
          <w:lang w:val="nl-NL"/>
        </w:rPr>
      </w:pPr>
      <w:bookmarkStart w:name="_Hlk216096282" w:id="0"/>
      <w:r w:rsidRPr="009011AC">
        <w:rPr>
          <w:szCs w:val="18"/>
          <w:lang w:val="nl-NL"/>
        </w:rPr>
        <w:t xml:space="preserve">Voor </w:t>
      </w:r>
      <w:r>
        <w:rPr>
          <w:szCs w:val="18"/>
          <w:lang w:val="nl-NL"/>
        </w:rPr>
        <w:t>de Nationale Zorgreserve s</w:t>
      </w:r>
      <w:r w:rsidRPr="009011AC">
        <w:rPr>
          <w:szCs w:val="18"/>
          <w:lang w:val="nl-NL"/>
        </w:rPr>
        <w:t>tond</w:t>
      </w:r>
      <w:r>
        <w:rPr>
          <w:szCs w:val="18"/>
          <w:lang w:val="nl-NL"/>
        </w:rPr>
        <w:t xml:space="preserve"> het verplichtingenbudget</w:t>
      </w:r>
      <w:r w:rsidRPr="009011AC">
        <w:rPr>
          <w:szCs w:val="18"/>
          <w:lang w:val="nl-NL"/>
        </w:rPr>
        <w:t xml:space="preserve"> niet in het juiste ritme. </w:t>
      </w:r>
      <w:r>
        <w:rPr>
          <w:szCs w:val="18"/>
          <w:lang w:val="nl-NL"/>
        </w:rPr>
        <w:t xml:space="preserve">Om de verplichting voor 2026 aan te kunnen gaan, wordt het verplichtingenbudget in 2025 verhoogd met </w:t>
      </w:r>
      <w:r w:rsidRPr="009011AC">
        <w:rPr>
          <w:szCs w:val="18"/>
          <w:lang w:val="nl-NL"/>
        </w:rPr>
        <w:t>€ 10,0 miljoen.</w:t>
      </w:r>
      <w:r w:rsidR="002A003F">
        <w:rPr>
          <w:szCs w:val="18"/>
          <w:lang w:val="nl-NL"/>
        </w:rPr>
        <w:t xml:space="preserve"> </w:t>
      </w:r>
      <w:r w:rsidRPr="009011AC">
        <w:rPr>
          <w:szCs w:val="18"/>
          <w:lang w:val="nl-NL"/>
        </w:rPr>
        <w:t xml:space="preserve">Tezamen met </w:t>
      </w:r>
      <w:r>
        <w:rPr>
          <w:szCs w:val="18"/>
          <w:lang w:val="nl-NL"/>
        </w:rPr>
        <w:t>enkele</w:t>
      </w:r>
      <w:r w:rsidRPr="009011AC">
        <w:rPr>
          <w:szCs w:val="18"/>
          <w:lang w:val="nl-NL"/>
        </w:rPr>
        <w:t xml:space="preserve"> kleinere </w:t>
      </w:r>
      <w:r>
        <w:rPr>
          <w:szCs w:val="18"/>
          <w:lang w:val="nl-NL"/>
        </w:rPr>
        <w:t>verplichtingen</w:t>
      </w:r>
      <w:r w:rsidRPr="009011AC">
        <w:rPr>
          <w:szCs w:val="18"/>
          <w:lang w:val="nl-NL"/>
        </w:rPr>
        <w:t xml:space="preserve">mutaties resulteert dit in </w:t>
      </w:r>
      <w:r>
        <w:rPr>
          <w:szCs w:val="18"/>
          <w:lang w:val="nl-NL"/>
        </w:rPr>
        <w:t>een verhoging van het totale verplichtingenbudget</w:t>
      </w:r>
      <w:r w:rsidRPr="009011AC">
        <w:rPr>
          <w:szCs w:val="18"/>
          <w:lang w:val="nl-NL"/>
        </w:rPr>
        <w:t xml:space="preserve"> van € </w:t>
      </w:r>
      <w:r>
        <w:rPr>
          <w:szCs w:val="18"/>
          <w:lang w:val="nl-NL"/>
        </w:rPr>
        <w:t>10</w:t>
      </w:r>
      <w:r w:rsidRPr="009011AC">
        <w:rPr>
          <w:szCs w:val="18"/>
          <w:lang w:val="nl-NL"/>
        </w:rPr>
        <w:t>,</w:t>
      </w:r>
      <w:r>
        <w:rPr>
          <w:szCs w:val="18"/>
          <w:lang w:val="nl-NL"/>
        </w:rPr>
        <w:t>4</w:t>
      </w:r>
      <w:r w:rsidRPr="009011AC">
        <w:rPr>
          <w:szCs w:val="18"/>
          <w:lang w:val="nl-NL"/>
        </w:rPr>
        <w:t xml:space="preserve"> miljoen</w:t>
      </w:r>
      <w:r>
        <w:rPr>
          <w:szCs w:val="18"/>
          <w:lang w:val="nl-NL"/>
        </w:rPr>
        <w:t xml:space="preserve"> op dit artikelonderdeel</w:t>
      </w:r>
      <w:r w:rsidRPr="009011AC">
        <w:rPr>
          <w:szCs w:val="18"/>
          <w:lang w:val="nl-NL"/>
        </w:rPr>
        <w:t xml:space="preserve">. </w:t>
      </w:r>
    </w:p>
    <w:bookmarkEnd w:id="0"/>
    <w:p w:rsidRPr="009011AC" w:rsidR="002672B6" w:rsidP="002C7625" w:rsidRDefault="002672B6" w14:paraId="266EF916" w14:textId="77777777">
      <w:pPr>
        <w:rPr>
          <w:szCs w:val="18"/>
          <w:lang w:val="nl-NL"/>
        </w:rPr>
      </w:pPr>
    </w:p>
    <w:p w:rsidRPr="009011AC" w:rsidR="002672B6" w:rsidP="002672B6" w:rsidRDefault="002672B6" w14:paraId="58E5FC8E" w14:textId="668C282E">
      <w:pPr>
        <w:rPr>
          <w:b/>
          <w:bCs/>
          <w:szCs w:val="18"/>
          <w:lang w:val="nl-NL"/>
        </w:rPr>
      </w:pPr>
      <w:r w:rsidRPr="009011AC">
        <w:rPr>
          <w:b/>
          <w:bCs/>
          <w:szCs w:val="18"/>
          <w:lang w:val="nl-NL"/>
        </w:rPr>
        <w:t>Artikel 3 Langdurige zorg en ondersteuning</w:t>
      </w:r>
    </w:p>
    <w:p w:rsidRPr="00F87574" w:rsidR="002672B6" w:rsidP="002672B6" w:rsidRDefault="002672B6" w14:paraId="16394F85" w14:textId="45FC2ACE">
      <w:pPr>
        <w:rPr>
          <w:szCs w:val="18"/>
          <w:lang w:val="nl-NL"/>
        </w:rPr>
      </w:pPr>
      <w:r w:rsidRPr="00F87574">
        <w:rPr>
          <w:szCs w:val="18"/>
          <w:lang w:val="nl-NL"/>
        </w:rPr>
        <w:t>2. Zorgdragen voor langdurige zorg tegen maatschappelijk aanvaardbare kosten</w:t>
      </w:r>
    </w:p>
    <w:p w:rsidR="002672B6" w:rsidP="002672B6" w:rsidRDefault="002672B6" w14:paraId="41FE6434" w14:textId="565D162C">
      <w:pPr>
        <w:rPr>
          <w:szCs w:val="18"/>
          <w:lang w:val="nl-NL"/>
        </w:rPr>
      </w:pPr>
      <w:r w:rsidRPr="009F37C0">
        <w:rPr>
          <w:szCs w:val="18"/>
          <w:lang w:val="nl-NL"/>
        </w:rPr>
        <w:t>De subsidieregeling zorggeschikte woningen wordt door de</w:t>
      </w:r>
      <w:r w:rsidRPr="009F37C0" w:rsidR="003D0166">
        <w:rPr>
          <w:szCs w:val="18"/>
          <w:lang w:val="nl-NL"/>
        </w:rPr>
        <w:t xml:space="preserve"> Rijksdienst voor Ondernemen</w:t>
      </w:r>
      <w:r w:rsidRPr="009F37C0">
        <w:rPr>
          <w:szCs w:val="18"/>
          <w:lang w:val="nl-NL"/>
        </w:rPr>
        <w:t xml:space="preserve"> </w:t>
      </w:r>
      <w:r w:rsidRPr="009F37C0" w:rsidR="003D0166">
        <w:rPr>
          <w:szCs w:val="18"/>
          <w:lang w:val="nl-NL"/>
        </w:rPr>
        <w:t>(</w:t>
      </w:r>
      <w:r w:rsidRPr="009F37C0">
        <w:rPr>
          <w:szCs w:val="18"/>
          <w:lang w:val="nl-NL"/>
        </w:rPr>
        <w:t>RVO</w:t>
      </w:r>
      <w:r w:rsidRPr="009F37C0" w:rsidR="003D0166">
        <w:rPr>
          <w:szCs w:val="18"/>
          <w:lang w:val="nl-NL"/>
        </w:rPr>
        <w:t>)</w:t>
      </w:r>
      <w:r w:rsidRPr="009F37C0">
        <w:rPr>
          <w:szCs w:val="18"/>
          <w:lang w:val="nl-NL"/>
        </w:rPr>
        <w:t xml:space="preserve"> uitgevoerd. Voor het aangaan van de subsidieregeling is het verplichtingenbudget in 2025 met € </w:t>
      </w:r>
      <w:r w:rsidR="007F36E5">
        <w:rPr>
          <w:szCs w:val="18"/>
          <w:lang w:val="nl-NL"/>
        </w:rPr>
        <w:t>6</w:t>
      </w:r>
      <w:r w:rsidRPr="009F37C0">
        <w:rPr>
          <w:szCs w:val="18"/>
          <w:lang w:val="nl-NL"/>
        </w:rPr>
        <w:t xml:space="preserve">0,0 miljoen verhoogd. </w:t>
      </w:r>
      <w:r w:rsidRPr="009F37C0" w:rsidR="003D0166">
        <w:rPr>
          <w:szCs w:val="18"/>
          <w:lang w:val="nl-NL"/>
        </w:rPr>
        <w:t>Aan het eind</w:t>
      </w:r>
      <w:r w:rsidR="009816A1">
        <w:rPr>
          <w:szCs w:val="18"/>
          <w:lang w:val="nl-NL"/>
        </w:rPr>
        <w:t>e</w:t>
      </w:r>
      <w:r w:rsidRPr="009F37C0" w:rsidR="003D0166">
        <w:rPr>
          <w:szCs w:val="18"/>
          <w:lang w:val="nl-NL"/>
        </w:rPr>
        <w:t xml:space="preserve"> van 2025 worden de verplichtingen vastgelegd die de RVO </w:t>
      </w:r>
      <w:r w:rsidRPr="009F37C0" w:rsidR="00F635D2">
        <w:rPr>
          <w:szCs w:val="18"/>
          <w:lang w:val="nl-NL"/>
        </w:rPr>
        <w:t>aangaa</w:t>
      </w:r>
      <w:r w:rsidR="00906D70">
        <w:rPr>
          <w:szCs w:val="18"/>
          <w:lang w:val="nl-NL"/>
        </w:rPr>
        <w:t>n is</w:t>
      </w:r>
      <w:r w:rsidRPr="009F37C0" w:rsidR="00F635D2">
        <w:rPr>
          <w:szCs w:val="18"/>
          <w:lang w:val="nl-NL"/>
        </w:rPr>
        <w:t xml:space="preserve"> voor 202</w:t>
      </w:r>
      <w:r w:rsidRPr="009F37C0" w:rsidR="009F37C0">
        <w:rPr>
          <w:szCs w:val="18"/>
          <w:lang w:val="nl-NL"/>
        </w:rPr>
        <w:t>5</w:t>
      </w:r>
      <w:r w:rsidRPr="009F37C0" w:rsidR="003D0166">
        <w:rPr>
          <w:szCs w:val="18"/>
          <w:lang w:val="nl-NL"/>
        </w:rPr>
        <w:t xml:space="preserve">. </w:t>
      </w:r>
      <w:r w:rsidRPr="009F37C0" w:rsidR="002330D3">
        <w:rPr>
          <w:szCs w:val="18"/>
          <w:lang w:val="nl-NL"/>
        </w:rPr>
        <w:t>Bij het opstellen van de 2</w:t>
      </w:r>
      <w:r w:rsidRPr="00E52383" w:rsidR="002330D3">
        <w:rPr>
          <w:szCs w:val="18"/>
          <w:vertAlign w:val="superscript"/>
          <w:lang w:val="nl-NL"/>
        </w:rPr>
        <w:t>e</w:t>
      </w:r>
      <w:r w:rsidRPr="009F37C0" w:rsidR="002330D3">
        <w:rPr>
          <w:szCs w:val="18"/>
          <w:lang w:val="nl-NL"/>
        </w:rPr>
        <w:t xml:space="preserve"> suppletoire begroting was het bedrag hiervoor nog niet vastgesteld. Om deze reden loopt dit mee in de Veegbrief. </w:t>
      </w:r>
    </w:p>
    <w:p w:rsidRPr="009011AC" w:rsidR="00847B5B" w:rsidP="002672B6" w:rsidRDefault="00FB4C7E" w14:paraId="477FF03E" w14:textId="79A1F9C7">
      <w:pPr>
        <w:rPr>
          <w:szCs w:val="18"/>
          <w:lang w:val="nl-NL"/>
        </w:rPr>
      </w:pPr>
      <w:r w:rsidRPr="00EE40E2">
        <w:rPr>
          <w:szCs w:val="18"/>
          <w:lang w:val="nl-NL"/>
        </w:rPr>
        <w:t>Daarnaast wordt</w:t>
      </w:r>
      <w:r w:rsidRPr="00EE40E2" w:rsidR="00847B5B">
        <w:rPr>
          <w:szCs w:val="18"/>
          <w:lang w:val="nl-NL"/>
        </w:rPr>
        <w:t xml:space="preserve"> het verplichtingenbudget met € 20 miljoen</w:t>
      </w:r>
      <w:r w:rsidRPr="00EE40E2">
        <w:rPr>
          <w:szCs w:val="18"/>
          <w:lang w:val="nl-NL"/>
        </w:rPr>
        <w:t xml:space="preserve"> opgehoogd</w:t>
      </w:r>
      <w:r w:rsidRPr="00EE40E2" w:rsidR="00847B5B">
        <w:rPr>
          <w:szCs w:val="18"/>
          <w:lang w:val="nl-NL"/>
        </w:rPr>
        <w:t xml:space="preserve"> in verband met het verplichten van instellingssubsidies. De verplichting voor deze instellingssubsidies moet al in 2025 </w:t>
      </w:r>
      <w:r w:rsidRPr="00EE40E2" w:rsidR="00EE40E2">
        <w:rPr>
          <w:szCs w:val="18"/>
          <w:lang w:val="nl-NL"/>
        </w:rPr>
        <w:t>aangegaan</w:t>
      </w:r>
      <w:r w:rsidRPr="00EE40E2" w:rsidR="00847B5B">
        <w:rPr>
          <w:szCs w:val="18"/>
          <w:lang w:val="nl-NL"/>
        </w:rPr>
        <w:t xml:space="preserve"> worden, hiermee is per abuis geen rekening gehouden bij de 2e suppletoire begroting</w:t>
      </w:r>
      <w:r w:rsidRPr="00EE40E2">
        <w:rPr>
          <w:szCs w:val="18"/>
          <w:lang w:val="nl-NL"/>
        </w:rPr>
        <w:t>.</w:t>
      </w:r>
    </w:p>
    <w:p w:rsidRPr="00B46BA5" w:rsidR="00B46BA5" w:rsidP="00B46BA5" w:rsidRDefault="009816A1" w14:paraId="0C25C8B2" w14:textId="4D26432B">
      <w:pPr>
        <w:rPr>
          <w:szCs w:val="18"/>
          <w:lang w:val="nl-NL"/>
        </w:rPr>
      </w:pPr>
      <w:r>
        <w:rPr>
          <w:szCs w:val="18"/>
          <w:lang w:val="nl-NL"/>
        </w:rPr>
        <w:t>Voor</w:t>
      </w:r>
      <w:r w:rsidRPr="00B46BA5">
        <w:rPr>
          <w:szCs w:val="18"/>
          <w:lang w:val="nl-NL"/>
        </w:rPr>
        <w:t xml:space="preserve"> </w:t>
      </w:r>
      <w:r w:rsidRPr="00B46BA5" w:rsidR="00B46BA5">
        <w:rPr>
          <w:szCs w:val="18"/>
          <w:lang w:val="nl-NL"/>
        </w:rPr>
        <w:t xml:space="preserve">het waarborgen van de continuïteit van de gehandicaptenzorg in Drenthe/Groningen </w:t>
      </w:r>
      <w:r>
        <w:rPr>
          <w:szCs w:val="18"/>
          <w:lang w:val="nl-NL"/>
        </w:rPr>
        <w:t xml:space="preserve">ben ik voornemens </w:t>
      </w:r>
      <w:r w:rsidRPr="00B46BA5" w:rsidR="00B46BA5">
        <w:rPr>
          <w:szCs w:val="18"/>
          <w:lang w:val="nl-NL"/>
        </w:rPr>
        <w:t xml:space="preserve">om </w:t>
      </w:r>
      <w:r>
        <w:rPr>
          <w:szCs w:val="18"/>
          <w:lang w:val="nl-NL"/>
        </w:rPr>
        <w:t>ten behoeve van</w:t>
      </w:r>
      <w:r w:rsidRPr="00B46BA5">
        <w:rPr>
          <w:szCs w:val="18"/>
          <w:lang w:val="nl-NL"/>
        </w:rPr>
        <w:t xml:space="preserve"> </w:t>
      </w:r>
      <w:r w:rsidRPr="00B46BA5" w:rsidR="00B46BA5">
        <w:rPr>
          <w:szCs w:val="18"/>
          <w:lang w:val="nl-NL"/>
        </w:rPr>
        <w:t xml:space="preserve">de overdracht van De Trans naar </w:t>
      </w:r>
      <w:proofErr w:type="spellStart"/>
      <w:r w:rsidRPr="00B46BA5" w:rsidR="00B46BA5">
        <w:rPr>
          <w:szCs w:val="18"/>
          <w:lang w:val="nl-NL"/>
        </w:rPr>
        <w:t>Cosis</w:t>
      </w:r>
      <w:proofErr w:type="spellEnd"/>
      <w:r w:rsidRPr="00B46BA5" w:rsidR="00B46BA5">
        <w:rPr>
          <w:szCs w:val="18"/>
          <w:lang w:val="nl-NL"/>
        </w:rPr>
        <w:t xml:space="preserve"> en </w:t>
      </w:r>
      <w:proofErr w:type="spellStart"/>
      <w:r w:rsidRPr="00B46BA5" w:rsidR="00B46BA5">
        <w:rPr>
          <w:szCs w:val="18"/>
          <w:lang w:val="nl-NL"/>
        </w:rPr>
        <w:t>Vanboeijen</w:t>
      </w:r>
      <w:proofErr w:type="spellEnd"/>
      <w:r w:rsidRPr="00B46BA5" w:rsidR="00B46BA5">
        <w:rPr>
          <w:szCs w:val="18"/>
          <w:lang w:val="nl-NL"/>
        </w:rPr>
        <w:t xml:space="preserve"> per 1 januari 2026</w:t>
      </w:r>
      <w:r>
        <w:rPr>
          <w:szCs w:val="18"/>
          <w:lang w:val="nl-NL"/>
        </w:rPr>
        <w:t>,</w:t>
      </w:r>
      <w:r w:rsidRPr="00B46BA5" w:rsidR="00B46BA5">
        <w:rPr>
          <w:szCs w:val="18"/>
          <w:lang w:val="nl-NL"/>
        </w:rPr>
        <w:t xml:space="preserve"> maximaal € 25,8 miljoen bij te dragen</w:t>
      </w:r>
      <w:r w:rsidR="00B46BA5">
        <w:rPr>
          <w:szCs w:val="18"/>
          <w:lang w:val="nl-NL"/>
        </w:rPr>
        <w:t xml:space="preserve">. </w:t>
      </w:r>
      <w:r w:rsidRPr="00B46BA5" w:rsidR="00B46BA5">
        <w:rPr>
          <w:szCs w:val="18"/>
          <w:lang w:val="nl-NL"/>
        </w:rPr>
        <w:t>Hierover wordt uw Kamer eveneens met een separate brief geïnformeerd.</w:t>
      </w:r>
    </w:p>
    <w:p w:rsidR="009011AC" w:rsidP="00DE1B1B" w:rsidRDefault="005842B7" w14:paraId="1D861A47" w14:textId="317C9DA4">
      <w:pPr>
        <w:rPr>
          <w:szCs w:val="18"/>
          <w:lang w:val="nl-NL"/>
        </w:rPr>
      </w:pPr>
      <w:r w:rsidRPr="009011AC">
        <w:rPr>
          <w:szCs w:val="18"/>
          <w:lang w:val="nl-NL"/>
        </w:rPr>
        <w:t>Tezamen leidt dit</w:t>
      </w:r>
      <w:r w:rsidRPr="009011AC" w:rsidR="009011AC">
        <w:rPr>
          <w:szCs w:val="18"/>
          <w:lang w:val="nl-NL"/>
        </w:rPr>
        <w:t xml:space="preserve"> tot een ophoging van de verplichtingenruimte van € </w:t>
      </w:r>
      <w:r w:rsidR="00EA09A5">
        <w:rPr>
          <w:szCs w:val="18"/>
          <w:lang w:val="nl-NL"/>
        </w:rPr>
        <w:t>105</w:t>
      </w:r>
      <w:r w:rsidRPr="009011AC" w:rsidR="009011AC">
        <w:rPr>
          <w:szCs w:val="18"/>
          <w:lang w:val="nl-NL"/>
        </w:rPr>
        <w:t>,</w:t>
      </w:r>
      <w:r w:rsidR="00EA09A5">
        <w:rPr>
          <w:szCs w:val="18"/>
          <w:lang w:val="nl-NL"/>
        </w:rPr>
        <w:t>8</w:t>
      </w:r>
      <w:r w:rsidRPr="009011AC" w:rsidR="009011AC">
        <w:rPr>
          <w:szCs w:val="18"/>
          <w:lang w:val="nl-NL"/>
        </w:rPr>
        <w:t xml:space="preserve"> miljoen. </w:t>
      </w:r>
    </w:p>
    <w:p w:rsidRPr="009011AC" w:rsidR="000133FA" w:rsidP="00DE1B1B" w:rsidRDefault="000133FA" w14:paraId="6081E4DA" w14:textId="77777777">
      <w:pPr>
        <w:rPr>
          <w:szCs w:val="18"/>
          <w:lang w:val="nl-NL"/>
        </w:rPr>
      </w:pPr>
    </w:p>
    <w:p w:rsidRPr="009011AC" w:rsidR="009011AC" w:rsidP="00DE1B1B" w:rsidRDefault="009011AC" w14:paraId="01CC8D27" w14:textId="673D33A1">
      <w:pPr>
        <w:rPr>
          <w:rFonts w:eastAsia="Times New Roman" w:cs="Calibri"/>
          <w:b/>
          <w:bCs/>
          <w:color w:val="000000"/>
          <w:szCs w:val="18"/>
          <w:lang w:val="nl-NL" w:eastAsia="nl-NL"/>
        </w:rPr>
      </w:pPr>
      <w:r w:rsidRPr="009011AC">
        <w:rPr>
          <w:rFonts w:eastAsia="Times New Roman" w:cs="Calibri"/>
          <w:b/>
          <w:bCs/>
          <w:color w:val="000000"/>
          <w:szCs w:val="18"/>
          <w:lang w:val="nl-NL" w:eastAsia="nl-NL"/>
        </w:rPr>
        <w:t xml:space="preserve">Artikel 4 </w:t>
      </w:r>
      <w:proofErr w:type="spellStart"/>
      <w:r w:rsidRPr="009011AC">
        <w:rPr>
          <w:rFonts w:eastAsia="Times New Roman" w:cs="Calibri"/>
          <w:b/>
          <w:bCs/>
          <w:color w:val="000000"/>
          <w:szCs w:val="18"/>
          <w:lang w:val="nl-NL" w:eastAsia="nl-NL"/>
        </w:rPr>
        <w:t>Zorgbreed</w:t>
      </w:r>
      <w:proofErr w:type="spellEnd"/>
      <w:r w:rsidRPr="009011AC">
        <w:rPr>
          <w:rFonts w:eastAsia="Times New Roman" w:cs="Calibri"/>
          <w:b/>
          <w:bCs/>
          <w:color w:val="000000"/>
          <w:szCs w:val="18"/>
          <w:lang w:val="nl-NL" w:eastAsia="nl-NL"/>
        </w:rPr>
        <w:t xml:space="preserve"> beleid</w:t>
      </w:r>
    </w:p>
    <w:p w:rsidRPr="00D327F3" w:rsidR="00F87574" w:rsidP="009011AC" w:rsidRDefault="009011AC" w14:paraId="23D75A60" w14:textId="1897B3AC">
      <w:pPr>
        <w:rPr>
          <w:szCs w:val="18"/>
          <w:lang w:val="nl-NL" w:eastAsia="nl-NL"/>
        </w:rPr>
      </w:pPr>
      <w:r w:rsidRPr="005211FD">
        <w:rPr>
          <w:szCs w:val="18"/>
          <w:lang w:val="nl-NL" w:eastAsia="nl-NL"/>
        </w:rPr>
        <w:t>3. Informatiebeleid</w:t>
      </w:r>
    </w:p>
    <w:p w:rsidRPr="000258EF" w:rsidR="00906D70" w:rsidP="00906D70" w:rsidRDefault="00906D70" w14:paraId="426421D5" w14:textId="77777777">
      <w:pPr>
        <w:rPr>
          <w:rFonts w:eastAsia="Times New Roman" w:cs="Times New Roman"/>
          <w:color w:val="000000"/>
          <w:szCs w:val="18"/>
          <w:lang w:val="nl-NL" w:eastAsia="nl-NL"/>
        </w:rPr>
      </w:pPr>
      <w:bookmarkStart w:name="_Hlk216096959" w:id="1"/>
      <w:r>
        <w:rPr>
          <w:rFonts w:eastAsia="Times New Roman" w:cs="Times New Roman"/>
          <w:color w:val="000000"/>
          <w:szCs w:val="18"/>
          <w:lang w:val="nl-NL" w:eastAsia="nl-NL"/>
        </w:rPr>
        <w:t>Voor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het aangaan van verplichtingen ten behoeve van persoonlijke gezondheidsomgevingen dient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 in 2025 de verplichtingenruimte met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€ 16,5 miljoen </w:t>
      </w:r>
      <w:r>
        <w:rPr>
          <w:rFonts w:eastAsia="Times New Roman" w:cs="Times New Roman"/>
          <w:color w:val="000000"/>
          <w:szCs w:val="18"/>
          <w:lang w:val="nl-NL" w:eastAsia="nl-NL"/>
        </w:rPr>
        <w:t>te worden verhoogd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>. Hierbij word</w:t>
      </w:r>
      <w:r>
        <w:rPr>
          <w:rFonts w:eastAsia="Times New Roman" w:cs="Times New Roman"/>
          <w:color w:val="000000"/>
          <w:szCs w:val="18"/>
          <w:lang w:val="nl-NL" w:eastAsia="nl-NL"/>
        </w:rPr>
        <w:t>en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</w:t>
      </w:r>
      <w:proofErr w:type="spellStart"/>
      <w:r>
        <w:rPr>
          <w:rFonts w:eastAsia="Times New Roman" w:cs="Times New Roman"/>
          <w:color w:val="000000"/>
          <w:szCs w:val="18"/>
          <w:lang w:val="nl-NL" w:eastAsia="nl-NL"/>
        </w:rPr>
        <w:t>Medmij</w:t>
      </w:r>
      <w:proofErr w:type="spellEnd"/>
      <w:r>
        <w:rPr>
          <w:rFonts w:eastAsia="Times New Roman" w:cs="Times New Roman"/>
          <w:color w:val="000000"/>
          <w:szCs w:val="18"/>
          <w:lang w:val="nl-NL" w:eastAsia="nl-NL"/>
        </w:rPr>
        <w:t xml:space="preserve"> en </w:t>
      </w:r>
      <w:proofErr w:type="spellStart"/>
      <w:r w:rsidRPr="000258EF">
        <w:rPr>
          <w:rFonts w:eastAsia="Times New Roman" w:cs="Times New Roman"/>
          <w:color w:val="000000"/>
          <w:szCs w:val="18"/>
          <w:lang w:val="nl-NL" w:eastAsia="nl-NL"/>
        </w:rPr>
        <w:t>Nictiz</w:t>
      </w:r>
      <w:proofErr w:type="spellEnd"/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gefinancierd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via een instellingssubsidie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en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de </w:t>
      </w:r>
      <w:r w:rsidRPr="009816A1">
        <w:rPr>
          <w:rFonts w:eastAsia="Times New Roman" w:cs="Times New Roman"/>
          <w:color w:val="000000"/>
          <w:szCs w:val="18"/>
          <w:lang w:val="nl-NL" w:eastAsia="nl-NL"/>
        </w:rPr>
        <w:t xml:space="preserve">Vereniging van Zorgaanbieders voor Zorgcommunicatie </w:t>
      </w:r>
      <w:r>
        <w:rPr>
          <w:rFonts w:eastAsia="Times New Roman" w:cs="Times New Roman"/>
          <w:color w:val="000000"/>
          <w:szCs w:val="18"/>
          <w:lang w:val="nl-NL" w:eastAsia="nl-NL"/>
        </w:rPr>
        <w:t>(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>VZVZ</w:t>
      </w:r>
      <w:r>
        <w:rPr>
          <w:rFonts w:eastAsia="Times New Roman" w:cs="Times New Roman"/>
          <w:color w:val="000000"/>
          <w:szCs w:val="18"/>
          <w:lang w:val="nl-NL" w:eastAsia="nl-NL"/>
        </w:rPr>
        <w:t>)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via projectsubsidies.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Deze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mutaties lopen mee met veegbrief, aangezien de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subsidies in 2025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nog moeten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>worden ondertekend en verzonden.</w:t>
      </w:r>
    </w:p>
    <w:p w:rsidRPr="00AD5284" w:rsidR="00906D70" w:rsidP="00906D70" w:rsidRDefault="00906D70" w14:paraId="1672CB10" w14:textId="77777777">
      <w:pPr>
        <w:rPr>
          <w:rFonts w:eastAsia="Times New Roman" w:cs="Times New Roman"/>
          <w:color w:val="000000"/>
          <w:szCs w:val="18"/>
          <w:lang w:val="nl-NL" w:eastAsia="nl-NL"/>
        </w:rPr>
      </w:pP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Daarnaast wordt er € 11,0 miljoen verplichtingenruimte uit 2026 </w:t>
      </w:r>
      <w:r>
        <w:rPr>
          <w:rFonts w:eastAsia="Times New Roman" w:cs="Times New Roman"/>
          <w:color w:val="000000"/>
          <w:szCs w:val="18"/>
          <w:lang w:val="nl-NL" w:eastAsia="nl-NL"/>
        </w:rPr>
        <w:t>naar 2025 geschoven voor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de diverse ondersteunende activiteiten die </w:t>
      </w:r>
      <w:proofErr w:type="spellStart"/>
      <w:r w:rsidRPr="000258EF">
        <w:rPr>
          <w:rFonts w:eastAsia="Times New Roman" w:cs="Times New Roman"/>
          <w:color w:val="000000"/>
          <w:szCs w:val="18"/>
          <w:lang w:val="nl-NL" w:eastAsia="nl-NL"/>
        </w:rPr>
        <w:t>Nictiz</w:t>
      </w:r>
      <w:proofErr w:type="spellEnd"/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uitvoert </w:t>
      </w:r>
      <w:r>
        <w:rPr>
          <w:rFonts w:eastAsia="Times New Roman" w:cs="Times New Roman"/>
          <w:color w:val="000000"/>
          <w:szCs w:val="18"/>
          <w:lang w:val="nl-NL" w:eastAsia="nl-NL"/>
        </w:rPr>
        <w:t>voor Gegevensuitwisseling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. </w:t>
      </w:r>
      <w:r w:rsidRPr="00AD5284">
        <w:rPr>
          <w:rFonts w:eastAsia="Times New Roman" w:cs="Times New Roman"/>
          <w:color w:val="000000"/>
          <w:szCs w:val="18"/>
          <w:lang w:val="nl-NL" w:eastAsia="nl-NL"/>
        </w:rPr>
        <w:t xml:space="preserve">Omdat de bijbehorende contracten nog in 2025 moeten worden ondertekend, is het noodzakelijk de verplichtingenruimte </w:t>
      </w:r>
      <w:r>
        <w:rPr>
          <w:rFonts w:eastAsia="Times New Roman" w:cs="Times New Roman"/>
          <w:color w:val="000000"/>
          <w:szCs w:val="18"/>
          <w:lang w:val="nl-NL" w:eastAsia="nl-NL"/>
        </w:rPr>
        <w:t>in 2025 te verhogen</w:t>
      </w:r>
      <w:r w:rsidRPr="00AD5284">
        <w:rPr>
          <w:rFonts w:eastAsia="Times New Roman" w:cs="Times New Roman"/>
          <w:color w:val="000000"/>
          <w:szCs w:val="18"/>
          <w:lang w:val="nl-NL" w:eastAsia="nl-NL"/>
        </w:rPr>
        <w:t>.</w:t>
      </w:r>
    </w:p>
    <w:p w:rsidR="00906D70" w:rsidP="00906D70" w:rsidRDefault="00906D70" w14:paraId="4CE4E0C1" w14:textId="28FDA6FB">
      <w:pPr>
        <w:rPr>
          <w:rFonts w:eastAsia="Times New Roman" w:cs="Times New Roman"/>
          <w:color w:val="000000"/>
          <w:szCs w:val="18"/>
          <w:lang w:val="nl-NL" w:eastAsia="nl-NL"/>
        </w:rPr>
      </w:pP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Tot slot wordt er voor de dienstverleningsafspraken CIBG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voor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2026 verplichtingenruimte van € 13,3 miljoen uit 2026 naar voren gehaald, </w:t>
      </w:r>
      <w:r>
        <w:rPr>
          <w:rFonts w:eastAsia="Times New Roman" w:cs="Times New Roman"/>
          <w:color w:val="000000"/>
          <w:szCs w:val="18"/>
          <w:lang w:val="nl-NL" w:eastAsia="nl-NL"/>
        </w:rPr>
        <w:t xml:space="preserve">aangezien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deze in 2025 worden ondertekend. Tijdens de </w:t>
      </w:r>
      <w:r w:rsidR="00D333C7">
        <w:rPr>
          <w:rFonts w:eastAsia="Times New Roman" w:cs="Times New Roman"/>
          <w:color w:val="000000"/>
          <w:szCs w:val="18"/>
          <w:lang w:val="nl-NL" w:eastAsia="nl-NL"/>
        </w:rPr>
        <w:t xml:space="preserve"> 1</w:t>
      </w:r>
      <w:r w:rsidRPr="00D333C7" w:rsidR="00D333C7">
        <w:rPr>
          <w:rFonts w:eastAsia="Times New Roman" w:cs="Times New Roman"/>
          <w:color w:val="000000"/>
          <w:szCs w:val="18"/>
          <w:vertAlign w:val="superscript"/>
          <w:lang w:val="nl-NL" w:eastAsia="nl-NL"/>
        </w:rPr>
        <w:t>e</w:t>
      </w:r>
      <w:r w:rsidR="00D333C7">
        <w:rPr>
          <w:rFonts w:eastAsia="Times New Roman" w:cs="Times New Roman"/>
          <w:color w:val="000000"/>
          <w:szCs w:val="18"/>
          <w:lang w:val="nl-NL" w:eastAsia="nl-NL"/>
        </w:rPr>
        <w:t xml:space="preserve"> suppletoire begroting is de 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</w:t>
      </w:r>
      <w:r w:rsidRPr="000F78D5">
        <w:rPr>
          <w:rFonts w:eastAsia="Times New Roman" w:cs="Times New Roman"/>
          <w:color w:val="000000"/>
          <w:szCs w:val="18"/>
          <w:lang w:val="nl-NL" w:eastAsia="nl-NL"/>
        </w:rPr>
        <w:t>verplichtingenruimte in 2026 verlaagd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>, maar niet in 2025 verhoogd. D</w:t>
      </w:r>
      <w:r>
        <w:rPr>
          <w:rFonts w:eastAsia="Times New Roman" w:cs="Times New Roman"/>
          <w:color w:val="000000"/>
          <w:szCs w:val="18"/>
          <w:lang w:val="nl-NL" w:eastAsia="nl-NL"/>
        </w:rPr>
        <w:t>eze mutatie betreft</w:t>
      </w:r>
      <w:r w:rsidRPr="000258EF">
        <w:rPr>
          <w:rFonts w:eastAsia="Times New Roman" w:cs="Times New Roman"/>
          <w:color w:val="000000"/>
          <w:szCs w:val="18"/>
          <w:lang w:val="nl-NL" w:eastAsia="nl-NL"/>
        </w:rPr>
        <w:t xml:space="preserve"> een correctie daarop. </w:t>
      </w:r>
    </w:p>
    <w:p w:rsidRPr="000133FA" w:rsidR="00D327F3" w:rsidP="000258EF" w:rsidRDefault="002330D3" w14:paraId="0D078524" w14:textId="31E69930">
      <w:pPr>
        <w:rPr>
          <w:rFonts w:eastAsia="Times New Roman" w:cs="Times New Roman"/>
          <w:color w:val="000000"/>
          <w:szCs w:val="18"/>
          <w:lang w:val="nl-NL" w:eastAsia="nl-NL"/>
        </w:rPr>
      </w:pPr>
      <w:r>
        <w:rPr>
          <w:rFonts w:eastAsia="Times New Roman" w:cs="Times New Roman"/>
          <w:color w:val="000000"/>
          <w:szCs w:val="18"/>
          <w:lang w:val="nl-NL" w:eastAsia="nl-NL"/>
        </w:rPr>
        <w:t>Tezamen</w:t>
      </w:r>
      <w:r w:rsidR="00E32B4E">
        <w:rPr>
          <w:rFonts w:eastAsia="Times New Roman" w:cs="Times New Roman"/>
          <w:color w:val="000000"/>
          <w:szCs w:val="18"/>
          <w:lang w:val="nl-NL" w:eastAsia="nl-NL"/>
        </w:rPr>
        <w:t xml:space="preserve"> met </w:t>
      </w:r>
      <w:r w:rsidR="00A33F71">
        <w:rPr>
          <w:rFonts w:eastAsia="Times New Roman" w:cs="Times New Roman"/>
          <w:color w:val="000000"/>
          <w:szCs w:val="18"/>
          <w:lang w:val="nl-NL" w:eastAsia="nl-NL"/>
        </w:rPr>
        <w:t xml:space="preserve">enkele </w:t>
      </w:r>
      <w:r w:rsidR="00E32B4E">
        <w:rPr>
          <w:rFonts w:eastAsia="Times New Roman" w:cs="Times New Roman"/>
          <w:color w:val="000000"/>
          <w:szCs w:val="18"/>
          <w:lang w:val="nl-NL" w:eastAsia="nl-NL"/>
        </w:rPr>
        <w:t xml:space="preserve">kleinere mutaties wordt de verplichtingenruimte </w:t>
      </w:r>
      <w:r w:rsidR="00DF396D">
        <w:rPr>
          <w:rFonts w:eastAsia="Times New Roman" w:cs="Times New Roman"/>
          <w:color w:val="000000"/>
          <w:szCs w:val="18"/>
          <w:lang w:val="nl-NL" w:eastAsia="nl-NL"/>
        </w:rPr>
        <w:t xml:space="preserve">op dit artikelonderdeel </w:t>
      </w:r>
      <w:r w:rsidR="00E32B4E">
        <w:rPr>
          <w:rFonts w:eastAsia="Times New Roman" w:cs="Times New Roman"/>
          <w:color w:val="000000"/>
          <w:szCs w:val="18"/>
          <w:lang w:val="nl-NL" w:eastAsia="nl-NL"/>
        </w:rPr>
        <w:t>opgehoogd met € 41,7 miljoen.</w:t>
      </w:r>
    </w:p>
    <w:bookmarkEnd w:id="1"/>
    <w:p w:rsidRPr="009011AC" w:rsidR="009011AC" w:rsidP="009011AC" w:rsidRDefault="009011AC" w14:paraId="6B2CE896" w14:textId="34E3B715">
      <w:pPr>
        <w:rPr>
          <w:lang w:val="nl-NL" w:eastAsia="nl-NL"/>
        </w:rPr>
      </w:pPr>
      <w:r w:rsidRPr="009011AC">
        <w:rPr>
          <w:rFonts w:eastAsia="Times New Roman" w:cs="Calibri"/>
          <w:color w:val="000000"/>
          <w:lang w:val="nl-NL" w:eastAsia="nl-NL"/>
        </w:rPr>
        <w:t>5. Zorg, welzijn en jeugdzorg op Caribisch Nederland</w:t>
      </w:r>
    </w:p>
    <w:p w:rsidRPr="000133FA" w:rsidR="00B24E09" w:rsidP="009011AC" w:rsidRDefault="009011AC" w14:paraId="49563A97" w14:textId="7E87A306">
      <w:pPr>
        <w:rPr>
          <w:lang w:val="nl-NL"/>
        </w:rPr>
      </w:pPr>
      <w:r>
        <w:rPr>
          <w:lang w:val="nl-NL"/>
        </w:rPr>
        <w:t xml:space="preserve">Voor het aangaan van voorschotcontracten </w:t>
      </w:r>
      <w:r w:rsidR="00A33F71">
        <w:rPr>
          <w:lang w:val="nl-NL"/>
        </w:rPr>
        <w:t xml:space="preserve">voor </w:t>
      </w:r>
      <w:r>
        <w:rPr>
          <w:lang w:val="nl-NL"/>
        </w:rPr>
        <w:t xml:space="preserve">zorgovereenkomsten voor de jaren 2026 tot en met 2030 dient de verplichtingenruimte in 2025 met € 111,7 miljoen opgehoogd te worden. </w:t>
      </w:r>
      <w:r w:rsidR="000258EF">
        <w:rPr>
          <w:lang w:val="nl-NL"/>
        </w:rPr>
        <w:t>Bij de 2</w:t>
      </w:r>
      <w:r w:rsidRPr="000258EF" w:rsidR="000258EF">
        <w:rPr>
          <w:vertAlign w:val="superscript"/>
          <w:lang w:val="nl-NL"/>
        </w:rPr>
        <w:t>e</w:t>
      </w:r>
      <w:r w:rsidR="000258EF">
        <w:rPr>
          <w:lang w:val="nl-NL"/>
        </w:rPr>
        <w:t xml:space="preserve"> suppletoire begroting was het bedrag nog niet bekend</w:t>
      </w:r>
      <w:r w:rsidR="00A33F71">
        <w:rPr>
          <w:lang w:val="nl-NL"/>
        </w:rPr>
        <w:t>, omdat de contractonderhandeling niet tijdig was afgerond. Daarom moet</w:t>
      </w:r>
      <w:r w:rsidR="000258EF">
        <w:rPr>
          <w:lang w:val="nl-NL"/>
        </w:rPr>
        <w:t xml:space="preserve"> deze mutatie mee</w:t>
      </w:r>
      <w:r w:rsidR="00A33F71">
        <w:rPr>
          <w:lang w:val="nl-NL"/>
        </w:rPr>
        <w:t xml:space="preserve">lopen </w:t>
      </w:r>
      <w:r w:rsidR="000258EF">
        <w:rPr>
          <w:lang w:val="nl-NL"/>
        </w:rPr>
        <w:t xml:space="preserve">met de veegbrief. </w:t>
      </w:r>
      <w:r>
        <w:rPr>
          <w:lang w:val="nl-NL"/>
        </w:rPr>
        <w:t xml:space="preserve">Tezamen met een kleinere mutatie bedraagt dit een verhoging van € 114,3 miljoen. </w:t>
      </w:r>
    </w:p>
    <w:p w:rsidR="000133FA" w:rsidP="009011AC" w:rsidRDefault="000133FA" w14:paraId="08D86411" w14:textId="77777777">
      <w:pPr>
        <w:rPr>
          <w:b/>
          <w:bCs/>
          <w:lang w:val="nl-NL"/>
        </w:rPr>
      </w:pPr>
    </w:p>
    <w:p w:rsidRPr="00E629BB" w:rsidR="00E629BB" w:rsidP="009011AC" w:rsidRDefault="00E629BB" w14:paraId="14EAD0F0" w14:textId="72357BB9">
      <w:pPr>
        <w:rPr>
          <w:b/>
          <w:bCs/>
          <w:lang w:val="nl-NL"/>
        </w:rPr>
      </w:pPr>
      <w:r w:rsidRPr="00E629BB">
        <w:rPr>
          <w:b/>
          <w:bCs/>
          <w:lang w:val="nl-NL"/>
        </w:rPr>
        <w:t>Artikel 5 Jeugd</w:t>
      </w:r>
    </w:p>
    <w:p w:rsidR="00E629BB" w:rsidP="009011AC" w:rsidRDefault="00E629BB" w14:paraId="0A40F0E3" w14:textId="434931D1">
      <w:pPr>
        <w:rPr>
          <w:lang w:val="nl-NL"/>
        </w:rPr>
      </w:pPr>
      <w:r w:rsidRPr="00E52383">
        <w:rPr>
          <w:lang w:val="nl-NL"/>
        </w:rPr>
        <w:t>3</w:t>
      </w:r>
      <w:r w:rsidRPr="00E629BB">
        <w:rPr>
          <w:lang w:val="nl-NL"/>
        </w:rPr>
        <w:t>. Effectief en efficiënt werkend jeugdstelsel</w:t>
      </w:r>
    </w:p>
    <w:p w:rsidR="00906D70" w:rsidP="00906D70" w:rsidRDefault="00906D70" w14:paraId="70EFF4B6" w14:textId="69E5DA5E">
      <w:pPr>
        <w:rPr>
          <w:lang w:val="nl-NL"/>
        </w:rPr>
      </w:pPr>
      <w:r>
        <w:rPr>
          <w:lang w:val="nl-NL"/>
        </w:rPr>
        <w:t>De verplichtingenruimte voor de SPUK transformatie gesloten jeugdhulp is per abuis niet naar voren gehaald bij 2</w:t>
      </w:r>
      <w:r w:rsidRPr="00CB7967">
        <w:rPr>
          <w:vertAlign w:val="superscript"/>
          <w:lang w:val="nl-NL"/>
        </w:rPr>
        <w:t>e</w:t>
      </w:r>
      <w:r>
        <w:rPr>
          <w:lang w:val="nl-NL"/>
        </w:rPr>
        <w:t xml:space="preserve"> suppletoire begroting, waardoor er een tekort van € 31,0 miljoen aan verplichtingenruimte is ontstaan. Om uitvoering te kunnen geven aan lopend beleid in 2026, dient de verplichtingenruimte in 2025 alsnog opgehoogd te worden met € 31,0 miljoen, zodat de verplichting tijdig aangegaan kan worden. </w:t>
      </w:r>
    </w:p>
    <w:p w:rsidRPr="00E629BB" w:rsidR="00E629BB" w:rsidP="009011AC" w:rsidRDefault="00E629BB" w14:paraId="4E1B4BFD" w14:textId="77777777">
      <w:pPr>
        <w:rPr>
          <w:lang w:val="nl-NL"/>
        </w:rPr>
      </w:pPr>
    </w:p>
    <w:p w:rsidRPr="00B24E09" w:rsidR="00B24E09" w:rsidP="009011AC" w:rsidRDefault="00B24E09" w14:paraId="3E22608B" w14:textId="1BC5ACCD">
      <w:pPr>
        <w:rPr>
          <w:b/>
          <w:bCs/>
          <w:lang w:val="nl-NL"/>
        </w:rPr>
      </w:pPr>
      <w:r w:rsidRPr="00B24E09">
        <w:rPr>
          <w:b/>
          <w:bCs/>
          <w:lang w:val="nl-NL"/>
        </w:rPr>
        <w:t xml:space="preserve">Artikel 6 Sport en bewegen </w:t>
      </w:r>
    </w:p>
    <w:p w:rsidR="00B24E09" w:rsidP="009011AC" w:rsidRDefault="00B24E09" w14:paraId="7E5F6311" w14:textId="2C687A63">
      <w:pPr>
        <w:rPr>
          <w:rFonts w:eastAsia="Times New Roman" w:cs="Calibri"/>
          <w:color w:val="000000"/>
          <w:szCs w:val="18"/>
          <w:lang w:val="nl-NL" w:eastAsia="nl-NL"/>
        </w:rPr>
      </w:pPr>
      <w:r w:rsidRPr="009011AC">
        <w:rPr>
          <w:rFonts w:eastAsia="Times New Roman" w:cs="Calibri"/>
          <w:color w:val="000000"/>
          <w:szCs w:val="18"/>
          <w:lang w:val="nl-NL" w:eastAsia="nl-NL"/>
        </w:rPr>
        <w:t>4. Sport verenigt Nederland</w:t>
      </w:r>
    </w:p>
    <w:p w:rsidR="00906D70" w:rsidP="00906D70" w:rsidRDefault="00906D70" w14:paraId="70CFBED5" w14:textId="79680E49">
      <w:pPr>
        <w:rPr>
          <w:rFonts w:eastAsia="Times New Roman" w:cs="Calibri"/>
          <w:color w:val="000000"/>
          <w:szCs w:val="18"/>
          <w:lang w:val="nl-NL" w:eastAsia="nl-NL"/>
        </w:rPr>
      </w:pPr>
      <w:bookmarkStart w:name="_Hlk216097786" w:id="2"/>
      <w:r w:rsidRPr="009F37C0">
        <w:rPr>
          <w:rFonts w:eastAsia="Times New Roman" w:cs="Calibri"/>
          <w:color w:val="000000"/>
          <w:szCs w:val="18"/>
          <w:lang w:val="nl-NL" w:eastAsia="nl-NL"/>
        </w:rPr>
        <w:t xml:space="preserve">Voor het aangaan van een meerjarige subsidieverplichting voor 2025 tot en met 2027 moet in 2025 de verplichting worden vastgelegd. </w:t>
      </w:r>
      <w:r>
        <w:rPr>
          <w:rFonts w:eastAsia="Times New Roman" w:cs="Calibri"/>
          <w:color w:val="000000"/>
          <w:szCs w:val="18"/>
          <w:lang w:val="nl-NL" w:eastAsia="nl-NL"/>
        </w:rPr>
        <w:t>Bij 2</w:t>
      </w:r>
      <w:r w:rsidRPr="00CB7967">
        <w:rPr>
          <w:rFonts w:eastAsia="Times New Roman" w:cs="Calibri"/>
          <w:color w:val="000000"/>
          <w:szCs w:val="18"/>
          <w:vertAlign w:val="superscript"/>
          <w:lang w:val="nl-NL" w:eastAsia="nl-NL"/>
        </w:rPr>
        <w:t>e</w:t>
      </w:r>
      <w:r>
        <w:rPr>
          <w:rFonts w:eastAsia="Times New Roman" w:cs="Calibri"/>
          <w:color w:val="000000"/>
          <w:szCs w:val="18"/>
          <w:lang w:val="nl-NL" w:eastAsia="nl-NL"/>
        </w:rPr>
        <w:t xml:space="preserve"> suppletoire begroting was nog niet duidelijk </w:t>
      </w:r>
      <w:r w:rsidRPr="009F37C0">
        <w:rPr>
          <w:rFonts w:eastAsia="Times New Roman" w:cs="Calibri"/>
          <w:color w:val="000000"/>
          <w:szCs w:val="18"/>
          <w:lang w:val="nl-NL" w:eastAsia="nl-NL"/>
        </w:rPr>
        <w:t xml:space="preserve">of deze subsidie nog dit jaar werd vastgelegd. </w:t>
      </w:r>
      <w:r>
        <w:rPr>
          <w:rFonts w:eastAsia="Times New Roman" w:cs="Calibri"/>
          <w:color w:val="000000"/>
          <w:szCs w:val="18"/>
          <w:lang w:val="nl-NL" w:eastAsia="nl-NL"/>
        </w:rPr>
        <w:t xml:space="preserve">Nu dit het geval is, moet </w:t>
      </w:r>
      <w:r w:rsidRPr="009F37C0">
        <w:rPr>
          <w:rFonts w:eastAsia="Times New Roman" w:cs="Calibri"/>
          <w:color w:val="000000"/>
          <w:szCs w:val="18"/>
          <w:lang w:val="nl-NL" w:eastAsia="nl-NL"/>
        </w:rPr>
        <w:t xml:space="preserve">de verplichtingenruimte van dit artikelonderdeel worden verhoogd </w:t>
      </w:r>
      <w:r>
        <w:rPr>
          <w:rFonts w:eastAsia="Times New Roman" w:cs="Calibri"/>
          <w:color w:val="000000"/>
          <w:szCs w:val="18"/>
          <w:lang w:val="nl-NL" w:eastAsia="nl-NL"/>
        </w:rPr>
        <w:t xml:space="preserve">met </w:t>
      </w:r>
      <w:r w:rsidRPr="009F37C0">
        <w:rPr>
          <w:rFonts w:eastAsia="Times New Roman" w:cs="Calibri"/>
          <w:color w:val="000000"/>
          <w:szCs w:val="18"/>
          <w:lang w:val="nl-NL" w:eastAsia="nl-NL"/>
        </w:rPr>
        <w:t>€ 5,7 miljoen in 2025. Tezamen met een kleinere mutatie bedraagt dit een verhoging van € 5,6 miljoen.</w:t>
      </w:r>
      <w:bookmarkEnd w:id="2"/>
    </w:p>
    <w:p w:rsidRPr="009F37C0" w:rsidR="001867A3" w:rsidP="00DE1B1B" w:rsidRDefault="001867A3" w14:paraId="18D43CE2" w14:textId="77777777">
      <w:pPr>
        <w:rPr>
          <w:szCs w:val="18"/>
          <w:lang w:val="nl-NL"/>
        </w:rPr>
      </w:pPr>
    </w:p>
    <w:p w:rsidRPr="009011AC" w:rsidR="00DE1B1B" w:rsidP="00DE1B1B" w:rsidRDefault="00DE1B1B" w14:paraId="412D4B92" w14:textId="41970F1D">
      <w:pPr>
        <w:rPr>
          <w:rFonts w:eastAsia="Times New Roman" w:cs="Calibri"/>
          <w:b/>
          <w:bCs/>
          <w:color w:val="000000"/>
          <w:szCs w:val="18"/>
          <w:lang w:val="nl-NL" w:eastAsia="nl-NL"/>
        </w:rPr>
      </w:pPr>
      <w:r w:rsidRPr="009011AC">
        <w:rPr>
          <w:b/>
          <w:bCs/>
          <w:szCs w:val="18"/>
          <w:lang w:val="nl-NL"/>
        </w:rPr>
        <w:t xml:space="preserve">Artikel 7 </w:t>
      </w:r>
      <w:r w:rsidRPr="009011AC">
        <w:rPr>
          <w:rFonts w:eastAsia="Times New Roman" w:cs="Calibri"/>
          <w:b/>
          <w:bCs/>
          <w:color w:val="000000"/>
          <w:szCs w:val="18"/>
          <w:lang w:val="nl-NL" w:eastAsia="nl-NL"/>
        </w:rPr>
        <w:t>Oorlogsgetroffenen en Herinnering Wereldoorlog II</w:t>
      </w:r>
    </w:p>
    <w:p w:rsidRPr="009011AC" w:rsidR="00DE1B1B" w:rsidP="00DE1B1B" w:rsidRDefault="00DE1B1B" w14:paraId="23396376" w14:textId="351A8492">
      <w:pPr>
        <w:rPr>
          <w:rFonts w:eastAsia="Times New Roman" w:cs="Calibri"/>
          <w:color w:val="000000"/>
          <w:szCs w:val="18"/>
          <w:lang w:val="nl-NL" w:eastAsia="nl-NL"/>
        </w:rPr>
      </w:pPr>
      <w:r w:rsidRPr="009011AC">
        <w:rPr>
          <w:rFonts w:eastAsia="Times New Roman" w:cs="Calibri"/>
          <w:color w:val="000000"/>
          <w:szCs w:val="18"/>
          <w:lang w:val="nl-NL" w:eastAsia="nl-NL"/>
        </w:rPr>
        <w:t>1. De zorg- en dienstverlening aan verzetsdeelnemers en oorlogsgetroffenen WO II en de herinnering aan WO II</w:t>
      </w:r>
    </w:p>
    <w:p w:rsidRPr="009011AC" w:rsidR="00DE1B1B" w:rsidP="00DE1B1B" w:rsidRDefault="00DE1B1B" w14:paraId="527AF602" w14:textId="029F98C4">
      <w:pPr>
        <w:rPr>
          <w:rFonts w:eastAsia="Times New Roman" w:cs="Calibri"/>
          <w:color w:val="000000"/>
          <w:szCs w:val="18"/>
          <w:lang w:val="nl-NL" w:eastAsia="nl-NL"/>
        </w:rPr>
      </w:pPr>
      <w:r w:rsidRPr="009011AC">
        <w:rPr>
          <w:rFonts w:eastAsia="Times New Roman" w:cs="Calibri"/>
          <w:color w:val="000000"/>
          <w:szCs w:val="18"/>
          <w:lang w:val="nl-NL" w:eastAsia="nl-NL"/>
        </w:rPr>
        <w:t xml:space="preserve">In verband met het aangaan van instellingsubsidies in 2026 dient de verplichtingenruimte </w:t>
      </w:r>
      <w:r w:rsidR="009F37C0">
        <w:rPr>
          <w:rFonts w:eastAsia="Times New Roman" w:cs="Calibri"/>
          <w:color w:val="000000"/>
          <w:szCs w:val="18"/>
          <w:lang w:val="nl-NL" w:eastAsia="nl-NL"/>
        </w:rPr>
        <w:t>in 2025 opgehoogd te worden.</w:t>
      </w:r>
      <w:r w:rsidRPr="009011AC">
        <w:rPr>
          <w:rFonts w:eastAsia="Times New Roman" w:cs="Calibri"/>
          <w:color w:val="000000"/>
          <w:szCs w:val="18"/>
          <w:lang w:val="nl-NL" w:eastAsia="nl-NL"/>
        </w:rPr>
        <w:t xml:space="preserve"> Tezamen met wat kleinere mutaties bedraagt dit</w:t>
      </w:r>
      <w:r w:rsidR="00906D70">
        <w:rPr>
          <w:rFonts w:eastAsia="Times New Roman" w:cs="Calibri"/>
          <w:color w:val="000000"/>
          <w:szCs w:val="18"/>
          <w:lang w:val="nl-NL" w:eastAsia="nl-NL"/>
        </w:rPr>
        <w:t xml:space="preserve"> </w:t>
      </w:r>
      <w:r w:rsidRPr="009011AC">
        <w:rPr>
          <w:rFonts w:eastAsia="Times New Roman" w:cs="Calibri"/>
          <w:color w:val="000000"/>
          <w:szCs w:val="18"/>
          <w:lang w:val="nl-NL" w:eastAsia="nl-NL"/>
        </w:rPr>
        <w:t xml:space="preserve">in totaal € 9,3 miljoen.  </w:t>
      </w:r>
    </w:p>
    <w:p w:rsidR="00DE1B1B" w:rsidP="00DE1B1B" w:rsidRDefault="00DE1B1B" w14:paraId="3E8C14F8" w14:textId="77777777">
      <w:pPr>
        <w:rPr>
          <w:b/>
          <w:bCs/>
          <w:szCs w:val="18"/>
          <w:lang w:val="nl-NL"/>
        </w:rPr>
      </w:pPr>
    </w:p>
    <w:p w:rsidR="00354443" w:rsidP="00DE1B1B" w:rsidRDefault="00354443" w14:paraId="7DE07446" w14:textId="71C09D2B">
      <w:pPr>
        <w:rPr>
          <w:b/>
          <w:bCs/>
          <w:szCs w:val="18"/>
          <w:lang w:val="nl-NL"/>
        </w:rPr>
      </w:pPr>
      <w:r>
        <w:rPr>
          <w:b/>
          <w:bCs/>
          <w:szCs w:val="18"/>
          <w:lang w:val="nl-NL"/>
        </w:rPr>
        <w:t xml:space="preserve">Artikel 9 Algemeen </w:t>
      </w:r>
    </w:p>
    <w:p w:rsidRPr="00354443" w:rsidR="00354443" w:rsidP="00354443" w:rsidRDefault="00354443" w14:paraId="7BEA399A" w14:textId="14A8010C">
      <w:pPr>
        <w:rPr>
          <w:szCs w:val="18"/>
          <w:lang w:val="nl-NL"/>
        </w:rPr>
      </w:pPr>
      <w:r>
        <w:rPr>
          <w:szCs w:val="18"/>
          <w:lang w:val="nl-NL"/>
        </w:rPr>
        <w:t>3.</w:t>
      </w:r>
      <w:r w:rsidR="000133FA">
        <w:rPr>
          <w:szCs w:val="18"/>
          <w:lang w:val="nl-NL"/>
        </w:rPr>
        <w:t xml:space="preserve"> </w:t>
      </w:r>
      <w:r w:rsidRPr="00354443">
        <w:rPr>
          <w:szCs w:val="18"/>
          <w:lang w:val="nl-NL"/>
        </w:rPr>
        <w:t xml:space="preserve">Eigenaarsbijdrage </w:t>
      </w:r>
    </w:p>
    <w:p w:rsidRPr="002602E8" w:rsidR="00DE1B1B" w:rsidP="00354443" w:rsidRDefault="00354443" w14:paraId="5934299D" w14:textId="6B9DF23F">
      <w:pPr>
        <w:rPr>
          <w:szCs w:val="18"/>
          <w:lang w:val="nl-NL"/>
        </w:rPr>
      </w:pPr>
      <w:r w:rsidRPr="00354443">
        <w:rPr>
          <w:szCs w:val="18"/>
          <w:lang w:val="nl-NL"/>
        </w:rPr>
        <w:t>Het begrote bedrag</w:t>
      </w:r>
      <w:r w:rsidR="00E52383">
        <w:rPr>
          <w:szCs w:val="18"/>
          <w:lang w:val="nl-NL"/>
        </w:rPr>
        <w:t xml:space="preserve"> voor de dubbele huisvestingskosten</w:t>
      </w:r>
      <w:r w:rsidRPr="00354443">
        <w:rPr>
          <w:szCs w:val="18"/>
          <w:lang w:val="nl-NL"/>
        </w:rPr>
        <w:t xml:space="preserve"> van</w:t>
      </w:r>
      <w:r w:rsidR="002602E8">
        <w:rPr>
          <w:szCs w:val="18"/>
          <w:lang w:val="nl-NL"/>
        </w:rPr>
        <w:t xml:space="preserve"> € 20,2 miljoen</w:t>
      </w:r>
      <w:r w:rsidRPr="00354443">
        <w:rPr>
          <w:szCs w:val="18"/>
          <w:lang w:val="nl-NL"/>
        </w:rPr>
        <w:t xml:space="preserve"> zal dit jaar niet meer worden </w:t>
      </w:r>
      <w:r w:rsidR="00E52383">
        <w:rPr>
          <w:szCs w:val="18"/>
          <w:lang w:val="nl-NL"/>
        </w:rPr>
        <w:t>uitgegeven.</w:t>
      </w:r>
      <w:r w:rsidRPr="00354443">
        <w:rPr>
          <w:szCs w:val="18"/>
          <w:lang w:val="nl-NL"/>
        </w:rPr>
        <w:t xml:space="preserve"> De bevoorschotting aan het RIVM voor dit bedrag wordt teruggedraaid. </w:t>
      </w:r>
      <w:r w:rsidRPr="002602E8" w:rsidR="002602E8">
        <w:rPr>
          <w:szCs w:val="18"/>
          <w:lang w:val="nl-NL"/>
        </w:rPr>
        <w:t>Hierdoor komt het geld opnieuw beschikbaar binnen de VWS-begroting, waardoor per saldo een ophoging van</w:t>
      </w:r>
      <w:r w:rsidR="002602E8">
        <w:rPr>
          <w:szCs w:val="18"/>
          <w:lang w:val="nl-NL"/>
        </w:rPr>
        <w:t xml:space="preserve"> € 20,2</w:t>
      </w:r>
      <w:r w:rsidRPr="002602E8" w:rsidR="002602E8">
        <w:rPr>
          <w:szCs w:val="18"/>
          <w:lang w:val="nl-NL"/>
        </w:rPr>
        <w:t xml:space="preserve"> miljoen wordt gerealiseerd. </w:t>
      </w:r>
    </w:p>
    <w:sectPr w:rsidRPr="002602E8" w:rsidR="00DE1B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79B7" w14:textId="77777777" w:rsidR="00E32F84" w:rsidRDefault="00E32F84" w:rsidP="009816A1">
      <w:pPr>
        <w:spacing w:after="0" w:line="240" w:lineRule="auto"/>
      </w:pPr>
      <w:r>
        <w:separator/>
      </w:r>
    </w:p>
  </w:endnote>
  <w:endnote w:type="continuationSeparator" w:id="0">
    <w:p w14:paraId="18E86615" w14:textId="77777777" w:rsidR="00E32F84" w:rsidRDefault="00E32F84" w:rsidP="0098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951E" w14:textId="77777777" w:rsidR="00E32F84" w:rsidRDefault="00E32F84" w:rsidP="009816A1">
      <w:pPr>
        <w:spacing w:after="0" w:line="240" w:lineRule="auto"/>
      </w:pPr>
      <w:r>
        <w:separator/>
      </w:r>
    </w:p>
  </w:footnote>
  <w:footnote w:type="continuationSeparator" w:id="0">
    <w:p w14:paraId="7B991D5B" w14:textId="77777777" w:rsidR="00E32F84" w:rsidRDefault="00E32F84" w:rsidP="0098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05E"/>
    <w:multiLevelType w:val="hybridMultilevel"/>
    <w:tmpl w:val="CEF4DC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3C19"/>
    <w:multiLevelType w:val="hybridMultilevel"/>
    <w:tmpl w:val="1B62F572"/>
    <w:lvl w:ilvl="0" w:tplc="A85204E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3F17"/>
    <w:multiLevelType w:val="hybridMultilevel"/>
    <w:tmpl w:val="78747746"/>
    <w:lvl w:ilvl="0" w:tplc="AF10666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F3D93"/>
    <w:multiLevelType w:val="hybridMultilevel"/>
    <w:tmpl w:val="7C76173E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717E9A"/>
    <w:multiLevelType w:val="hybridMultilevel"/>
    <w:tmpl w:val="2ECA53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C4337"/>
    <w:multiLevelType w:val="hybridMultilevel"/>
    <w:tmpl w:val="F496BD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67CE"/>
    <w:multiLevelType w:val="hybridMultilevel"/>
    <w:tmpl w:val="36CC76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67B3D"/>
    <w:multiLevelType w:val="hybridMultilevel"/>
    <w:tmpl w:val="C75CC6FE"/>
    <w:lvl w:ilvl="0" w:tplc="35A2EC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E6021A"/>
    <w:multiLevelType w:val="hybridMultilevel"/>
    <w:tmpl w:val="849CCE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B68E1"/>
    <w:multiLevelType w:val="hybridMultilevel"/>
    <w:tmpl w:val="1584CC64"/>
    <w:lvl w:ilvl="0" w:tplc="0413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81B62"/>
    <w:multiLevelType w:val="hybridMultilevel"/>
    <w:tmpl w:val="6D06E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11E9"/>
    <w:multiLevelType w:val="hybridMultilevel"/>
    <w:tmpl w:val="B22A9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856E0"/>
    <w:multiLevelType w:val="hybridMultilevel"/>
    <w:tmpl w:val="5D4A39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06336"/>
    <w:multiLevelType w:val="hybridMultilevel"/>
    <w:tmpl w:val="27B0E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D2AAE"/>
    <w:multiLevelType w:val="hybridMultilevel"/>
    <w:tmpl w:val="593E3B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87719"/>
    <w:multiLevelType w:val="hybridMultilevel"/>
    <w:tmpl w:val="5E1E0982"/>
    <w:lvl w:ilvl="0" w:tplc="0413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D680D"/>
    <w:multiLevelType w:val="hybridMultilevel"/>
    <w:tmpl w:val="B8506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93122"/>
    <w:multiLevelType w:val="hybridMultilevel"/>
    <w:tmpl w:val="1506F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52BDA"/>
    <w:multiLevelType w:val="hybridMultilevel"/>
    <w:tmpl w:val="B6F43D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97724"/>
    <w:multiLevelType w:val="hybridMultilevel"/>
    <w:tmpl w:val="B6F8FB52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A7B01"/>
    <w:multiLevelType w:val="hybridMultilevel"/>
    <w:tmpl w:val="4A5E45C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023058">
    <w:abstractNumId w:val="4"/>
  </w:num>
  <w:num w:numId="2" w16cid:durableId="775365243">
    <w:abstractNumId w:val="5"/>
  </w:num>
  <w:num w:numId="3" w16cid:durableId="1593704827">
    <w:abstractNumId w:val="17"/>
  </w:num>
  <w:num w:numId="4" w16cid:durableId="726608345">
    <w:abstractNumId w:val="12"/>
  </w:num>
  <w:num w:numId="5" w16cid:durableId="1844739891">
    <w:abstractNumId w:val="14"/>
  </w:num>
  <w:num w:numId="6" w16cid:durableId="8410498">
    <w:abstractNumId w:val="6"/>
  </w:num>
  <w:num w:numId="7" w16cid:durableId="755055791">
    <w:abstractNumId w:val="3"/>
  </w:num>
  <w:num w:numId="8" w16cid:durableId="1756975132">
    <w:abstractNumId w:val="13"/>
  </w:num>
  <w:num w:numId="9" w16cid:durableId="1944800980">
    <w:abstractNumId w:val="0"/>
  </w:num>
  <w:num w:numId="10" w16cid:durableId="2055694991">
    <w:abstractNumId w:val="10"/>
  </w:num>
  <w:num w:numId="11" w16cid:durableId="80562928">
    <w:abstractNumId w:val="7"/>
  </w:num>
  <w:num w:numId="12" w16cid:durableId="2041929389">
    <w:abstractNumId w:val="16"/>
  </w:num>
  <w:num w:numId="13" w16cid:durableId="2124961486">
    <w:abstractNumId w:val="18"/>
  </w:num>
  <w:num w:numId="14" w16cid:durableId="1982997437">
    <w:abstractNumId w:val="8"/>
  </w:num>
  <w:num w:numId="15" w16cid:durableId="1033310033">
    <w:abstractNumId w:val="11"/>
  </w:num>
  <w:num w:numId="16" w16cid:durableId="2112889893">
    <w:abstractNumId w:val="19"/>
  </w:num>
  <w:num w:numId="17" w16cid:durableId="1597326602">
    <w:abstractNumId w:val="2"/>
  </w:num>
  <w:num w:numId="18" w16cid:durableId="1430539973">
    <w:abstractNumId w:val="15"/>
  </w:num>
  <w:num w:numId="19" w16cid:durableId="1160196187">
    <w:abstractNumId w:val="1"/>
  </w:num>
  <w:num w:numId="20" w16cid:durableId="1334258103">
    <w:abstractNumId w:val="9"/>
  </w:num>
  <w:num w:numId="21" w16cid:durableId="17152341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5F"/>
    <w:rsid w:val="000133FA"/>
    <w:rsid w:val="000258EF"/>
    <w:rsid w:val="00065483"/>
    <w:rsid w:val="00074A68"/>
    <w:rsid w:val="0008342A"/>
    <w:rsid w:val="000F463F"/>
    <w:rsid w:val="000F6BD2"/>
    <w:rsid w:val="000F78D5"/>
    <w:rsid w:val="00107712"/>
    <w:rsid w:val="00122F65"/>
    <w:rsid w:val="00156380"/>
    <w:rsid w:val="001713BD"/>
    <w:rsid w:val="001867A3"/>
    <w:rsid w:val="00193C55"/>
    <w:rsid w:val="001950B1"/>
    <w:rsid w:val="001C731E"/>
    <w:rsid w:val="001E7B1B"/>
    <w:rsid w:val="00200D7E"/>
    <w:rsid w:val="00200E86"/>
    <w:rsid w:val="00202254"/>
    <w:rsid w:val="00205FE3"/>
    <w:rsid w:val="00222F69"/>
    <w:rsid w:val="002330D3"/>
    <w:rsid w:val="002400C4"/>
    <w:rsid w:val="00250A92"/>
    <w:rsid w:val="002602E8"/>
    <w:rsid w:val="002672B6"/>
    <w:rsid w:val="002738F5"/>
    <w:rsid w:val="00281FFC"/>
    <w:rsid w:val="002A003F"/>
    <w:rsid w:val="002A45A3"/>
    <w:rsid w:val="002A72C6"/>
    <w:rsid w:val="002B6C30"/>
    <w:rsid w:val="002C2ACF"/>
    <w:rsid w:val="002C7625"/>
    <w:rsid w:val="002D09E8"/>
    <w:rsid w:val="002D16CB"/>
    <w:rsid w:val="00311BAE"/>
    <w:rsid w:val="0033093C"/>
    <w:rsid w:val="00332235"/>
    <w:rsid w:val="00354443"/>
    <w:rsid w:val="00357FF8"/>
    <w:rsid w:val="003638CA"/>
    <w:rsid w:val="003665CC"/>
    <w:rsid w:val="00373366"/>
    <w:rsid w:val="00390D8F"/>
    <w:rsid w:val="003A053A"/>
    <w:rsid w:val="003A0C61"/>
    <w:rsid w:val="003A24F9"/>
    <w:rsid w:val="003A5011"/>
    <w:rsid w:val="003C2007"/>
    <w:rsid w:val="003D0166"/>
    <w:rsid w:val="003E2F48"/>
    <w:rsid w:val="003E2FAC"/>
    <w:rsid w:val="003F19E8"/>
    <w:rsid w:val="003F1C7F"/>
    <w:rsid w:val="00415DCF"/>
    <w:rsid w:val="00417A8A"/>
    <w:rsid w:val="00426145"/>
    <w:rsid w:val="00470DD7"/>
    <w:rsid w:val="004B6408"/>
    <w:rsid w:val="004B7A1A"/>
    <w:rsid w:val="004C3233"/>
    <w:rsid w:val="004D0536"/>
    <w:rsid w:val="004D57C3"/>
    <w:rsid w:val="004E45C6"/>
    <w:rsid w:val="004F6F29"/>
    <w:rsid w:val="00500B65"/>
    <w:rsid w:val="00505471"/>
    <w:rsid w:val="005211FD"/>
    <w:rsid w:val="00521E87"/>
    <w:rsid w:val="00533B00"/>
    <w:rsid w:val="00534001"/>
    <w:rsid w:val="005674F4"/>
    <w:rsid w:val="005842B7"/>
    <w:rsid w:val="00595575"/>
    <w:rsid w:val="00595E80"/>
    <w:rsid w:val="00596E4A"/>
    <w:rsid w:val="005975B9"/>
    <w:rsid w:val="005A2D44"/>
    <w:rsid w:val="005C0870"/>
    <w:rsid w:val="005C172D"/>
    <w:rsid w:val="005F1F12"/>
    <w:rsid w:val="006643C8"/>
    <w:rsid w:val="00665091"/>
    <w:rsid w:val="00672749"/>
    <w:rsid w:val="00675E5F"/>
    <w:rsid w:val="006772AB"/>
    <w:rsid w:val="00691E32"/>
    <w:rsid w:val="00697ECE"/>
    <w:rsid w:val="006B1C81"/>
    <w:rsid w:val="006C404B"/>
    <w:rsid w:val="00723AFB"/>
    <w:rsid w:val="00727CC6"/>
    <w:rsid w:val="00747BDD"/>
    <w:rsid w:val="00751E31"/>
    <w:rsid w:val="007619E5"/>
    <w:rsid w:val="00771832"/>
    <w:rsid w:val="007B29CD"/>
    <w:rsid w:val="007C6064"/>
    <w:rsid w:val="007D0842"/>
    <w:rsid w:val="007D3E44"/>
    <w:rsid w:val="007F36E5"/>
    <w:rsid w:val="0080443D"/>
    <w:rsid w:val="008232B1"/>
    <w:rsid w:val="00825D4D"/>
    <w:rsid w:val="00847B5B"/>
    <w:rsid w:val="00872504"/>
    <w:rsid w:val="00890187"/>
    <w:rsid w:val="008C299B"/>
    <w:rsid w:val="008D64BB"/>
    <w:rsid w:val="009011AC"/>
    <w:rsid w:val="00906D70"/>
    <w:rsid w:val="00917D58"/>
    <w:rsid w:val="00924408"/>
    <w:rsid w:val="00967AF5"/>
    <w:rsid w:val="00980504"/>
    <w:rsid w:val="009816A1"/>
    <w:rsid w:val="00993E0B"/>
    <w:rsid w:val="009A4DFD"/>
    <w:rsid w:val="009D3680"/>
    <w:rsid w:val="009E2E0B"/>
    <w:rsid w:val="009F37C0"/>
    <w:rsid w:val="00A01FBD"/>
    <w:rsid w:val="00A150B6"/>
    <w:rsid w:val="00A33F71"/>
    <w:rsid w:val="00A36E00"/>
    <w:rsid w:val="00A46235"/>
    <w:rsid w:val="00A6437A"/>
    <w:rsid w:val="00A747C3"/>
    <w:rsid w:val="00A75B2F"/>
    <w:rsid w:val="00A95D00"/>
    <w:rsid w:val="00A96641"/>
    <w:rsid w:val="00A966D4"/>
    <w:rsid w:val="00A97444"/>
    <w:rsid w:val="00AA346F"/>
    <w:rsid w:val="00AD5284"/>
    <w:rsid w:val="00B03E2C"/>
    <w:rsid w:val="00B10360"/>
    <w:rsid w:val="00B12DBC"/>
    <w:rsid w:val="00B20084"/>
    <w:rsid w:val="00B24656"/>
    <w:rsid w:val="00B24E09"/>
    <w:rsid w:val="00B3050F"/>
    <w:rsid w:val="00B305D3"/>
    <w:rsid w:val="00B46BA5"/>
    <w:rsid w:val="00B47B63"/>
    <w:rsid w:val="00B64200"/>
    <w:rsid w:val="00B72871"/>
    <w:rsid w:val="00B814C6"/>
    <w:rsid w:val="00B876AC"/>
    <w:rsid w:val="00B90C56"/>
    <w:rsid w:val="00BA6F47"/>
    <w:rsid w:val="00BA7D0D"/>
    <w:rsid w:val="00BE0734"/>
    <w:rsid w:val="00C11F2E"/>
    <w:rsid w:val="00C5169F"/>
    <w:rsid w:val="00CA5B08"/>
    <w:rsid w:val="00CB5B2D"/>
    <w:rsid w:val="00D079D7"/>
    <w:rsid w:val="00D14FA2"/>
    <w:rsid w:val="00D221C5"/>
    <w:rsid w:val="00D2586A"/>
    <w:rsid w:val="00D27D66"/>
    <w:rsid w:val="00D327F3"/>
    <w:rsid w:val="00D333C7"/>
    <w:rsid w:val="00D3600D"/>
    <w:rsid w:val="00D4125E"/>
    <w:rsid w:val="00D44AFD"/>
    <w:rsid w:val="00D46C6C"/>
    <w:rsid w:val="00D47E9B"/>
    <w:rsid w:val="00D74B54"/>
    <w:rsid w:val="00D82561"/>
    <w:rsid w:val="00D84A12"/>
    <w:rsid w:val="00D8718D"/>
    <w:rsid w:val="00DA173D"/>
    <w:rsid w:val="00DA1A77"/>
    <w:rsid w:val="00DA2B3D"/>
    <w:rsid w:val="00DA2EF4"/>
    <w:rsid w:val="00DA3EAD"/>
    <w:rsid w:val="00DD1A05"/>
    <w:rsid w:val="00DE1B1B"/>
    <w:rsid w:val="00DF396D"/>
    <w:rsid w:val="00E20A51"/>
    <w:rsid w:val="00E31648"/>
    <w:rsid w:val="00E32B4E"/>
    <w:rsid w:val="00E32F84"/>
    <w:rsid w:val="00E34382"/>
    <w:rsid w:val="00E42991"/>
    <w:rsid w:val="00E52383"/>
    <w:rsid w:val="00E629BB"/>
    <w:rsid w:val="00E71032"/>
    <w:rsid w:val="00E94617"/>
    <w:rsid w:val="00EA09A5"/>
    <w:rsid w:val="00EA2E81"/>
    <w:rsid w:val="00EB0B36"/>
    <w:rsid w:val="00EB6A4C"/>
    <w:rsid w:val="00EE40E2"/>
    <w:rsid w:val="00EF221A"/>
    <w:rsid w:val="00F1372A"/>
    <w:rsid w:val="00F635D2"/>
    <w:rsid w:val="00F80FCA"/>
    <w:rsid w:val="00F86F12"/>
    <w:rsid w:val="00F87574"/>
    <w:rsid w:val="00F87705"/>
    <w:rsid w:val="00FA16FD"/>
    <w:rsid w:val="00FB4C7E"/>
    <w:rsid w:val="00FB5793"/>
    <w:rsid w:val="00FD22F5"/>
    <w:rsid w:val="00FD6B6F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DF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5E5F"/>
    <w:rPr>
      <w:rFonts w:ascii="Verdana" w:hAnsi="Verdana"/>
      <w:kern w:val="0"/>
      <w:sz w:val="18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21C5"/>
    <w:pPr>
      <w:spacing w:after="0" w:line="240" w:lineRule="auto"/>
    </w:pPr>
    <w:rPr>
      <w:rFonts w:ascii="Verdana" w:hAnsi="Verdana"/>
      <w:kern w:val="0"/>
      <w:sz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D221C5"/>
    <w:pPr>
      <w:spacing w:after="0" w:line="240" w:lineRule="auto"/>
    </w:pPr>
    <w:rPr>
      <w:rFonts w:cs="Times New Roman"/>
      <w:szCs w:val="18"/>
      <w:lang w:val="nl-NL" w:eastAsia="nl-NL"/>
    </w:rPr>
  </w:style>
  <w:style w:type="paragraph" w:styleId="Lijstalinea">
    <w:name w:val="List Paragraph"/>
    <w:basedOn w:val="Standaard"/>
    <w:uiPriority w:val="34"/>
    <w:qFormat/>
    <w:rsid w:val="003665CC"/>
    <w:pPr>
      <w:ind w:left="720"/>
      <w:contextualSpacing/>
    </w:pPr>
  </w:style>
  <w:style w:type="paragraph" w:styleId="Revisie">
    <w:name w:val="Revision"/>
    <w:hidden/>
    <w:uiPriority w:val="99"/>
    <w:semiHidden/>
    <w:rsid w:val="005C0870"/>
    <w:pPr>
      <w:spacing w:after="0" w:line="240" w:lineRule="auto"/>
    </w:pPr>
    <w:rPr>
      <w:rFonts w:ascii="Verdana" w:hAnsi="Verdana"/>
      <w:kern w:val="0"/>
      <w:sz w:val="18"/>
      <w:lang w:val="en-US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40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40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404B"/>
    <w:rPr>
      <w:rFonts w:ascii="Verdana" w:hAnsi="Verdana"/>
      <w:kern w:val="0"/>
      <w:sz w:val="2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C40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C404B"/>
    <w:rPr>
      <w:rFonts w:ascii="Verdana" w:hAnsi="Verdana"/>
      <w:b/>
      <w:bCs/>
      <w:kern w:val="0"/>
      <w:sz w:val="20"/>
      <w:szCs w:val="20"/>
      <w:lang w:val="en-US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16A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16A1"/>
    <w:rPr>
      <w:rFonts w:ascii="Verdana" w:hAnsi="Verdana"/>
      <w:kern w:val="0"/>
      <w:sz w:val="2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81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1327</ap:Words>
  <ap:Characters>7302</ap:Characters>
  <ap:DocSecurity>0</ap:DocSecurity>
  <ap:Lines>60</ap:Lines>
  <ap:Paragraphs>17</ap:Paragraphs>
  <ap:ScaleCrop>false</ap:ScaleCrop>
  <ap:LinksUpToDate>false</ap:LinksUpToDate>
  <ap:CharactersWithSpaces>8612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2025-12-15T15:09:00.0000000Z</dcterms:created>
  <dcterms:modified xsi:type="dcterms:W3CDTF">2025-12-15T15:09:00.0000000Z</dcterms:modified>
  <version/>
  <category/>
</coreProperties>
</file>