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478" w:rsidP="00EE2A9D" w:rsidRDefault="00857478" w14:paraId="7F6264FA" w14:textId="77777777"/>
    <w:p w:rsidR="00857478" w:rsidP="00EE2A9D" w:rsidRDefault="00857478" w14:paraId="2A8DBA29" w14:textId="77777777"/>
    <w:sdt>
      <w:sdtPr>
        <w:id w:val="5798297"/>
        <w:docPartObj>
          <w:docPartGallery w:val="Cover Pages"/>
          <w:docPartUnique/>
        </w:docPartObj>
      </w:sdtPr>
      <w:sdtContent>
        <w:p w:rsidR="00EE2A9D" w:rsidP="00EE2A9D" w:rsidRDefault="00EE2A9D" w14:paraId="3DF6C231" w14:textId="6787BA8B"/>
        <w:p w:rsidR="00241BB9" w:rsidRDefault="00000000" w14:paraId="3E849610" w14:textId="77777777">
          <w:pPr>
            <w:spacing w:line="240" w:lineRule="auto"/>
          </w:pPr>
        </w:p>
      </w:sdtContent>
    </w:sdt>
    <w:p w:rsidR="00CD5856" w:rsidRDefault="00CD5856" w14:paraId="7F7DA97E" w14:textId="77777777">
      <w:pPr>
        <w:spacing w:line="240" w:lineRule="auto"/>
      </w:pPr>
    </w:p>
    <w:p w:rsidR="00CD5856" w:rsidRDefault="00CD5856" w14:paraId="12DC4422" w14:textId="77777777"/>
    <w:p w:rsidR="00CD5856" w:rsidRDefault="00CD5856" w14:paraId="272E7B7C" w14:textId="77777777"/>
    <w:p w:rsidR="00CD5856" w:rsidRDefault="00CD5856" w14:paraId="3D440130"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74EE70AA" w14:textId="77777777">
      <w:pPr>
        <w:pStyle w:val="Huisstijl-Aanhef"/>
      </w:pPr>
      <w:r>
        <w:t>Geachte voorzitter,</w:t>
      </w:r>
    </w:p>
    <w:p w:rsidRPr="001225DC" w:rsidR="00334C45" w:rsidRDefault="00000000" w14:paraId="7A652EFA" w14:textId="77777777">
      <w:r>
        <w:t>Op 10 september 2025 heb ik uw Kamer</w:t>
      </w:r>
      <w:r>
        <w:rPr>
          <w:rStyle w:val="Voetnootmarkering"/>
        </w:rPr>
        <w:footnoteReference w:id="1"/>
      </w:r>
      <w:r>
        <w:t xml:space="preserve"> geïnformeerd </w:t>
      </w:r>
      <w:r w:rsidRPr="00864CD9">
        <w:t>over de</w:t>
      </w:r>
      <w:r w:rsidR="00EB2EC6">
        <w:t xml:space="preserve"> aanhoudende financiële problemen </w:t>
      </w:r>
      <w:r w:rsidRPr="00864CD9">
        <w:t>bij gehandicaptenzorgi</w:t>
      </w:r>
      <w:r>
        <w:t>n</w:t>
      </w:r>
      <w:r w:rsidRPr="00864CD9">
        <w:t xml:space="preserve">stelling De Trans en over </w:t>
      </w:r>
      <w:r w:rsidR="00A23728">
        <w:t>het</w:t>
      </w:r>
      <w:r w:rsidRPr="00864CD9">
        <w:t xml:space="preserve"> voor</w:t>
      </w:r>
      <w:r w:rsidR="00A23728">
        <w:t>nem</w:t>
      </w:r>
      <w:r w:rsidRPr="00864CD9">
        <w:t xml:space="preserve">en </w:t>
      </w:r>
      <w:r w:rsidR="00A23728">
        <w:t xml:space="preserve">om het personeel, de cliënten en de activiteiten van </w:t>
      </w:r>
      <w:r w:rsidRPr="00864CD9">
        <w:t xml:space="preserve">De Trans </w:t>
      </w:r>
      <w:r w:rsidR="00A23728">
        <w:t>over te dragen aan</w:t>
      </w:r>
      <w:r>
        <w:t xml:space="preserve"> </w:t>
      </w:r>
      <w:r w:rsidRPr="00864CD9">
        <w:t>Cosis en Vanboeijen</w:t>
      </w:r>
      <w:r w:rsidR="00A23728">
        <w:t>. Deze overdracht is bedoeld</w:t>
      </w:r>
      <w:r>
        <w:t xml:space="preserve"> </w:t>
      </w:r>
      <w:r w:rsidR="00A23728">
        <w:t>om</w:t>
      </w:r>
      <w:r w:rsidRPr="00864CD9">
        <w:t xml:space="preserve"> de continuïteit van zorg voor </w:t>
      </w:r>
      <w:r w:rsidR="00A23728">
        <w:t xml:space="preserve">de </w:t>
      </w:r>
      <w:r w:rsidRPr="00864CD9">
        <w:t>cliënten van De Trans te</w:t>
      </w:r>
      <w:r>
        <w:t xml:space="preserve"> </w:t>
      </w:r>
      <w:r w:rsidRPr="00864CD9">
        <w:t xml:space="preserve">waarborgen. </w:t>
      </w:r>
      <w:r w:rsidR="00A23728">
        <w:rPr>
          <w:color w:val="211D1F"/>
          <w:szCs w:val="18"/>
        </w:rPr>
        <w:t>In die</w:t>
      </w:r>
      <w:r>
        <w:rPr>
          <w:color w:val="211D1F"/>
          <w:szCs w:val="18"/>
        </w:rPr>
        <w:t xml:space="preserve"> brief </w:t>
      </w:r>
      <w:r w:rsidR="00A23728">
        <w:rPr>
          <w:color w:val="211D1F"/>
          <w:szCs w:val="18"/>
        </w:rPr>
        <w:t xml:space="preserve">heb ik </w:t>
      </w:r>
      <w:r>
        <w:rPr>
          <w:color w:val="211D1F"/>
          <w:szCs w:val="18"/>
        </w:rPr>
        <w:t>ook aangegeven</w:t>
      </w:r>
      <w:r w:rsidR="00EB2EC6">
        <w:rPr>
          <w:color w:val="211D1F"/>
          <w:szCs w:val="18"/>
        </w:rPr>
        <w:t xml:space="preserve"> dat, conform het continuïteitsbeleid</w:t>
      </w:r>
      <w:r>
        <w:rPr>
          <w:rStyle w:val="Voetnootmarkering"/>
          <w:color w:val="211D1F"/>
          <w:szCs w:val="18"/>
        </w:rPr>
        <w:footnoteReference w:id="2"/>
      </w:r>
      <w:r w:rsidR="00EB2EC6">
        <w:rPr>
          <w:color w:val="211D1F"/>
          <w:szCs w:val="18"/>
        </w:rPr>
        <w:t xml:space="preserve">, zorgaanbieders en zorgkantoren verantwoordelijk zijn voor het bieden van zorg </w:t>
      </w:r>
      <w:r w:rsidR="00A23728">
        <w:rPr>
          <w:color w:val="211D1F"/>
          <w:szCs w:val="18"/>
        </w:rPr>
        <w:t xml:space="preserve">die aansluit bij </w:t>
      </w:r>
      <w:r w:rsidRPr="00EB2EC6" w:rsidR="00EB2EC6">
        <w:rPr>
          <w:color w:val="211D1F"/>
          <w:szCs w:val="18"/>
        </w:rPr>
        <w:t xml:space="preserve">de zorgbehoefte van patiënten en cliënten in de regio. Het </w:t>
      </w:r>
      <w:r w:rsidR="00E66099">
        <w:rPr>
          <w:color w:val="211D1F"/>
          <w:szCs w:val="18"/>
        </w:rPr>
        <w:t>m</w:t>
      </w:r>
      <w:r w:rsidRPr="00EB2EC6" w:rsidR="00EB2EC6">
        <w:rPr>
          <w:color w:val="211D1F"/>
          <w:szCs w:val="18"/>
        </w:rPr>
        <w:t xml:space="preserve">inisterie van VWS treedt </w:t>
      </w:r>
      <w:r w:rsidR="00A23728">
        <w:rPr>
          <w:color w:val="211D1F"/>
          <w:szCs w:val="18"/>
        </w:rPr>
        <w:t>daarbij alleen</w:t>
      </w:r>
      <w:r w:rsidRPr="00EB2EC6" w:rsidR="00EB2EC6">
        <w:rPr>
          <w:color w:val="211D1F"/>
          <w:szCs w:val="18"/>
        </w:rPr>
        <w:t xml:space="preserve"> op in uitzonderlijke situaties waarin de betrokken partijen een prob</w:t>
      </w:r>
      <w:r w:rsidR="00EB2EC6">
        <w:rPr>
          <w:color w:val="211D1F"/>
          <w:szCs w:val="18"/>
        </w:rPr>
        <w:t xml:space="preserve">leem met de continuïteit van zorg niet zelfstandig kunnen oplossen. </w:t>
      </w:r>
      <w:r w:rsidR="00A23728">
        <w:rPr>
          <w:color w:val="211D1F"/>
          <w:szCs w:val="18"/>
        </w:rPr>
        <w:t>Omdat hier sprake is van zo’n unieke en uitzonderlijke situatie, heb ik in dezelfde brief aangegeven</w:t>
      </w:r>
      <w:r>
        <w:rPr>
          <w:color w:val="211D1F"/>
          <w:szCs w:val="18"/>
        </w:rPr>
        <w:t xml:space="preserve"> in principe bereid te zijn een financiële bijdrage beschikbaar te</w:t>
      </w:r>
      <w:r w:rsidR="00B46B72">
        <w:rPr>
          <w:color w:val="211D1F"/>
          <w:szCs w:val="18"/>
        </w:rPr>
        <w:t xml:space="preserve"> </w:t>
      </w:r>
      <w:r>
        <w:rPr>
          <w:color w:val="211D1F"/>
          <w:szCs w:val="18"/>
        </w:rPr>
        <w:t xml:space="preserve">stellen. Dit </w:t>
      </w:r>
      <w:r w:rsidR="00A23728">
        <w:rPr>
          <w:color w:val="211D1F"/>
          <w:szCs w:val="18"/>
        </w:rPr>
        <w:t xml:space="preserve">is noodzakelijk omdat De Trans een aanbieder is van cruciale Wlz-zorg in de regio, het gaat om een grote en kwetsbare cliëntengroep die niet zonder meer kan worden overgeplaatst, én omdat uit externe validatie is gebleken dat ondersteuning vanuit VWS nodig is om tot een duurzame </w:t>
      </w:r>
      <w:r w:rsidR="000B2919">
        <w:rPr>
          <w:color w:val="211D1F"/>
          <w:szCs w:val="18"/>
        </w:rPr>
        <w:t xml:space="preserve">structurele </w:t>
      </w:r>
      <w:r w:rsidR="00A23728">
        <w:rPr>
          <w:color w:val="211D1F"/>
          <w:szCs w:val="18"/>
        </w:rPr>
        <w:t xml:space="preserve">oplossing te komen. </w:t>
      </w:r>
      <w:r w:rsidR="00F150AB">
        <w:rPr>
          <w:color w:val="211D1F"/>
          <w:szCs w:val="18"/>
        </w:rPr>
        <w:t>Een financiële</w:t>
      </w:r>
      <w:r w:rsidR="00A23728">
        <w:rPr>
          <w:color w:val="211D1F"/>
          <w:szCs w:val="18"/>
        </w:rPr>
        <w:t xml:space="preserve"> bijdrage</w:t>
      </w:r>
      <w:r w:rsidR="00F150AB">
        <w:rPr>
          <w:color w:val="211D1F"/>
          <w:szCs w:val="18"/>
        </w:rPr>
        <w:t xml:space="preserve"> van VWS</w:t>
      </w:r>
      <w:r w:rsidR="00A23728">
        <w:rPr>
          <w:color w:val="211D1F"/>
          <w:szCs w:val="18"/>
        </w:rPr>
        <w:t xml:space="preserve"> is daarom essentieel om </w:t>
      </w:r>
      <w:r>
        <w:rPr>
          <w:color w:val="211D1F"/>
          <w:szCs w:val="18"/>
        </w:rPr>
        <w:t>de continuïteit van</w:t>
      </w:r>
      <w:r w:rsidR="00B46B72">
        <w:rPr>
          <w:color w:val="211D1F"/>
          <w:szCs w:val="18"/>
        </w:rPr>
        <w:t xml:space="preserve"> </w:t>
      </w:r>
      <w:r>
        <w:rPr>
          <w:color w:val="211D1F"/>
          <w:szCs w:val="18"/>
        </w:rPr>
        <w:t>zorg te borgen en een ongecontroleerd faillissement te voorkomen.</w:t>
      </w:r>
      <w:r w:rsidR="00B46B72">
        <w:rPr>
          <w:color w:val="211D1F"/>
          <w:szCs w:val="18"/>
        </w:rPr>
        <w:t xml:space="preserve"> </w:t>
      </w:r>
      <w:r w:rsidR="00A23728">
        <w:rPr>
          <w:color w:val="211D1F"/>
          <w:szCs w:val="18"/>
        </w:rPr>
        <w:t>Tot slot heb</w:t>
      </w:r>
      <w:r w:rsidR="00B46B72">
        <w:rPr>
          <w:color w:val="211D1F"/>
          <w:szCs w:val="18"/>
        </w:rPr>
        <w:t xml:space="preserve"> ik aangegeven uw Kamer op de hoogte te houden van verdere ontwikkelingen. </w:t>
      </w:r>
    </w:p>
    <w:p w:rsidR="00B46B72" w:rsidRDefault="00B46B72" w14:paraId="16C82B87" w14:textId="77777777">
      <w:pPr>
        <w:rPr>
          <w:color w:val="211D1F"/>
          <w:szCs w:val="18"/>
        </w:rPr>
      </w:pPr>
    </w:p>
    <w:p w:rsidR="00857478" w:rsidP="5E160ED4" w:rsidRDefault="00857478" w14:paraId="4AF39A23" w14:textId="77777777">
      <w:pPr>
        <w:rPr>
          <w:color w:val="211D1F"/>
        </w:rPr>
      </w:pPr>
    </w:p>
    <w:p w:rsidR="00857478" w:rsidP="5E160ED4" w:rsidRDefault="00857478" w14:paraId="2F1FA148" w14:textId="77777777">
      <w:pPr>
        <w:rPr>
          <w:color w:val="211D1F"/>
        </w:rPr>
      </w:pPr>
    </w:p>
    <w:p w:rsidR="00857478" w:rsidP="5E160ED4" w:rsidRDefault="00857478" w14:paraId="2D7DFB4E" w14:textId="77777777">
      <w:pPr>
        <w:rPr>
          <w:color w:val="211D1F"/>
        </w:rPr>
      </w:pPr>
    </w:p>
    <w:p w:rsidR="00857478" w:rsidP="5E160ED4" w:rsidRDefault="00857478" w14:paraId="5EAEEE09" w14:textId="77777777">
      <w:pPr>
        <w:rPr>
          <w:color w:val="211D1F"/>
        </w:rPr>
      </w:pPr>
    </w:p>
    <w:p w:rsidR="00857478" w:rsidP="5E160ED4" w:rsidRDefault="00857478" w14:paraId="1468B6BE" w14:textId="77777777">
      <w:pPr>
        <w:rPr>
          <w:color w:val="211D1F"/>
        </w:rPr>
      </w:pPr>
    </w:p>
    <w:p w:rsidR="00857478" w:rsidP="5E160ED4" w:rsidRDefault="00857478" w14:paraId="54DEF6E5" w14:textId="77777777">
      <w:pPr>
        <w:rPr>
          <w:color w:val="211D1F"/>
        </w:rPr>
      </w:pPr>
    </w:p>
    <w:p w:rsidR="00B46B72" w:rsidP="5E160ED4" w:rsidRDefault="00000000" w14:paraId="183A9384" w14:textId="6F2E0E14">
      <w:pPr>
        <w:rPr>
          <w:color w:val="211D1F"/>
        </w:rPr>
      </w:pPr>
      <w:r w:rsidRPr="5E160ED4">
        <w:rPr>
          <w:color w:val="211D1F"/>
        </w:rPr>
        <w:t>Sinds 10 september is er door Cosis en Vanboeijen in overleg met Espria</w:t>
      </w:r>
      <w:r>
        <w:rPr>
          <w:rStyle w:val="Voetnootmarkering"/>
          <w:color w:val="211D1F"/>
        </w:rPr>
        <w:footnoteReference w:id="3"/>
      </w:r>
      <w:r w:rsidRPr="5E160ED4">
        <w:rPr>
          <w:color w:val="211D1F"/>
        </w:rPr>
        <w:t xml:space="preserve"> en de zorgkantoren </w:t>
      </w:r>
      <w:r w:rsidR="00860121">
        <w:rPr>
          <w:color w:val="211D1F"/>
        </w:rPr>
        <w:t>Drenthe (</w:t>
      </w:r>
      <w:r w:rsidRPr="5E160ED4" w:rsidR="32F946B7">
        <w:rPr>
          <w:color w:val="211D1F"/>
        </w:rPr>
        <w:t>Zilveren Kruis</w:t>
      </w:r>
      <w:r w:rsidR="00860121">
        <w:rPr>
          <w:color w:val="211D1F"/>
        </w:rPr>
        <w:t>)</w:t>
      </w:r>
      <w:r w:rsidRPr="5E160ED4" w:rsidR="32F946B7">
        <w:rPr>
          <w:color w:val="211D1F"/>
        </w:rPr>
        <w:t xml:space="preserve"> en </w:t>
      </w:r>
      <w:r w:rsidR="00860121">
        <w:rPr>
          <w:color w:val="211D1F"/>
        </w:rPr>
        <w:t>Groningen (</w:t>
      </w:r>
      <w:r w:rsidRPr="5E160ED4" w:rsidR="32F946B7">
        <w:rPr>
          <w:color w:val="211D1F"/>
        </w:rPr>
        <w:t>Menzis</w:t>
      </w:r>
      <w:r w:rsidR="00860121">
        <w:rPr>
          <w:color w:val="211D1F"/>
        </w:rPr>
        <w:t>)</w:t>
      </w:r>
      <w:r w:rsidRPr="5E160ED4" w:rsidR="32F946B7">
        <w:rPr>
          <w:color w:val="211D1F"/>
        </w:rPr>
        <w:t xml:space="preserve"> </w:t>
      </w:r>
      <w:r w:rsidRPr="5E160ED4">
        <w:rPr>
          <w:color w:val="211D1F"/>
        </w:rPr>
        <w:t xml:space="preserve">veel werk verricht om toe te werken naar een zorgvuldige overgang </w:t>
      </w:r>
      <w:r w:rsidRPr="5E160ED4" w:rsidR="004073C2">
        <w:rPr>
          <w:color w:val="211D1F"/>
        </w:rPr>
        <w:t xml:space="preserve">van het personeel, de cliënten en activiteiten </w:t>
      </w:r>
      <w:r w:rsidRPr="5E160ED4">
        <w:rPr>
          <w:color w:val="211D1F"/>
        </w:rPr>
        <w:t xml:space="preserve">per 1 januari 2026. Daartoe </w:t>
      </w:r>
      <w:r w:rsidRPr="5E160ED4" w:rsidR="00F150AB">
        <w:rPr>
          <w:color w:val="211D1F"/>
        </w:rPr>
        <w:t>hebben overleggen</w:t>
      </w:r>
      <w:r w:rsidRPr="5E160ED4">
        <w:rPr>
          <w:color w:val="211D1F"/>
        </w:rPr>
        <w:t xml:space="preserve"> plaatsgevonden met onder andere medewerkers, cliënten(vertegenwoordigers), ondernemingsraden, raden van toezicht, externe toezichthouders</w:t>
      </w:r>
      <w:r w:rsidRPr="5E160ED4" w:rsidR="00F150AB">
        <w:rPr>
          <w:color w:val="211D1F"/>
        </w:rPr>
        <w:t>, Waarborgfonds voor de Zorgsector</w:t>
      </w:r>
      <w:r w:rsidRPr="5E160ED4">
        <w:rPr>
          <w:color w:val="211D1F"/>
        </w:rPr>
        <w:t xml:space="preserve"> en banken. Vooralsnog </w:t>
      </w:r>
      <w:r w:rsidRPr="5E160ED4" w:rsidR="002B4B51">
        <w:rPr>
          <w:color w:val="211D1F"/>
        </w:rPr>
        <w:t>lijkt</w:t>
      </w:r>
      <w:r w:rsidRPr="5E160ED4" w:rsidR="00F150AB">
        <w:rPr>
          <w:color w:val="211D1F"/>
        </w:rPr>
        <w:t xml:space="preserve"> </w:t>
      </w:r>
      <w:r w:rsidRPr="5E160ED4" w:rsidR="009F0767">
        <w:rPr>
          <w:color w:val="211D1F"/>
        </w:rPr>
        <w:t xml:space="preserve">het erop </w:t>
      </w:r>
      <w:r w:rsidRPr="5E160ED4">
        <w:rPr>
          <w:color w:val="211D1F"/>
        </w:rPr>
        <w:t xml:space="preserve">dat de overgang per 1 januari 2026 kan plaatsvinden. </w:t>
      </w:r>
    </w:p>
    <w:p w:rsidR="00E66099" w:rsidP="7E06E60C" w:rsidRDefault="00E66099" w14:paraId="1A39EEA5" w14:textId="77777777">
      <w:pPr>
        <w:rPr>
          <w:color w:val="211D1F"/>
        </w:rPr>
      </w:pPr>
    </w:p>
    <w:p w:rsidRPr="00E66099" w:rsidR="00007E7B" w:rsidP="001F6E7E" w:rsidRDefault="00000000" w14:paraId="3B84F28E" w14:textId="77777777">
      <w:pPr>
        <w:rPr>
          <w:color w:val="211D1F"/>
        </w:rPr>
      </w:pPr>
      <w:r w:rsidRPr="7E06E60C">
        <w:rPr>
          <w:color w:val="211D1F"/>
        </w:rPr>
        <w:t xml:space="preserve">In de periode na 10 september </w:t>
      </w:r>
      <w:r w:rsidRPr="7E06E60C" w:rsidR="00753DA9">
        <w:rPr>
          <w:color w:val="211D1F"/>
        </w:rPr>
        <w:t>202</w:t>
      </w:r>
      <w:r w:rsidRPr="7E06E60C" w:rsidR="0086167B">
        <w:rPr>
          <w:color w:val="211D1F"/>
        </w:rPr>
        <w:t>5</w:t>
      </w:r>
      <w:r w:rsidRPr="7E06E60C" w:rsidR="00753DA9">
        <w:rPr>
          <w:color w:val="211D1F"/>
        </w:rPr>
        <w:t xml:space="preserve"> heeft ook een externe toets op het overnameplan plaatsgevonden en </w:t>
      </w:r>
      <w:r w:rsidRPr="7E06E60C" w:rsidR="002B4B51">
        <w:rPr>
          <w:color w:val="211D1F"/>
        </w:rPr>
        <w:t>zijn er</w:t>
      </w:r>
      <w:r w:rsidRPr="7E06E60C" w:rsidR="00753DA9">
        <w:rPr>
          <w:color w:val="211D1F"/>
        </w:rPr>
        <w:t xml:space="preserve"> gesprekken </w:t>
      </w:r>
      <w:r w:rsidRPr="7E06E60C" w:rsidR="002B4B51">
        <w:rPr>
          <w:color w:val="211D1F"/>
        </w:rPr>
        <w:t>gevoerd</w:t>
      </w:r>
      <w:r w:rsidRPr="7E06E60C" w:rsidR="00753DA9">
        <w:rPr>
          <w:color w:val="211D1F"/>
        </w:rPr>
        <w:t xml:space="preserve"> over de (financiële) bijdrage van </w:t>
      </w:r>
      <w:r w:rsidRPr="7E06E60C" w:rsidR="19F0DC4D">
        <w:rPr>
          <w:color w:val="211D1F"/>
        </w:rPr>
        <w:t xml:space="preserve">betrokken </w:t>
      </w:r>
      <w:r w:rsidRPr="7E06E60C" w:rsidR="00753DA9">
        <w:rPr>
          <w:color w:val="211D1F"/>
        </w:rPr>
        <w:t>zorgkantoren en het ministerie van VWS. Omdat het voor een definitief besluit van Cosis en Vanboeijen van belang is om inzicht te hebben in de financiële bijdrage, info</w:t>
      </w:r>
      <w:r w:rsidRPr="7E06E60C" w:rsidR="009F0767">
        <w:rPr>
          <w:color w:val="211D1F"/>
        </w:rPr>
        <w:t>r</w:t>
      </w:r>
      <w:r w:rsidRPr="7E06E60C" w:rsidR="00753DA9">
        <w:rPr>
          <w:color w:val="211D1F"/>
        </w:rPr>
        <w:t>meer ik u in deze brief over de hoogte van de voorgenomen bijdrage.</w:t>
      </w:r>
      <w:r w:rsidRPr="7E06E60C" w:rsidR="00AA51BD">
        <w:rPr>
          <w:color w:val="211D1F"/>
        </w:rPr>
        <w:t xml:space="preserve"> </w:t>
      </w:r>
      <w:r w:rsidRPr="00007E7B">
        <w:rPr>
          <w:color w:val="211D1F"/>
          <w:szCs w:val="18"/>
        </w:rPr>
        <w:t>Aangezien het ministerie moet bijdragen om de continuïteit van zorg te waarborgen en duidelijkheid daarover vóór 1 januari 2026 noodzakelijk is om de overdracht per dat moment te realiseren, is in de Veegbrief 2025 een verhoging van de verplichtingenruimte opgenomen om nog dit jaar een toezegging te kunnen doen voor de</w:t>
      </w:r>
      <w:r w:rsidR="00E66099">
        <w:rPr>
          <w:color w:val="211D1F"/>
          <w:szCs w:val="18"/>
        </w:rPr>
        <w:t>ze</w:t>
      </w:r>
      <w:r w:rsidRPr="00007E7B">
        <w:rPr>
          <w:color w:val="211D1F"/>
          <w:szCs w:val="18"/>
        </w:rPr>
        <w:t xml:space="preserve"> financiële bijdrage. Ik ben voornemens om binnen enkele dagen na toezending van de Veegbrief een brief aan de betrokken zorgaanbieders te sturen en daarmee een verplichting aan te gaan.</w:t>
      </w:r>
    </w:p>
    <w:p w:rsidR="00007E7B" w:rsidP="001F6E7E" w:rsidRDefault="00007E7B" w14:paraId="7659F76B" w14:textId="77777777">
      <w:pPr>
        <w:rPr>
          <w:color w:val="211D1F"/>
          <w:szCs w:val="18"/>
        </w:rPr>
      </w:pPr>
    </w:p>
    <w:p w:rsidR="00753DA9" w:rsidRDefault="00000000" w14:paraId="7475A8CC" w14:textId="77777777">
      <w:r>
        <w:t>P</w:t>
      </w:r>
      <w:r w:rsidR="00EB2EC6">
        <w:t>assend bij ieders verantwoordelijkheid</w:t>
      </w:r>
      <w:r w:rsidR="008030C8">
        <w:t xml:space="preserve"> en het continuïteitsbeleid</w:t>
      </w:r>
      <w:r w:rsidR="00EB2EC6">
        <w:t xml:space="preserve"> dragen de zorgkantoren in de eerste plaats bij</w:t>
      </w:r>
      <w:r w:rsidR="00E66099">
        <w:t>,</w:t>
      </w:r>
      <w:r w:rsidR="00EB2EC6">
        <w:t xml:space="preserve"> binnen de wettelijke mogelijkheden die </w:t>
      </w:r>
      <w:r>
        <w:t xml:space="preserve">zij </w:t>
      </w:r>
      <w:r w:rsidR="00EB2EC6">
        <w:t xml:space="preserve">daartoe </w:t>
      </w:r>
      <w:r>
        <w:t>hebben</w:t>
      </w:r>
      <w:r w:rsidR="00E66099">
        <w:t>,</w:t>
      </w:r>
      <w:r>
        <w:t xml:space="preserve"> via de reguliere bekostiging</w:t>
      </w:r>
      <w:r w:rsidR="00EB2EC6">
        <w:t xml:space="preserve">. VWS is </w:t>
      </w:r>
      <w:r w:rsidRPr="7E06E60C" w:rsidR="00EB2EC6">
        <w:rPr>
          <w:i/>
          <w:iCs/>
        </w:rPr>
        <w:t>last resort</w:t>
      </w:r>
      <w:r>
        <w:t>.</w:t>
      </w:r>
      <w:r w:rsidR="00EB2EC6">
        <w:t xml:space="preserve"> </w:t>
      </w:r>
      <w:r>
        <w:t>In overleg met Cosi</w:t>
      </w:r>
      <w:r w:rsidR="007E30F5">
        <w:t>s</w:t>
      </w:r>
      <w:r>
        <w:t xml:space="preserve"> en Vanboeijen, de </w:t>
      </w:r>
      <w:r w:rsidR="5C3A4461">
        <w:t xml:space="preserve">betrokken </w:t>
      </w:r>
      <w:r>
        <w:t xml:space="preserve">zorgkantoren en VWS is besloten </w:t>
      </w:r>
      <w:r w:rsidR="00F150AB">
        <w:t xml:space="preserve">dat </w:t>
      </w:r>
      <w:r>
        <w:t xml:space="preserve">de </w:t>
      </w:r>
      <w:r w:rsidR="059B40E1">
        <w:t xml:space="preserve">betrokken </w:t>
      </w:r>
      <w:r>
        <w:t xml:space="preserve">zorgkantoren een bijdrage </w:t>
      </w:r>
      <w:r w:rsidR="001F672F">
        <w:t xml:space="preserve">zullen </w:t>
      </w:r>
      <w:r>
        <w:t xml:space="preserve">leveren aan </w:t>
      </w:r>
      <w:r w:rsidR="001F672F">
        <w:t xml:space="preserve">de </w:t>
      </w:r>
      <w:r>
        <w:t>balansintegratie, integratiekosten</w:t>
      </w:r>
      <w:r w:rsidR="00880957">
        <w:t>,</w:t>
      </w:r>
      <w:r>
        <w:t xml:space="preserve"> aanloopverliezen</w:t>
      </w:r>
      <w:r w:rsidR="00880957">
        <w:t xml:space="preserve"> en eventueel verschuldigde overdrachtsbelasting. </w:t>
      </w:r>
      <w:r>
        <w:t xml:space="preserve">VWS </w:t>
      </w:r>
      <w:r w:rsidR="00880957">
        <w:t xml:space="preserve">levert </w:t>
      </w:r>
      <w:r>
        <w:t>een bijdrage aan de bouwimpuls als onlosmakelijk onderdeel van het overnemen van de activiteiten, cliënten en medewerkers van De Trans met als doel het waarborgen van de continuïteit van zorg.</w:t>
      </w:r>
    </w:p>
    <w:p w:rsidR="007E30F5" w:rsidRDefault="007E30F5" w14:paraId="60D98DB9" w14:textId="77777777">
      <w:pPr>
        <w:rPr>
          <w:szCs w:val="18"/>
        </w:rPr>
      </w:pPr>
    </w:p>
    <w:p w:rsidR="007E30F5" w:rsidRDefault="00000000" w14:paraId="151ED68A" w14:textId="77777777">
      <w:pPr>
        <w:rPr>
          <w:szCs w:val="18"/>
        </w:rPr>
      </w:pPr>
      <w:r>
        <w:rPr>
          <w:szCs w:val="18"/>
        </w:rPr>
        <w:t xml:space="preserve">De exacte vormgeving van de steunverlening </w:t>
      </w:r>
      <w:r w:rsidR="00BE5F82">
        <w:rPr>
          <w:szCs w:val="18"/>
        </w:rPr>
        <w:t xml:space="preserve">door VWS </w:t>
      </w:r>
      <w:r>
        <w:rPr>
          <w:szCs w:val="18"/>
        </w:rPr>
        <w:t xml:space="preserve">moet nog nader </w:t>
      </w:r>
      <w:r w:rsidR="00BE5F82">
        <w:rPr>
          <w:szCs w:val="18"/>
        </w:rPr>
        <w:t xml:space="preserve">worden </w:t>
      </w:r>
      <w:r>
        <w:rPr>
          <w:szCs w:val="18"/>
        </w:rPr>
        <w:t>uitgewerkt waarbij ook rekening moet</w:t>
      </w:r>
      <w:r w:rsidR="004C03B9">
        <w:rPr>
          <w:szCs w:val="18"/>
        </w:rPr>
        <w:t xml:space="preserve"> worden</w:t>
      </w:r>
      <w:r>
        <w:rPr>
          <w:szCs w:val="18"/>
        </w:rPr>
        <w:t xml:space="preserve"> </w:t>
      </w:r>
      <w:r w:rsidR="004C03B9">
        <w:rPr>
          <w:szCs w:val="18"/>
        </w:rPr>
        <w:t>ge</w:t>
      </w:r>
      <w:r>
        <w:rPr>
          <w:szCs w:val="18"/>
        </w:rPr>
        <w:t>houden met de staatssteunregels. Onze intentie is een financiële bijdrage</w:t>
      </w:r>
      <w:r w:rsidR="00755FEE">
        <w:rPr>
          <w:szCs w:val="18"/>
        </w:rPr>
        <w:t xml:space="preserve"> te verstrekken</w:t>
      </w:r>
      <w:r>
        <w:rPr>
          <w:szCs w:val="18"/>
        </w:rPr>
        <w:t xml:space="preserve"> </w:t>
      </w:r>
      <w:r w:rsidR="00880957">
        <w:rPr>
          <w:szCs w:val="18"/>
        </w:rPr>
        <w:t>van ten hoogste € 25,8 miljoen</w:t>
      </w:r>
      <w:r w:rsidR="0086167B">
        <w:rPr>
          <w:szCs w:val="18"/>
        </w:rPr>
        <w:t xml:space="preserve"> </w:t>
      </w:r>
      <w:r>
        <w:rPr>
          <w:szCs w:val="18"/>
        </w:rPr>
        <w:t xml:space="preserve">voor de realisatie van maximaal 184 nieuwbouwplekken als onlosmakelijk onderdeel van het waarborgen van de continuïteit van zorg. Hierbij wordt uitgegaan van een maximaal bedrag per plek. </w:t>
      </w:r>
    </w:p>
    <w:p w:rsidR="00857478" w:rsidP="00857478" w:rsidRDefault="00857478" w14:paraId="5DFF26D5" w14:textId="77777777">
      <w:pPr>
        <w:spacing w:line="240" w:lineRule="auto"/>
        <w:rPr>
          <w:szCs w:val="18"/>
        </w:rPr>
      </w:pPr>
    </w:p>
    <w:p w:rsidR="00BE5F82" w:rsidP="00857478" w:rsidRDefault="00000000" w14:paraId="6F1D86FC" w14:textId="2B5E5C14">
      <w:pPr>
        <w:spacing w:line="240" w:lineRule="auto"/>
        <w:rPr>
          <w:szCs w:val="18"/>
        </w:rPr>
      </w:pPr>
      <w:r>
        <w:rPr>
          <w:szCs w:val="18"/>
        </w:rPr>
        <w:t xml:space="preserve">Aangezien het met de steunverlening gemoeide </w:t>
      </w:r>
      <w:r w:rsidR="000B2919">
        <w:rPr>
          <w:szCs w:val="18"/>
        </w:rPr>
        <w:t xml:space="preserve">bedrag </w:t>
      </w:r>
      <w:r>
        <w:rPr>
          <w:szCs w:val="18"/>
        </w:rPr>
        <w:t xml:space="preserve">groter is dan € 20 miljoen, is </w:t>
      </w:r>
      <w:r w:rsidR="00E66099">
        <w:rPr>
          <w:szCs w:val="18"/>
        </w:rPr>
        <w:t xml:space="preserve">in deze brief ook </w:t>
      </w:r>
      <w:r>
        <w:rPr>
          <w:szCs w:val="18"/>
        </w:rPr>
        <w:t>de box “Beleidskeuzes uitgelegd” opgenomen (conform artikel 3.1 van de C</w:t>
      </w:r>
      <w:r w:rsidR="009F0767">
        <w:rPr>
          <w:szCs w:val="18"/>
        </w:rPr>
        <w:t>omptabiliteits</w:t>
      </w:r>
      <w:r>
        <w:rPr>
          <w:szCs w:val="18"/>
        </w:rPr>
        <w:t>w</w:t>
      </w:r>
      <w:r w:rsidR="009F0767">
        <w:rPr>
          <w:szCs w:val="18"/>
        </w:rPr>
        <w:t>et</w:t>
      </w:r>
      <w:r>
        <w:rPr>
          <w:szCs w:val="18"/>
        </w:rPr>
        <w:t xml:space="preserve"> 2016).</w:t>
      </w:r>
    </w:p>
    <w:p w:rsidR="00E66099" w:rsidRDefault="00E66099" w14:paraId="5AD07438" w14:textId="77777777">
      <w:pPr>
        <w:rPr>
          <w:szCs w:val="18"/>
        </w:rPr>
      </w:pPr>
    </w:p>
    <w:tbl>
      <w:tblPr>
        <w:tblStyle w:val="TableNormal0"/>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ook w:val="01E0" w:firstRow="1" w:lastRow="1" w:firstColumn="1" w:lastColumn="1" w:noHBand="0" w:noVBand="0"/>
      </w:tblPr>
      <w:tblGrid>
        <w:gridCol w:w="2559"/>
        <w:gridCol w:w="4857"/>
      </w:tblGrid>
      <w:tr w:rsidR="00586596" w:rsidTr="00E66099" w14:paraId="2333CB0B" w14:textId="77777777">
        <w:trPr>
          <w:trHeight w:val="1059"/>
        </w:trPr>
        <w:tc>
          <w:tcPr>
            <w:tcW w:w="7416" w:type="dxa"/>
            <w:gridSpan w:val="2"/>
            <w:tcBorders>
              <w:left w:val="nil"/>
            </w:tcBorders>
            <w:shd w:val="clear" w:color="auto" w:fill="7A7A7A"/>
            <w:vAlign w:val="center"/>
          </w:tcPr>
          <w:p w:rsidRPr="00E66099" w:rsidR="00E66099" w:rsidP="00FA4FA4" w:rsidRDefault="00000000" w14:paraId="0A078028" w14:textId="77777777">
            <w:pPr>
              <w:pStyle w:val="TableParagraph"/>
              <w:tabs>
                <w:tab w:val="left" w:pos="2060"/>
              </w:tabs>
              <w:ind w:left="103"/>
              <w:rPr>
                <w:rFonts w:cstheme="minorHAnsi"/>
                <w:b/>
                <w:color w:val="FFFFFF"/>
                <w:sz w:val="16"/>
                <w:szCs w:val="16"/>
                <w:lang w:val="nl-NL"/>
              </w:rPr>
            </w:pPr>
            <w:bookmarkStart w:name="_Hlk216354829" w:id="2"/>
            <w:r w:rsidRPr="00E66099">
              <w:rPr>
                <w:rFonts w:cstheme="minorHAnsi"/>
                <w:b/>
                <w:color w:val="FFFFFF"/>
                <w:sz w:val="16"/>
                <w:szCs w:val="16"/>
                <w:lang w:val="nl-NL"/>
              </w:rPr>
              <w:lastRenderedPageBreak/>
              <w:t>Beleidskeuzes uitgelegd</w:t>
            </w:r>
          </w:p>
          <w:p w:rsidRPr="00E66099" w:rsidR="00E66099" w:rsidP="00FA4FA4" w:rsidRDefault="00000000" w14:paraId="5CCC4304" w14:textId="77777777">
            <w:pPr>
              <w:pStyle w:val="TableParagraph"/>
              <w:tabs>
                <w:tab w:val="left" w:pos="2060"/>
              </w:tabs>
              <w:rPr>
                <w:rFonts w:cstheme="minorHAnsi"/>
                <w:color w:val="FFFFFF" w:themeColor="background1"/>
                <w:sz w:val="16"/>
                <w:szCs w:val="16"/>
                <w:lang w:val="nl-NL"/>
              </w:rPr>
            </w:pPr>
            <w:r w:rsidRPr="00E66099">
              <w:rPr>
                <w:rFonts w:cstheme="minorHAnsi"/>
                <w:b/>
                <w:color w:val="FFFFFF" w:themeColor="background1"/>
                <w:sz w:val="16"/>
                <w:szCs w:val="16"/>
                <w:lang w:val="nl-NL"/>
              </w:rPr>
              <w:t xml:space="preserve"> </w:t>
            </w:r>
            <w:r w:rsidRPr="00E66099">
              <w:rPr>
                <w:rFonts w:cstheme="minorHAnsi"/>
                <w:i/>
                <w:color w:val="FFFFFF" w:themeColor="background1"/>
                <w:sz w:val="16"/>
                <w:szCs w:val="16"/>
                <w:lang w:val="nl-NL"/>
              </w:rPr>
              <w:t>Onderbouwing doeltreffendheid, doelmatigheid en evaluatie (CW3.1)</w:t>
            </w:r>
          </w:p>
        </w:tc>
      </w:tr>
      <w:tr w:rsidR="00586596" w:rsidTr="00E66099" w14:paraId="5AD5ED80" w14:textId="77777777">
        <w:trPr>
          <w:trHeight w:val="666"/>
        </w:trPr>
        <w:tc>
          <w:tcPr>
            <w:tcW w:w="2559" w:type="dxa"/>
            <w:tcBorders>
              <w:left w:val="nil"/>
            </w:tcBorders>
            <w:shd w:val="clear" w:color="auto" w:fill="7A7A7A"/>
          </w:tcPr>
          <w:p w:rsidRPr="00E66099" w:rsidR="00E66099" w:rsidP="00FA4FA4" w:rsidRDefault="00E66099" w14:paraId="15012FA1" w14:textId="77777777">
            <w:pPr>
              <w:pStyle w:val="TableParagraph"/>
              <w:tabs>
                <w:tab w:val="left" w:pos="2060"/>
              </w:tabs>
              <w:ind w:left="103"/>
              <w:rPr>
                <w:rFonts w:cstheme="minorHAnsi"/>
                <w:b/>
                <w:color w:val="FFFFFF"/>
                <w:sz w:val="16"/>
                <w:szCs w:val="16"/>
                <w:lang w:val="nl-NL"/>
              </w:rPr>
            </w:pPr>
          </w:p>
          <w:p w:rsidRPr="00880957" w:rsidR="00E66099" w:rsidP="00FA4FA4" w:rsidRDefault="00000000" w14:paraId="698CE3AA" w14:textId="77777777">
            <w:pPr>
              <w:pStyle w:val="TableParagraph"/>
              <w:tabs>
                <w:tab w:val="left" w:pos="2060"/>
              </w:tabs>
              <w:ind w:left="103"/>
              <w:rPr>
                <w:rFonts w:cstheme="minorHAnsi"/>
                <w:b/>
                <w:sz w:val="16"/>
                <w:szCs w:val="16"/>
              </w:rPr>
            </w:pPr>
            <w:r w:rsidRPr="00880957">
              <w:rPr>
                <w:rFonts w:cstheme="minorHAnsi"/>
                <w:b/>
                <w:color w:val="FFFFFF"/>
                <w:sz w:val="16"/>
                <w:szCs w:val="16"/>
              </w:rPr>
              <w:t xml:space="preserve">Doel(en) </w:t>
            </w:r>
          </w:p>
        </w:tc>
        <w:tc>
          <w:tcPr>
            <w:tcW w:w="4857" w:type="dxa"/>
            <w:tcBorders>
              <w:right w:val="nil"/>
            </w:tcBorders>
            <w:shd w:val="clear" w:color="auto" w:fill="DBDBDB"/>
            <w:vAlign w:val="center"/>
          </w:tcPr>
          <w:p w:rsidR="00E66099" w:rsidP="00FA4FA4" w:rsidRDefault="00000000" w14:paraId="5D06E917"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 xml:space="preserve">Waarborgen van de continuïteit van zorg voor de </w:t>
            </w:r>
          </w:p>
          <w:p w:rsidRPr="00E66099" w:rsidR="00E66099" w:rsidP="00FA4FA4" w:rsidRDefault="00000000" w14:paraId="6D290C9E"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cliënten van de Trans en het voorkomen van een ongecontroleerd faillissement.</w:t>
            </w:r>
          </w:p>
        </w:tc>
      </w:tr>
      <w:tr w:rsidR="00586596" w:rsidTr="00E66099" w14:paraId="2193A00E" w14:textId="77777777">
        <w:trPr>
          <w:trHeight w:val="694"/>
        </w:trPr>
        <w:tc>
          <w:tcPr>
            <w:tcW w:w="2559" w:type="dxa"/>
            <w:tcBorders>
              <w:left w:val="nil"/>
            </w:tcBorders>
            <w:shd w:val="clear" w:color="auto" w:fill="7A7A7A"/>
          </w:tcPr>
          <w:p w:rsidRPr="00E66099" w:rsidR="00E66099" w:rsidP="00FA4FA4" w:rsidRDefault="00E66099" w14:paraId="5C053B1D" w14:textId="77777777">
            <w:pPr>
              <w:pStyle w:val="TableParagraph"/>
              <w:tabs>
                <w:tab w:val="left" w:pos="2060"/>
              </w:tabs>
              <w:ind w:left="103" w:right="231"/>
              <w:rPr>
                <w:rFonts w:cstheme="minorHAnsi"/>
                <w:b/>
                <w:color w:val="FFFFFF"/>
                <w:sz w:val="16"/>
                <w:szCs w:val="16"/>
                <w:lang w:val="nl-NL"/>
              </w:rPr>
            </w:pPr>
          </w:p>
          <w:p w:rsidRPr="00880957" w:rsidR="00E66099" w:rsidP="00FA4FA4" w:rsidRDefault="00000000" w14:paraId="4FB9ABCA" w14:textId="77777777">
            <w:pPr>
              <w:pStyle w:val="TableParagraph"/>
              <w:tabs>
                <w:tab w:val="left" w:pos="2060"/>
              </w:tabs>
              <w:ind w:left="103" w:right="231"/>
              <w:rPr>
                <w:rFonts w:cstheme="minorHAnsi"/>
                <w:b/>
                <w:sz w:val="16"/>
                <w:szCs w:val="16"/>
              </w:rPr>
            </w:pPr>
            <w:r w:rsidRPr="00880957">
              <w:rPr>
                <w:rFonts w:cstheme="minorHAnsi"/>
                <w:b/>
                <w:color w:val="FFFFFF"/>
                <w:sz w:val="16"/>
                <w:szCs w:val="16"/>
              </w:rPr>
              <w:t>Beleidsinstrument(en)</w:t>
            </w:r>
          </w:p>
        </w:tc>
        <w:tc>
          <w:tcPr>
            <w:tcW w:w="4857" w:type="dxa"/>
            <w:tcBorders>
              <w:right w:val="nil"/>
            </w:tcBorders>
            <w:shd w:val="clear" w:color="auto" w:fill="DBDBDB"/>
            <w:vAlign w:val="center"/>
          </w:tcPr>
          <w:p w:rsidRPr="00E66099" w:rsidR="00E66099" w:rsidP="00E66099" w:rsidRDefault="00000000" w14:paraId="21003F93"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 xml:space="preserve">Subsidieverlening aan twee organisaties die een noodlijdende instelling overnemen. </w:t>
            </w:r>
          </w:p>
        </w:tc>
      </w:tr>
      <w:tr w:rsidR="00586596" w:rsidTr="00E66099" w14:paraId="73362016" w14:textId="77777777">
        <w:trPr>
          <w:trHeight w:val="805"/>
        </w:trPr>
        <w:tc>
          <w:tcPr>
            <w:tcW w:w="2559" w:type="dxa"/>
            <w:tcBorders>
              <w:left w:val="nil"/>
            </w:tcBorders>
            <w:shd w:val="clear" w:color="auto" w:fill="7A7A7A"/>
          </w:tcPr>
          <w:p w:rsidRPr="00E66099" w:rsidR="00E66099" w:rsidP="00FA4FA4" w:rsidRDefault="00000000" w14:paraId="376FEEA9" w14:textId="77777777">
            <w:pPr>
              <w:pStyle w:val="TableParagraph"/>
              <w:tabs>
                <w:tab w:val="left" w:pos="2060"/>
              </w:tabs>
              <w:spacing w:before="144" w:line="242" w:lineRule="auto"/>
              <w:ind w:left="103" w:right="506"/>
              <w:rPr>
                <w:rFonts w:cstheme="minorHAnsi"/>
                <w:b/>
                <w:sz w:val="16"/>
                <w:szCs w:val="16"/>
                <w:lang w:val="nl-NL"/>
              </w:rPr>
            </w:pPr>
            <w:r w:rsidRPr="00E66099">
              <w:rPr>
                <w:rFonts w:cstheme="minorHAnsi"/>
                <w:b/>
                <w:color w:val="FFFFFF"/>
                <w:sz w:val="16"/>
                <w:szCs w:val="16"/>
                <w:lang w:val="nl-NL"/>
              </w:rPr>
              <w:t>Financiële gevolgen voor het Rijk</w:t>
            </w:r>
          </w:p>
        </w:tc>
        <w:tc>
          <w:tcPr>
            <w:tcW w:w="4857" w:type="dxa"/>
            <w:tcBorders>
              <w:right w:val="nil"/>
            </w:tcBorders>
            <w:shd w:val="clear" w:color="auto" w:fill="DBDBDB"/>
            <w:vAlign w:val="center"/>
          </w:tcPr>
          <w:p w:rsidR="00E66099" w:rsidP="00E66099" w:rsidRDefault="00000000" w14:paraId="5C239E5D"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Met de subsidieverlening is een bedrag van ten hoogste € 25,8 miljoen gemoeid, dat naar verwachting wordt verstrekt in de jaren 2027 t/m 2029. In de VWS-</w:t>
            </w:r>
          </w:p>
          <w:p w:rsidRPr="00E66099" w:rsidR="00E66099" w:rsidP="00E66099" w:rsidRDefault="00000000" w14:paraId="5D7F2EE0"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 xml:space="preserve">begroting 2026 zijn hiervoor over de jaren heen in totaal voldoende middelen gereserveerd. </w:t>
            </w:r>
          </w:p>
        </w:tc>
      </w:tr>
      <w:tr w:rsidR="00586596" w:rsidTr="00E66099" w14:paraId="230E0695" w14:textId="77777777">
        <w:trPr>
          <w:trHeight w:val="674"/>
        </w:trPr>
        <w:tc>
          <w:tcPr>
            <w:tcW w:w="2559" w:type="dxa"/>
            <w:tcBorders>
              <w:left w:val="nil"/>
            </w:tcBorders>
            <w:shd w:val="clear" w:color="auto" w:fill="7A7A7A"/>
          </w:tcPr>
          <w:p w:rsidRPr="002B22A6" w:rsidR="00E66099" w:rsidP="002B22A6" w:rsidRDefault="00000000" w14:paraId="7E79EE97" w14:textId="77777777">
            <w:pPr>
              <w:pStyle w:val="TableParagraph"/>
              <w:tabs>
                <w:tab w:val="left" w:pos="2060"/>
              </w:tabs>
              <w:spacing w:before="146"/>
              <w:ind w:left="103" w:right="92"/>
              <w:rPr>
                <w:rFonts w:cstheme="minorHAnsi"/>
                <w:b/>
                <w:color w:val="FFFFFF"/>
                <w:sz w:val="16"/>
                <w:szCs w:val="16"/>
                <w:lang w:val="nl-NL"/>
              </w:rPr>
            </w:pPr>
            <w:r w:rsidRPr="00E66099">
              <w:rPr>
                <w:rFonts w:cstheme="minorHAnsi"/>
                <w:b/>
                <w:color w:val="FFFFFF"/>
                <w:sz w:val="16"/>
                <w:szCs w:val="16"/>
                <w:lang w:val="nl-NL"/>
              </w:rPr>
              <w:t xml:space="preserve">Financiële gevolgen voor maatschappelijke sectoren </w:t>
            </w:r>
          </w:p>
        </w:tc>
        <w:tc>
          <w:tcPr>
            <w:tcW w:w="4857" w:type="dxa"/>
            <w:tcBorders>
              <w:right w:val="nil"/>
            </w:tcBorders>
            <w:shd w:val="clear" w:color="auto" w:fill="DBDBDB"/>
            <w:vAlign w:val="center"/>
          </w:tcPr>
          <w:p w:rsidRPr="00E66099" w:rsidR="00E66099" w:rsidP="00E66099" w:rsidRDefault="00000000" w14:paraId="26C307C6"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 xml:space="preserve">De bijdrage vanuit de zorgkantoren geschiedt vanuit de beschikbare financiële en wettelijke kaders. </w:t>
            </w:r>
          </w:p>
        </w:tc>
      </w:tr>
      <w:tr w:rsidR="00586596" w:rsidTr="00E66099" w14:paraId="5061DBF2" w14:textId="77777777">
        <w:trPr>
          <w:trHeight w:val="501"/>
        </w:trPr>
        <w:tc>
          <w:tcPr>
            <w:tcW w:w="2559" w:type="dxa"/>
            <w:tcBorders>
              <w:left w:val="nil"/>
            </w:tcBorders>
            <w:shd w:val="clear" w:color="auto" w:fill="7A7A7A"/>
          </w:tcPr>
          <w:p w:rsidRPr="00880957" w:rsidR="00E66099" w:rsidP="00FA4FA4" w:rsidRDefault="00000000" w14:paraId="6C1F38D3" w14:textId="77777777">
            <w:pPr>
              <w:pStyle w:val="TableParagraph"/>
              <w:tabs>
                <w:tab w:val="left" w:pos="2060"/>
              </w:tabs>
              <w:spacing w:before="141"/>
              <w:ind w:left="103" w:right="829"/>
              <w:rPr>
                <w:rFonts w:cstheme="minorHAnsi"/>
                <w:b/>
                <w:sz w:val="16"/>
                <w:szCs w:val="16"/>
              </w:rPr>
            </w:pPr>
            <w:r w:rsidRPr="00880957">
              <w:rPr>
                <w:rFonts w:cstheme="minorHAnsi"/>
                <w:b/>
                <w:color w:val="FFFFFF"/>
                <w:sz w:val="16"/>
                <w:szCs w:val="16"/>
              </w:rPr>
              <w:t>Nagestreefde doeltreffendheid</w:t>
            </w:r>
          </w:p>
        </w:tc>
        <w:tc>
          <w:tcPr>
            <w:tcW w:w="4857" w:type="dxa"/>
            <w:tcBorders>
              <w:right w:val="nil"/>
            </w:tcBorders>
            <w:shd w:val="clear" w:color="auto" w:fill="DBDBDB"/>
            <w:vAlign w:val="center"/>
          </w:tcPr>
          <w:p w:rsidRPr="00E66099" w:rsidR="00E66099" w:rsidP="00E66099" w:rsidRDefault="00000000" w14:paraId="04D3E76C"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Het realiseren van 184 plekken nieuwbouw is een onlosmakelijk onderdeel van het opgestelde continuïteitsplan.</w:t>
            </w:r>
          </w:p>
        </w:tc>
      </w:tr>
      <w:tr w:rsidR="00586596" w:rsidTr="00E66099" w14:paraId="5E92B6B8" w14:textId="77777777">
        <w:trPr>
          <w:trHeight w:val="983"/>
        </w:trPr>
        <w:tc>
          <w:tcPr>
            <w:tcW w:w="2559" w:type="dxa"/>
            <w:tcBorders>
              <w:left w:val="nil"/>
            </w:tcBorders>
            <w:shd w:val="clear" w:color="auto" w:fill="7A7A7A"/>
          </w:tcPr>
          <w:p w:rsidRPr="00E66099" w:rsidR="00E66099" w:rsidP="00FA4FA4" w:rsidRDefault="00E66099" w14:paraId="553FB837" w14:textId="77777777">
            <w:pPr>
              <w:pStyle w:val="TableParagraph"/>
              <w:tabs>
                <w:tab w:val="left" w:pos="2060"/>
              </w:tabs>
              <w:rPr>
                <w:rFonts w:cstheme="minorHAnsi"/>
                <w:i/>
                <w:sz w:val="16"/>
                <w:szCs w:val="16"/>
                <w:lang w:val="nl-NL"/>
              </w:rPr>
            </w:pPr>
          </w:p>
          <w:p w:rsidRPr="00880957" w:rsidR="00E66099" w:rsidP="00FA4FA4" w:rsidRDefault="00000000" w14:paraId="088B0601" w14:textId="77777777">
            <w:pPr>
              <w:pStyle w:val="TableParagraph"/>
              <w:tabs>
                <w:tab w:val="left" w:pos="2060"/>
              </w:tabs>
              <w:ind w:left="103" w:right="1066"/>
              <w:rPr>
                <w:rFonts w:cstheme="minorHAnsi"/>
                <w:b/>
                <w:sz w:val="16"/>
                <w:szCs w:val="16"/>
              </w:rPr>
            </w:pPr>
            <w:r w:rsidRPr="00880957">
              <w:rPr>
                <w:rFonts w:cstheme="minorHAnsi"/>
                <w:b/>
                <w:color w:val="FFFFFF"/>
                <w:sz w:val="16"/>
                <w:szCs w:val="16"/>
              </w:rPr>
              <w:t>Nagestreefde doelmatigheid</w:t>
            </w:r>
          </w:p>
        </w:tc>
        <w:tc>
          <w:tcPr>
            <w:tcW w:w="4857" w:type="dxa"/>
            <w:tcBorders>
              <w:right w:val="nil"/>
            </w:tcBorders>
            <w:shd w:val="clear" w:color="auto" w:fill="DBDBDB"/>
            <w:vAlign w:val="center"/>
          </w:tcPr>
          <w:p w:rsidR="00620F25" w:rsidP="00E66099" w:rsidRDefault="00000000" w14:paraId="5871F6AE"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 xml:space="preserve">Er is rekening gehouden met de mogelijkheden van </w:t>
            </w:r>
          </w:p>
          <w:p w:rsidRPr="00E66099" w:rsidR="00E66099" w:rsidP="00E66099" w:rsidRDefault="00000000" w14:paraId="27115265" w14:textId="77777777">
            <w:pPr>
              <w:pStyle w:val="TableParagraph"/>
              <w:tabs>
                <w:tab w:val="left" w:pos="2060"/>
              </w:tabs>
              <w:spacing w:before="10" w:line="218" w:lineRule="exact"/>
              <w:ind w:left="101" w:right="154"/>
              <w:rPr>
                <w:rFonts w:cstheme="minorHAnsi"/>
                <w:sz w:val="16"/>
                <w:szCs w:val="16"/>
                <w:lang w:val="nl-NL"/>
              </w:rPr>
            </w:pPr>
            <w:r w:rsidRPr="00E66099">
              <w:rPr>
                <w:rFonts w:cstheme="minorHAnsi"/>
                <w:sz w:val="16"/>
                <w:szCs w:val="16"/>
                <w:lang w:val="nl-NL"/>
              </w:rPr>
              <w:t>financiering door externe vermogensverstrekkers. De bijdrage is voldoende om een negatieve impact voor de betrokken aanbieders te voorkomen, waarbij gewaakt wordt voor overcompensatie.</w:t>
            </w:r>
          </w:p>
        </w:tc>
      </w:tr>
      <w:tr w:rsidR="00586596" w:rsidTr="00E66099" w14:paraId="427798DF" w14:textId="77777777">
        <w:trPr>
          <w:trHeight w:val="983"/>
        </w:trPr>
        <w:tc>
          <w:tcPr>
            <w:tcW w:w="2559" w:type="dxa"/>
            <w:tcBorders>
              <w:left w:val="nil"/>
            </w:tcBorders>
            <w:shd w:val="clear" w:color="auto" w:fill="7A7A7A"/>
          </w:tcPr>
          <w:p w:rsidRPr="00E66099" w:rsidR="00E66099" w:rsidP="00FA4FA4" w:rsidRDefault="00E66099" w14:paraId="3D789C5E" w14:textId="77777777">
            <w:pPr>
              <w:pStyle w:val="TableParagraph"/>
              <w:tabs>
                <w:tab w:val="left" w:pos="2060"/>
              </w:tabs>
              <w:ind w:left="103" w:right="1066"/>
              <w:rPr>
                <w:rFonts w:cstheme="minorHAnsi"/>
                <w:b/>
                <w:color w:val="FFFFFF"/>
                <w:sz w:val="16"/>
                <w:szCs w:val="16"/>
                <w:lang w:val="nl-NL"/>
              </w:rPr>
            </w:pPr>
          </w:p>
          <w:p w:rsidRPr="00880957" w:rsidR="00E66099" w:rsidP="00FA4FA4" w:rsidRDefault="00000000" w14:paraId="57138EB9" w14:textId="77777777">
            <w:pPr>
              <w:pStyle w:val="TableParagraph"/>
              <w:tabs>
                <w:tab w:val="left" w:pos="2060"/>
              </w:tabs>
              <w:ind w:left="103" w:right="1066"/>
              <w:rPr>
                <w:rFonts w:cstheme="minorHAnsi"/>
                <w:i/>
                <w:sz w:val="16"/>
                <w:szCs w:val="16"/>
              </w:rPr>
            </w:pPr>
            <w:r w:rsidRPr="00880957">
              <w:rPr>
                <w:rFonts w:cstheme="minorHAnsi"/>
                <w:b/>
                <w:color w:val="FFFFFF"/>
                <w:sz w:val="16"/>
                <w:szCs w:val="16"/>
              </w:rPr>
              <w:t>Evaluatieparagraaf</w:t>
            </w:r>
          </w:p>
        </w:tc>
        <w:tc>
          <w:tcPr>
            <w:tcW w:w="4857" w:type="dxa"/>
            <w:tcBorders>
              <w:right w:val="nil"/>
            </w:tcBorders>
            <w:shd w:val="clear" w:color="auto" w:fill="DBDBDB"/>
            <w:vAlign w:val="center"/>
          </w:tcPr>
          <w:p w:rsidRPr="00E66099" w:rsidR="00E66099" w:rsidP="00E66099" w:rsidRDefault="00000000" w14:paraId="2457417A" w14:textId="77777777">
            <w:pPr>
              <w:pStyle w:val="TableParagraph"/>
              <w:tabs>
                <w:tab w:val="left" w:pos="2060"/>
              </w:tabs>
              <w:spacing w:before="10" w:line="218" w:lineRule="exact"/>
              <w:ind w:left="101" w:right="154"/>
              <w:rPr>
                <w:rFonts w:cstheme="minorBidi"/>
                <w:sz w:val="16"/>
                <w:szCs w:val="16"/>
                <w:lang w:val="nl-NL"/>
              </w:rPr>
            </w:pPr>
            <w:r w:rsidRPr="00E66099">
              <w:rPr>
                <w:rFonts w:cstheme="minorHAnsi"/>
                <w:sz w:val="16"/>
                <w:szCs w:val="16"/>
                <w:lang w:val="nl-NL"/>
              </w:rPr>
              <w:t>Bij de subsidieverlening wordt uitgegaan van een maximumbedrag per plek voor 184 te realiseren nieuwbouwplekken. Indien er minder plekken worden gerealiseerd, zal minder subsidie worden verstrekt. Samen met de betrokken zorgkantoren wordt bewaakt of de continuïteit van zorg voor cliënten ook in de toekomst gewaarborgd is. In de subsidiebrieven zullen nadere afspraken worden gemaakt over de evaluatie.</w:t>
            </w:r>
            <w:r w:rsidRPr="00E66099">
              <w:rPr>
                <w:rFonts w:cstheme="minorBidi"/>
                <w:sz w:val="16"/>
                <w:szCs w:val="16"/>
                <w:lang w:val="nl-NL"/>
              </w:rPr>
              <w:t xml:space="preserve"> </w:t>
            </w:r>
          </w:p>
        </w:tc>
      </w:tr>
      <w:bookmarkEnd w:id="2"/>
    </w:tbl>
    <w:p w:rsidR="00E66099" w:rsidRDefault="00E66099" w14:paraId="01307BA8" w14:textId="77777777">
      <w:pPr>
        <w:rPr>
          <w:szCs w:val="18"/>
        </w:rPr>
      </w:pPr>
    </w:p>
    <w:p w:rsidR="00E66099" w:rsidRDefault="00E66099" w14:paraId="3C048AF0" w14:textId="77777777">
      <w:pPr>
        <w:rPr>
          <w:szCs w:val="18"/>
        </w:rPr>
      </w:pPr>
    </w:p>
    <w:p w:rsidR="00E66099" w:rsidRDefault="00000000" w14:paraId="1552E7CB" w14:textId="77777777">
      <w:pPr>
        <w:rPr>
          <w:color w:val="211D1F"/>
          <w:szCs w:val="18"/>
        </w:rPr>
      </w:pPr>
      <w:r>
        <w:rPr>
          <w:szCs w:val="18"/>
        </w:rPr>
        <w:t xml:space="preserve">Hiermee hoop ik uw Kamer voldoende te hebben geïnformeerd. </w:t>
      </w:r>
    </w:p>
    <w:p w:rsidRPr="009A31BF" w:rsidR="00CD5856" w:rsidRDefault="00000000" w14:paraId="28930414" w14:textId="77777777">
      <w:pPr>
        <w:pStyle w:val="Huisstijl-Slotzin"/>
      </w:pPr>
      <w:r>
        <w:t>Hoogachtend,</w:t>
      </w:r>
    </w:p>
    <w:p w:rsidR="00BC481F" w:rsidP="00463DBC" w:rsidRDefault="00BC481F" w14:paraId="2B1048FC" w14:textId="77777777">
      <w:pPr>
        <w:spacing w:line="240" w:lineRule="auto"/>
        <w:rPr>
          <w:noProof/>
        </w:rPr>
      </w:pPr>
    </w:p>
    <w:p w:rsidR="00857478" w:rsidP="00C62B6C" w:rsidRDefault="00857478" w14:paraId="2536D070" w14:textId="77777777">
      <w:pPr>
        <w:spacing w:line="240" w:lineRule="atLeast"/>
        <w:jc w:val="both"/>
      </w:pPr>
      <w:r>
        <w:t>de staatssecretaris Langdurige</w:t>
      </w:r>
    </w:p>
    <w:p w:rsidR="00C62B6C" w:rsidP="00C62B6C" w:rsidRDefault="00000000" w14:paraId="2ACCBD98" w14:textId="52A87FAC">
      <w:pPr>
        <w:spacing w:line="240" w:lineRule="atLeast"/>
        <w:jc w:val="both"/>
        <w:rPr>
          <w:szCs w:val="18"/>
        </w:rPr>
      </w:pPr>
      <w:r>
        <w:t>en Maatschappelijke Zorg</w:t>
      </w:r>
      <w:r>
        <w:rPr>
          <w:szCs w:val="18"/>
        </w:rPr>
        <w:t>,</w:t>
      </w:r>
    </w:p>
    <w:p w:rsidRPr="007B6A41" w:rsidR="00C62B6C" w:rsidP="00C62B6C" w:rsidRDefault="00C62B6C" w14:paraId="0B924617" w14:textId="77777777">
      <w:pPr>
        <w:spacing w:line="240" w:lineRule="atLeast"/>
        <w:rPr>
          <w:szCs w:val="18"/>
        </w:rPr>
      </w:pPr>
      <w:bookmarkStart w:name="bmkHandtekening" w:id="3"/>
    </w:p>
    <w:bookmarkEnd w:id="3"/>
    <w:p w:rsidR="00C62B6C" w:rsidP="00C62B6C" w:rsidRDefault="00000000" w14:paraId="059799FB" w14:textId="77777777">
      <w:pPr>
        <w:spacing w:line="240" w:lineRule="atLeast"/>
      </w:pPr>
      <w:r>
        <w:cr/>
      </w:r>
      <w:r>
        <w:cr/>
      </w:r>
    </w:p>
    <w:p w:rsidR="00857478" w:rsidP="00C62B6C" w:rsidRDefault="00857478" w14:paraId="2207600F" w14:textId="77777777">
      <w:pPr>
        <w:spacing w:line="240" w:lineRule="atLeast"/>
      </w:pPr>
    </w:p>
    <w:p w:rsidRPr="007B6A41" w:rsidR="00857478" w:rsidP="00C62B6C" w:rsidRDefault="00857478" w14:paraId="594F7695" w14:textId="77777777">
      <w:pPr>
        <w:spacing w:line="240" w:lineRule="atLeast"/>
        <w:rPr>
          <w:szCs w:val="18"/>
        </w:rPr>
      </w:pPr>
    </w:p>
    <w:p w:rsidRPr="007B6A41" w:rsidR="00C62B6C" w:rsidP="00C62B6C" w:rsidRDefault="00000000" w14:paraId="23FAD973" w14:textId="77777777">
      <w:pPr>
        <w:spacing w:line="240" w:lineRule="atLeast"/>
        <w:jc w:val="both"/>
        <w:rPr>
          <w:szCs w:val="18"/>
        </w:rPr>
      </w:pPr>
      <w:r>
        <w:t>Nicki J.F. Pouw-Verweij</w:t>
      </w:r>
    </w:p>
    <w:sectPr w:rsidRPr="007B6A41" w:rsidR="00C62B6C" w:rsidSect="008D59C5">
      <w:headerReference w:type="even" r:id="rId11"/>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E4D5" w14:textId="77777777" w:rsidR="00F31987" w:rsidRDefault="00F31987">
      <w:pPr>
        <w:spacing w:line="240" w:lineRule="auto"/>
      </w:pPr>
      <w:r>
        <w:separator/>
      </w:r>
    </w:p>
  </w:endnote>
  <w:endnote w:type="continuationSeparator" w:id="0">
    <w:p w14:paraId="75FC7E57" w14:textId="77777777" w:rsidR="00F31987" w:rsidRDefault="00F31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AC66"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0015E5F" wp14:editId="1F8E0EB9">
              <wp:simplePos x="0" y="0"/>
              <wp:positionH relativeFrom="page">
                <wp:posOffset>5922645</wp:posOffset>
              </wp:positionH>
              <wp:positionV relativeFrom="page">
                <wp:posOffset>10225405</wp:posOffset>
              </wp:positionV>
              <wp:extent cx="1259840" cy="185420"/>
              <wp:effectExtent l="7620" t="5080" r="8890" b="9525"/>
              <wp:wrapNone/>
              <wp:docPr id="21420742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68BB37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0015E5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168BB376"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D3E3" w14:textId="77777777" w:rsidR="00F31987" w:rsidRDefault="00F31987">
      <w:pPr>
        <w:spacing w:line="240" w:lineRule="auto"/>
      </w:pPr>
      <w:r>
        <w:separator/>
      </w:r>
    </w:p>
  </w:footnote>
  <w:footnote w:type="continuationSeparator" w:id="0">
    <w:p w14:paraId="3E853CA7" w14:textId="77777777" w:rsidR="00F31987" w:rsidRDefault="00F31987">
      <w:pPr>
        <w:spacing w:line="240" w:lineRule="auto"/>
      </w:pPr>
      <w:r>
        <w:continuationSeparator/>
      </w:r>
    </w:p>
  </w:footnote>
  <w:footnote w:id="1">
    <w:p w14:paraId="748BE1E7" w14:textId="77777777" w:rsidR="00864CD9" w:rsidRDefault="00000000">
      <w:pPr>
        <w:pStyle w:val="Voetnoottekst"/>
      </w:pPr>
      <w:r>
        <w:rPr>
          <w:rStyle w:val="Voetnootmarkering"/>
        </w:rPr>
        <w:footnoteRef/>
      </w:r>
      <w:r>
        <w:t xml:space="preserve"> </w:t>
      </w:r>
      <w:r w:rsidRPr="00864CD9">
        <w:rPr>
          <w:color w:val="211D1F"/>
          <w:sz w:val="16"/>
          <w:szCs w:val="16"/>
        </w:rPr>
        <w:t>TK 2024 – 2025, 31 765, nr. 944</w:t>
      </w:r>
    </w:p>
  </w:footnote>
  <w:footnote w:id="2">
    <w:p w14:paraId="356658F3" w14:textId="77777777" w:rsidR="00EB2EC6" w:rsidRPr="001225DC" w:rsidRDefault="00000000">
      <w:pPr>
        <w:pStyle w:val="Voetnoottekst"/>
        <w:rPr>
          <w:sz w:val="16"/>
          <w:szCs w:val="14"/>
        </w:rPr>
      </w:pPr>
      <w:r>
        <w:rPr>
          <w:rStyle w:val="Voetnootmarkering"/>
        </w:rPr>
        <w:footnoteRef/>
      </w:r>
      <w:r>
        <w:t xml:space="preserve"> </w:t>
      </w:r>
      <w:r w:rsidRPr="001225DC">
        <w:rPr>
          <w:sz w:val="16"/>
          <w:szCs w:val="14"/>
        </w:rPr>
        <w:t>Kamerstuk 31 016, nr. 288</w:t>
      </w:r>
    </w:p>
  </w:footnote>
  <w:footnote w:id="3">
    <w:p w14:paraId="326F29D6" w14:textId="77777777" w:rsidR="00B46B72" w:rsidRDefault="00000000">
      <w:pPr>
        <w:pStyle w:val="Voetnoottekst"/>
      </w:pPr>
      <w:r>
        <w:rPr>
          <w:rStyle w:val="Voetnootmarkering"/>
        </w:rPr>
        <w:footnoteRef/>
      </w:r>
      <w:r>
        <w:t xml:space="preserve"> </w:t>
      </w:r>
      <w:r w:rsidRPr="00B46B72">
        <w:rPr>
          <w:sz w:val="16"/>
          <w:szCs w:val="16"/>
        </w:rPr>
        <w:t>Stichting Espria is een concern waar, naast De Trans, verschillende zorgorganisaties zijn</w:t>
      </w:r>
      <w:r w:rsidR="0086167B">
        <w:rPr>
          <w:sz w:val="16"/>
          <w:szCs w:val="16"/>
        </w:rPr>
        <w:t xml:space="preserve"> </w:t>
      </w:r>
      <w:r w:rsidRPr="00B46B72">
        <w:rPr>
          <w:sz w:val="16"/>
          <w:szCs w:val="16"/>
        </w:rPr>
        <w:t>ondergebracht, namelijk Evean, Icare &amp; Zorggroep Meander, GGZ Drenthe, Icare JGZ, IcareThuisbegeleiding, Espria Ledenvereniging en Medisch servicecentrum Altide.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2D02"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C791196" wp14:editId="0BA4887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2137F44" wp14:editId="0106253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64CD9">
      <w:rPr>
        <w:noProof/>
        <w:lang w:eastAsia="nl-NL" w:bidi="ar-SA"/>
      </w:rPr>
      <mc:AlternateContent>
        <mc:Choice Requires="wps">
          <w:drawing>
            <wp:anchor distT="0" distB="0" distL="114300" distR="114300" simplePos="0" relativeHeight="251658240" behindDoc="0" locked="0" layoutInCell="1" allowOverlap="1" wp14:anchorId="63CEED85" wp14:editId="147B0427">
              <wp:simplePos x="0" y="0"/>
              <wp:positionH relativeFrom="page">
                <wp:posOffset>5922645</wp:posOffset>
              </wp:positionH>
              <wp:positionV relativeFrom="page">
                <wp:posOffset>1965960</wp:posOffset>
              </wp:positionV>
              <wp:extent cx="1259840" cy="8009890"/>
              <wp:effectExtent l="7620" t="13335" r="8890" b="6350"/>
              <wp:wrapNone/>
              <wp:docPr id="17308949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3D1F91B" w14:textId="77777777" w:rsidR="00CD5856" w:rsidRDefault="00000000">
                          <w:pPr>
                            <w:pStyle w:val="Huisstijl-AfzendgegevensW1"/>
                          </w:pPr>
                          <w:r>
                            <w:t>Bezoekadres</w:t>
                          </w:r>
                        </w:p>
                        <w:p w14:paraId="094E66CA" w14:textId="77777777" w:rsidR="00CD5856" w:rsidRDefault="00000000">
                          <w:pPr>
                            <w:pStyle w:val="Huisstijl-Afzendgegevens"/>
                          </w:pPr>
                          <w:r>
                            <w:t>Parnassusplein 5</w:t>
                          </w:r>
                        </w:p>
                        <w:p w14:paraId="1FCA0F0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5AF4980" w14:textId="77777777" w:rsidR="00CD5856" w:rsidRDefault="00000000">
                          <w:pPr>
                            <w:pStyle w:val="Huisstijl-Afzendgegevens"/>
                          </w:pPr>
                          <w:r w:rsidRPr="008D59C5">
                            <w:t>www.rijksoverheid.nl</w:t>
                          </w:r>
                        </w:p>
                        <w:p w14:paraId="50A371B1" w14:textId="77777777" w:rsidR="00CD5856" w:rsidRDefault="00000000">
                          <w:pPr>
                            <w:pStyle w:val="Huisstijl-ReferentiegegevenskopW2"/>
                          </w:pPr>
                          <w:r w:rsidRPr="008D59C5">
                            <w:t>Kenmerk</w:t>
                          </w:r>
                        </w:p>
                        <w:p w14:paraId="294D6400" w14:textId="77777777" w:rsidR="00CD5856" w:rsidRDefault="00000000">
                          <w:pPr>
                            <w:pStyle w:val="Huisstijl-Referentiegegevens"/>
                          </w:pPr>
                          <w:bookmarkStart w:id="0" w:name="_Hlk117784077"/>
                          <w:r>
                            <w:t>4298056-1091442-LZ</w:t>
                          </w:r>
                        </w:p>
                        <w:p w14:paraId="146D389D" w14:textId="77777777" w:rsidR="00857478" w:rsidRDefault="00857478">
                          <w:pPr>
                            <w:pStyle w:val="Huisstijl-Referentiegegevens"/>
                          </w:pPr>
                        </w:p>
                        <w:bookmarkEnd w:id="0"/>
                        <w:p w14:paraId="0EA93B49" w14:textId="25D13A43" w:rsidR="00857478" w:rsidRPr="00857478" w:rsidRDefault="00000000" w:rsidP="00857478">
                          <w:pPr>
                            <w:pStyle w:val="Huisstijl-ReferentiegegevenskopW1"/>
                          </w:pPr>
                          <w:r w:rsidRPr="008D59C5">
                            <w:t>Bijlage(n)</w:t>
                          </w:r>
                        </w:p>
                        <w:p w14:paraId="01805B7C" w14:textId="30616936" w:rsidR="00215CB5" w:rsidRDefault="0054010C" w:rsidP="00235E8D">
                          <w:pPr>
                            <w:pStyle w:val="Huisstijl-Referentiegegevens"/>
                          </w:pPr>
                          <w:r>
                            <w:t>-</w:t>
                          </w:r>
                        </w:p>
                        <w:p w14:paraId="41ED4F4A" w14:textId="77777777" w:rsidR="00857478" w:rsidRDefault="00857478" w:rsidP="00235E8D">
                          <w:pPr>
                            <w:pStyle w:val="Huisstijl-Referentiegegevens"/>
                          </w:pPr>
                        </w:p>
                        <w:p w14:paraId="34424491" w14:textId="77777777" w:rsidR="00CD5856" w:rsidRDefault="00000000">
                          <w:pPr>
                            <w:pStyle w:val="Huisstijl-ReferentiegegevenskopW1"/>
                          </w:pPr>
                          <w:r>
                            <w:t>Kenmerk afzender</w:t>
                          </w:r>
                        </w:p>
                        <w:p w14:paraId="6D4D4212" w14:textId="77777777" w:rsidR="00CD5856" w:rsidRDefault="00CD5856">
                          <w:pPr>
                            <w:pStyle w:val="Huisstijl-Referentiegegevens"/>
                          </w:pPr>
                        </w:p>
                        <w:p w14:paraId="47EC9840" w14:textId="77777777" w:rsidR="00CD5856" w:rsidRDefault="00000000">
                          <w:pPr>
                            <w:pStyle w:val="Huisstijl-Algemenevoorwaarden"/>
                          </w:pPr>
                          <w:r>
                            <w:t>Correspondentie uitsluitend richten aan het retouradres met vermelding van de datum en het kenmerk van deze brief.</w:t>
                          </w:r>
                        </w:p>
                        <w:p w14:paraId="5A999A1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3CEED8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3D1F91B" w14:textId="77777777" w:rsidR="00CD5856" w:rsidRDefault="00000000">
                    <w:pPr>
                      <w:pStyle w:val="Huisstijl-AfzendgegevensW1"/>
                    </w:pPr>
                    <w:r>
                      <w:t>Bezoekadres</w:t>
                    </w:r>
                  </w:p>
                  <w:p w14:paraId="094E66CA" w14:textId="77777777" w:rsidR="00CD5856" w:rsidRDefault="00000000">
                    <w:pPr>
                      <w:pStyle w:val="Huisstijl-Afzendgegevens"/>
                    </w:pPr>
                    <w:r>
                      <w:t>Parnassusplein 5</w:t>
                    </w:r>
                  </w:p>
                  <w:p w14:paraId="1FCA0F0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5AF4980" w14:textId="77777777" w:rsidR="00CD5856" w:rsidRDefault="00000000">
                    <w:pPr>
                      <w:pStyle w:val="Huisstijl-Afzendgegevens"/>
                    </w:pPr>
                    <w:r w:rsidRPr="008D59C5">
                      <w:t>www.rijksoverheid.nl</w:t>
                    </w:r>
                  </w:p>
                  <w:p w14:paraId="50A371B1" w14:textId="77777777" w:rsidR="00CD5856" w:rsidRDefault="00000000">
                    <w:pPr>
                      <w:pStyle w:val="Huisstijl-ReferentiegegevenskopW2"/>
                    </w:pPr>
                    <w:r w:rsidRPr="008D59C5">
                      <w:t>Kenmerk</w:t>
                    </w:r>
                  </w:p>
                  <w:p w14:paraId="294D6400" w14:textId="77777777" w:rsidR="00CD5856" w:rsidRDefault="00000000">
                    <w:pPr>
                      <w:pStyle w:val="Huisstijl-Referentiegegevens"/>
                    </w:pPr>
                    <w:bookmarkStart w:id="1" w:name="_Hlk117784077"/>
                    <w:r>
                      <w:t>4298056-1091442-LZ</w:t>
                    </w:r>
                  </w:p>
                  <w:p w14:paraId="146D389D" w14:textId="77777777" w:rsidR="00857478" w:rsidRDefault="00857478">
                    <w:pPr>
                      <w:pStyle w:val="Huisstijl-Referentiegegevens"/>
                    </w:pPr>
                  </w:p>
                  <w:bookmarkEnd w:id="1"/>
                  <w:p w14:paraId="0EA93B49" w14:textId="25D13A43" w:rsidR="00857478" w:rsidRPr="00857478" w:rsidRDefault="00000000" w:rsidP="00857478">
                    <w:pPr>
                      <w:pStyle w:val="Huisstijl-ReferentiegegevenskopW1"/>
                    </w:pPr>
                    <w:r w:rsidRPr="008D59C5">
                      <w:t>Bijlage(n)</w:t>
                    </w:r>
                  </w:p>
                  <w:p w14:paraId="01805B7C" w14:textId="30616936" w:rsidR="00215CB5" w:rsidRDefault="0054010C" w:rsidP="00235E8D">
                    <w:pPr>
                      <w:pStyle w:val="Huisstijl-Referentiegegevens"/>
                    </w:pPr>
                    <w:r>
                      <w:t>-</w:t>
                    </w:r>
                  </w:p>
                  <w:p w14:paraId="41ED4F4A" w14:textId="77777777" w:rsidR="00857478" w:rsidRDefault="00857478" w:rsidP="00235E8D">
                    <w:pPr>
                      <w:pStyle w:val="Huisstijl-Referentiegegevens"/>
                    </w:pPr>
                  </w:p>
                  <w:p w14:paraId="34424491" w14:textId="77777777" w:rsidR="00CD5856" w:rsidRDefault="00000000">
                    <w:pPr>
                      <w:pStyle w:val="Huisstijl-ReferentiegegevenskopW1"/>
                    </w:pPr>
                    <w:r>
                      <w:t>Kenmerk afzender</w:t>
                    </w:r>
                  </w:p>
                  <w:p w14:paraId="6D4D4212" w14:textId="77777777" w:rsidR="00CD5856" w:rsidRDefault="00CD5856">
                    <w:pPr>
                      <w:pStyle w:val="Huisstijl-Referentiegegevens"/>
                    </w:pPr>
                  </w:p>
                  <w:p w14:paraId="47EC9840" w14:textId="77777777" w:rsidR="00CD5856" w:rsidRDefault="00000000">
                    <w:pPr>
                      <w:pStyle w:val="Huisstijl-Algemenevoorwaarden"/>
                    </w:pPr>
                    <w:r>
                      <w:t>Correspondentie uitsluitend richten aan het retouradres met vermelding van de datum en het kenmerk van deze brief.</w:t>
                    </w:r>
                  </w:p>
                  <w:p w14:paraId="5A999A1A" w14:textId="77777777" w:rsidR="00CD5856" w:rsidRDefault="00CD5856"/>
                </w:txbxContent>
              </v:textbox>
              <w10:wrap anchorx="page" anchory="page"/>
            </v:shape>
          </w:pict>
        </mc:Fallback>
      </mc:AlternateContent>
    </w:r>
    <w:r w:rsidR="00864CD9">
      <w:rPr>
        <w:noProof/>
        <w:lang w:eastAsia="nl-NL" w:bidi="ar-SA"/>
      </w:rPr>
      <mc:AlternateContent>
        <mc:Choice Requires="wps">
          <w:drawing>
            <wp:anchor distT="0" distB="0" distL="114300" distR="114300" simplePos="0" relativeHeight="251657216" behindDoc="0" locked="0" layoutInCell="1" allowOverlap="1" wp14:anchorId="4E5AFC45" wp14:editId="138CD470">
              <wp:simplePos x="0" y="0"/>
              <wp:positionH relativeFrom="page">
                <wp:posOffset>1011555</wp:posOffset>
              </wp:positionH>
              <wp:positionV relativeFrom="page">
                <wp:posOffset>3769995</wp:posOffset>
              </wp:positionV>
              <wp:extent cx="4103370" cy="619125"/>
              <wp:effectExtent l="11430" t="7620" r="9525" b="11430"/>
              <wp:wrapNone/>
              <wp:docPr id="177467405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5E7690CC" w14:textId="4FE57FF6" w:rsidR="00CD5856" w:rsidRDefault="00000000">
                          <w:pPr>
                            <w:pStyle w:val="Huisstijl-Datumenbetreft"/>
                            <w:tabs>
                              <w:tab w:val="clear" w:pos="737"/>
                              <w:tab w:val="left" w:pos="-5954"/>
                              <w:tab w:val="left" w:pos="-5670"/>
                              <w:tab w:val="left" w:pos="1134"/>
                            </w:tabs>
                          </w:pPr>
                          <w:r>
                            <w:t>Datum</w:t>
                          </w:r>
                          <w:r w:rsidR="00E1490C">
                            <w:tab/>
                          </w:r>
                          <w:r w:rsidR="00CE0171">
                            <w:t>15 december 2025</w:t>
                          </w:r>
                        </w:p>
                        <w:p w14:paraId="059DD880" w14:textId="404C3548" w:rsidR="00CD5856" w:rsidRDefault="00000000">
                          <w:pPr>
                            <w:pStyle w:val="Huisstijl-Datumenbetreft"/>
                            <w:tabs>
                              <w:tab w:val="clear" w:pos="737"/>
                              <w:tab w:val="left" w:pos="-5954"/>
                              <w:tab w:val="left" w:pos="-5670"/>
                              <w:tab w:val="left" w:pos="1134"/>
                            </w:tabs>
                          </w:pPr>
                          <w:r>
                            <w:t>Betreft</w:t>
                          </w:r>
                          <w:r w:rsidR="00864CD9">
                            <w:tab/>
                            <w:t xml:space="preserve">Nadere informatie continuïteit van gehandicaptenzorg in </w:t>
                          </w:r>
                          <w:r w:rsidR="00857478">
                            <w:tab/>
                          </w:r>
                          <w:r w:rsidR="00864CD9">
                            <w:t>Drenthe en Groningen</w:t>
                          </w:r>
                        </w:p>
                        <w:p w14:paraId="138759A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E5AFC4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5E7690CC" w14:textId="4FE57FF6" w:rsidR="00CD5856" w:rsidRDefault="00000000">
                    <w:pPr>
                      <w:pStyle w:val="Huisstijl-Datumenbetreft"/>
                      <w:tabs>
                        <w:tab w:val="clear" w:pos="737"/>
                        <w:tab w:val="left" w:pos="-5954"/>
                        <w:tab w:val="left" w:pos="-5670"/>
                        <w:tab w:val="left" w:pos="1134"/>
                      </w:tabs>
                    </w:pPr>
                    <w:r>
                      <w:t>Datum</w:t>
                    </w:r>
                    <w:r w:rsidR="00E1490C">
                      <w:tab/>
                    </w:r>
                    <w:r w:rsidR="00CE0171">
                      <w:t>15 december 2025</w:t>
                    </w:r>
                  </w:p>
                  <w:p w14:paraId="059DD880" w14:textId="404C3548" w:rsidR="00CD5856" w:rsidRDefault="00000000">
                    <w:pPr>
                      <w:pStyle w:val="Huisstijl-Datumenbetreft"/>
                      <w:tabs>
                        <w:tab w:val="clear" w:pos="737"/>
                        <w:tab w:val="left" w:pos="-5954"/>
                        <w:tab w:val="left" w:pos="-5670"/>
                        <w:tab w:val="left" w:pos="1134"/>
                      </w:tabs>
                    </w:pPr>
                    <w:r>
                      <w:t>Betreft</w:t>
                    </w:r>
                    <w:r w:rsidR="00864CD9">
                      <w:tab/>
                      <w:t xml:space="preserve">Nadere informatie continuïteit van gehandicaptenzorg in </w:t>
                    </w:r>
                    <w:r w:rsidR="00857478">
                      <w:tab/>
                    </w:r>
                    <w:r w:rsidR="00864CD9">
                      <w:t>Drenthe en Groningen</w:t>
                    </w:r>
                  </w:p>
                  <w:p w14:paraId="138759AE" w14:textId="77777777" w:rsidR="00CD5856" w:rsidRDefault="00CD5856">
                    <w:pPr>
                      <w:pStyle w:val="Huisstijl-Datumenbetreft"/>
                      <w:tabs>
                        <w:tab w:val="left" w:pos="-5954"/>
                        <w:tab w:val="left" w:pos="-5670"/>
                      </w:tabs>
                    </w:pPr>
                  </w:p>
                </w:txbxContent>
              </v:textbox>
              <w10:wrap anchorx="page" anchory="page"/>
            </v:shape>
          </w:pict>
        </mc:Fallback>
      </mc:AlternateContent>
    </w:r>
    <w:r w:rsidR="00864CD9">
      <w:rPr>
        <w:noProof/>
        <w:lang w:eastAsia="nl-NL" w:bidi="ar-SA"/>
      </w:rPr>
      <mc:AlternateContent>
        <mc:Choice Requires="wps">
          <w:drawing>
            <wp:anchor distT="0" distB="0" distL="114300" distR="114300" simplePos="0" relativeHeight="251656192" behindDoc="0" locked="0" layoutInCell="1" allowOverlap="1" wp14:anchorId="1CBE7959" wp14:editId="524208B3">
              <wp:simplePos x="0" y="0"/>
              <wp:positionH relativeFrom="page">
                <wp:posOffset>1008380</wp:posOffset>
              </wp:positionH>
              <wp:positionV relativeFrom="page">
                <wp:posOffset>3384550</wp:posOffset>
              </wp:positionV>
              <wp:extent cx="4104005" cy="179705"/>
              <wp:effectExtent l="8255" t="12700" r="12065" b="7620"/>
              <wp:wrapNone/>
              <wp:docPr id="152450990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2F41C9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BE795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2F41C99" w14:textId="77777777" w:rsidR="00CD5856" w:rsidRDefault="00CD5856">
                    <w:pPr>
                      <w:pStyle w:val="Huisstijl-Toezendgegevens"/>
                    </w:pPr>
                  </w:p>
                </w:txbxContent>
              </v:textbox>
              <w10:wrap anchorx="page" anchory="page"/>
            </v:shape>
          </w:pict>
        </mc:Fallback>
      </mc:AlternateContent>
    </w:r>
    <w:r w:rsidR="00864CD9">
      <w:rPr>
        <w:noProof/>
        <w:lang w:eastAsia="nl-NL" w:bidi="ar-SA"/>
      </w:rPr>
      <mc:AlternateContent>
        <mc:Choice Requires="wps">
          <w:drawing>
            <wp:anchor distT="0" distB="0" distL="114300" distR="114300" simplePos="0" relativeHeight="251655168" behindDoc="0" locked="0" layoutInCell="1" allowOverlap="1" wp14:anchorId="4A548BCD" wp14:editId="288409F8">
              <wp:simplePos x="0" y="0"/>
              <wp:positionH relativeFrom="page">
                <wp:posOffset>1008380</wp:posOffset>
              </wp:positionH>
              <wp:positionV relativeFrom="page">
                <wp:posOffset>1944370</wp:posOffset>
              </wp:positionV>
              <wp:extent cx="3347720" cy="1080135"/>
              <wp:effectExtent l="8255" t="10795" r="6350" b="13970"/>
              <wp:wrapNone/>
              <wp:docPr id="12709285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8C4FC5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548BCD"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8C4FC5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64CD9">
      <w:rPr>
        <w:noProof/>
        <w:lang w:eastAsia="nl-NL" w:bidi="ar-SA"/>
      </w:rPr>
      <mc:AlternateContent>
        <mc:Choice Requires="wps">
          <w:drawing>
            <wp:anchor distT="0" distB="0" distL="114300" distR="114300" simplePos="0" relativeHeight="251654144" behindDoc="0" locked="1" layoutInCell="1" allowOverlap="1" wp14:anchorId="6C7F4868" wp14:editId="6A09AB66">
              <wp:simplePos x="0" y="0"/>
              <wp:positionH relativeFrom="page">
                <wp:posOffset>1008380</wp:posOffset>
              </wp:positionH>
              <wp:positionV relativeFrom="page">
                <wp:posOffset>1713865</wp:posOffset>
              </wp:positionV>
              <wp:extent cx="3590925" cy="144145"/>
              <wp:effectExtent l="8255" t="8890" r="10795" b="8890"/>
              <wp:wrapNone/>
              <wp:docPr id="15265160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7B4F10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C7F486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17B4F10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EE24" w14:textId="77777777" w:rsidR="004C7CAF" w:rsidRDefault="004C7C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BBC9"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27D78921" wp14:editId="12B47A21">
              <wp:simplePos x="0" y="0"/>
              <wp:positionH relativeFrom="page">
                <wp:posOffset>5922645</wp:posOffset>
              </wp:positionH>
              <wp:positionV relativeFrom="page">
                <wp:posOffset>1936750</wp:posOffset>
              </wp:positionV>
              <wp:extent cx="1259840" cy="8009890"/>
              <wp:effectExtent l="7620" t="12700" r="8890" b="6985"/>
              <wp:wrapNone/>
              <wp:docPr id="336021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321C59" w14:textId="77777777" w:rsidR="00CD5856" w:rsidRDefault="00000000">
                          <w:pPr>
                            <w:pStyle w:val="Huisstijl-ReferentiegegevenskopW2"/>
                          </w:pPr>
                          <w:r w:rsidRPr="008D59C5">
                            <w:t>Kenmerk</w:t>
                          </w:r>
                        </w:p>
                        <w:p w14:paraId="20767D37" w14:textId="77777777" w:rsidR="00C95CA9" w:rsidRPr="00C95CA9" w:rsidRDefault="00000000" w:rsidP="00C95CA9">
                          <w:pPr>
                            <w:pStyle w:val="Huisstijl-Referentiegegevens"/>
                          </w:pPr>
                          <w:r w:rsidRPr="00C95CA9">
                            <w:t>4298056-1091442-LZ</w:t>
                          </w:r>
                        </w:p>
                        <w:p w14:paraId="7CAE7C9F"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7D78921"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F321C59" w14:textId="77777777" w:rsidR="00CD5856" w:rsidRDefault="00000000">
                    <w:pPr>
                      <w:pStyle w:val="Huisstijl-ReferentiegegevenskopW2"/>
                    </w:pPr>
                    <w:r w:rsidRPr="008D59C5">
                      <w:t>Kenmerk</w:t>
                    </w:r>
                  </w:p>
                  <w:p w14:paraId="20767D37" w14:textId="77777777" w:rsidR="00C95CA9" w:rsidRPr="00C95CA9" w:rsidRDefault="00000000" w:rsidP="00C95CA9">
                    <w:pPr>
                      <w:pStyle w:val="Huisstijl-Referentiegegevens"/>
                    </w:pPr>
                    <w:r w:rsidRPr="00C95CA9">
                      <w:t>4298056-1091442-LZ</w:t>
                    </w:r>
                  </w:p>
                  <w:p w14:paraId="7CAE7C9F"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0BDEDE0" wp14:editId="015B7276">
              <wp:simplePos x="0" y="0"/>
              <wp:positionH relativeFrom="page">
                <wp:posOffset>5922645</wp:posOffset>
              </wp:positionH>
              <wp:positionV relativeFrom="page">
                <wp:posOffset>10225405</wp:posOffset>
              </wp:positionV>
              <wp:extent cx="1259840" cy="213995"/>
              <wp:effectExtent l="7620" t="5080" r="8890" b="9525"/>
              <wp:wrapNone/>
              <wp:docPr id="5108152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7399208" w14:textId="4D59F9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20F25">
                            <w:fldChar w:fldCharType="begin"/>
                          </w:r>
                          <w:r>
                            <w:instrText xml:space="preserve"> SECTIONPAGES  \* Arabic  \* MERGEFORMAT </w:instrText>
                          </w:r>
                          <w:r w:rsidR="00620F25">
                            <w:fldChar w:fldCharType="separate"/>
                          </w:r>
                          <w:r w:rsidR="0007320C">
                            <w:rPr>
                              <w:noProof/>
                            </w:rPr>
                            <w:t>3</w:t>
                          </w:r>
                          <w:r w:rsidR="00620F25">
                            <w:rPr>
                              <w:noProof/>
                            </w:rPr>
                            <w:fldChar w:fldCharType="end"/>
                          </w:r>
                        </w:p>
                        <w:p w14:paraId="66A40416" w14:textId="77777777" w:rsidR="00CD5856" w:rsidRDefault="00CD5856"/>
                        <w:p w14:paraId="3D3DAF43" w14:textId="77777777" w:rsidR="00CD5856" w:rsidRDefault="00CD5856">
                          <w:pPr>
                            <w:pStyle w:val="Huisstijl-Paginanummer"/>
                          </w:pPr>
                        </w:p>
                        <w:p w14:paraId="02796D11"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BDEDE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7399208" w14:textId="4D59F9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20F25">
                      <w:fldChar w:fldCharType="begin"/>
                    </w:r>
                    <w:r>
                      <w:instrText xml:space="preserve"> SECTIONPAGES  \* Arabic  \* MERGEFORMAT </w:instrText>
                    </w:r>
                    <w:r w:rsidR="00620F25">
                      <w:fldChar w:fldCharType="separate"/>
                    </w:r>
                    <w:r w:rsidR="0007320C">
                      <w:rPr>
                        <w:noProof/>
                      </w:rPr>
                      <w:t>3</w:t>
                    </w:r>
                    <w:r w:rsidR="00620F25">
                      <w:rPr>
                        <w:noProof/>
                      </w:rPr>
                      <w:fldChar w:fldCharType="end"/>
                    </w:r>
                  </w:p>
                  <w:p w14:paraId="66A40416" w14:textId="77777777" w:rsidR="00CD5856" w:rsidRDefault="00CD5856"/>
                  <w:p w14:paraId="3D3DAF43" w14:textId="77777777" w:rsidR="00CD5856" w:rsidRDefault="00CD5856">
                    <w:pPr>
                      <w:pStyle w:val="Huisstijl-Paginanummer"/>
                    </w:pPr>
                  </w:p>
                  <w:p w14:paraId="02796D11" w14:textId="77777777" w:rsidR="00CD5856" w:rsidRDefault="00CD5856">
                    <w:pPr>
                      <w:pStyle w:val="Huisstijl-Paginanummer"/>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A51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C42C24E" wp14:editId="1824EEF9">
              <wp:simplePos x="0" y="0"/>
              <wp:positionH relativeFrom="page">
                <wp:posOffset>1009650</wp:posOffset>
              </wp:positionH>
              <wp:positionV relativeFrom="page">
                <wp:posOffset>3768725</wp:posOffset>
              </wp:positionV>
              <wp:extent cx="4103370" cy="457200"/>
              <wp:effectExtent l="9525" t="6350" r="11430" b="12700"/>
              <wp:wrapTopAndBottom/>
              <wp:docPr id="8448914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E603EC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57478">
                                <w:t>26 juni 2014</w:t>
                              </w:r>
                            </w:sdtContent>
                          </w:sdt>
                        </w:p>
                        <w:p w14:paraId="6D544B1E" w14:textId="77777777" w:rsidR="00CD5856" w:rsidRDefault="00000000">
                          <w:pPr>
                            <w:pStyle w:val="Huisstijl-Datumenbetreft"/>
                            <w:tabs>
                              <w:tab w:val="left" w:pos="-5954"/>
                              <w:tab w:val="left" w:pos="-5670"/>
                            </w:tabs>
                          </w:pPr>
                          <w:r>
                            <w:t>Betreft</w:t>
                          </w:r>
                          <w:r>
                            <w:tab/>
                          </w:r>
                          <w:r w:rsidR="008D59C5">
                            <w:t>BETREFT</w:t>
                          </w:r>
                        </w:p>
                        <w:p w14:paraId="55D2A6C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C42C24E"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E603EC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57478">
                          <w:t>26 juni 2014</w:t>
                        </w:r>
                      </w:sdtContent>
                    </w:sdt>
                  </w:p>
                  <w:p w14:paraId="6D544B1E" w14:textId="77777777" w:rsidR="00CD5856" w:rsidRDefault="00000000">
                    <w:pPr>
                      <w:pStyle w:val="Huisstijl-Datumenbetreft"/>
                      <w:tabs>
                        <w:tab w:val="left" w:pos="-5954"/>
                        <w:tab w:val="left" w:pos="-5670"/>
                      </w:tabs>
                    </w:pPr>
                    <w:r>
                      <w:t>Betreft</w:t>
                    </w:r>
                    <w:r>
                      <w:tab/>
                    </w:r>
                    <w:r w:rsidR="008D59C5">
                      <w:t>BETREFT</w:t>
                    </w:r>
                  </w:p>
                  <w:p w14:paraId="55D2A6C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BF0941E" wp14:editId="376F3A4C">
          <wp:simplePos x="0" y="0"/>
          <wp:positionH relativeFrom="page">
            <wp:posOffset>3542665</wp:posOffset>
          </wp:positionH>
          <wp:positionV relativeFrom="page">
            <wp:posOffset>0</wp:posOffset>
          </wp:positionV>
          <wp:extent cx="464400" cy="1580400"/>
          <wp:effectExtent l="0" t="0" r="0" b="0"/>
          <wp:wrapNone/>
          <wp:docPr id="91494425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44251"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11C4D47" wp14:editId="75CD6432">
          <wp:simplePos x="0" y="0"/>
          <wp:positionH relativeFrom="page">
            <wp:posOffset>4010660</wp:posOffset>
          </wp:positionH>
          <wp:positionV relativeFrom="page">
            <wp:posOffset>0</wp:posOffset>
          </wp:positionV>
          <wp:extent cx="2336400" cy="1580400"/>
          <wp:effectExtent l="0" t="0" r="0" b="0"/>
          <wp:wrapNone/>
          <wp:docPr id="110370346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0346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389D656" wp14:editId="39F08AF7">
              <wp:simplePos x="0" y="0"/>
              <wp:positionH relativeFrom="page">
                <wp:posOffset>5922645</wp:posOffset>
              </wp:positionH>
              <wp:positionV relativeFrom="page">
                <wp:posOffset>1964690</wp:posOffset>
              </wp:positionV>
              <wp:extent cx="1259840" cy="8009890"/>
              <wp:effectExtent l="7620" t="12065" r="8890" b="7620"/>
              <wp:wrapNone/>
              <wp:docPr id="189487335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75E9847" w14:textId="77777777" w:rsidR="00CD5856" w:rsidRDefault="00000000">
                          <w:pPr>
                            <w:pStyle w:val="Huisstijl-Afzendgegevens"/>
                          </w:pPr>
                          <w:r w:rsidRPr="008D59C5">
                            <w:t>Rijnstraat 50</w:t>
                          </w:r>
                        </w:p>
                        <w:p w14:paraId="0304DFE5" w14:textId="77777777" w:rsidR="00CD5856" w:rsidRDefault="00000000">
                          <w:pPr>
                            <w:pStyle w:val="Huisstijl-Afzendgegevens"/>
                          </w:pPr>
                          <w:r w:rsidRPr="008D59C5">
                            <w:t>Den Haag</w:t>
                          </w:r>
                        </w:p>
                        <w:p w14:paraId="6D0E10A8" w14:textId="77777777" w:rsidR="00CD5856" w:rsidRDefault="00000000">
                          <w:pPr>
                            <w:pStyle w:val="Huisstijl-Afzendgegevens"/>
                          </w:pPr>
                          <w:r w:rsidRPr="008D59C5">
                            <w:t>www.rijksoverheid.nl</w:t>
                          </w:r>
                        </w:p>
                        <w:p w14:paraId="4FA1ED47" w14:textId="77777777" w:rsidR="00CD5856" w:rsidRDefault="00000000">
                          <w:pPr>
                            <w:pStyle w:val="Huisstijl-AfzendgegevenskopW1"/>
                          </w:pPr>
                          <w:r>
                            <w:t>Contactpersoon</w:t>
                          </w:r>
                        </w:p>
                        <w:p w14:paraId="12188B19" w14:textId="77777777" w:rsidR="00CD5856" w:rsidRDefault="00000000">
                          <w:pPr>
                            <w:pStyle w:val="Huisstijl-Afzendgegevens"/>
                          </w:pPr>
                          <w:r w:rsidRPr="008D59C5">
                            <w:t>ing. J.A. Ramlal</w:t>
                          </w:r>
                        </w:p>
                        <w:p w14:paraId="529CEA70" w14:textId="77777777" w:rsidR="00CD5856" w:rsidRDefault="00000000">
                          <w:pPr>
                            <w:pStyle w:val="Huisstijl-Afzendgegevens"/>
                          </w:pPr>
                          <w:r w:rsidRPr="008D59C5">
                            <w:t>ja.ramlal@minvws.nl</w:t>
                          </w:r>
                        </w:p>
                        <w:p w14:paraId="68DAB8E8" w14:textId="77777777" w:rsidR="00CD5856" w:rsidRDefault="00000000">
                          <w:pPr>
                            <w:pStyle w:val="Huisstijl-ReferentiegegevenskopW2"/>
                          </w:pPr>
                          <w:r>
                            <w:t>Ons kenmerk</w:t>
                          </w:r>
                        </w:p>
                        <w:p w14:paraId="29F47D8A" w14:textId="77777777" w:rsidR="00CD5856" w:rsidRDefault="00000000">
                          <w:pPr>
                            <w:pStyle w:val="Huisstijl-Referentiegegevens"/>
                          </w:pPr>
                          <w:r>
                            <w:t>KENMERK</w:t>
                          </w:r>
                        </w:p>
                        <w:p w14:paraId="2380E822" w14:textId="77777777" w:rsidR="00CD5856" w:rsidRDefault="00000000">
                          <w:pPr>
                            <w:pStyle w:val="Huisstijl-ReferentiegegevenskopW1"/>
                          </w:pPr>
                          <w:r>
                            <w:t>Uw kenmerk</w:t>
                          </w:r>
                        </w:p>
                        <w:p w14:paraId="23562164"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89D656"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75E9847" w14:textId="77777777" w:rsidR="00CD5856" w:rsidRDefault="00000000">
                    <w:pPr>
                      <w:pStyle w:val="Huisstijl-Afzendgegevens"/>
                    </w:pPr>
                    <w:r w:rsidRPr="008D59C5">
                      <w:t>Rijnstraat 50</w:t>
                    </w:r>
                  </w:p>
                  <w:p w14:paraId="0304DFE5" w14:textId="77777777" w:rsidR="00CD5856" w:rsidRDefault="00000000">
                    <w:pPr>
                      <w:pStyle w:val="Huisstijl-Afzendgegevens"/>
                    </w:pPr>
                    <w:r w:rsidRPr="008D59C5">
                      <w:t>Den Haag</w:t>
                    </w:r>
                  </w:p>
                  <w:p w14:paraId="6D0E10A8" w14:textId="77777777" w:rsidR="00CD5856" w:rsidRDefault="00000000">
                    <w:pPr>
                      <w:pStyle w:val="Huisstijl-Afzendgegevens"/>
                    </w:pPr>
                    <w:r w:rsidRPr="008D59C5">
                      <w:t>www.rijksoverheid.nl</w:t>
                    </w:r>
                  </w:p>
                  <w:p w14:paraId="4FA1ED47" w14:textId="77777777" w:rsidR="00CD5856" w:rsidRDefault="00000000">
                    <w:pPr>
                      <w:pStyle w:val="Huisstijl-AfzendgegevenskopW1"/>
                    </w:pPr>
                    <w:r>
                      <w:t>Contactpersoon</w:t>
                    </w:r>
                  </w:p>
                  <w:p w14:paraId="12188B19" w14:textId="77777777" w:rsidR="00CD5856" w:rsidRDefault="00000000">
                    <w:pPr>
                      <w:pStyle w:val="Huisstijl-Afzendgegevens"/>
                    </w:pPr>
                    <w:r w:rsidRPr="008D59C5">
                      <w:t>ing. J.A. Ramlal</w:t>
                    </w:r>
                  </w:p>
                  <w:p w14:paraId="529CEA70" w14:textId="77777777" w:rsidR="00CD5856" w:rsidRDefault="00000000">
                    <w:pPr>
                      <w:pStyle w:val="Huisstijl-Afzendgegevens"/>
                    </w:pPr>
                    <w:r w:rsidRPr="008D59C5">
                      <w:t>ja.ramlal@minvws.nl</w:t>
                    </w:r>
                  </w:p>
                  <w:p w14:paraId="68DAB8E8" w14:textId="77777777" w:rsidR="00CD5856" w:rsidRDefault="00000000">
                    <w:pPr>
                      <w:pStyle w:val="Huisstijl-ReferentiegegevenskopW2"/>
                    </w:pPr>
                    <w:r>
                      <w:t>Ons kenmerk</w:t>
                    </w:r>
                  </w:p>
                  <w:p w14:paraId="29F47D8A" w14:textId="77777777" w:rsidR="00CD5856" w:rsidRDefault="00000000">
                    <w:pPr>
                      <w:pStyle w:val="Huisstijl-Referentiegegevens"/>
                    </w:pPr>
                    <w:r>
                      <w:t>KENMERK</w:t>
                    </w:r>
                  </w:p>
                  <w:p w14:paraId="2380E822" w14:textId="77777777" w:rsidR="00CD5856" w:rsidRDefault="00000000">
                    <w:pPr>
                      <w:pStyle w:val="Huisstijl-ReferentiegegevenskopW1"/>
                    </w:pPr>
                    <w:r>
                      <w:t>Uw kenmerk</w:t>
                    </w:r>
                  </w:p>
                  <w:p w14:paraId="2356216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C100AE2" wp14:editId="6E7E622E">
              <wp:simplePos x="0" y="0"/>
              <wp:positionH relativeFrom="page">
                <wp:posOffset>1008380</wp:posOffset>
              </wp:positionH>
              <wp:positionV relativeFrom="page">
                <wp:posOffset>1942465</wp:posOffset>
              </wp:positionV>
              <wp:extent cx="2988310" cy="1080135"/>
              <wp:effectExtent l="8255" t="8890" r="13335" b="6350"/>
              <wp:wrapNone/>
              <wp:docPr id="88261155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802808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100AE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802808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1897600" wp14:editId="11809813">
              <wp:simplePos x="0" y="0"/>
              <wp:positionH relativeFrom="page">
                <wp:posOffset>5922645</wp:posOffset>
              </wp:positionH>
              <wp:positionV relativeFrom="page">
                <wp:posOffset>10224770</wp:posOffset>
              </wp:positionV>
              <wp:extent cx="730885" cy="107950"/>
              <wp:effectExtent l="7620" t="13970" r="13970" b="11430"/>
              <wp:wrapNone/>
              <wp:docPr id="201963527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FCD109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89760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FCD109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D56BB9E" wp14:editId="5368498B">
              <wp:simplePos x="0" y="0"/>
              <wp:positionH relativeFrom="page">
                <wp:posOffset>1008380</wp:posOffset>
              </wp:positionH>
              <wp:positionV relativeFrom="page">
                <wp:posOffset>3384550</wp:posOffset>
              </wp:positionV>
              <wp:extent cx="4104005" cy="179705"/>
              <wp:effectExtent l="8255" t="12700" r="12065" b="7620"/>
              <wp:wrapNone/>
              <wp:docPr id="37792377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22713E8"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56BB9E"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22713E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2DA30F9" wp14:editId="6795AFF3">
              <wp:simplePos x="0" y="0"/>
              <wp:positionH relativeFrom="page">
                <wp:posOffset>1008380</wp:posOffset>
              </wp:positionH>
              <wp:positionV relativeFrom="page">
                <wp:posOffset>1715135</wp:posOffset>
              </wp:positionV>
              <wp:extent cx="3590925" cy="144145"/>
              <wp:effectExtent l="8255" t="10160" r="10795" b="7620"/>
              <wp:wrapNone/>
              <wp:docPr id="146170299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24A962A"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2DA30F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124A962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1A4ADE0">
      <w:numFmt w:val="bullet"/>
      <w:lvlText w:val=""/>
      <w:lvlJc w:val="left"/>
      <w:pPr>
        <w:ind w:left="720" w:hanging="360"/>
      </w:pPr>
      <w:rPr>
        <w:rFonts w:ascii="Wingdings" w:eastAsia="DejaVu Sans" w:hAnsi="Wingdings" w:cs="Lohit Hindi" w:hint="default"/>
      </w:rPr>
    </w:lvl>
    <w:lvl w:ilvl="1" w:tplc="DAF69FC0" w:tentative="1">
      <w:start w:val="1"/>
      <w:numFmt w:val="bullet"/>
      <w:lvlText w:val="o"/>
      <w:lvlJc w:val="left"/>
      <w:pPr>
        <w:ind w:left="1440" w:hanging="360"/>
      </w:pPr>
      <w:rPr>
        <w:rFonts w:ascii="Courier New" w:hAnsi="Courier New" w:cs="Courier New" w:hint="default"/>
      </w:rPr>
    </w:lvl>
    <w:lvl w:ilvl="2" w:tplc="FAC27D74" w:tentative="1">
      <w:start w:val="1"/>
      <w:numFmt w:val="bullet"/>
      <w:lvlText w:val=""/>
      <w:lvlJc w:val="left"/>
      <w:pPr>
        <w:ind w:left="2160" w:hanging="360"/>
      </w:pPr>
      <w:rPr>
        <w:rFonts w:ascii="Wingdings" w:hAnsi="Wingdings" w:hint="default"/>
      </w:rPr>
    </w:lvl>
    <w:lvl w:ilvl="3" w:tplc="4A9E09DC" w:tentative="1">
      <w:start w:val="1"/>
      <w:numFmt w:val="bullet"/>
      <w:lvlText w:val=""/>
      <w:lvlJc w:val="left"/>
      <w:pPr>
        <w:ind w:left="2880" w:hanging="360"/>
      </w:pPr>
      <w:rPr>
        <w:rFonts w:ascii="Symbol" w:hAnsi="Symbol" w:hint="default"/>
      </w:rPr>
    </w:lvl>
    <w:lvl w:ilvl="4" w:tplc="9B7429EE" w:tentative="1">
      <w:start w:val="1"/>
      <w:numFmt w:val="bullet"/>
      <w:lvlText w:val="o"/>
      <w:lvlJc w:val="left"/>
      <w:pPr>
        <w:ind w:left="3600" w:hanging="360"/>
      </w:pPr>
      <w:rPr>
        <w:rFonts w:ascii="Courier New" w:hAnsi="Courier New" w:cs="Courier New" w:hint="default"/>
      </w:rPr>
    </w:lvl>
    <w:lvl w:ilvl="5" w:tplc="05C488A2" w:tentative="1">
      <w:start w:val="1"/>
      <w:numFmt w:val="bullet"/>
      <w:lvlText w:val=""/>
      <w:lvlJc w:val="left"/>
      <w:pPr>
        <w:ind w:left="4320" w:hanging="360"/>
      </w:pPr>
      <w:rPr>
        <w:rFonts w:ascii="Wingdings" w:hAnsi="Wingdings" w:hint="default"/>
      </w:rPr>
    </w:lvl>
    <w:lvl w:ilvl="6" w:tplc="3A30B6AE" w:tentative="1">
      <w:start w:val="1"/>
      <w:numFmt w:val="bullet"/>
      <w:lvlText w:val=""/>
      <w:lvlJc w:val="left"/>
      <w:pPr>
        <w:ind w:left="5040" w:hanging="360"/>
      </w:pPr>
      <w:rPr>
        <w:rFonts w:ascii="Symbol" w:hAnsi="Symbol" w:hint="default"/>
      </w:rPr>
    </w:lvl>
    <w:lvl w:ilvl="7" w:tplc="B19AD498" w:tentative="1">
      <w:start w:val="1"/>
      <w:numFmt w:val="bullet"/>
      <w:lvlText w:val="o"/>
      <w:lvlJc w:val="left"/>
      <w:pPr>
        <w:ind w:left="5760" w:hanging="360"/>
      </w:pPr>
      <w:rPr>
        <w:rFonts w:ascii="Courier New" w:hAnsi="Courier New" w:cs="Courier New" w:hint="default"/>
      </w:rPr>
    </w:lvl>
    <w:lvl w:ilvl="8" w:tplc="439652DA" w:tentative="1">
      <w:start w:val="1"/>
      <w:numFmt w:val="bullet"/>
      <w:lvlText w:val=""/>
      <w:lvlJc w:val="left"/>
      <w:pPr>
        <w:ind w:left="6480" w:hanging="360"/>
      </w:pPr>
      <w:rPr>
        <w:rFonts w:ascii="Wingdings" w:hAnsi="Wingdings" w:hint="default"/>
      </w:rPr>
    </w:lvl>
  </w:abstractNum>
  <w:num w:numId="1" w16cid:durableId="6607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3D51"/>
    <w:rsid w:val="00007E7B"/>
    <w:rsid w:val="00034261"/>
    <w:rsid w:val="000344CB"/>
    <w:rsid w:val="000450CA"/>
    <w:rsid w:val="00050D5B"/>
    <w:rsid w:val="00070685"/>
    <w:rsid w:val="0007320C"/>
    <w:rsid w:val="000B1832"/>
    <w:rsid w:val="000B2919"/>
    <w:rsid w:val="000B45B1"/>
    <w:rsid w:val="000C29E1"/>
    <w:rsid w:val="000C53B0"/>
    <w:rsid w:val="000D0CCB"/>
    <w:rsid w:val="000D6D8A"/>
    <w:rsid w:val="000E2F12"/>
    <w:rsid w:val="000E54B6"/>
    <w:rsid w:val="001077E0"/>
    <w:rsid w:val="00113778"/>
    <w:rsid w:val="001225DC"/>
    <w:rsid w:val="0012404E"/>
    <w:rsid w:val="00125BDF"/>
    <w:rsid w:val="0014292F"/>
    <w:rsid w:val="001567AB"/>
    <w:rsid w:val="00172CD9"/>
    <w:rsid w:val="001B41E1"/>
    <w:rsid w:val="001B7303"/>
    <w:rsid w:val="001C4E84"/>
    <w:rsid w:val="001D2100"/>
    <w:rsid w:val="001F672F"/>
    <w:rsid w:val="001F6E7E"/>
    <w:rsid w:val="00204526"/>
    <w:rsid w:val="00215CB5"/>
    <w:rsid w:val="00226709"/>
    <w:rsid w:val="00235AED"/>
    <w:rsid w:val="00235E8D"/>
    <w:rsid w:val="00241BB9"/>
    <w:rsid w:val="00297795"/>
    <w:rsid w:val="002B1D9F"/>
    <w:rsid w:val="002B22A6"/>
    <w:rsid w:val="002B4B51"/>
    <w:rsid w:val="002B504F"/>
    <w:rsid w:val="002C00DA"/>
    <w:rsid w:val="002F4886"/>
    <w:rsid w:val="00334C45"/>
    <w:rsid w:val="003451E2"/>
    <w:rsid w:val="00347F1B"/>
    <w:rsid w:val="00356918"/>
    <w:rsid w:val="003B001E"/>
    <w:rsid w:val="003B287C"/>
    <w:rsid w:val="003B48D4"/>
    <w:rsid w:val="003C472B"/>
    <w:rsid w:val="003C6ED5"/>
    <w:rsid w:val="003C700C"/>
    <w:rsid w:val="003C7185"/>
    <w:rsid w:val="003D27F8"/>
    <w:rsid w:val="003F3A47"/>
    <w:rsid w:val="003F50C7"/>
    <w:rsid w:val="004073C2"/>
    <w:rsid w:val="0043270D"/>
    <w:rsid w:val="0043480A"/>
    <w:rsid w:val="00437B5F"/>
    <w:rsid w:val="004509BE"/>
    <w:rsid w:val="0045486D"/>
    <w:rsid w:val="00463DBC"/>
    <w:rsid w:val="004724C2"/>
    <w:rsid w:val="004934A8"/>
    <w:rsid w:val="004C03B9"/>
    <w:rsid w:val="004C2A87"/>
    <w:rsid w:val="004C7CAF"/>
    <w:rsid w:val="004F0B09"/>
    <w:rsid w:val="005021A9"/>
    <w:rsid w:val="00513225"/>
    <w:rsid w:val="00513E1E"/>
    <w:rsid w:val="00516D6A"/>
    <w:rsid w:val="00523C02"/>
    <w:rsid w:val="0054010C"/>
    <w:rsid w:val="00544135"/>
    <w:rsid w:val="005600D7"/>
    <w:rsid w:val="005677D6"/>
    <w:rsid w:val="00580495"/>
    <w:rsid w:val="00582E97"/>
    <w:rsid w:val="00586596"/>
    <w:rsid w:val="00587714"/>
    <w:rsid w:val="005B04BA"/>
    <w:rsid w:val="005C3CD4"/>
    <w:rsid w:val="005D327A"/>
    <w:rsid w:val="005F6D8B"/>
    <w:rsid w:val="00601E43"/>
    <w:rsid w:val="00620F25"/>
    <w:rsid w:val="00625D9E"/>
    <w:rsid w:val="0063555A"/>
    <w:rsid w:val="00686885"/>
    <w:rsid w:val="006922AC"/>
    <w:rsid w:val="00697032"/>
    <w:rsid w:val="006A63B1"/>
    <w:rsid w:val="006B16C1"/>
    <w:rsid w:val="006B49D5"/>
    <w:rsid w:val="006B5F58"/>
    <w:rsid w:val="006C4F77"/>
    <w:rsid w:val="006C5C8A"/>
    <w:rsid w:val="006D6ED3"/>
    <w:rsid w:val="006E632F"/>
    <w:rsid w:val="007161B2"/>
    <w:rsid w:val="00733203"/>
    <w:rsid w:val="0074599E"/>
    <w:rsid w:val="0074764C"/>
    <w:rsid w:val="00753DA9"/>
    <w:rsid w:val="00755FEE"/>
    <w:rsid w:val="00756B8A"/>
    <w:rsid w:val="00763E81"/>
    <w:rsid w:val="00764260"/>
    <w:rsid w:val="00776700"/>
    <w:rsid w:val="00776965"/>
    <w:rsid w:val="007A16E5"/>
    <w:rsid w:val="007A4250"/>
    <w:rsid w:val="007A4F37"/>
    <w:rsid w:val="007A57A9"/>
    <w:rsid w:val="007B028B"/>
    <w:rsid w:val="007B6A41"/>
    <w:rsid w:val="007D0F21"/>
    <w:rsid w:val="007D23C6"/>
    <w:rsid w:val="007E0873"/>
    <w:rsid w:val="007E30F5"/>
    <w:rsid w:val="007E36BA"/>
    <w:rsid w:val="007E3A2F"/>
    <w:rsid w:val="007F126D"/>
    <w:rsid w:val="007F380D"/>
    <w:rsid w:val="007F4A98"/>
    <w:rsid w:val="00801E74"/>
    <w:rsid w:val="008030C8"/>
    <w:rsid w:val="00820CB1"/>
    <w:rsid w:val="00857478"/>
    <w:rsid w:val="00860121"/>
    <w:rsid w:val="0086167B"/>
    <w:rsid w:val="00864CD9"/>
    <w:rsid w:val="0087691C"/>
    <w:rsid w:val="00880957"/>
    <w:rsid w:val="00893097"/>
    <w:rsid w:val="00893C24"/>
    <w:rsid w:val="008A21F4"/>
    <w:rsid w:val="008A4F7A"/>
    <w:rsid w:val="008B5989"/>
    <w:rsid w:val="008C346E"/>
    <w:rsid w:val="008D59C5"/>
    <w:rsid w:val="008D618A"/>
    <w:rsid w:val="008D6B7E"/>
    <w:rsid w:val="008E210E"/>
    <w:rsid w:val="008E4B89"/>
    <w:rsid w:val="008F33AD"/>
    <w:rsid w:val="00904C2D"/>
    <w:rsid w:val="00960E2B"/>
    <w:rsid w:val="00963692"/>
    <w:rsid w:val="00985A65"/>
    <w:rsid w:val="009A31BF"/>
    <w:rsid w:val="009B2459"/>
    <w:rsid w:val="009C4777"/>
    <w:rsid w:val="009D033B"/>
    <w:rsid w:val="009D3C77"/>
    <w:rsid w:val="009D7D63"/>
    <w:rsid w:val="009F0767"/>
    <w:rsid w:val="009F419D"/>
    <w:rsid w:val="00A00E31"/>
    <w:rsid w:val="00A23728"/>
    <w:rsid w:val="00A52DBE"/>
    <w:rsid w:val="00A83BE3"/>
    <w:rsid w:val="00A92853"/>
    <w:rsid w:val="00AA51BD"/>
    <w:rsid w:val="00AA61EA"/>
    <w:rsid w:val="00AB079F"/>
    <w:rsid w:val="00AF6BEC"/>
    <w:rsid w:val="00B46B72"/>
    <w:rsid w:val="00B67663"/>
    <w:rsid w:val="00B8296E"/>
    <w:rsid w:val="00B82F43"/>
    <w:rsid w:val="00BA4781"/>
    <w:rsid w:val="00BA7566"/>
    <w:rsid w:val="00BB64FB"/>
    <w:rsid w:val="00BC481F"/>
    <w:rsid w:val="00BD0B87"/>
    <w:rsid w:val="00BD75C1"/>
    <w:rsid w:val="00BE5F82"/>
    <w:rsid w:val="00C049F6"/>
    <w:rsid w:val="00C12EF1"/>
    <w:rsid w:val="00C13E12"/>
    <w:rsid w:val="00C2368E"/>
    <w:rsid w:val="00C3438D"/>
    <w:rsid w:val="00C34BF0"/>
    <w:rsid w:val="00C62B6C"/>
    <w:rsid w:val="00C81260"/>
    <w:rsid w:val="00C95CA9"/>
    <w:rsid w:val="00CA061B"/>
    <w:rsid w:val="00CB01A5"/>
    <w:rsid w:val="00CC7BC8"/>
    <w:rsid w:val="00CD4AED"/>
    <w:rsid w:val="00CD5856"/>
    <w:rsid w:val="00CE0171"/>
    <w:rsid w:val="00CF0F2E"/>
    <w:rsid w:val="00CF3E82"/>
    <w:rsid w:val="00D54679"/>
    <w:rsid w:val="00D67BAF"/>
    <w:rsid w:val="00D72BB8"/>
    <w:rsid w:val="00D951B6"/>
    <w:rsid w:val="00DA15A1"/>
    <w:rsid w:val="00DA5661"/>
    <w:rsid w:val="00DC7639"/>
    <w:rsid w:val="00DF1BE5"/>
    <w:rsid w:val="00E1490C"/>
    <w:rsid w:val="00E37122"/>
    <w:rsid w:val="00E4102F"/>
    <w:rsid w:val="00E54DC6"/>
    <w:rsid w:val="00E55162"/>
    <w:rsid w:val="00E603CB"/>
    <w:rsid w:val="00E66099"/>
    <w:rsid w:val="00E85195"/>
    <w:rsid w:val="00EA275E"/>
    <w:rsid w:val="00EB2EC6"/>
    <w:rsid w:val="00EE23CE"/>
    <w:rsid w:val="00EE2A9D"/>
    <w:rsid w:val="00EF646D"/>
    <w:rsid w:val="00F12621"/>
    <w:rsid w:val="00F150AB"/>
    <w:rsid w:val="00F31987"/>
    <w:rsid w:val="00F32EA9"/>
    <w:rsid w:val="00F56EBE"/>
    <w:rsid w:val="00F72360"/>
    <w:rsid w:val="00F847BF"/>
    <w:rsid w:val="00F87E88"/>
    <w:rsid w:val="00FA4FA4"/>
    <w:rsid w:val="00FC776C"/>
    <w:rsid w:val="00FD036B"/>
    <w:rsid w:val="00FE4200"/>
    <w:rsid w:val="059B40E1"/>
    <w:rsid w:val="1025C678"/>
    <w:rsid w:val="19F0DC4D"/>
    <w:rsid w:val="32F946B7"/>
    <w:rsid w:val="33CA870B"/>
    <w:rsid w:val="3DC5E2DD"/>
    <w:rsid w:val="528409EE"/>
    <w:rsid w:val="5C3A4461"/>
    <w:rsid w:val="5E160ED4"/>
    <w:rsid w:val="7E06E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2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64CD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64CD9"/>
    <w:rPr>
      <w:rFonts w:ascii="Verdana" w:hAnsi="Verdana" w:cs="Mangal"/>
      <w:sz w:val="20"/>
      <w:szCs w:val="18"/>
    </w:rPr>
  </w:style>
  <w:style w:type="character" w:styleId="Voetnootmarkering">
    <w:name w:val="footnote reference"/>
    <w:basedOn w:val="Standaardalinea-lettertype"/>
    <w:uiPriority w:val="99"/>
    <w:semiHidden/>
    <w:unhideWhenUsed/>
    <w:rsid w:val="00864CD9"/>
    <w:rPr>
      <w:vertAlign w:val="superscript"/>
    </w:rPr>
  </w:style>
  <w:style w:type="paragraph" w:styleId="Revisie">
    <w:name w:val="Revision"/>
    <w:hidden/>
    <w:uiPriority w:val="99"/>
    <w:semiHidden/>
    <w:rsid w:val="001F672F"/>
    <w:pPr>
      <w:widowControl/>
      <w:suppressAutoHyphens w:val="0"/>
      <w:autoSpaceDN/>
      <w:textAlignment w:val="auto"/>
    </w:pPr>
    <w:rPr>
      <w:rFonts w:ascii="Verdana" w:hAnsi="Verdana" w:cs="Mangal"/>
      <w:sz w:val="18"/>
    </w:rPr>
  </w:style>
  <w:style w:type="table" w:customStyle="1" w:styleId="TableNormal0">
    <w:name w:val="Table Normal_0"/>
    <w:uiPriority w:val="2"/>
    <w:semiHidden/>
    <w:unhideWhenUsed/>
    <w:qFormat/>
    <w:rsid w:val="00880957"/>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80957"/>
    <w:pPr>
      <w:suppressAutoHyphens w:val="0"/>
      <w:autoSpaceDE w:val="0"/>
      <w:spacing w:line="240" w:lineRule="auto"/>
      <w:textAlignment w:val="auto"/>
    </w:pPr>
    <w:rPr>
      <w:rFonts w:eastAsia="Verdana" w:cs="Verdana"/>
      <w:kern w:val="0"/>
      <w:sz w:val="22"/>
      <w:szCs w:val="22"/>
      <w:lang w:eastAsia="en-US" w:bidi="ar-SA"/>
    </w:rPr>
  </w:style>
  <w:style w:type="character" w:styleId="Verwijzingopmerking">
    <w:name w:val="annotation reference"/>
    <w:basedOn w:val="Standaardalinea-lettertype"/>
    <w:uiPriority w:val="99"/>
    <w:semiHidden/>
    <w:unhideWhenUsed/>
    <w:rsid w:val="00A92853"/>
    <w:rPr>
      <w:sz w:val="16"/>
      <w:szCs w:val="16"/>
    </w:rPr>
  </w:style>
  <w:style w:type="paragraph" w:styleId="Tekstopmerking">
    <w:name w:val="annotation text"/>
    <w:basedOn w:val="Standaard"/>
    <w:link w:val="TekstopmerkingChar"/>
    <w:uiPriority w:val="99"/>
    <w:unhideWhenUsed/>
    <w:rsid w:val="00A9285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92853"/>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92853"/>
    <w:rPr>
      <w:b/>
      <w:bCs/>
    </w:rPr>
  </w:style>
  <w:style w:type="character" w:customStyle="1" w:styleId="OnderwerpvanopmerkingChar">
    <w:name w:val="Onderwerp van opmerking Char"/>
    <w:basedOn w:val="TekstopmerkingChar"/>
    <w:link w:val="Onderwerpvanopmerking"/>
    <w:uiPriority w:val="99"/>
    <w:semiHidden/>
    <w:rsid w:val="00A92853"/>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934</ap:Words>
  <ap:Characters>5142</ap:Characters>
  <ap:DocSecurity>0</ap:DocSecurity>
  <ap:Lines>42</ap:Lines>
  <ap:Paragraphs>12</ap:Paragraphs>
  <ap:ScaleCrop>false</ap:ScaleCrop>
  <ap:LinksUpToDate>false</ap:LinksUpToDate>
  <ap:CharactersWithSpaces>6064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2025-12-15T15:20:00.0000000Z</dcterms:created>
  <dcterms:modified xsi:type="dcterms:W3CDTF">2025-12-15T15:20:00.0000000Z</dcterms:modified>
  <dc:description>------------------------</dc:description>
  <dc:subject/>
  <dc:title/>
  <keywords/>
  <version/>
  <category/>
</coreProperties>
</file>