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54B" w:rsidP="006A7D88" w:rsidRDefault="000C34EE" w14:paraId="4E26DD8F" w14:textId="50AC0799">
      <w:r>
        <w:br/>
      </w:r>
      <w:r>
        <w:br/>
      </w:r>
      <w:r w:rsidR="00316732">
        <w:t>Geachte voorzitter,</w:t>
      </w:r>
    </w:p>
    <w:p w:rsidR="0008154B" w:rsidP="006A7D88" w:rsidRDefault="0008154B" w14:paraId="4E26DD93" w14:textId="4E38DC02"/>
    <w:p w:rsidR="00E658E0" w:rsidP="006A7D88" w:rsidRDefault="00BF6DB3" w14:paraId="4BB043DD" w14:textId="3218A581">
      <w:r>
        <w:t xml:space="preserve">Met deze brief informeer ik uw Kamer, mede namens de minister van Justitie en Veiligheid, over </w:t>
      </w:r>
      <w:r w:rsidR="008440AB">
        <w:t>de</w:t>
      </w:r>
      <w:r>
        <w:t xml:space="preserve"> positieve besluit</w:t>
      </w:r>
      <w:r w:rsidR="008440AB">
        <w:t>en</w:t>
      </w:r>
      <w:r>
        <w:t xml:space="preserve"> van de Ministerraad</w:t>
      </w:r>
      <w:r w:rsidR="00EB7FAA">
        <w:t xml:space="preserve"> van 21 november jl.</w:t>
      </w:r>
      <w:r>
        <w:t xml:space="preserve"> </w:t>
      </w:r>
      <w:r w:rsidR="007436DA">
        <w:t xml:space="preserve">met betrekking tot de ondertekening door het Koninkrijk der Nederlanden van het oprichtingsverdrag van </w:t>
      </w:r>
      <w:r w:rsidR="00EB7FAA">
        <w:t>de</w:t>
      </w:r>
      <w:r w:rsidR="007436DA">
        <w:t xml:space="preserve"> internationale Claimscommissie</w:t>
      </w:r>
      <w:r w:rsidR="00EB7FAA">
        <w:rPr>
          <w:rStyle w:val="FootnoteReference"/>
        </w:rPr>
        <w:footnoteReference w:id="2"/>
      </w:r>
      <w:r w:rsidR="007436DA">
        <w:t xml:space="preserve"> voor Oekraïne, alsmede</w:t>
      </w:r>
      <w:r w:rsidR="00CC1D8D">
        <w:t xml:space="preserve"> het gastlandaanbod ten behoeve van de</w:t>
      </w:r>
      <w:r>
        <w:t xml:space="preserve"> huisvesting</w:t>
      </w:r>
      <w:r w:rsidR="00CD5A6C">
        <w:t xml:space="preserve"> </w:t>
      </w:r>
      <w:r w:rsidRPr="000A68F7" w:rsidR="00CD5A6C">
        <w:t>in Neder</w:t>
      </w:r>
      <w:r w:rsidR="007436DA">
        <w:t>land van deze Commissie.</w:t>
      </w:r>
    </w:p>
    <w:p w:rsidR="00E658E0" w:rsidP="006A7D88" w:rsidRDefault="00E658E0" w14:paraId="58FD5578" w14:textId="77777777"/>
    <w:p w:rsidRPr="00E658E0" w:rsidR="00E658E0" w:rsidP="006A7D88" w:rsidRDefault="00E658E0" w14:paraId="5C3B3F1D" w14:textId="4308DC4A">
      <w:pPr>
        <w:rPr>
          <w:i/>
          <w:iCs/>
        </w:rPr>
      </w:pPr>
      <w:r w:rsidRPr="00E658E0">
        <w:rPr>
          <w:i/>
          <w:iCs/>
        </w:rPr>
        <w:t>Inleidend kader</w:t>
      </w:r>
    </w:p>
    <w:p w:rsidR="007436DA" w:rsidP="006A7D88" w:rsidRDefault="007436DA" w14:paraId="59A8E4CB" w14:textId="2F976A1E">
      <w:r>
        <w:t>Het Koninkrijk der Nederlanden vervult een voortrekkersrol op punt 7 (‘</w:t>
      </w:r>
      <w:r w:rsidRPr="00620B5D">
        <w:rPr>
          <w:i/>
          <w:iCs/>
        </w:rPr>
        <w:t>Restoring Justice for Ukraine</w:t>
      </w:r>
      <w:r>
        <w:t>’) van de tien punten tellende ‘</w:t>
      </w:r>
      <w:proofErr w:type="spellStart"/>
      <w:r w:rsidRPr="00620B5D">
        <w:rPr>
          <w:i/>
          <w:iCs/>
        </w:rPr>
        <w:t>Peace</w:t>
      </w:r>
      <w:proofErr w:type="spellEnd"/>
      <w:r w:rsidRPr="00620B5D">
        <w:rPr>
          <w:i/>
          <w:iCs/>
        </w:rPr>
        <w:t xml:space="preserve"> </w:t>
      </w:r>
      <w:proofErr w:type="spellStart"/>
      <w:r w:rsidRPr="00620B5D">
        <w:rPr>
          <w:i/>
          <w:iCs/>
        </w:rPr>
        <w:t>Formula</w:t>
      </w:r>
      <w:proofErr w:type="spellEnd"/>
      <w:r>
        <w:t xml:space="preserve">’ van de Oekraïense President Zelensky, in nauwe samenwerking met Oekraïne en partners. </w:t>
      </w:r>
      <w:r w:rsidRPr="007436DA">
        <w:t>Uitgangspunt is: ‘</w:t>
      </w:r>
      <w:r w:rsidRPr="008440AB">
        <w:rPr>
          <w:i/>
          <w:iCs/>
        </w:rPr>
        <w:t>No peace without Justice’</w:t>
      </w:r>
      <w:r w:rsidRPr="007436DA">
        <w:t xml:space="preserve">. </w:t>
      </w:r>
    </w:p>
    <w:p w:rsidR="007436DA" w:rsidP="006A7D88" w:rsidRDefault="007436DA" w14:paraId="1841DE95" w14:textId="77777777"/>
    <w:p w:rsidR="007436DA" w:rsidP="006A7D88" w:rsidRDefault="007436DA" w14:paraId="4CA7B125" w14:textId="0BCA847A">
      <w:r>
        <w:t xml:space="preserve">Voor Nederland, Oekraïne en de internationale rechtsorde als zodanig is het van belang dat </w:t>
      </w:r>
      <w:r w:rsidR="0005085C">
        <w:t>de Russische Federatie</w:t>
      </w:r>
      <w:r>
        <w:t xml:space="preserve"> aansprakelijk wordt gehouden voor </w:t>
      </w:r>
      <w:r w:rsidR="006E269D">
        <w:t>de zelf begane schendingen van het internationaal recht, internationaal humanit</w:t>
      </w:r>
      <w:r w:rsidR="00CD5FB6">
        <w:t>air</w:t>
      </w:r>
      <w:r w:rsidR="006E269D">
        <w:t xml:space="preserve"> recht en mensenrechten. </w:t>
      </w:r>
      <w:r>
        <w:t>Genoegdoening voor geleden schade behoort ook tot</w:t>
      </w:r>
      <w:r w:rsidR="00CD5FB6">
        <w:t xml:space="preserve"> de verantwoordelijkheid van Rusland: oftewel</w:t>
      </w:r>
      <w:r>
        <w:t xml:space="preserve"> </w:t>
      </w:r>
      <w:r w:rsidRPr="008440AB">
        <w:rPr>
          <w:i/>
          <w:iCs/>
        </w:rPr>
        <w:t>accountability</w:t>
      </w:r>
      <w:r w:rsidR="00CD5FB6">
        <w:t xml:space="preserve"> voor begane misdrijven</w:t>
      </w:r>
      <w:r>
        <w:t xml:space="preserve">. </w:t>
      </w:r>
      <w:r w:rsidR="0005085C">
        <w:t>De Russische Federatie</w:t>
      </w:r>
      <w:r>
        <w:t xml:space="preserve"> moet de juridische en financiële gevolgen dragen van al zijn internationaal onrechtmatig handelen, inclusief vergoeding van alle schade veroorzaakt door dergelijk handelen.</w:t>
      </w:r>
      <w:r w:rsidRPr="003329ED" w:rsidR="003329ED">
        <w:t xml:space="preserve"> Dit blijft, ook in de context van de huidige besprekingen over het kunnen beëindigen van het conflict, een belangrijk uitgangspunt.</w:t>
      </w:r>
    </w:p>
    <w:p w:rsidR="007436DA" w:rsidP="006A7D88" w:rsidRDefault="007436DA" w14:paraId="368E97AD" w14:textId="77777777"/>
    <w:p w:rsidRPr="007436DA" w:rsidR="007436DA" w:rsidP="006A7D88" w:rsidRDefault="007436DA" w14:paraId="60AFB810" w14:textId="4CBA4EA4">
      <w:pPr>
        <w:rPr>
          <w:i/>
          <w:iCs/>
        </w:rPr>
      </w:pPr>
      <w:r w:rsidRPr="007436DA">
        <w:rPr>
          <w:i/>
          <w:iCs/>
        </w:rPr>
        <w:t>Totstandkoming van een Claimscommissie</w:t>
      </w:r>
    </w:p>
    <w:p w:rsidR="007436DA" w:rsidP="006A7D88" w:rsidRDefault="007436DA" w14:paraId="701CC4D3" w14:textId="3645A2EC">
      <w:r>
        <w:t xml:space="preserve">Op 14 november 2022 werd door de Algemene Vergadering van de Verenigde Naties met 94 voorstemmen resolutie ES-11/5 aangenomen, getiteld </w:t>
      </w:r>
      <w:r w:rsidRPr="008440AB">
        <w:rPr>
          <w:i/>
          <w:iCs/>
        </w:rPr>
        <w:t>‘</w:t>
      </w:r>
      <w:proofErr w:type="spellStart"/>
      <w:r w:rsidRPr="008440AB">
        <w:rPr>
          <w:i/>
          <w:iCs/>
        </w:rPr>
        <w:t>Furtherance</w:t>
      </w:r>
      <w:proofErr w:type="spellEnd"/>
      <w:r w:rsidRPr="008440AB">
        <w:rPr>
          <w:i/>
          <w:iCs/>
        </w:rPr>
        <w:t xml:space="preserve"> of </w:t>
      </w:r>
      <w:proofErr w:type="spellStart"/>
      <w:r w:rsidRPr="008440AB">
        <w:rPr>
          <w:i/>
          <w:iCs/>
        </w:rPr>
        <w:t>remedy</w:t>
      </w:r>
      <w:proofErr w:type="spellEnd"/>
      <w:r w:rsidRPr="008440AB">
        <w:rPr>
          <w:i/>
          <w:iCs/>
        </w:rPr>
        <w:t xml:space="preserve"> </w:t>
      </w:r>
      <w:proofErr w:type="spellStart"/>
      <w:r w:rsidRPr="008440AB">
        <w:rPr>
          <w:i/>
          <w:iCs/>
        </w:rPr>
        <w:t>and</w:t>
      </w:r>
      <w:proofErr w:type="spellEnd"/>
      <w:r w:rsidRPr="008440AB">
        <w:rPr>
          <w:i/>
          <w:iCs/>
        </w:rPr>
        <w:t xml:space="preserve"> </w:t>
      </w:r>
      <w:proofErr w:type="spellStart"/>
      <w:r w:rsidRPr="008440AB">
        <w:rPr>
          <w:i/>
          <w:iCs/>
        </w:rPr>
        <w:t>reparation</w:t>
      </w:r>
      <w:proofErr w:type="spellEnd"/>
      <w:r w:rsidRPr="008440AB">
        <w:rPr>
          <w:i/>
          <w:iCs/>
        </w:rPr>
        <w:t xml:space="preserve"> </w:t>
      </w:r>
      <w:proofErr w:type="spellStart"/>
      <w:r w:rsidRPr="008440AB">
        <w:rPr>
          <w:i/>
          <w:iCs/>
        </w:rPr>
        <w:t>for</w:t>
      </w:r>
      <w:proofErr w:type="spellEnd"/>
      <w:r w:rsidRPr="008440AB">
        <w:rPr>
          <w:i/>
          <w:iCs/>
        </w:rPr>
        <w:t xml:space="preserve"> </w:t>
      </w:r>
      <w:proofErr w:type="spellStart"/>
      <w:r w:rsidRPr="008440AB">
        <w:rPr>
          <w:i/>
          <w:iCs/>
        </w:rPr>
        <w:t>aggression</w:t>
      </w:r>
      <w:proofErr w:type="spellEnd"/>
      <w:r w:rsidRPr="008440AB">
        <w:rPr>
          <w:i/>
          <w:iCs/>
        </w:rPr>
        <w:t xml:space="preserve"> </w:t>
      </w:r>
      <w:proofErr w:type="spellStart"/>
      <w:r w:rsidRPr="008440AB">
        <w:rPr>
          <w:i/>
          <w:iCs/>
        </w:rPr>
        <w:t>against</w:t>
      </w:r>
      <w:proofErr w:type="spellEnd"/>
      <w:r w:rsidRPr="008440AB">
        <w:rPr>
          <w:i/>
          <w:iCs/>
        </w:rPr>
        <w:t xml:space="preserve"> Ukraine</w:t>
      </w:r>
      <w:r>
        <w:t>’</w:t>
      </w:r>
      <w:r w:rsidR="00CD5FB6">
        <w:t>. De onderhandelingen over deze resolutie werden mede door Nederland gefaciliteerd</w:t>
      </w:r>
      <w:r>
        <w:t>. De resolutie r</w:t>
      </w:r>
      <w:r w:rsidR="00CD5FB6">
        <w:t>o</w:t>
      </w:r>
      <w:r>
        <w:t>ep</w:t>
      </w:r>
      <w:r w:rsidR="00CD5FB6">
        <w:t>t</w:t>
      </w:r>
      <w:r>
        <w:t xml:space="preserve"> </w:t>
      </w:r>
      <w:r>
        <w:lastRenderedPageBreak/>
        <w:t xml:space="preserve">op tot het oprichten van een internationaal </w:t>
      </w:r>
      <w:r w:rsidR="006E269D">
        <w:t>mechanisme</w:t>
      </w:r>
      <w:r>
        <w:t xml:space="preserve"> voor herstel van schade, verlies en letsel in Oekraïne, alsmede een register om bewijs en claims vast te leggen.</w:t>
      </w:r>
    </w:p>
    <w:p w:rsidR="00A6119D" w:rsidP="006A7D88" w:rsidRDefault="00A6119D" w14:paraId="53E7003E" w14:textId="77777777"/>
    <w:p w:rsidR="007436DA" w:rsidP="006A7D88" w:rsidRDefault="007436DA" w14:paraId="1A06E2F6" w14:textId="16007E8A">
      <w:r>
        <w:t xml:space="preserve">Op basis daarvan is het </w:t>
      </w:r>
      <w:r w:rsidR="00CD5FB6">
        <w:t>“</w:t>
      </w:r>
      <w:r>
        <w:t>Register van schade veroorzaakt door de agressie van de Russische Federatie tegen Oekraïne</w:t>
      </w:r>
      <w:r w:rsidR="00CD5FB6">
        <w:t>”</w:t>
      </w:r>
      <w:r>
        <w:t xml:space="preserve"> (hierna: het Schaderegister) bij de Raad van Europa top van 16 en 17 mei 2023 opgericht en in juli 2023 in Den Haag gevestigd. Het is in april 2024 gestart met de registratie van schadeclaims. Het Schaderegister is, conform voornoemde resolutie, de eerste pijler onder een vol</w:t>
      </w:r>
      <w:r w:rsidR="003474F6">
        <w:t>waardig</w:t>
      </w:r>
      <w:r>
        <w:t xml:space="preserve"> compensatiemechanisme voor burgers, bedrijven en Oekraïense overheden dat claims zal behandelen en compensatie zal kunnen toewijzen voor de geleden schade vanwege Russische agressie, welk mechanisme verder zal bestaan uit een Claimscommissie en een</w:t>
      </w:r>
      <w:r w:rsidR="00EB7FAA">
        <w:t xml:space="preserve"> (nog op te zetten)</w:t>
      </w:r>
      <w:r>
        <w:t xml:space="preserve"> schadefonds.</w:t>
      </w:r>
    </w:p>
    <w:p w:rsidR="007436DA" w:rsidP="006A7D88" w:rsidRDefault="007436DA" w14:paraId="54CD2230" w14:textId="77777777"/>
    <w:p w:rsidR="0012734D" w:rsidP="006A7D88" w:rsidRDefault="007436DA" w14:paraId="7F9FE660" w14:textId="3D21C18D">
      <w:r>
        <w:t xml:space="preserve">Op 12 september 2025 is op werkniveau de tekst van een oprichtingsverdrag van de Claimscommissie overeengekomen. </w:t>
      </w:r>
      <w:r w:rsidR="0012734D">
        <w:rPr>
          <w:iCs/>
        </w:rPr>
        <w:t xml:space="preserve">De </w:t>
      </w:r>
      <w:r w:rsidRPr="00EB7FAA" w:rsidR="0012734D">
        <w:t>C</w:t>
      </w:r>
      <w:r w:rsidR="00EB7FAA">
        <w:t>laimsc</w:t>
      </w:r>
      <w:r w:rsidRPr="00EB7FAA" w:rsidR="0012734D">
        <w:t>ommissie</w:t>
      </w:r>
      <w:r w:rsidR="0012734D">
        <w:rPr>
          <w:iCs/>
        </w:rPr>
        <w:t xml:space="preserve"> wordt een administratieve entiteit</w:t>
      </w:r>
      <w:r w:rsidR="008440AB">
        <w:rPr>
          <w:iCs/>
        </w:rPr>
        <w:t xml:space="preserve"> (dus geen rechtbank)</w:t>
      </w:r>
      <w:r w:rsidR="0012734D">
        <w:rPr>
          <w:iCs/>
        </w:rPr>
        <w:t xml:space="preserve"> die beslist over claims tot compensatie van schade, verlies of letsel veroorzaakt door internationale onrechtmatige handelingen begaan door </w:t>
      </w:r>
      <w:r w:rsidR="0005085C">
        <w:rPr>
          <w:iCs/>
        </w:rPr>
        <w:t>de Russische Federatie</w:t>
      </w:r>
      <w:r w:rsidR="0012734D">
        <w:rPr>
          <w:iCs/>
        </w:rPr>
        <w:t xml:space="preserve"> in of tegen Oekraïne.</w:t>
      </w:r>
      <w:r w:rsidR="00A6119D">
        <w:t xml:space="preserve"> </w:t>
      </w:r>
      <w:r w:rsidR="0012734D">
        <w:t xml:space="preserve">De </w:t>
      </w:r>
      <w:r w:rsidR="00A6119D">
        <w:t>C</w:t>
      </w:r>
      <w:r w:rsidR="00EB7FAA">
        <w:t>laimsc</w:t>
      </w:r>
      <w:r w:rsidR="0012734D">
        <w:t>ommissie zal op basis van het ingebrachte bewijs en de in het verdrag bepaalde criteria bepalen of een claim ontvankelijk is. Wanneer d</w:t>
      </w:r>
      <w:r w:rsidR="00A6119D">
        <w:t>at het geval</w:t>
      </w:r>
      <w:r w:rsidR="0012734D">
        <w:t xml:space="preserve"> wordt geacht, zal de </w:t>
      </w:r>
      <w:r w:rsidR="00A6119D">
        <w:t>C</w:t>
      </w:r>
      <w:r w:rsidR="00EB7FAA">
        <w:t>laimsc</w:t>
      </w:r>
      <w:r w:rsidR="0012734D">
        <w:t>ommissie, mogelijk met behulp van externe experts, vaststellen wat de omvang van de toegebrachte schade in het kader van de ingediende claim is en vervolgens het bedrag aan compensatie vaststellen dat</w:t>
      </w:r>
      <w:r w:rsidR="006E269D">
        <w:t xml:space="preserve"> voor iedere individuele schadeclaim</w:t>
      </w:r>
      <w:r w:rsidR="0012734D">
        <w:t xml:space="preserve"> verschuldigd is.</w:t>
      </w:r>
    </w:p>
    <w:p w:rsidR="00A6119D" w:rsidP="006A7D88" w:rsidRDefault="00A6119D" w14:paraId="3D63322A" w14:textId="77777777"/>
    <w:p w:rsidR="00A6119D" w:rsidP="006A7D88" w:rsidRDefault="00A6119D" w14:paraId="040EC224" w14:textId="56B58127">
      <w:r>
        <w:t>De C</w:t>
      </w:r>
      <w:r w:rsidR="00EB7FAA">
        <w:t>laimsc</w:t>
      </w:r>
      <w:r>
        <w:t xml:space="preserve">ommissie zal </w:t>
      </w:r>
      <w:r w:rsidRPr="00A27ADE" w:rsidR="00EB7FAA">
        <w:rPr>
          <w:i/>
          <w:iCs/>
        </w:rPr>
        <w:t>als organisatie</w:t>
      </w:r>
      <w:r w:rsidR="00EB7FAA">
        <w:t xml:space="preserve"> </w:t>
      </w:r>
      <w:r>
        <w:t xml:space="preserve">worden gefinancierd vanuit verplichte financiële bijdragen van </w:t>
      </w:r>
      <w:r w:rsidR="006E269D">
        <w:t>verdragspartijen</w:t>
      </w:r>
      <w:r>
        <w:t>, op basis van berekeningen van de Raad van Europa.</w:t>
      </w:r>
      <w:r w:rsidR="00A27ADE">
        <w:t xml:space="preserve"> Dit betreft dus niet de schades zelf: daarvoor zal het nog op te zetten schadefonds dienen (zie hieronder).</w:t>
      </w:r>
    </w:p>
    <w:p w:rsidR="00A27ADE" w:rsidP="006A7D88" w:rsidRDefault="00A27ADE" w14:paraId="1B85676E" w14:textId="77777777"/>
    <w:p w:rsidRPr="00A6119D" w:rsidR="00A6119D" w:rsidP="006A7D88" w:rsidRDefault="00A6119D" w14:paraId="08A3D354" w14:textId="01471814">
      <w:pPr>
        <w:rPr>
          <w:i/>
          <w:iCs/>
        </w:rPr>
      </w:pPr>
      <w:r w:rsidRPr="00A6119D">
        <w:rPr>
          <w:i/>
          <w:iCs/>
        </w:rPr>
        <w:t>Ondertekening van het oprichtingsverdrag door het Koninkrijk der Nederlanden</w:t>
      </w:r>
    </w:p>
    <w:p w:rsidR="00A6119D" w:rsidP="006A7D88" w:rsidRDefault="007436DA" w14:paraId="049D291C" w14:textId="7AFE84A3">
      <w:r>
        <w:t xml:space="preserve">De </w:t>
      </w:r>
      <w:r w:rsidR="00A6119D">
        <w:t>C</w:t>
      </w:r>
      <w:r w:rsidR="00EB7FAA">
        <w:t>laimsc</w:t>
      </w:r>
      <w:r>
        <w:t>ommissie wordt opgericht bij</w:t>
      </w:r>
      <w:r w:rsidR="006E269D">
        <w:t xml:space="preserve"> een</w:t>
      </w:r>
      <w:r>
        <w:t xml:space="preserve"> </w:t>
      </w:r>
      <w:r w:rsidR="006E269D">
        <w:t>‘</w:t>
      </w:r>
      <w:r>
        <w:t>open Raad van Europa verdrag</w:t>
      </w:r>
      <w:r w:rsidR="006E269D">
        <w:t>’</w:t>
      </w:r>
      <w:r>
        <w:t xml:space="preserve">, als zelfstandig internationaal rechtspersoon onder het raamwerk van de Raad van Europa. </w:t>
      </w:r>
      <w:r w:rsidRPr="006E269D" w:rsidR="006E269D">
        <w:t xml:space="preserve">Een ‘open Raad van Europa verdrag’ houdt in dat ook niet-lidstaten van </w:t>
      </w:r>
      <w:r w:rsidRPr="006E269D" w:rsidR="00BD616B">
        <w:t>de Raad</w:t>
      </w:r>
      <w:r w:rsidRPr="006E269D" w:rsidR="006E269D">
        <w:t xml:space="preserve"> van Europa kunnen toetreden. Als gevolg van de toepasselijkheid van het raamwerk van de Raad van Europa,</w:t>
      </w:r>
      <w:r w:rsidR="006E269D">
        <w:t xml:space="preserve"> </w:t>
      </w:r>
      <w:r w:rsidR="006405AB">
        <w:t xml:space="preserve">moesten nog de interne Raad van Europa-procedures worden doorlopen, zoals voorlegging aan, en visie van, de Parlementaire </w:t>
      </w:r>
      <w:r w:rsidR="00A73439">
        <w:t>Vergadering</w:t>
      </w:r>
      <w:r w:rsidR="006405AB">
        <w:t xml:space="preserve"> en het Comité van Ministers. </w:t>
      </w:r>
      <w:r w:rsidR="0012734D">
        <w:t>Dit is inmiddels met positief resultaat afgerond.</w:t>
      </w:r>
      <w:r w:rsidR="00A27ADE">
        <w:t xml:space="preserve"> </w:t>
      </w:r>
      <w:r w:rsidR="00A6119D">
        <w:t>Op 21 november jl. heeft de Ministerraad ingestemd</w:t>
      </w:r>
      <w:r w:rsidRPr="009C77CD" w:rsidR="00A6119D">
        <w:t xml:space="preserve"> met de ondertekening en het inzetten van de uitdrukkelijke goedkeuringsprocedure van het </w:t>
      </w:r>
      <w:r w:rsidR="001841E7">
        <w:t>v</w:t>
      </w:r>
      <w:r w:rsidRPr="009C77CD" w:rsidR="00A6119D">
        <w:t>erdrag.</w:t>
      </w:r>
    </w:p>
    <w:p w:rsidR="00A6119D" w:rsidP="006A7D88" w:rsidRDefault="00A6119D" w14:paraId="5753ED33" w14:textId="77777777"/>
    <w:p w:rsidRPr="009C77CD" w:rsidR="00A6119D" w:rsidP="006A7D88" w:rsidRDefault="00A6119D" w14:paraId="598B7B60" w14:textId="25322D4B">
      <w:r>
        <w:t xml:space="preserve">Op 16 december vindt een </w:t>
      </w:r>
      <w:r w:rsidR="00EB7FAA">
        <w:t>Ministeriële</w:t>
      </w:r>
      <w:r>
        <w:t xml:space="preserve"> Conferentie plaats in Den Haag, georganiseerd door de Raad van Europa, in samenwerking met het Koninkrijk der Nederlanden ter oprichting van de </w:t>
      </w:r>
      <w:proofErr w:type="spellStart"/>
      <w:r>
        <w:t>C</w:t>
      </w:r>
      <w:r w:rsidR="0005085C">
        <w:t>laimsc</w:t>
      </w:r>
      <w:r>
        <w:t>ommissie</w:t>
      </w:r>
      <w:proofErr w:type="spellEnd"/>
      <w:r>
        <w:t xml:space="preserve"> (</w:t>
      </w:r>
      <w:r w:rsidR="001841E7">
        <w:t>officiële</w:t>
      </w:r>
      <w:r>
        <w:t xml:space="preserve"> titel: </w:t>
      </w:r>
      <w:r w:rsidRPr="00D274FB">
        <w:rPr>
          <w:i/>
          <w:iCs/>
        </w:rPr>
        <w:t>‘</w:t>
      </w:r>
      <w:proofErr w:type="spellStart"/>
      <w:r w:rsidRPr="00D274FB">
        <w:rPr>
          <w:i/>
          <w:iCs/>
        </w:rPr>
        <w:t>Diplomatic</w:t>
      </w:r>
      <w:proofErr w:type="spellEnd"/>
      <w:r w:rsidRPr="00D274FB">
        <w:rPr>
          <w:i/>
          <w:iCs/>
        </w:rPr>
        <w:t xml:space="preserve"> Conference </w:t>
      </w:r>
      <w:proofErr w:type="spellStart"/>
      <w:r w:rsidRPr="00D274FB">
        <w:rPr>
          <w:i/>
          <w:iCs/>
        </w:rPr>
        <w:t>for</w:t>
      </w:r>
      <w:proofErr w:type="spellEnd"/>
      <w:r w:rsidRPr="00D274FB">
        <w:rPr>
          <w:i/>
          <w:iCs/>
        </w:rPr>
        <w:t xml:space="preserve"> </w:t>
      </w:r>
      <w:proofErr w:type="spellStart"/>
      <w:r w:rsidRPr="00D274FB">
        <w:rPr>
          <w:i/>
          <w:iCs/>
        </w:rPr>
        <w:t>the</w:t>
      </w:r>
      <w:proofErr w:type="spellEnd"/>
      <w:r w:rsidRPr="00D274FB">
        <w:rPr>
          <w:i/>
          <w:iCs/>
        </w:rPr>
        <w:t xml:space="preserve"> Adoption of </w:t>
      </w:r>
      <w:proofErr w:type="spellStart"/>
      <w:r w:rsidRPr="00D274FB">
        <w:rPr>
          <w:i/>
          <w:iCs/>
        </w:rPr>
        <w:t>the</w:t>
      </w:r>
      <w:proofErr w:type="spellEnd"/>
      <w:r w:rsidRPr="00D274FB">
        <w:rPr>
          <w:i/>
          <w:iCs/>
        </w:rPr>
        <w:t xml:space="preserve"> </w:t>
      </w:r>
      <w:proofErr w:type="spellStart"/>
      <w:r w:rsidRPr="00D274FB">
        <w:rPr>
          <w:i/>
          <w:iCs/>
        </w:rPr>
        <w:t>Convention</w:t>
      </w:r>
      <w:proofErr w:type="spellEnd"/>
      <w:r w:rsidRPr="00D274FB">
        <w:rPr>
          <w:i/>
          <w:iCs/>
        </w:rPr>
        <w:t xml:space="preserve"> </w:t>
      </w:r>
      <w:proofErr w:type="spellStart"/>
      <w:r w:rsidRPr="00D274FB">
        <w:rPr>
          <w:i/>
          <w:iCs/>
        </w:rPr>
        <w:t>Establishing</w:t>
      </w:r>
      <w:proofErr w:type="spellEnd"/>
      <w:r w:rsidRPr="00D274FB">
        <w:rPr>
          <w:i/>
          <w:iCs/>
        </w:rPr>
        <w:t xml:space="preserve"> </w:t>
      </w:r>
      <w:proofErr w:type="spellStart"/>
      <w:r w:rsidRPr="00D274FB">
        <w:rPr>
          <w:i/>
          <w:iCs/>
        </w:rPr>
        <w:t>an</w:t>
      </w:r>
      <w:proofErr w:type="spellEnd"/>
      <w:r w:rsidRPr="00D274FB">
        <w:rPr>
          <w:i/>
          <w:iCs/>
        </w:rPr>
        <w:t xml:space="preserve"> International Claims Commission for Ukraine’</w:t>
      </w:r>
      <w:r>
        <w:t xml:space="preserve">). Op dat moment zal namens het Koninkrijk het verdrag getekend worden door </w:t>
      </w:r>
      <w:r w:rsidR="003329ED">
        <w:t>de Minister van Buitenlandse Zaken</w:t>
      </w:r>
      <w:r>
        <w:t xml:space="preserve"> onder auspiciën van de </w:t>
      </w:r>
      <w:r w:rsidR="00EB7FAA">
        <w:t>s</w:t>
      </w:r>
      <w:r>
        <w:t xml:space="preserve">ecretaris </w:t>
      </w:r>
      <w:r w:rsidR="00EB7FAA">
        <w:t>g</w:t>
      </w:r>
      <w:r>
        <w:t>eneraal van de Raad van Europa.</w:t>
      </w:r>
      <w:r w:rsidR="008440AB">
        <w:t xml:space="preserve"> Ook Oekraïne zal het verdrag ondertekenen, alsmede diverse overige staten en de Europese Unie.</w:t>
      </w:r>
    </w:p>
    <w:p w:rsidR="00A6119D" w:rsidP="006A7D88" w:rsidRDefault="00A6119D" w14:paraId="06018D7A" w14:textId="77777777"/>
    <w:p w:rsidR="00A27ADE" w:rsidP="006A7D88" w:rsidRDefault="00A27ADE" w14:paraId="1BB13F26" w14:textId="77777777"/>
    <w:p w:rsidRPr="00D274FB" w:rsidR="001841E7" w:rsidP="006A7D88" w:rsidRDefault="001841E7" w14:paraId="00E10F3E" w14:textId="4DB45758">
      <w:pPr>
        <w:rPr>
          <w:i/>
          <w:iCs/>
        </w:rPr>
      </w:pPr>
      <w:r w:rsidRPr="00D274FB">
        <w:rPr>
          <w:i/>
          <w:iCs/>
        </w:rPr>
        <w:t>Aanbieding Nederlands gastlandschap</w:t>
      </w:r>
    </w:p>
    <w:p w:rsidR="008A2247" w:rsidP="006A7D88" w:rsidRDefault="00D274FB" w14:paraId="62B72423" w14:textId="25853BBD">
      <w:r>
        <w:t>Op 14 juni 2024 heeft de Ministerraad het p</w:t>
      </w:r>
      <w:r w:rsidRPr="00D274FB">
        <w:t xml:space="preserve">rincipebesluit </w:t>
      </w:r>
      <w:r>
        <w:t xml:space="preserve">genomen inzake </w:t>
      </w:r>
      <w:r w:rsidRPr="00D274FB">
        <w:t xml:space="preserve">de Nederlandse bereidheid tot </w:t>
      </w:r>
      <w:r w:rsidR="008A2247">
        <w:t xml:space="preserve">het </w:t>
      </w:r>
      <w:r w:rsidRPr="00D274FB">
        <w:t>gastlandschap van het compensatiemechanism</w:t>
      </w:r>
      <w:r w:rsidR="008A2247">
        <w:t>e,</w:t>
      </w:r>
      <w:r w:rsidRPr="00D274FB">
        <w:t xml:space="preserve"> waaronder de Claimscommissie, mits aan twee voorwaarden is voldaan</w:t>
      </w:r>
      <w:r w:rsidR="00B119BF">
        <w:t>:</w:t>
      </w:r>
      <w:r w:rsidR="008A2247">
        <w:t xml:space="preserve"> </w:t>
      </w:r>
      <w:r w:rsidRPr="008A2247" w:rsidR="008A2247">
        <w:t>(1) dat er duurzame internationale politieke en financiële steun is en (2) dat er voldoende capaciteit is om de gastlandverantwoordelijkheden te vervullen.</w:t>
      </w:r>
    </w:p>
    <w:p w:rsidR="008A2247" w:rsidP="006A7D88" w:rsidRDefault="008A2247" w14:paraId="34862E4E" w14:textId="77777777"/>
    <w:p w:rsidRPr="001C141D" w:rsidR="008A2247" w:rsidP="006A7D88" w:rsidRDefault="008A2247" w14:paraId="34516C79" w14:textId="695BD5EC">
      <w:pPr>
        <w:rPr>
          <w:dstrike/>
        </w:rPr>
      </w:pPr>
      <w:r w:rsidRPr="00F01E78">
        <w:t>De Claimscommissie kan alleen worden</w:t>
      </w:r>
      <w:r w:rsidR="00B119BF">
        <w:t xml:space="preserve"> opgericht en operationeel zijn</w:t>
      </w:r>
      <w:r w:rsidRPr="00F01E78">
        <w:t>, en daarmee Nederland gastland in de praktijk, wanneer het bovengenoemde oprichtingsverdrag door 25 landen is geratificeerd of goedgekeurd</w:t>
      </w:r>
      <w:r w:rsidR="00F533E2">
        <w:t>.</w:t>
      </w:r>
      <w:r w:rsidRPr="00F01E78">
        <w:t xml:space="preserve"> </w:t>
      </w:r>
      <w:r w:rsidR="00F533E2">
        <w:t>H</w:t>
      </w:r>
      <w:r w:rsidRPr="00F01E78">
        <w:t xml:space="preserve">iermee is internationale politieke steun afdoende afgedekt. Daarnaast is in het verdrag een financieel vangnet ingebouwd, </w:t>
      </w:r>
      <w:r w:rsidR="00F533E2">
        <w:t>in</w:t>
      </w:r>
      <w:r w:rsidRPr="00F01E78">
        <w:t xml:space="preserve">houdende dat deze toetredende 25 landen gezamenlijk het budget voor de opstartfase van de Claimscommissie dienen te dragen. Het oprichtingsverdrag gebruikt hierbij het Schaderegister als meetlat, waarbij de inschatting is dat 50% van dat budget in 2025 </w:t>
      </w:r>
      <w:r w:rsidR="00B119BF">
        <w:t xml:space="preserve">(ruim) </w:t>
      </w:r>
      <w:r w:rsidRPr="00F01E78">
        <w:t>genoeg moet zijn voor de opstartfase in het eerste jaar van de Claimscommissie.</w:t>
      </w:r>
      <w:r w:rsidR="004B269B">
        <w:t xml:space="preserve"> </w:t>
      </w:r>
      <w:r w:rsidRPr="00A05F7C" w:rsidR="00A05F7C">
        <w:t>In de praktijk zou dat betekenen dat de landen een budget van minstens 3,7 miljoen EUR potentieel moeten kunnen dragen volgens het verdrag, terwijl de verwachte kosten voor het eerste jaar van de Claimscommissie worden geschat op 420 000 EUR. Om deze reden is het derhalve uitermate aannemelijk dat alle kosten zullen kunnen worden gedekt door het budget van de organisatie</w:t>
      </w:r>
      <w:r w:rsidR="00A05F7C">
        <w:t>.</w:t>
      </w:r>
    </w:p>
    <w:p w:rsidRPr="00F01E78" w:rsidR="008A2247" w:rsidP="006A7D88" w:rsidRDefault="008A2247" w14:paraId="6216EB73" w14:textId="77777777"/>
    <w:p w:rsidRPr="00F01E78" w:rsidR="008A2247" w:rsidP="006A7D88" w:rsidRDefault="008A2247" w14:paraId="17ACB150" w14:textId="2FED3CE5">
      <w:r w:rsidRPr="00F01E78">
        <w:t xml:space="preserve">Op 21 november jl. heeft de Ministerraad geoordeeld dat dit voldoende garanties biedt, en heeft derhalve ingestemd met aanbieding van het definitieve Nederlandse gastlandschap. Daar komt bij dat </w:t>
      </w:r>
      <w:r w:rsidRPr="00F01E78" w:rsidR="00D274FB">
        <w:t xml:space="preserve">het gastlandschap van </w:t>
      </w:r>
      <w:r w:rsidR="00B119BF">
        <w:t>de</w:t>
      </w:r>
      <w:r w:rsidRPr="00F01E78" w:rsidR="00D274FB">
        <w:t xml:space="preserve"> Claimscommissie</w:t>
      </w:r>
      <w:r w:rsidRPr="00F01E78">
        <w:t xml:space="preserve"> past</w:t>
      </w:r>
      <w:r w:rsidRPr="00F01E78" w:rsidR="00D274FB">
        <w:t xml:space="preserve"> in de grondwettelijke opdracht tot bevordering van de internationale rechtsorde</w:t>
      </w:r>
      <w:r w:rsidR="0057529B">
        <w:t xml:space="preserve">, past </w:t>
      </w:r>
      <w:r w:rsidRPr="00F01E78" w:rsidR="00D274FB">
        <w:t>bij het Nederlands profiel inzake accountability voor Oekraïne</w:t>
      </w:r>
      <w:r w:rsidR="0057529B">
        <w:t xml:space="preserve"> en aansluit bij de reputatie van Den Haag als internationale stad van vrede en recht</w:t>
      </w:r>
      <w:r w:rsidR="00B119BF">
        <w:t>. Ook dient het de efficiëntie</w:t>
      </w:r>
      <w:r w:rsidRPr="00F01E78" w:rsidR="00D274FB">
        <w:t xml:space="preserve">, omdat het de overgang van het Schaderegister naar de Claimscommissie aanzienlijk zal vergemakkelijken, net als het contact en uitwisseling (waar mogelijk en gepast) met andere internationale organisaties die in Den Haag gevestigd zijn en zich richten op </w:t>
      </w:r>
      <w:r w:rsidRPr="00F01E78" w:rsidR="00D274FB">
        <w:rPr>
          <w:i/>
          <w:iCs/>
        </w:rPr>
        <w:t xml:space="preserve">accountability </w:t>
      </w:r>
      <w:r w:rsidRPr="00F01E78" w:rsidR="00D274FB">
        <w:t>voor Oekraïne.</w:t>
      </w:r>
    </w:p>
    <w:p w:rsidRPr="00F01E78" w:rsidR="008A2247" w:rsidP="006A7D88" w:rsidRDefault="008A2247" w14:paraId="3B40DF70" w14:textId="77777777"/>
    <w:p w:rsidR="008A2247" w:rsidP="006A7D88" w:rsidRDefault="008A2247" w14:paraId="22EB271A" w14:textId="40F44CB1">
      <w:r w:rsidRPr="00F01E78">
        <w:t>Er wordt geen aanvullende financiële claim voorzien</w:t>
      </w:r>
      <w:r w:rsidR="0057529B">
        <w:t>, noch overige lasten verwacht die daartoe zouden kunnen leiden,</w:t>
      </w:r>
      <w:r w:rsidRPr="00F01E78">
        <w:t xml:space="preserve"> voor het gastlandschap.</w:t>
      </w:r>
    </w:p>
    <w:p w:rsidR="001C141D" w:rsidP="006A7D88" w:rsidRDefault="001C141D" w14:paraId="5D8CF304" w14:textId="77777777"/>
    <w:p w:rsidRPr="001C141D" w:rsidR="001C141D" w:rsidP="001C141D" w:rsidRDefault="001C141D" w14:paraId="1F183D4F" w14:textId="77429335">
      <w:r w:rsidRPr="00A05F7C">
        <w:t xml:space="preserve">Het is voorstelbaar dat de vestiging van </w:t>
      </w:r>
      <w:r w:rsidR="00A05F7C">
        <w:t>de</w:t>
      </w:r>
      <w:r w:rsidRPr="00A05F7C">
        <w:t xml:space="preserve"> Claimscommissie in Den Haag een impact zal hebben op de nationale veiligheid, waarbij de Claimscommissie niet los gezien kan worden van de bredere inzet van Nederland inzake accountability voor Oekraïne en de potentiële veiligheidsdreigingen die dit profiel met zich mee kan brengen. Dat gezegd hebbende, is er op dit moment geen informatie waaruit blijkt dat er een concrete (fysieke) dreiging bestaat tegen de voorgenomen Claimscommissie.</w:t>
      </w:r>
    </w:p>
    <w:p w:rsidR="00F01E78" w:rsidP="006A7D88" w:rsidRDefault="00F01E78" w14:paraId="0FBAD8AE" w14:textId="77777777"/>
    <w:p w:rsidR="00F01E78" w:rsidP="006A7D88" w:rsidRDefault="00F01E78" w14:paraId="2C0C2BC7" w14:textId="69AB6EB7">
      <w:r>
        <w:t>De Ministerraad is op 21 november jl. ook akkoord gegaan</w:t>
      </w:r>
      <w:r w:rsidRPr="00F01E78">
        <w:t xml:space="preserve"> met het starten van onderhandelingen over het zetelverdrag met het toekomstige </w:t>
      </w:r>
      <w:r w:rsidRPr="00F01E78">
        <w:rPr>
          <w:i/>
          <w:iCs/>
        </w:rPr>
        <w:t>Advance Team</w:t>
      </w:r>
      <w:r w:rsidRPr="00F01E78">
        <w:t xml:space="preserve"> (de voorbereidende missie) van de Claimscommissie. Het uit onderhandelde zetelverdrag zal</w:t>
      </w:r>
      <w:r w:rsidR="00B119BF">
        <w:t xml:space="preserve"> te zijner tijd</w:t>
      </w:r>
      <w:r w:rsidRPr="00F01E78">
        <w:t xml:space="preserve"> aan de Ministerraad ter goedkeuring worden voorgelegd.</w:t>
      </w:r>
    </w:p>
    <w:p w:rsidR="00F01E78" w:rsidP="006A7D88" w:rsidRDefault="00F01E78" w14:paraId="6EA04E5D" w14:textId="77777777"/>
    <w:p w:rsidRPr="00F01E78" w:rsidR="00A27ADE" w:rsidP="006A7D88" w:rsidRDefault="00A27ADE" w14:paraId="715875CE" w14:textId="77777777">
      <w:pPr>
        <w:rPr>
          <w:i/>
          <w:iCs/>
        </w:rPr>
      </w:pPr>
      <w:r w:rsidRPr="00F01E78">
        <w:rPr>
          <w:i/>
          <w:iCs/>
        </w:rPr>
        <w:lastRenderedPageBreak/>
        <w:t>Schadefonds</w:t>
      </w:r>
    </w:p>
    <w:p w:rsidRPr="00F01E78" w:rsidR="00A27ADE" w:rsidP="006A7D88" w:rsidRDefault="00A27ADE" w14:paraId="69AC56AC" w14:textId="77777777">
      <w:r>
        <w:t>Na afronding van deze tweede pijler kan</w:t>
      </w:r>
      <w:r w:rsidRPr="00F01E78">
        <w:t xml:space="preserve"> gewerkt worden richting de derde pijler onder het compensatiemechanisme, </w:t>
      </w:r>
      <w:r>
        <w:t xml:space="preserve">te weten </w:t>
      </w:r>
      <w:r w:rsidRPr="00F01E78">
        <w:t>een schadefonds waaruit de</w:t>
      </w:r>
      <w:r>
        <w:t xml:space="preserve"> door de Claimscommissie</w:t>
      </w:r>
      <w:r w:rsidRPr="00F01E78">
        <w:t xml:space="preserve"> toegewezen compensatie wordt uitgekeerd</w:t>
      </w:r>
      <w:r>
        <w:t>. D</w:t>
      </w:r>
      <w:r w:rsidRPr="00F01E78">
        <w:t xml:space="preserve">aarbij </w:t>
      </w:r>
      <w:r>
        <w:t xml:space="preserve">blijft </w:t>
      </w:r>
      <w:r w:rsidRPr="00F01E78">
        <w:t xml:space="preserve">het uitgangspunt dat </w:t>
      </w:r>
      <w:r>
        <w:t>de Russische Federatie</w:t>
      </w:r>
      <w:r w:rsidRPr="00F01E78">
        <w:t xml:space="preserve"> uiteindelijk de rechtsgevolgen van </w:t>
      </w:r>
      <w:r>
        <w:t>zijn</w:t>
      </w:r>
      <w:r w:rsidRPr="00F01E78">
        <w:t xml:space="preserve"> internationaal onrechtmatige handelen moet dragen, met inbegrip van het bieden van rechtsherstel, inclusief het vergoeden van schade. Op 27 maart 2024 is er tussen het ministerie van Buitenlandse Zaken en het ministerie van Justitie en Veiligheid afgesproken </w:t>
      </w:r>
      <w:r>
        <w:t xml:space="preserve">dat </w:t>
      </w:r>
      <w:r w:rsidRPr="00F01E78">
        <w:t xml:space="preserve">door de internationale gemeenschap uit hoofde van gastlandschap niet naar Nederland kan worden gekeken voor het vullen van het Schadefonds met financiële middelen. </w:t>
      </w:r>
      <w:r>
        <w:t xml:space="preserve">Iets vergelijkbaars is </w:t>
      </w:r>
      <w:r w:rsidRPr="00F01E78">
        <w:t>ook opgenomen in artikel 21 van het oprichtingsverdrag van de Claimscommissie</w:t>
      </w:r>
      <w:r>
        <w:t>, namelijk dat wordt verwacht dat de Russische Federatie de door de Claimscommissie krachtens het verdrag vastgestelde en toegekende vergoedingen zal financieren.</w:t>
      </w:r>
    </w:p>
    <w:p w:rsidR="00A27ADE" w:rsidP="006A7D88" w:rsidRDefault="00A27ADE" w14:paraId="1385E1A0" w14:textId="77777777"/>
    <w:p w:rsidRPr="00414CFD" w:rsidR="00D274FB" w:rsidP="006A7D88" w:rsidRDefault="00F01E78" w14:paraId="1184CE2A" w14:textId="7CBF8582">
      <w:r w:rsidRPr="00F01E78">
        <w:rPr>
          <w:i/>
          <w:iCs/>
        </w:rPr>
        <w:t>Tenslotte</w:t>
      </w:r>
      <w:r w:rsidRPr="00F01E78" w:rsidR="00D274FB">
        <w:rPr>
          <w:i/>
          <w:iCs/>
        </w:rPr>
        <w:br/>
      </w:r>
      <w:r w:rsidR="00D274FB">
        <w:t>De</w:t>
      </w:r>
      <w:r>
        <w:t>ze</w:t>
      </w:r>
      <w:r w:rsidR="00D274FB">
        <w:t xml:space="preserve"> Nederlandse inzet op </w:t>
      </w:r>
      <w:r w:rsidRPr="00F01E78" w:rsidR="00D274FB">
        <w:rPr>
          <w:i/>
          <w:iCs/>
        </w:rPr>
        <w:t>accountability</w:t>
      </w:r>
      <w:r w:rsidR="00D274FB">
        <w:t xml:space="preserve"> voor Oekraïne is in lijn met de breed gesteunde moties </w:t>
      </w:r>
      <w:proofErr w:type="spellStart"/>
      <w:r w:rsidR="00D274FB">
        <w:t>Sjoerdsma</w:t>
      </w:r>
      <w:proofErr w:type="spellEnd"/>
      <w:r w:rsidR="00D274FB">
        <w:t xml:space="preserve"> (2022)</w:t>
      </w:r>
      <w:r w:rsidR="00D274FB">
        <w:rPr>
          <w:rStyle w:val="FootnoteReference"/>
        </w:rPr>
        <w:footnoteReference w:id="3"/>
      </w:r>
      <w:r w:rsidR="00D274FB">
        <w:t xml:space="preserve"> en </w:t>
      </w:r>
      <w:proofErr w:type="spellStart"/>
      <w:r w:rsidR="00D274FB">
        <w:t>Yesilgöz</w:t>
      </w:r>
      <w:proofErr w:type="spellEnd"/>
      <w:r w:rsidR="00D274FB">
        <w:t>-Omtzigt (2025)</w:t>
      </w:r>
      <w:r w:rsidR="00AA4D2C">
        <w:t>.</w:t>
      </w:r>
      <w:r w:rsidR="00D274FB">
        <w:rPr>
          <w:rStyle w:val="FootnoteReference"/>
        </w:rPr>
        <w:footnoteReference w:id="4"/>
      </w:r>
    </w:p>
    <w:p w:rsidR="00883FF9" w:rsidP="006A7D88" w:rsidRDefault="00883FF9" w14:paraId="486ADE38" w14:textId="77777777"/>
    <w:p w:rsidR="00B119BF" w:rsidP="006A7D88" w:rsidRDefault="00B119BF" w14:paraId="0FC246E0" w14:textId="77777777"/>
    <w:p w:rsidR="00883FF9" w:rsidP="006A7D88" w:rsidRDefault="00883FF9" w14:paraId="46DBD9EB" w14:textId="77777777">
      <w:r>
        <w:t xml:space="preserve">De minister van Buitenlandse Zaken,  </w:t>
      </w:r>
    </w:p>
    <w:p w:rsidR="00883FF9" w:rsidP="006A7D88" w:rsidRDefault="00883FF9" w14:paraId="7B43E276" w14:textId="77777777"/>
    <w:p w:rsidR="00883FF9" w:rsidP="006A7D88" w:rsidRDefault="00883FF9" w14:paraId="7653BDC1" w14:textId="77777777"/>
    <w:p w:rsidR="00883FF9" w:rsidP="006A7D88" w:rsidRDefault="00883FF9" w14:paraId="3ABBCA35" w14:textId="77777777"/>
    <w:p w:rsidR="006A7D88" w:rsidP="006A7D88" w:rsidRDefault="006A7D88" w14:paraId="60D0B2F9" w14:textId="77777777"/>
    <w:p w:rsidR="006A7D88" w:rsidP="006A7D88" w:rsidRDefault="006A7D88" w14:paraId="56E6D5D8" w14:textId="77777777"/>
    <w:p w:rsidRPr="007F1D55" w:rsidR="00883FF9" w:rsidP="006A7D88" w:rsidRDefault="00883FF9" w14:paraId="265DFB8F" w14:textId="514915B7">
      <w:r>
        <w:t>D.M. van Weel</w:t>
      </w:r>
    </w:p>
    <w:sectPr w:rsidRPr="007F1D55" w:rsidR="00883FF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852E" w14:textId="77777777" w:rsidR="005A265B" w:rsidRDefault="005A265B">
      <w:pPr>
        <w:spacing w:line="240" w:lineRule="auto"/>
      </w:pPr>
      <w:r>
        <w:separator/>
      </w:r>
    </w:p>
  </w:endnote>
  <w:endnote w:type="continuationSeparator" w:id="0">
    <w:p w14:paraId="0ECAB8F8" w14:textId="77777777" w:rsidR="005A265B" w:rsidRDefault="005A265B">
      <w:pPr>
        <w:spacing w:line="240" w:lineRule="auto"/>
      </w:pPr>
      <w:r>
        <w:continuationSeparator/>
      </w:r>
    </w:p>
  </w:endnote>
  <w:endnote w:type="continuationNotice" w:id="1">
    <w:p w14:paraId="70D721CE" w14:textId="77777777" w:rsidR="003A2A25" w:rsidRDefault="003A2A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Kix Barcode">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249C" w14:textId="77777777" w:rsidR="00CA4B84" w:rsidRDefault="00CA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158605"/>
      <w:docPartObj>
        <w:docPartGallery w:val="Page Numbers (Bottom of Page)"/>
        <w:docPartUnique/>
      </w:docPartObj>
    </w:sdtPr>
    <w:sdtEndPr/>
    <w:sdtContent>
      <w:p w14:paraId="3BE023E4" w14:textId="5209964B" w:rsidR="00883FF9" w:rsidRDefault="00883FF9">
        <w:pPr>
          <w:pStyle w:val="Footer"/>
          <w:jc w:val="center"/>
        </w:pPr>
        <w:r>
          <w:fldChar w:fldCharType="begin"/>
        </w:r>
        <w:r>
          <w:instrText>PAGE   \* MERGEFORMAT</w:instrText>
        </w:r>
        <w:r>
          <w:fldChar w:fldCharType="separate"/>
        </w:r>
        <w:r>
          <w:t>2</w:t>
        </w:r>
        <w:r>
          <w:fldChar w:fldCharType="end"/>
        </w:r>
      </w:p>
    </w:sdtContent>
  </w:sdt>
  <w:p w14:paraId="24CBDCBE" w14:textId="77777777" w:rsidR="00883FF9" w:rsidRDefault="00883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33893"/>
      <w:docPartObj>
        <w:docPartGallery w:val="Page Numbers (Bottom of Page)"/>
        <w:docPartUnique/>
      </w:docPartObj>
    </w:sdtPr>
    <w:sdtEndPr/>
    <w:sdtContent>
      <w:p w14:paraId="56440588" w14:textId="1EE4836F" w:rsidR="00883FF9" w:rsidRDefault="00883FF9">
        <w:pPr>
          <w:pStyle w:val="Footer"/>
          <w:jc w:val="center"/>
        </w:pPr>
        <w:r>
          <w:fldChar w:fldCharType="begin"/>
        </w:r>
        <w:r>
          <w:instrText>PAGE   \* MERGEFORMAT</w:instrText>
        </w:r>
        <w:r>
          <w:fldChar w:fldCharType="separate"/>
        </w:r>
        <w:r>
          <w:t>2</w:t>
        </w:r>
        <w:r>
          <w:fldChar w:fldCharType="end"/>
        </w:r>
      </w:p>
    </w:sdtContent>
  </w:sdt>
  <w:p w14:paraId="2D136736" w14:textId="77777777" w:rsidR="00883FF9" w:rsidRDefault="0088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0C62" w14:textId="77777777" w:rsidR="005A265B" w:rsidRDefault="005A265B">
      <w:pPr>
        <w:spacing w:line="240" w:lineRule="auto"/>
      </w:pPr>
      <w:r>
        <w:separator/>
      </w:r>
    </w:p>
  </w:footnote>
  <w:footnote w:type="continuationSeparator" w:id="0">
    <w:p w14:paraId="43ADBF1A" w14:textId="77777777" w:rsidR="005A265B" w:rsidRDefault="005A265B">
      <w:pPr>
        <w:spacing w:line="240" w:lineRule="auto"/>
      </w:pPr>
      <w:r>
        <w:continuationSeparator/>
      </w:r>
    </w:p>
  </w:footnote>
  <w:footnote w:type="continuationNotice" w:id="1">
    <w:p w14:paraId="574E382E" w14:textId="77777777" w:rsidR="003A2A25" w:rsidRDefault="003A2A25">
      <w:pPr>
        <w:spacing w:line="240" w:lineRule="auto"/>
      </w:pPr>
    </w:p>
  </w:footnote>
  <w:footnote w:id="2">
    <w:p w14:paraId="76920D0B" w14:textId="4CC32282" w:rsidR="00EB7FAA" w:rsidRPr="00AA4D2C" w:rsidRDefault="00EB7FAA">
      <w:pPr>
        <w:pStyle w:val="FootnoteText"/>
        <w:rPr>
          <w:sz w:val="16"/>
          <w:szCs w:val="16"/>
        </w:rPr>
      </w:pPr>
      <w:r w:rsidRPr="00AA4D2C">
        <w:rPr>
          <w:rStyle w:val="FootnoteReference"/>
          <w:sz w:val="16"/>
          <w:szCs w:val="16"/>
        </w:rPr>
        <w:footnoteRef/>
      </w:r>
      <w:r w:rsidRPr="00AA4D2C">
        <w:rPr>
          <w:sz w:val="16"/>
          <w:szCs w:val="16"/>
        </w:rPr>
        <w:t xml:space="preserve"> De commissie heet in het Nederlands officieel de ‘Schadevergoedingscommissie’, maar is </w:t>
      </w:r>
      <w:r w:rsidR="00CD5FB6" w:rsidRPr="00AA4D2C">
        <w:rPr>
          <w:sz w:val="16"/>
          <w:szCs w:val="16"/>
        </w:rPr>
        <w:t>beter</w:t>
      </w:r>
      <w:r w:rsidRPr="00AA4D2C">
        <w:rPr>
          <w:sz w:val="16"/>
          <w:szCs w:val="16"/>
        </w:rPr>
        <w:t xml:space="preserve"> bekend als de ‘Claimscommissie’.</w:t>
      </w:r>
    </w:p>
  </w:footnote>
  <w:footnote w:id="3">
    <w:p w14:paraId="2EE5D376" w14:textId="77777777" w:rsidR="00D274FB" w:rsidRPr="00B119BF" w:rsidRDefault="00D274FB" w:rsidP="00D274FB">
      <w:pPr>
        <w:pStyle w:val="FootnoteText"/>
        <w:rPr>
          <w:sz w:val="16"/>
          <w:szCs w:val="16"/>
        </w:rPr>
      </w:pPr>
      <w:r w:rsidRPr="00B119BF">
        <w:rPr>
          <w:rStyle w:val="FootnoteReference"/>
          <w:sz w:val="16"/>
          <w:szCs w:val="16"/>
        </w:rPr>
        <w:footnoteRef/>
      </w:r>
      <w:r w:rsidRPr="00B119BF">
        <w:rPr>
          <w:sz w:val="16"/>
          <w:szCs w:val="16"/>
        </w:rPr>
        <w:t xml:space="preserve"> Kamerstukken II 2022-23, 21 501-20, nr. 1841</w:t>
      </w:r>
    </w:p>
  </w:footnote>
  <w:footnote w:id="4">
    <w:p w14:paraId="41EE242B" w14:textId="77777777" w:rsidR="00D274FB" w:rsidRPr="00B119BF" w:rsidRDefault="00D274FB" w:rsidP="00D274FB">
      <w:pPr>
        <w:pStyle w:val="FootnoteText"/>
        <w:rPr>
          <w:sz w:val="16"/>
          <w:szCs w:val="16"/>
        </w:rPr>
      </w:pPr>
      <w:r w:rsidRPr="00B119BF">
        <w:rPr>
          <w:rStyle w:val="FootnoteReference"/>
          <w:sz w:val="16"/>
          <w:szCs w:val="16"/>
        </w:rPr>
        <w:footnoteRef/>
      </w:r>
      <w:r w:rsidRPr="00B119BF">
        <w:rPr>
          <w:sz w:val="16"/>
          <w:szCs w:val="16"/>
        </w:rPr>
        <w:t xml:space="preserve"> Kamerstukken II 2024-25, 21 501-20, nr. 2229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3410" w14:textId="77777777" w:rsidR="00CA4B84" w:rsidRDefault="00CA4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DD98" w14:textId="6232D2DB" w:rsidR="0008154B" w:rsidRDefault="00316732">
    <w:r>
      <w:rPr>
        <w:noProof/>
      </w:rPr>
      <mc:AlternateContent>
        <mc:Choice Requires="wps">
          <w:drawing>
            <wp:anchor distT="0" distB="0" distL="0" distR="0" simplePos="0" relativeHeight="251658240" behindDoc="0" locked="1" layoutInCell="1" allowOverlap="1" wp14:anchorId="4E26DD9C" wp14:editId="6B4D866F">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E26DDCA" w14:textId="77777777" w:rsidR="0008154B" w:rsidRDefault="00316732">
                          <w:pPr>
                            <w:pStyle w:val="Referentiegegevensbold"/>
                          </w:pPr>
                          <w:r>
                            <w:t>Ministerie van Buitenlandse Zaken</w:t>
                          </w:r>
                        </w:p>
                        <w:p w14:paraId="4E26DDCB" w14:textId="77777777" w:rsidR="0008154B" w:rsidRDefault="0008154B">
                          <w:pPr>
                            <w:pStyle w:val="WitregelW2"/>
                          </w:pPr>
                        </w:p>
                        <w:p w14:paraId="4E26DDCC" w14:textId="77777777" w:rsidR="0008154B" w:rsidRDefault="00316732">
                          <w:pPr>
                            <w:pStyle w:val="Referentiegegevensbold"/>
                          </w:pPr>
                          <w:r>
                            <w:t>Onze referentie</w:t>
                          </w:r>
                        </w:p>
                        <w:p w14:paraId="4E26DDCD" w14:textId="3B1F6BB5" w:rsidR="0008154B" w:rsidRDefault="009E1E7C">
                          <w:pPr>
                            <w:pStyle w:val="Referentiegegevens"/>
                          </w:pPr>
                          <w:r>
                            <w:t>BZ2523095</w:t>
                          </w:r>
                        </w:p>
                      </w:txbxContent>
                    </wps:txbx>
                    <wps:bodyPr vert="horz" wrap="square" lIns="0" tIns="0" rIns="0" bIns="0" anchor="t" anchorCtr="0"/>
                  </wps:wsp>
                </a:graphicData>
              </a:graphic>
              <wp14:sizeRelH relativeFrom="margin">
                <wp14:pctWidth>0</wp14:pctWidth>
              </wp14:sizeRelH>
            </wp:anchor>
          </w:drawing>
        </mc:Choice>
        <mc:Fallback>
          <w:pict>
            <v:shapetype w14:anchorId="4E26DD9C"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4E26DDCA" w14:textId="77777777" w:rsidR="0008154B" w:rsidRDefault="00316732">
                    <w:pPr>
                      <w:pStyle w:val="Referentiegegevensbold"/>
                    </w:pPr>
                    <w:r>
                      <w:t>Ministerie van Buitenlandse Zaken</w:t>
                    </w:r>
                  </w:p>
                  <w:p w14:paraId="4E26DDCB" w14:textId="77777777" w:rsidR="0008154B" w:rsidRDefault="0008154B">
                    <w:pPr>
                      <w:pStyle w:val="WitregelW2"/>
                    </w:pPr>
                  </w:p>
                  <w:p w14:paraId="4E26DDCC" w14:textId="77777777" w:rsidR="0008154B" w:rsidRDefault="00316732">
                    <w:pPr>
                      <w:pStyle w:val="Referentiegegevensbold"/>
                    </w:pPr>
                    <w:r>
                      <w:t>Onze referentie</w:t>
                    </w:r>
                  </w:p>
                  <w:p w14:paraId="4E26DDCD" w14:textId="3B1F6BB5" w:rsidR="0008154B" w:rsidRDefault="009E1E7C">
                    <w:pPr>
                      <w:pStyle w:val="Referentiegegevens"/>
                    </w:pPr>
                    <w:r>
                      <w:t>BZ2523095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E26DDA0" wp14:editId="52D0107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26DDDC" w14:textId="77777777" w:rsidR="00316732" w:rsidRDefault="00316732"/>
                      </w:txbxContent>
                    </wps:txbx>
                    <wps:bodyPr vert="horz" wrap="square" lIns="0" tIns="0" rIns="0" bIns="0" anchor="t" anchorCtr="0"/>
                  </wps:wsp>
                </a:graphicData>
              </a:graphic>
            </wp:anchor>
          </w:drawing>
        </mc:Choice>
        <mc:Fallback>
          <w:pict>
            <v:shape w14:anchorId="4E26DDA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E26DDDC" w14:textId="77777777" w:rsidR="00316732" w:rsidRDefault="0031673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DD9A" w14:textId="3AA63E39" w:rsidR="0008154B" w:rsidRDefault="00316732">
    <w:pPr>
      <w:spacing w:after="7131" w:line="14" w:lineRule="exact"/>
    </w:pPr>
    <w:r>
      <w:rPr>
        <w:noProof/>
      </w:rPr>
      <mc:AlternateContent>
        <mc:Choice Requires="wps">
          <w:drawing>
            <wp:anchor distT="0" distB="0" distL="0" distR="0" simplePos="0" relativeHeight="251658242" behindDoc="0" locked="1" layoutInCell="1" allowOverlap="1" wp14:anchorId="4E26DDA2" wp14:editId="4E26DDA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26DDCF" w14:textId="77777777" w:rsidR="00316732" w:rsidRDefault="00316732"/>
                      </w:txbxContent>
                    </wps:txbx>
                    <wps:bodyPr vert="horz" wrap="square" lIns="0" tIns="0" rIns="0" bIns="0" anchor="t" anchorCtr="0"/>
                  </wps:wsp>
                </a:graphicData>
              </a:graphic>
            </wp:anchor>
          </w:drawing>
        </mc:Choice>
        <mc:Fallback>
          <w:pict>
            <v:shapetype w14:anchorId="4E26DDA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E26DDCF"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E26DDA4" wp14:editId="0B0025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26DDB3" w14:textId="77777777" w:rsidR="0008154B" w:rsidRDefault="003167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E26DDA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26DDB3" w14:textId="77777777" w:rsidR="0008154B" w:rsidRDefault="003167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E26DDA6" wp14:editId="4E26DDA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8154B" w14:paraId="4E26DDB6" w14:textId="77777777">
                            <w:tc>
                              <w:tcPr>
                                <w:tcW w:w="678" w:type="dxa"/>
                              </w:tcPr>
                              <w:p w14:paraId="4E26DDB4" w14:textId="77777777" w:rsidR="0008154B" w:rsidRDefault="00316732">
                                <w:r>
                                  <w:t>Datum</w:t>
                                </w:r>
                              </w:p>
                            </w:tc>
                            <w:tc>
                              <w:tcPr>
                                <w:tcW w:w="6851" w:type="dxa"/>
                              </w:tcPr>
                              <w:p w14:paraId="4E26DDB5" w14:textId="391DD112" w:rsidR="0008154B" w:rsidRDefault="007436DA">
                                <w:r>
                                  <w:t>16 december</w:t>
                                </w:r>
                                <w:r w:rsidR="00316732">
                                  <w:t xml:space="preserve"> 2025</w:t>
                                </w:r>
                              </w:p>
                            </w:tc>
                          </w:tr>
                          <w:tr w:rsidR="0008154B" w14:paraId="4E26DDBB" w14:textId="77777777">
                            <w:tc>
                              <w:tcPr>
                                <w:tcW w:w="678" w:type="dxa"/>
                              </w:tcPr>
                              <w:p w14:paraId="4E26DDB7" w14:textId="77777777" w:rsidR="0008154B" w:rsidRDefault="00316732">
                                <w:r>
                                  <w:t>Betreft</w:t>
                                </w:r>
                              </w:p>
                              <w:p w14:paraId="4E26DDB8" w14:textId="77777777" w:rsidR="0008154B" w:rsidRDefault="0008154B"/>
                            </w:tc>
                            <w:tc>
                              <w:tcPr>
                                <w:tcW w:w="6851" w:type="dxa"/>
                              </w:tcPr>
                              <w:p w14:paraId="4E26DDB9" w14:textId="3ECECAC8" w:rsidR="0008154B" w:rsidRDefault="007436DA">
                                <w:r>
                                  <w:t>O</w:t>
                                </w:r>
                                <w:r w:rsidRPr="007436DA">
                                  <w:t>prichting van een internationale Claimscommissie voor Oekraïne</w:t>
                                </w:r>
                                <w:r>
                                  <w:t>; ondertekening verdrag en aanbod gastlandschap</w:t>
                                </w:r>
                              </w:p>
                              <w:p w14:paraId="4E26DDBA" w14:textId="77777777" w:rsidR="0008154B" w:rsidRDefault="0008154B"/>
                            </w:tc>
                          </w:tr>
                        </w:tbl>
                        <w:p w14:paraId="4E26DDBC" w14:textId="77777777" w:rsidR="0008154B" w:rsidRDefault="0008154B"/>
                        <w:p w14:paraId="4E26DDBD" w14:textId="77777777" w:rsidR="0008154B" w:rsidRDefault="0008154B"/>
                      </w:txbxContent>
                    </wps:txbx>
                    <wps:bodyPr vert="horz" wrap="square" lIns="0" tIns="0" rIns="0" bIns="0" anchor="t" anchorCtr="0"/>
                  </wps:wsp>
                </a:graphicData>
              </a:graphic>
            </wp:anchor>
          </w:drawing>
        </mc:Choice>
        <mc:Fallback>
          <w:pict>
            <v:shape w14:anchorId="4E26DDA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8154B" w14:paraId="4E26DDB6" w14:textId="77777777">
                      <w:tc>
                        <w:tcPr>
                          <w:tcW w:w="678" w:type="dxa"/>
                        </w:tcPr>
                        <w:p w14:paraId="4E26DDB4" w14:textId="77777777" w:rsidR="0008154B" w:rsidRDefault="00316732">
                          <w:r>
                            <w:t>Datum</w:t>
                          </w:r>
                        </w:p>
                      </w:tc>
                      <w:tc>
                        <w:tcPr>
                          <w:tcW w:w="6851" w:type="dxa"/>
                        </w:tcPr>
                        <w:p w14:paraId="4E26DDB5" w14:textId="391DD112" w:rsidR="0008154B" w:rsidRDefault="007436DA">
                          <w:r>
                            <w:t>16 december</w:t>
                          </w:r>
                          <w:r w:rsidR="00316732">
                            <w:t xml:space="preserve"> 2025</w:t>
                          </w:r>
                        </w:p>
                      </w:tc>
                    </w:tr>
                    <w:tr w:rsidR="0008154B" w14:paraId="4E26DDBB" w14:textId="77777777">
                      <w:tc>
                        <w:tcPr>
                          <w:tcW w:w="678" w:type="dxa"/>
                        </w:tcPr>
                        <w:p w14:paraId="4E26DDB7" w14:textId="77777777" w:rsidR="0008154B" w:rsidRDefault="00316732">
                          <w:r>
                            <w:t>Betreft</w:t>
                          </w:r>
                        </w:p>
                        <w:p w14:paraId="4E26DDB8" w14:textId="77777777" w:rsidR="0008154B" w:rsidRDefault="0008154B"/>
                      </w:tc>
                      <w:tc>
                        <w:tcPr>
                          <w:tcW w:w="6851" w:type="dxa"/>
                        </w:tcPr>
                        <w:p w14:paraId="4E26DDB9" w14:textId="3ECECAC8" w:rsidR="0008154B" w:rsidRDefault="007436DA">
                          <w:r>
                            <w:t>O</w:t>
                          </w:r>
                          <w:r w:rsidRPr="007436DA">
                            <w:t>prichting van een internationale Claimscommissie voor Oekraïne</w:t>
                          </w:r>
                          <w:r>
                            <w:t>; ondertekening verdrag en aanbod gastlandschap</w:t>
                          </w:r>
                        </w:p>
                        <w:p w14:paraId="4E26DDBA" w14:textId="77777777" w:rsidR="0008154B" w:rsidRDefault="0008154B"/>
                      </w:tc>
                    </w:tr>
                  </w:tbl>
                  <w:p w14:paraId="4E26DDBC" w14:textId="77777777" w:rsidR="0008154B" w:rsidRDefault="0008154B"/>
                  <w:p w14:paraId="4E26DDBD" w14:textId="77777777" w:rsidR="0008154B" w:rsidRDefault="0008154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E26DDA8" wp14:editId="1AD05B12">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7045F0D" w14:textId="77777777" w:rsidR="00883FF9" w:rsidRPr="00F51C07" w:rsidRDefault="00883FF9" w:rsidP="00883FF9">
                              <w:pPr>
                                <w:rPr>
                                  <w:b/>
                                  <w:sz w:val="13"/>
                                  <w:szCs w:val="13"/>
                                </w:rPr>
                              </w:pPr>
                              <w:r w:rsidRPr="00FC13FA">
                                <w:rPr>
                                  <w:b/>
                                  <w:sz w:val="13"/>
                                  <w:szCs w:val="13"/>
                                </w:rPr>
                                <w:t>Ministerie van Buitenlandse Zaken</w:t>
                              </w:r>
                            </w:p>
                          </w:sdtContent>
                        </w:sdt>
                        <w:p w14:paraId="0DBF53D6" w14:textId="77777777" w:rsidR="00883FF9" w:rsidRPr="00EE5E5D" w:rsidRDefault="00883FF9" w:rsidP="00883FF9">
                          <w:pPr>
                            <w:rPr>
                              <w:sz w:val="13"/>
                              <w:szCs w:val="13"/>
                            </w:rPr>
                          </w:pPr>
                          <w:r>
                            <w:rPr>
                              <w:sz w:val="13"/>
                              <w:szCs w:val="13"/>
                            </w:rPr>
                            <w:t>Rijnstraat 8</w:t>
                          </w:r>
                        </w:p>
                        <w:p w14:paraId="7FFFF19C" w14:textId="77777777" w:rsidR="00883FF9" w:rsidRPr="0059764A" w:rsidRDefault="00883FF9" w:rsidP="00883FF9">
                          <w:pPr>
                            <w:rPr>
                              <w:sz w:val="13"/>
                              <w:szCs w:val="13"/>
                              <w:lang w:val="da-DK"/>
                            </w:rPr>
                          </w:pPr>
                          <w:r w:rsidRPr="0059764A">
                            <w:rPr>
                              <w:sz w:val="13"/>
                              <w:szCs w:val="13"/>
                              <w:lang w:val="da-DK"/>
                            </w:rPr>
                            <w:t>2515 XP Den Haag</w:t>
                          </w:r>
                        </w:p>
                        <w:p w14:paraId="18E4E8B5" w14:textId="77777777" w:rsidR="00883FF9" w:rsidRPr="0059764A" w:rsidRDefault="00883FF9" w:rsidP="00883FF9">
                          <w:pPr>
                            <w:rPr>
                              <w:sz w:val="13"/>
                              <w:szCs w:val="13"/>
                              <w:lang w:val="da-DK"/>
                            </w:rPr>
                          </w:pPr>
                          <w:r w:rsidRPr="0059764A">
                            <w:rPr>
                              <w:sz w:val="13"/>
                              <w:szCs w:val="13"/>
                              <w:lang w:val="da-DK"/>
                            </w:rPr>
                            <w:t>Postbus 20061</w:t>
                          </w:r>
                        </w:p>
                        <w:p w14:paraId="20C0251F" w14:textId="77777777" w:rsidR="00883FF9" w:rsidRPr="0059764A" w:rsidRDefault="00883FF9" w:rsidP="00883FF9">
                          <w:pPr>
                            <w:rPr>
                              <w:sz w:val="13"/>
                              <w:szCs w:val="13"/>
                              <w:lang w:val="da-DK"/>
                            </w:rPr>
                          </w:pPr>
                          <w:r w:rsidRPr="0059764A">
                            <w:rPr>
                              <w:sz w:val="13"/>
                              <w:szCs w:val="13"/>
                              <w:lang w:val="da-DK"/>
                            </w:rPr>
                            <w:t>Nederland</w:t>
                          </w:r>
                        </w:p>
                        <w:p w14:paraId="4E26DDC0" w14:textId="032B984D" w:rsidR="0008154B" w:rsidRPr="005346CD" w:rsidRDefault="0008154B">
                          <w:pPr>
                            <w:pStyle w:val="Referentiegegevens"/>
                            <w:rPr>
                              <w:lang w:val="da-DK"/>
                            </w:rPr>
                          </w:pPr>
                        </w:p>
                        <w:p w14:paraId="4E26DDC1" w14:textId="77777777" w:rsidR="0008154B" w:rsidRPr="005346CD" w:rsidRDefault="00316732">
                          <w:pPr>
                            <w:pStyle w:val="Referentiegegevens"/>
                            <w:rPr>
                              <w:lang w:val="da-DK"/>
                            </w:rPr>
                          </w:pPr>
                          <w:r w:rsidRPr="005346CD">
                            <w:rPr>
                              <w:lang w:val="da-DK"/>
                            </w:rPr>
                            <w:t>www.minbuza.nl</w:t>
                          </w:r>
                        </w:p>
                        <w:p w14:paraId="4E26DDC2" w14:textId="77777777" w:rsidR="0008154B" w:rsidRPr="005346CD" w:rsidRDefault="0008154B">
                          <w:pPr>
                            <w:pStyle w:val="WitregelW2"/>
                            <w:rPr>
                              <w:lang w:val="da-DK"/>
                            </w:rPr>
                          </w:pPr>
                        </w:p>
                        <w:p w14:paraId="4E26DDC3" w14:textId="77777777" w:rsidR="0008154B" w:rsidRDefault="00316732">
                          <w:pPr>
                            <w:pStyle w:val="Referentiegegevensbold"/>
                          </w:pPr>
                          <w:r>
                            <w:t>Onze referentie</w:t>
                          </w:r>
                        </w:p>
                        <w:p w14:paraId="5ACF63BF" w14:textId="148DB8FF" w:rsidR="00883FF9" w:rsidRDefault="009E1E7C" w:rsidP="00883FF9">
                          <w:pPr>
                            <w:pStyle w:val="Referentiegegevens"/>
                          </w:pPr>
                          <w:r>
                            <w:t>BZ2523095</w:t>
                          </w:r>
                        </w:p>
                        <w:p w14:paraId="681623A0" w14:textId="77777777" w:rsidR="00883FF9" w:rsidRPr="00883FF9" w:rsidRDefault="00883FF9" w:rsidP="00883FF9"/>
                        <w:p w14:paraId="4E26DDC6" w14:textId="77777777" w:rsidR="0008154B" w:rsidRDefault="00316732">
                          <w:pPr>
                            <w:pStyle w:val="Referentiegegevensbold"/>
                          </w:pPr>
                          <w:r>
                            <w:t>Bijlage(n)</w:t>
                          </w:r>
                        </w:p>
                        <w:p w14:paraId="4E26DDC7" w14:textId="77777777" w:rsidR="0008154B" w:rsidRDefault="0031673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E26DDA8" id="41b10cd4-80a4-11ea-b356-6230a4311406" o:spid="_x0000_s1031" type="#_x0000_t202" style="position:absolute;margin-left:466.5pt;margin-top:15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7045F0D" w14:textId="77777777" w:rsidR="00883FF9" w:rsidRPr="00F51C07" w:rsidRDefault="00883FF9" w:rsidP="00883FF9">
                        <w:pPr>
                          <w:rPr>
                            <w:b/>
                            <w:sz w:val="13"/>
                            <w:szCs w:val="13"/>
                          </w:rPr>
                        </w:pPr>
                        <w:r w:rsidRPr="00FC13FA">
                          <w:rPr>
                            <w:b/>
                            <w:sz w:val="13"/>
                            <w:szCs w:val="13"/>
                          </w:rPr>
                          <w:t>Ministerie van Buitenlandse Zaken</w:t>
                        </w:r>
                      </w:p>
                    </w:sdtContent>
                  </w:sdt>
                  <w:p w14:paraId="0DBF53D6" w14:textId="77777777" w:rsidR="00883FF9" w:rsidRPr="00EE5E5D" w:rsidRDefault="00883FF9" w:rsidP="00883FF9">
                    <w:pPr>
                      <w:rPr>
                        <w:sz w:val="13"/>
                        <w:szCs w:val="13"/>
                      </w:rPr>
                    </w:pPr>
                    <w:r>
                      <w:rPr>
                        <w:sz w:val="13"/>
                        <w:szCs w:val="13"/>
                      </w:rPr>
                      <w:t>Rijnstraat 8</w:t>
                    </w:r>
                  </w:p>
                  <w:p w14:paraId="7FFFF19C" w14:textId="77777777" w:rsidR="00883FF9" w:rsidRPr="0059764A" w:rsidRDefault="00883FF9" w:rsidP="00883FF9">
                    <w:pPr>
                      <w:rPr>
                        <w:sz w:val="13"/>
                        <w:szCs w:val="13"/>
                        <w:lang w:val="da-DK"/>
                      </w:rPr>
                    </w:pPr>
                    <w:r w:rsidRPr="0059764A">
                      <w:rPr>
                        <w:sz w:val="13"/>
                        <w:szCs w:val="13"/>
                        <w:lang w:val="da-DK"/>
                      </w:rPr>
                      <w:t>2515 XP Den Haag</w:t>
                    </w:r>
                  </w:p>
                  <w:p w14:paraId="18E4E8B5" w14:textId="77777777" w:rsidR="00883FF9" w:rsidRPr="0059764A" w:rsidRDefault="00883FF9" w:rsidP="00883FF9">
                    <w:pPr>
                      <w:rPr>
                        <w:sz w:val="13"/>
                        <w:szCs w:val="13"/>
                        <w:lang w:val="da-DK"/>
                      </w:rPr>
                    </w:pPr>
                    <w:r w:rsidRPr="0059764A">
                      <w:rPr>
                        <w:sz w:val="13"/>
                        <w:szCs w:val="13"/>
                        <w:lang w:val="da-DK"/>
                      </w:rPr>
                      <w:t>Postbus 20061</w:t>
                    </w:r>
                  </w:p>
                  <w:p w14:paraId="20C0251F" w14:textId="77777777" w:rsidR="00883FF9" w:rsidRPr="0059764A" w:rsidRDefault="00883FF9" w:rsidP="00883FF9">
                    <w:pPr>
                      <w:rPr>
                        <w:sz w:val="13"/>
                        <w:szCs w:val="13"/>
                        <w:lang w:val="da-DK"/>
                      </w:rPr>
                    </w:pPr>
                    <w:r w:rsidRPr="0059764A">
                      <w:rPr>
                        <w:sz w:val="13"/>
                        <w:szCs w:val="13"/>
                        <w:lang w:val="da-DK"/>
                      </w:rPr>
                      <w:t>Nederland</w:t>
                    </w:r>
                  </w:p>
                  <w:p w14:paraId="4E26DDC0" w14:textId="032B984D" w:rsidR="0008154B" w:rsidRPr="005346CD" w:rsidRDefault="0008154B">
                    <w:pPr>
                      <w:pStyle w:val="Referentiegegevens"/>
                      <w:rPr>
                        <w:lang w:val="da-DK"/>
                      </w:rPr>
                    </w:pPr>
                  </w:p>
                  <w:p w14:paraId="4E26DDC1" w14:textId="77777777" w:rsidR="0008154B" w:rsidRPr="005346CD" w:rsidRDefault="00316732">
                    <w:pPr>
                      <w:pStyle w:val="Referentiegegevens"/>
                      <w:rPr>
                        <w:lang w:val="da-DK"/>
                      </w:rPr>
                    </w:pPr>
                    <w:r w:rsidRPr="005346CD">
                      <w:rPr>
                        <w:lang w:val="da-DK"/>
                      </w:rPr>
                      <w:t>www.minbuza.nl</w:t>
                    </w:r>
                  </w:p>
                  <w:p w14:paraId="4E26DDC2" w14:textId="77777777" w:rsidR="0008154B" w:rsidRPr="005346CD" w:rsidRDefault="0008154B">
                    <w:pPr>
                      <w:pStyle w:val="WitregelW2"/>
                      <w:rPr>
                        <w:lang w:val="da-DK"/>
                      </w:rPr>
                    </w:pPr>
                  </w:p>
                  <w:p w14:paraId="4E26DDC3" w14:textId="77777777" w:rsidR="0008154B" w:rsidRDefault="00316732">
                    <w:pPr>
                      <w:pStyle w:val="Referentiegegevensbold"/>
                    </w:pPr>
                    <w:r>
                      <w:t>Onze referentie</w:t>
                    </w:r>
                  </w:p>
                  <w:p w14:paraId="5ACF63BF" w14:textId="148DB8FF" w:rsidR="00883FF9" w:rsidRDefault="009E1E7C" w:rsidP="00883FF9">
                    <w:pPr>
                      <w:pStyle w:val="Referentiegegevens"/>
                    </w:pPr>
                    <w:r>
                      <w:t>BZ2523095</w:t>
                    </w:r>
                  </w:p>
                  <w:p w14:paraId="681623A0" w14:textId="77777777" w:rsidR="00883FF9" w:rsidRPr="00883FF9" w:rsidRDefault="00883FF9" w:rsidP="00883FF9"/>
                  <w:p w14:paraId="4E26DDC6" w14:textId="77777777" w:rsidR="0008154B" w:rsidRDefault="00316732">
                    <w:pPr>
                      <w:pStyle w:val="Referentiegegevensbold"/>
                    </w:pPr>
                    <w:r>
                      <w:t>Bijlage(n)</w:t>
                    </w:r>
                  </w:p>
                  <w:p w14:paraId="4E26DDC7" w14:textId="77777777" w:rsidR="0008154B" w:rsidRDefault="0031673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E26DDAC" wp14:editId="10686C0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26DDD5" w14:textId="77777777" w:rsidR="00316732" w:rsidRDefault="00316732"/>
                      </w:txbxContent>
                    </wps:txbx>
                    <wps:bodyPr vert="horz" wrap="square" lIns="0" tIns="0" rIns="0" bIns="0" anchor="t" anchorCtr="0"/>
                  </wps:wsp>
                </a:graphicData>
              </a:graphic>
            </wp:anchor>
          </w:drawing>
        </mc:Choice>
        <mc:Fallback>
          <w:pict>
            <v:shape w14:anchorId="4E26DDA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E26DDD5"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E26DDAE" wp14:editId="4E26DDA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26DDD7" w14:textId="77777777" w:rsidR="00316732" w:rsidRDefault="00316732"/>
                      </w:txbxContent>
                    </wps:txbx>
                    <wps:bodyPr vert="horz" wrap="square" lIns="0" tIns="0" rIns="0" bIns="0" anchor="t" anchorCtr="0"/>
                  </wps:wsp>
                </a:graphicData>
              </a:graphic>
            </wp:anchor>
          </w:drawing>
        </mc:Choice>
        <mc:Fallback>
          <w:pict>
            <v:shape w14:anchorId="4E26DDA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E26DDD7"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E26DDB0" wp14:editId="4E26DDB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26DDC9" w14:textId="77777777" w:rsidR="0008154B" w:rsidRDefault="00316732">
                          <w:pPr>
                            <w:spacing w:line="240" w:lineRule="auto"/>
                          </w:pPr>
                          <w:r>
                            <w:rPr>
                              <w:noProof/>
                            </w:rPr>
                            <w:drawing>
                              <wp:inline distT="0" distB="0" distL="0" distR="0" wp14:anchorId="4E26DDCF" wp14:editId="4E26DD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6DDB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E26DDC9" w14:textId="77777777" w:rsidR="0008154B" w:rsidRDefault="00316732">
                    <w:pPr>
                      <w:spacing w:line="240" w:lineRule="auto"/>
                    </w:pPr>
                    <w:r>
                      <w:rPr>
                        <w:noProof/>
                      </w:rPr>
                      <w:drawing>
                        <wp:inline distT="0" distB="0" distL="0" distR="0" wp14:anchorId="4E26DDCF" wp14:editId="4E26DD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55E3B3"/>
    <w:multiLevelType w:val="multilevel"/>
    <w:tmpl w:val="8442ACFE"/>
    <w:name w:val="Lijst"/>
    <w:lvl w:ilvl="0">
      <w:start w:val="1"/>
      <w:numFmt w:val="decimal"/>
      <w:pStyle w:val="Lijstniveau1"/>
      <w:lvlText w:val="%1."/>
      <w:lvlJc w:val="left"/>
      <w:pPr>
        <w:ind w:left="772" w:hanging="1132"/>
      </w:pPr>
    </w:lvl>
    <w:lvl w:ilvl="1">
      <w:start w:val="1"/>
      <w:numFmt w:val="decimal"/>
      <w:pStyle w:val="Lijstniveau2"/>
      <w:lvlText w:val="%1. %2."/>
      <w:lvlJc w:val="left"/>
      <w:pPr>
        <w:ind w:left="772" w:hanging="1132"/>
      </w:pPr>
    </w:lvl>
    <w:lvl w:ilvl="2">
      <w:start w:val="1"/>
      <w:numFmt w:val="decimal"/>
      <w:pStyle w:val="Lijstniveau3"/>
      <w:lvlText w:val="%1. %2. %3."/>
      <w:lvlJc w:val="left"/>
      <w:pPr>
        <w:ind w:left="772" w:hanging="1132"/>
      </w:pPr>
    </w:lvl>
    <w:lvl w:ilvl="3">
      <w:start w:val="1"/>
      <w:numFmt w:val="none"/>
      <w:lvlText w:val=""/>
      <w:lvlJc w:val="left"/>
      <w:pPr>
        <w:ind w:left="-360" w:firstLine="0"/>
      </w:pPr>
    </w:lvl>
    <w:lvl w:ilvl="4">
      <w:start w:val="1"/>
      <w:numFmt w:val="none"/>
      <w:lvlText w:val=""/>
      <w:lvlJc w:val="left"/>
      <w:pPr>
        <w:ind w:left="-360" w:firstLine="0"/>
      </w:pPr>
    </w:lvl>
    <w:lvl w:ilvl="5">
      <w:start w:val="1"/>
      <w:numFmt w:val="none"/>
      <w:lvlText w:val=""/>
      <w:lvlJc w:val="left"/>
      <w:pPr>
        <w:ind w:left="-360" w:firstLine="0"/>
      </w:pPr>
    </w:lvl>
    <w:lvl w:ilvl="6">
      <w:start w:val="1"/>
      <w:numFmt w:val="none"/>
      <w:lvlText w:val=""/>
      <w:lvlJc w:val="left"/>
      <w:pPr>
        <w:ind w:left="-360" w:firstLine="0"/>
      </w:pPr>
    </w:lvl>
    <w:lvl w:ilvl="7">
      <w:start w:val="1"/>
      <w:numFmt w:val="none"/>
      <w:lvlText w:val=""/>
      <w:lvlJc w:val="left"/>
      <w:pPr>
        <w:ind w:left="-360" w:firstLine="0"/>
      </w:pPr>
    </w:lvl>
    <w:lvl w:ilvl="8">
      <w:start w:val="1"/>
      <w:numFmt w:val="none"/>
      <w:lvlText w:val=""/>
      <w:lvlJc w:val="left"/>
      <w:pPr>
        <w:ind w:left="-360" w:firstLine="0"/>
      </w:pPr>
    </w:lvl>
  </w:abstractNum>
  <w:abstractNum w:abstractNumId="1" w15:restartNumberingAfterBreak="0">
    <w:nsid w:val="03A20A08"/>
    <w:multiLevelType w:val="hybridMultilevel"/>
    <w:tmpl w:val="E842E362"/>
    <w:lvl w:ilvl="0" w:tplc="E0582262">
      <w:start w:val="1"/>
      <w:numFmt w:val="bullet"/>
      <w:lvlText w:val=""/>
      <w:lvlJc w:val="left"/>
      <w:pPr>
        <w:ind w:left="1080" w:hanging="360"/>
      </w:pPr>
      <w:rPr>
        <w:rFonts w:ascii="Symbol" w:hAnsi="Symbol"/>
      </w:rPr>
    </w:lvl>
    <w:lvl w:ilvl="1" w:tplc="673E2DD4">
      <w:start w:val="1"/>
      <w:numFmt w:val="bullet"/>
      <w:lvlText w:val=""/>
      <w:lvlJc w:val="left"/>
      <w:pPr>
        <w:ind w:left="1080" w:hanging="360"/>
      </w:pPr>
      <w:rPr>
        <w:rFonts w:ascii="Symbol" w:hAnsi="Symbol"/>
      </w:rPr>
    </w:lvl>
    <w:lvl w:ilvl="2" w:tplc="963018BA">
      <w:start w:val="1"/>
      <w:numFmt w:val="bullet"/>
      <w:lvlText w:val=""/>
      <w:lvlJc w:val="left"/>
      <w:pPr>
        <w:ind w:left="1080" w:hanging="360"/>
      </w:pPr>
      <w:rPr>
        <w:rFonts w:ascii="Symbol" w:hAnsi="Symbol"/>
      </w:rPr>
    </w:lvl>
    <w:lvl w:ilvl="3" w:tplc="F1A4C67A">
      <w:start w:val="1"/>
      <w:numFmt w:val="bullet"/>
      <w:lvlText w:val=""/>
      <w:lvlJc w:val="left"/>
      <w:pPr>
        <w:ind w:left="1080" w:hanging="360"/>
      </w:pPr>
      <w:rPr>
        <w:rFonts w:ascii="Symbol" w:hAnsi="Symbol"/>
      </w:rPr>
    </w:lvl>
    <w:lvl w:ilvl="4" w:tplc="C1FEA250">
      <w:start w:val="1"/>
      <w:numFmt w:val="bullet"/>
      <w:lvlText w:val=""/>
      <w:lvlJc w:val="left"/>
      <w:pPr>
        <w:ind w:left="1080" w:hanging="360"/>
      </w:pPr>
      <w:rPr>
        <w:rFonts w:ascii="Symbol" w:hAnsi="Symbol"/>
      </w:rPr>
    </w:lvl>
    <w:lvl w:ilvl="5" w:tplc="76483E86">
      <w:start w:val="1"/>
      <w:numFmt w:val="bullet"/>
      <w:lvlText w:val=""/>
      <w:lvlJc w:val="left"/>
      <w:pPr>
        <w:ind w:left="1080" w:hanging="360"/>
      </w:pPr>
      <w:rPr>
        <w:rFonts w:ascii="Symbol" w:hAnsi="Symbol"/>
      </w:rPr>
    </w:lvl>
    <w:lvl w:ilvl="6" w:tplc="1826D328">
      <w:start w:val="1"/>
      <w:numFmt w:val="bullet"/>
      <w:lvlText w:val=""/>
      <w:lvlJc w:val="left"/>
      <w:pPr>
        <w:ind w:left="1080" w:hanging="360"/>
      </w:pPr>
      <w:rPr>
        <w:rFonts w:ascii="Symbol" w:hAnsi="Symbol"/>
      </w:rPr>
    </w:lvl>
    <w:lvl w:ilvl="7" w:tplc="27CACC7C">
      <w:start w:val="1"/>
      <w:numFmt w:val="bullet"/>
      <w:lvlText w:val=""/>
      <w:lvlJc w:val="left"/>
      <w:pPr>
        <w:ind w:left="1080" w:hanging="360"/>
      </w:pPr>
      <w:rPr>
        <w:rFonts w:ascii="Symbol" w:hAnsi="Symbol"/>
      </w:rPr>
    </w:lvl>
    <w:lvl w:ilvl="8" w:tplc="344CA4EA">
      <w:start w:val="1"/>
      <w:numFmt w:val="bullet"/>
      <w:lvlText w:val=""/>
      <w:lvlJc w:val="left"/>
      <w:pPr>
        <w:ind w:left="1080" w:hanging="360"/>
      </w:pPr>
      <w:rPr>
        <w:rFonts w:ascii="Symbol" w:hAnsi="Symbol"/>
      </w:rPr>
    </w:lvl>
  </w:abstractNum>
  <w:abstractNum w:abstractNumId="2" w15:restartNumberingAfterBreak="0">
    <w:nsid w:val="09D434AC"/>
    <w:multiLevelType w:val="multilevel"/>
    <w:tmpl w:val="BAD28CEC"/>
    <w:lvl w:ilvl="0">
      <w:start w:val="1"/>
      <w:numFmt w:val="decimal"/>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C746D2D"/>
    <w:multiLevelType w:val="hybridMultilevel"/>
    <w:tmpl w:val="550616E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08E475"/>
    <w:multiLevelType w:val="multilevel"/>
    <w:tmpl w:val="4AE910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108BED0C"/>
    <w:multiLevelType w:val="multilevel"/>
    <w:tmpl w:val="A874493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D091450"/>
    <w:multiLevelType w:val="hybridMultilevel"/>
    <w:tmpl w:val="F918B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F81A52"/>
    <w:multiLevelType w:val="hybridMultilevel"/>
    <w:tmpl w:val="FC2CAC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A2D75D0"/>
    <w:multiLevelType w:val="multilevel"/>
    <w:tmpl w:val="5A53C0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A6A444F"/>
    <w:multiLevelType w:val="multilevel"/>
    <w:tmpl w:val="25A537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D36C6"/>
    <w:multiLevelType w:val="hybridMultilevel"/>
    <w:tmpl w:val="1F789C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9321D83"/>
    <w:multiLevelType w:val="hybridMultilevel"/>
    <w:tmpl w:val="7D860F9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C5F0044"/>
    <w:multiLevelType w:val="hybridMultilevel"/>
    <w:tmpl w:val="3DE26B24"/>
    <w:lvl w:ilvl="0" w:tplc="4F9A47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3272BE"/>
    <w:multiLevelType w:val="hybridMultilevel"/>
    <w:tmpl w:val="5F408B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C454129"/>
    <w:multiLevelType w:val="hybridMultilevel"/>
    <w:tmpl w:val="DC80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482820">
    <w:abstractNumId w:val="4"/>
  </w:num>
  <w:num w:numId="2" w16cid:durableId="411778157">
    <w:abstractNumId w:val="0"/>
  </w:num>
  <w:num w:numId="3" w16cid:durableId="1999770485">
    <w:abstractNumId w:val="8"/>
  </w:num>
  <w:num w:numId="4" w16cid:durableId="1528712595">
    <w:abstractNumId w:val="5"/>
  </w:num>
  <w:num w:numId="5" w16cid:durableId="1351686817">
    <w:abstractNumId w:val="9"/>
  </w:num>
  <w:num w:numId="6" w16cid:durableId="2085687591">
    <w:abstractNumId w:val="12"/>
  </w:num>
  <w:num w:numId="7" w16cid:durableId="927688738">
    <w:abstractNumId w:val="7"/>
  </w:num>
  <w:num w:numId="8" w16cid:durableId="978462140">
    <w:abstractNumId w:val="13"/>
  </w:num>
  <w:num w:numId="9" w16cid:durableId="769400200">
    <w:abstractNumId w:val="6"/>
  </w:num>
  <w:num w:numId="10" w16cid:durableId="1932004364">
    <w:abstractNumId w:val="11"/>
  </w:num>
  <w:num w:numId="11" w16cid:durableId="673337548">
    <w:abstractNumId w:val="1"/>
  </w:num>
  <w:num w:numId="12" w16cid:durableId="1566643838">
    <w:abstractNumId w:val="3"/>
  </w:num>
  <w:num w:numId="13" w16cid:durableId="436750560">
    <w:abstractNumId w:val="14"/>
  </w:num>
  <w:num w:numId="14" w16cid:durableId="1574197978">
    <w:abstractNumId w:val="2"/>
  </w:num>
  <w:num w:numId="15" w16cid:durableId="720598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4B"/>
    <w:rsid w:val="00001905"/>
    <w:rsid w:val="000024D0"/>
    <w:rsid w:val="000108AA"/>
    <w:rsid w:val="00012167"/>
    <w:rsid w:val="000507AF"/>
    <w:rsid w:val="0005085C"/>
    <w:rsid w:val="00066197"/>
    <w:rsid w:val="0008154B"/>
    <w:rsid w:val="000A404F"/>
    <w:rsid w:val="000A68F7"/>
    <w:rsid w:val="000B2BB1"/>
    <w:rsid w:val="000C34EE"/>
    <w:rsid w:val="000E4314"/>
    <w:rsid w:val="000F128A"/>
    <w:rsid w:val="000F33F4"/>
    <w:rsid w:val="00106934"/>
    <w:rsid w:val="0012734D"/>
    <w:rsid w:val="0015514F"/>
    <w:rsid w:val="001604B9"/>
    <w:rsid w:val="00163876"/>
    <w:rsid w:val="001711EA"/>
    <w:rsid w:val="00180A6D"/>
    <w:rsid w:val="001841E7"/>
    <w:rsid w:val="001B774D"/>
    <w:rsid w:val="001C141D"/>
    <w:rsid w:val="001C5BB8"/>
    <w:rsid w:val="001D58A7"/>
    <w:rsid w:val="001D7037"/>
    <w:rsid w:val="001E7BC5"/>
    <w:rsid w:val="00235E98"/>
    <w:rsid w:val="00276A6F"/>
    <w:rsid w:val="0029420B"/>
    <w:rsid w:val="002A2FF8"/>
    <w:rsid w:val="002B3322"/>
    <w:rsid w:val="002E0AF1"/>
    <w:rsid w:val="002F5F88"/>
    <w:rsid w:val="0031148C"/>
    <w:rsid w:val="00313438"/>
    <w:rsid w:val="00316730"/>
    <w:rsid w:val="00316732"/>
    <w:rsid w:val="00316B04"/>
    <w:rsid w:val="00331994"/>
    <w:rsid w:val="003329ED"/>
    <w:rsid w:val="003329EF"/>
    <w:rsid w:val="00344DB7"/>
    <w:rsid w:val="003468FA"/>
    <w:rsid w:val="003474F6"/>
    <w:rsid w:val="0035137C"/>
    <w:rsid w:val="00353C88"/>
    <w:rsid w:val="00380F96"/>
    <w:rsid w:val="003904CE"/>
    <w:rsid w:val="00390D5A"/>
    <w:rsid w:val="00394F2A"/>
    <w:rsid w:val="003A28A8"/>
    <w:rsid w:val="003A2A25"/>
    <w:rsid w:val="003B2F55"/>
    <w:rsid w:val="003C4BF5"/>
    <w:rsid w:val="003D2ED2"/>
    <w:rsid w:val="003E2764"/>
    <w:rsid w:val="003E5B07"/>
    <w:rsid w:val="003E71F5"/>
    <w:rsid w:val="003F08EB"/>
    <w:rsid w:val="00403135"/>
    <w:rsid w:val="00414AFC"/>
    <w:rsid w:val="00436D95"/>
    <w:rsid w:val="00451606"/>
    <w:rsid w:val="00465E3E"/>
    <w:rsid w:val="00497C85"/>
    <w:rsid w:val="004A3B0D"/>
    <w:rsid w:val="004B269B"/>
    <w:rsid w:val="004B2F59"/>
    <w:rsid w:val="004E1702"/>
    <w:rsid w:val="00506781"/>
    <w:rsid w:val="005254D0"/>
    <w:rsid w:val="005346CD"/>
    <w:rsid w:val="005360D9"/>
    <w:rsid w:val="00540E9D"/>
    <w:rsid w:val="00551498"/>
    <w:rsid w:val="00556CD5"/>
    <w:rsid w:val="0056529B"/>
    <w:rsid w:val="0057529B"/>
    <w:rsid w:val="005A240A"/>
    <w:rsid w:val="005A265B"/>
    <w:rsid w:val="005B548C"/>
    <w:rsid w:val="005F0A4A"/>
    <w:rsid w:val="005F12E9"/>
    <w:rsid w:val="00620B5D"/>
    <w:rsid w:val="00621A69"/>
    <w:rsid w:val="006405AB"/>
    <w:rsid w:val="006452DE"/>
    <w:rsid w:val="00645B65"/>
    <w:rsid w:val="006A7D88"/>
    <w:rsid w:val="006D5355"/>
    <w:rsid w:val="006E269D"/>
    <w:rsid w:val="006E6B2E"/>
    <w:rsid w:val="0070042D"/>
    <w:rsid w:val="00715F7C"/>
    <w:rsid w:val="007345A9"/>
    <w:rsid w:val="007436DA"/>
    <w:rsid w:val="00746510"/>
    <w:rsid w:val="0076526D"/>
    <w:rsid w:val="007705F7"/>
    <w:rsid w:val="00771A37"/>
    <w:rsid w:val="00784132"/>
    <w:rsid w:val="00792D4D"/>
    <w:rsid w:val="007B2E57"/>
    <w:rsid w:val="007B59B8"/>
    <w:rsid w:val="007B5FD9"/>
    <w:rsid w:val="007D0A34"/>
    <w:rsid w:val="007D3E52"/>
    <w:rsid w:val="007F1D55"/>
    <w:rsid w:val="007F7583"/>
    <w:rsid w:val="008276F1"/>
    <w:rsid w:val="00837061"/>
    <w:rsid w:val="008440AB"/>
    <w:rsid w:val="00846704"/>
    <w:rsid w:val="00851C1F"/>
    <w:rsid w:val="00853C58"/>
    <w:rsid w:val="00883FF9"/>
    <w:rsid w:val="008867AE"/>
    <w:rsid w:val="008A2247"/>
    <w:rsid w:val="008A272A"/>
    <w:rsid w:val="008C2D9D"/>
    <w:rsid w:val="008F05C2"/>
    <w:rsid w:val="009044FF"/>
    <w:rsid w:val="0092439E"/>
    <w:rsid w:val="009B7DF0"/>
    <w:rsid w:val="009C4EE1"/>
    <w:rsid w:val="009D7172"/>
    <w:rsid w:val="009E1E7C"/>
    <w:rsid w:val="00A0461C"/>
    <w:rsid w:val="00A05F7C"/>
    <w:rsid w:val="00A27ADE"/>
    <w:rsid w:val="00A3629F"/>
    <w:rsid w:val="00A47CB1"/>
    <w:rsid w:val="00A6119D"/>
    <w:rsid w:val="00A71D63"/>
    <w:rsid w:val="00A73439"/>
    <w:rsid w:val="00A81CDC"/>
    <w:rsid w:val="00A87CA1"/>
    <w:rsid w:val="00AA2B6C"/>
    <w:rsid w:val="00AA42D4"/>
    <w:rsid w:val="00AA4D2C"/>
    <w:rsid w:val="00AC5D38"/>
    <w:rsid w:val="00AD3CB3"/>
    <w:rsid w:val="00AD60A9"/>
    <w:rsid w:val="00AE1F0D"/>
    <w:rsid w:val="00AF1966"/>
    <w:rsid w:val="00B076AB"/>
    <w:rsid w:val="00B10775"/>
    <w:rsid w:val="00B119BF"/>
    <w:rsid w:val="00B11E77"/>
    <w:rsid w:val="00B45742"/>
    <w:rsid w:val="00B465F2"/>
    <w:rsid w:val="00B47038"/>
    <w:rsid w:val="00B72FB5"/>
    <w:rsid w:val="00B771FE"/>
    <w:rsid w:val="00B85ED3"/>
    <w:rsid w:val="00BB4DF7"/>
    <w:rsid w:val="00BB6A85"/>
    <w:rsid w:val="00BD616B"/>
    <w:rsid w:val="00BE2793"/>
    <w:rsid w:val="00BF6DB3"/>
    <w:rsid w:val="00C048B9"/>
    <w:rsid w:val="00C078AF"/>
    <w:rsid w:val="00C14DD6"/>
    <w:rsid w:val="00C60FE1"/>
    <w:rsid w:val="00C757FC"/>
    <w:rsid w:val="00CA4B84"/>
    <w:rsid w:val="00CC1D8D"/>
    <w:rsid w:val="00CC44C5"/>
    <w:rsid w:val="00CD5A6C"/>
    <w:rsid w:val="00CD5FB6"/>
    <w:rsid w:val="00CE40B9"/>
    <w:rsid w:val="00D274FB"/>
    <w:rsid w:val="00D53F90"/>
    <w:rsid w:val="00D83055"/>
    <w:rsid w:val="00D93A2B"/>
    <w:rsid w:val="00D97E6E"/>
    <w:rsid w:val="00DB54C0"/>
    <w:rsid w:val="00DB7613"/>
    <w:rsid w:val="00DC7BEC"/>
    <w:rsid w:val="00DD0D61"/>
    <w:rsid w:val="00DD5E6C"/>
    <w:rsid w:val="00DE7AC4"/>
    <w:rsid w:val="00E01476"/>
    <w:rsid w:val="00E076DB"/>
    <w:rsid w:val="00E11424"/>
    <w:rsid w:val="00E24749"/>
    <w:rsid w:val="00E26932"/>
    <w:rsid w:val="00E50BE9"/>
    <w:rsid w:val="00E56AED"/>
    <w:rsid w:val="00E579C4"/>
    <w:rsid w:val="00E63A2A"/>
    <w:rsid w:val="00E658E0"/>
    <w:rsid w:val="00E7346C"/>
    <w:rsid w:val="00EB568B"/>
    <w:rsid w:val="00EB7FAA"/>
    <w:rsid w:val="00EC5374"/>
    <w:rsid w:val="00EE0DF8"/>
    <w:rsid w:val="00F01E78"/>
    <w:rsid w:val="00F2307B"/>
    <w:rsid w:val="00F279DA"/>
    <w:rsid w:val="00F33D67"/>
    <w:rsid w:val="00F50D81"/>
    <w:rsid w:val="00F533E2"/>
    <w:rsid w:val="00F60A66"/>
    <w:rsid w:val="00F77C95"/>
    <w:rsid w:val="00F81874"/>
    <w:rsid w:val="00F94665"/>
    <w:rsid w:val="00FA4743"/>
    <w:rsid w:val="00FC4B46"/>
    <w:rsid w:val="00FD131B"/>
    <w:rsid w:val="00FD45EA"/>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DD8F"/>
  <w15:docId w15:val="{D57ED5DE-73C0-465B-860C-137E0316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0" w:qFormat="1"/>
    <w:lsdException w:name="heading 3" w:semiHidden="1" w:uiPriority="9"/>
    <w:lsdException w:name="heading 4" w:semiHidden="1" w:uiPriority="0" w:qFormat="1"/>
    <w:lsdException w:name="heading 5" w:semiHidden="1" w:uiPriority="0"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D274F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Heading1"/>
    <w:next w:val="Normal"/>
    <w:link w:val="Heading2Char"/>
    <w:qFormat/>
    <w:rsid w:val="00D274FB"/>
    <w:pPr>
      <w:keepLines w:val="0"/>
      <w:widowControl w:val="0"/>
      <w:numPr>
        <w:ilvl w:val="1"/>
        <w:numId w:val="14"/>
      </w:numPr>
      <w:autoSpaceDN/>
      <w:spacing w:before="200" w:line="240" w:lineRule="auto"/>
      <w:textAlignment w:val="auto"/>
      <w:outlineLvl w:val="1"/>
    </w:pPr>
    <w:rPr>
      <w:rFonts w:ascii="Verdana" w:eastAsia="Times New Roman" w:hAnsi="Verdana" w:cs="Arial"/>
      <w:b/>
      <w:iCs/>
      <w:color w:val="auto"/>
      <w:kern w:val="32"/>
      <w:sz w:val="18"/>
      <w:szCs w:val="28"/>
    </w:rPr>
  </w:style>
  <w:style w:type="paragraph" w:styleId="Heading4">
    <w:name w:val="heading 4"/>
    <w:basedOn w:val="Heading1"/>
    <w:next w:val="Normal"/>
    <w:link w:val="Heading4Char"/>
    <w:qFormat/>
    <w:rsid w:val="00D274FB"/>
    <w:pPr>
      <w:keepLines w:val="0"/>
      <w:widowControl w:val="0"/>
      <w:numPr>
        <w:ilvl w:val="3"/>
        <w:numId w:val="14"/>
      </w:numPr>
      <w:autoSpaceDN/>
      <w:spacing w:line="240" w:lineRule="atLeast"/>
      <w:textAlignment w:val="auto"/>
      <w:outlineLvl w:val="3"/>
    </w:pPr>
    <w:rPr>
      <w:rFonts w:ascii="Verdana" w:eastAsia="Times New Roman" w:hAnsi="Verdana" w:cs="Arial"/>
      <w:color w:val="auto"/>
      <w:kern w:val="32"/>
      <w:sz w:val="18"/>
      <w:szCs w:val="28"/>
    </w:rPr>
  </w:style>
  <w:style w:type="paragraph" w:styleId="Heading5">
    <w:name w:val="heading 5"/>
    <w:basedOn w:val="Normal"/>
    <w:next w:val="Normal"/>
    <w:link w:val="Heading5Char"/>
    <w:qFormat/>
    <w:rsid w:val="00D274FB"/>
    <w:pPr>
      <w:numPr>
        <w:ilvl w:val="4"/>
        <w:numId w:val="14"/>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F6DB3"/>
    <w:pPr>
      <w:tabs>
        <w:tab w:val="center" w:pos="4513"/>
        <w:tab w:val="right" w:pos="9026"/>
      </w:tabs>
      <w:spacing w:line="240" w:lineRule="auto"/>
    </w:pPr>
  </w:style>
  <w:style w:type="character" w:customStyle="1" w:styleId="HeaderChar">
    <w:name w:val="Header Char"/>
    <w:basedOn w:val="DefaultParagraphFont"/>
    <w:link w:val="Header"/>
    <w:uiPriority w:val="99"/>
    <w:rsid w:val="00BF6DB3"/>
    <w:rPr>
      <w:rFonts w:ascii="Verdana" w:hAnsi="Verdana"/>
      <w:color w:val="000000"/>
      <w:sz w:val="18"/>
      <w:szCs w:val="18"/>
    </w:rPr>
  </w:style>
  <w:style w:type="paragraph" w:styleId="Footer">
    <w:name w:val="footer"/>
    <w:basedOn w:val="Normal"/>
    <w:link w:val="FooterChar"/>
    <w:uiPriority w:val="99"/>
    <w:unhideWhenUsed/>
    <w:rsid w:val="00BF6DB3"/>
    <w:pPr>
      <w:tabs>
        <w:tab w:val="center" w:pos="4513"/>
        <w:tab w:val="right" w:pos="9026"/>
      </w:tabs>
      <w:spacing w:line="240" w:lineRule="auto"/>
    </w:pPr>
  </w:style>
  <w:style w:type="character" w:customStyle="1" w:styleId="FooterChar">
    <w:name w:val="Footer Char"/>
    <w:basedOn w:val="DefaultParagraphFont"/>
    <w:link w:val="Footer"/>
    <w:uiPriority w:val="99"/>
    <w:rsid w:val="00BF6DB3"/>
    <w:rPr>
      <w:rFonts w:ascii="Verdana" w:hAnsi="Verdana"/>
      <w:color w:val="000000"/>
      <w:sz w:val="18"/>
      <w:szCs w:val="18"/>
    </w:rPr>
  </w:style>
  <w:style w:type="paragraph" w:styleId="FootnoteText">
    <w:name w:val="footnote text"/>
    <w:basedOn w:val="Normal"/>
    <w:link w:val="FootnoteTextChar"/>
    <w:semiHidden/>
    <w:unhideWhenUsed/>
    <w:rsid w:val="00F94665"/>
    <w:pPr>
      <w:spacing w:line="240" w:lineRule="auto"/>
    </w:pPr>
    <w:rPr>
      <w:sz w:val="20"/>
      <w:szCs w:val="20"/>
    </w:rPr>
  </w:style>
  <w:style w:type="character" w:customStyle="1" w:styleId="FootnoteTextChar">
    <w:name w:val="Footnote Text Char"/>
    <w:basedOn w:val="DefaultParagraphFont"/>
    <w:link w:val="FootnoteText"/>
    <w:uiPriority w:val="99"/>
    <w:semiHidden/>
    <w:rsid w:val="00F94665"/>
    <w:rPr>
      <w:rFonts w:ascii="Verdana" w:hAnsi="Verdana"/>
      <w:color w:val="000000"/>
    </w:rPr>
  </w:style>
  <w:style w:type="character" w:styleId="FootnoteReference">
    <w:name w:val="footnote reference"/>
    <w:basedOn w:val="DefaultParagraphFont"/>
    <w:semiHidden/>
    <w:unhideWhenUsed/>
    <w:rsid w:val="00F94665"/>
    <w:rPr>
      <w:vertAlign w:val="superscript"/>
    </w:rPr>
  </w:style>
  <w:style w:type="character" w:styleId="UnresolvedMention">
    <w:name w:val="Unresolved Mention"/>
    <w:basedOn w:val="DefaultParagraphFont"/>
    <w:uiPriority w:val="99"/>
    <w:semiHidden/>
    <w:unhideWhenUsed/>
    <w:rsid w:val="00394F2A"/>
    <w:rPr>
      <w:color w:val="605E5C"/>
      <w:shd w:val="clear" w:color="auto" w:fill="E1DFDD"/>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CD5A6C"/>
    <w:pPr>
      <w:ind w:left="720"/>
      <w:contextualSpacing/>
    </w:pPr>
  </w:style>
  <w:style w:type="character" w:styleId="CommentReference">
    <w:name w:val="annotation reference"/>
    <w:basedOn w:val="DefaultParagraphFont"/>
    <w:uiPriority w:val="99"/>
    <w:semiHidden/>
    <w:unhideWhenUsed/>
    <w:rsid w:val="00EC5374"/>
    <w:rPr>
      <w:sz w:val="16"/>
      <w:szCs w:val="16"/>
    </w:rPr>
  </w:style>
  <w:style w:type="paragraph" w:styleId="CommentText">
    <w:name w:val="annotation text"/>
    <w:basedOn w:val="Normal"/>
    <w:link w:val="CommentTextChar"/>
    <w:uiPriority w:val="99"/>
    <w:unhideWhenUsed/>
    <w:rsid w:val="00EC5374"/>
    <w:pPr>
      <w:spacing w:line="240" w:lineRule="auto"/>
    </w:pPr>
    <w:rPr>
      <w:sz w:val="20"/>
      <w:szCs w:val="20"/>
    </w:rPr>
  </w:style>
  <w:style w:type="character" w:customStyle="1" w:styleId="CommentTextChar">
    <w:name w:val="Comment Text Char"/>
    <w:basedOn w:val="DefaultParagraphFont"/>
    <w:link w:val="CommentText"/>
    <w:uiPriority w:val="99"/>
    <w:rsid w:val="00EC53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5374"/>
    <w:rPr>
      <w:b/>
      <w:bCs/>
    </w:rPr>
  </w:style>
  <w:style w:type="character" w:customStyle="1" w:styleId="CommentSubjectChar">
    <w:name w:val="Comment Subject Char"/>
    <w:basedOn w:val="CommentTextChar"/>
    <w:link w:val="CommentSubject"/>
    <w:uiPriority w:val="99"/>
    <w:semiHidden/>
    <w:rsid w:val="00EC5374"/>
    <w:rPr>
      <w:rFonts w:ascii="Verdana" w:hAnsi="Verdana"/>
      <w:b/>
      <w:bCs/>
      <w:color w:val="000000"/>
    </w:rPr>
  </w:style>
  <w:style w:type="paragraph" w:styleId="Revision">
    <w:name w:val="Revision"/>
    <w:hidden/>
    <w:uiPriority w:val="99"/>
    <w:semiHidden/>
    <w:rsid w:val="00E658E0"/>
    <w:pPr>
      <w:autoSpaceDN/>
      <w:textAlignment w:val="auto"/>
    </w:pPr>
    <w:rPr>
      <w:rFonts w:ascii="Verdana" w:hAnsi="Verdana"/>
      <w:color w:val="000000"/>
      <w:sz w:val="18"/>
      <w:szCs w:val="18"/>
    </w:rPr>
  </w:style>
  <w:style w:type="table" w:styleId="TableGrid">
    <w:name w:val="Table Grid"/>
    <w:basedOn w:val="TableNormal"/>
    <w:rsid w:val="008A272A"/>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3FF9"/>
    <w:rPr>
      <w:color w:val="96607D"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2734D"/>
    <w:rPr>
      <w:rFonts w:ascii="Verdana" w:hAnsi="Verdana"/>
      <w:color w:val="000000"/>
      <w:sz w:val="18"/>
      <w:szCs w:val="18"/>
    </w:rPr>
  </w:style>
  <w:style w:type="character" w:customStyle="1" w:styleId="Heading2Char">
    <w:name w:val="Heading 2 Char"/>
    <w:basedOn w:val="DefaultParagraphFont"/>
    <w:link w:val="Heading2"/>
    <w:rsid w:val="00D274FB"/>
    <w:rPr>
      <w:rFonts w:ascii="Verdana" w:eastAsia="Times New Roman" w:hAnsi="Verdana" w:cs="Arial"/>
      <w:b/>
      <w:iCs/>
      <w:kern w:val="32"/>
      <w:sz w:val="18"/>
      <w:szCs w:val="28"/>
    </w:rPr>
  </w:style>
  <w:style w:type="character" w:customStyle="1" w:styleId="Heading4Char">
    <w:name w:val="Heading 4 Char"/>
    <w:basedOn w:val="DefaultParagraphFont"/>
    <w:link w:val="Heading4"/>
    <w:rsid w:val="00D274FB"/>
    <w:rPr>
      <w:rFonts w:ascii="Verdana" w:eastAsia="Times New Roman" w:hAnsi="Verdana" w:cs="Arial"/>
      <w:kern w:val="32"/>
      <w:sz w:val="18"/>
      <w:szCs w:val="28"/>
    </w:rPr>
  </w:style>
  <w:style w:type="character" w:customStyle="1" w:styleId="Heading5Char">
    <w:name w:val="Heading 5 Char"/>
    <w:basedOn w:val="DefaultParagraphFont"/>
    <w:link w:val="Heading5"/>
    <w:rsid w:val="00D274FB"/>
    <w:rPr>
      <w:rFonts w:ascii="Verdana" w:eastAsia="Times New Roman" w:hAnsi="Verdana" w:cs="Times New Roman"/>
      <w:b/>
      <w:bCs/>
      <w:i/>
      <w:iCs/>
      <w:sz w:val="26"/>
      <w:szCs w:val="26"/>
    </w:rPr>
  </w:style>
  <w:style w:type="character" w:customStyle="1" w:styleId="Heading1Char">
    <w:name w:val="Heading 1 Char"/>
    <w:basedOn w:val="DefaultParagraphFont"/>
    <w:link w:val="Heading1"/>
    <w:uiPriority w:val="99"/>
    <w:semiHidden/>
    <w:rsid w:val="00D274F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883">
      <w:bodyDiv w:val="1"/>
      <w:marLeft w:val="0"/>
      <w:marRight w:val="0"/>
      <w:marTop w:val="0"/>
      <w:marBottom w:val="0"/>
      <w:divBdr>
        <w:top w:val="none" w:sz="0" w:space="0" w:color="auto"/>
        <w:left w:val="none" w:sz="0" w:space="0" w:color="auto"/>
        <w:bottom w:val="none" w:sz="0" w:space="0" w:color="auto"/>
        <w:right w:val="none" w:sz="0" w:space="0" w:color="auto"/>
      </w:divBdr>
    </w:div>
    <w:div w:id="1229655944">
      <w:bodyDiv w:val="1"/>
      <w:marLeft w:val="0"/>
      <w:marRight w:val="0"/>
      <w:marTop w:val="0"/>
      <w:marBottom w:val="0"/>
      <w:divBdr>
        <w:top w:val="none" w:sz="0" w:space="0" w:color="auto"/>
        <w:left w:val="none" w:sz="0" w:space="0" w:color="auto"/>
        <w:bottom w:val="none" w:sz="0" w:space="0" w:color="auto"/>
        <w:right w:val="none" w:sz="0" w:space="0" w:color="auto"/>
      </w:divBdr>
    </w:div>
    <w:div w:id="1275794607">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1468</ap:Words>
  <ap:Characters>8078</ap:Characters>
  <ap:DocSecurity>0</ap:DocSecurity>
  <ap:Lines>67</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 Speciaal Tribunaal voor het Misdrijf Agressie Tegen Oekraine</vt:lpstr>
      <vt:lpstr>Kamerbrief - Speciaal Tribunaal voor het Misdrijf Agressie Tegen Oekraine</vt:lpstr>
    </vt:vector>
  </ap:TitlesOfParts>
  <ap:LinksUpToDate>false</ap:LinksUpToDate>
  <ap:CharactersWithSpaces>9527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2025-12-16T08:00:00.0000000Z</dcterms:created>
  <dcterms:modified xsi:type="dcterms:W3CDTF">2025-12-16T08:00:00.0000000Z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1c35f7aa-0d97-460e-92fb-f5ab32a86cb0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