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71268" w:rsidR="00B71268" w:rsidP="00B71268" w:rsidRDefault="00B71268" w14:paraId="3F04DD03" w14:textId="77777777">
      <w:r w:rsidRPr="00B71268">
        <w:t>Geachte voorzitter,</w:t>
      </w:r>
    </w:p>
    <w:p w:rsidRPr="00B71268" w:rsidR="00B71268" w:rsidP="00B71268" w:rsidRDefault="00B71268" w14:paraId="389F976E" w14:textId="77777777"/>
    <w:p w:rsidRPr="00B71268" w:rsidR="00B71268" w:rsidP="00B71268" w:rsidRDefault="00B71268" w14:paraId="5D811A8B" w14:textId="77777777">
      <w:pPr>
        <w:rPr>
          <w:i/>
          <w:iCs/>
        </w:rPr>
      </w:pPr>
      <w:r w:rsidRPr="00B71268">
        <w:t xml:space="preserve">Met deze brief informeer ik uw Kamer </w:t>
      </w:r>
      <w:r w:rsidR="00E303CD">
        <w:t xml:space="preserve">over het voornemen van het kabinet </w:t>
      </w:r>
      <w:r w:rsidRPr="00B71268">
        <w:t>om via een besluit vooruitlopend op wetgeving goed te keuren dat de youngtimerregeling van toepassing mag blijven als in 2025 ter beschikking gestelde of ter beschikking staande auto</w:t>
      </w:r>
      <w:r w:rsidR="00E303CD">
        <w:t>’s</w:t>
      </w:r>
      <w:r w:rsidRPr="00B71268">
        <w:t xml:space="preserve"> 16 jaar oud </w:t>
      </w:r>
      <w:r w:rsidRPr="00B71268" w:rsidR="00E303CD">
        <w:t>word</w:t>
      </w:r>
      <w:r w:rsidR="00E303CD">
        <w:t>en</w:t>
      </w:r>
      <w:r w:rsidRPr="00B71268" w:rsidR="00E303CD">
        <w:t xml:space="preserve"> </w:t>
      </w:r>
      <w:r w:rsidRPr="00B71268">
        <w:t xml:space="preserve">in het jaar 2026. </w:t>
      </w:r>
      <w:r w:rsidR="00E303CD">
        <w:t>B</w:t>
      </w:r>
      <w:r w:rsidRPr="00B71268" w:rsidR="00E303CD">
        <w:t>elastingplichtige</w:t>
      </w:r>
      <w:r w:rsidR="00E303CD">
        <w:t>n</w:t>
      </w:r>
      <w:r w:rsidRPr="00B71268" w:rsidR="00E303CD">
        <w:t xml:space="preserve"> </w:t>
      </w:r>
      <w:r w:rsidR="00E303CD">
        <w:t>zijn</w:t>
      </w:r>
      <w:r w:rsidRPr="00B71268" w:rsidR="00E303CD">
        <w:t xml:space="preserve"> </w:t>
      </w:r>
      <w:r w:rsidRPr="00B71268">
        <w:t xml:space="preserve">niet verplicht deze goedkeuring toe te passen. Dit besluit volgt </w:t>
      </w:r>
      <w:r w:rsidR="00E303CD">
        <w:t>uit</w:t>
      </w:r>
      <w:r w:rsidRPr="00B71268">
        <w:t xml:space="preserve"> de versobering van </w:t>
      </w:r>
      <w:proofErr w:type="gramStart"/>
      <w:r w:rsidRPr="00B71268">
        <w:t>de</w:t>
      </w:r>
      <w:proofErr w:type="gramEnd"/>
      <w:r w:rsidRPr="00B71268">
        <w:t xml:space="preserve"> youngtimerregeling naar aanleiding van het amendement Grinwis/Oosterhuis</w:t>
      </w:r>
      <w:r w:rsidRPr="00B71268">
        <w:rPr>
          <w:vertAlign w:val="superscript"/>
        </w:rPr>
        <w:footnoteReference w:id="1"/>
      </w:r>
      <w:r w:rsidRPr="00B71268">
        <w:t xml:space="preserve"> </w:t>
      </w:r>
      <w:r w:rsidR="00FB65B3">
        <w:t>bij het Belastingplan 2026. Hiermee geef ik ook gehoor aan</w:t>
      </w:r>
      <w:r w:rsidRPr="00B71268">
        <w:t xml:space="preserve"> een oproep van leden van verschillende fracties in de Eerste Kamer die vragen om</w:t>
      </w:r>
      <w:r w:rsidR="00D62902">
        <w:t xml:space="preserve"> een overgangsregeling</w:t>
      </w:r>
      <w:r w:rsidRPr="00B71268">
        <w:t>.</w:t>
      </w:r>
    </w:p>
    <w:p w:rsidRPr="00B71268" w:rsidR="00B71268" w:rsidP="00B71268" w:rsidRDefault="00B71268" w14:paraId="3CE4408E" w14:textId="77777777">
      <w:pPr>
        <w:rPr>
          <w:i/>
          <w:iCs/>
        </w:rPr>
      </w:pPr>
    </w:p>
    <w:p w:rsidRPr="00B71268" w:rsidR="00B71268" w:rsidP="00B71268" w:rsidRDefault="00B71268" w14:paraId="1B8D5D4E" w14:textId="77777777">
      <w:pPr>
        <w:rPr>
          <w:i/>
          <w:iCs/>
        </w:rPr>
      </w:pPr>
      <w:r w:rsidRPr="00B71268">
        <w:rPr>
          <w:i/>
          <w:iCs/>
        </w:rPr>
        <w:t>Uitwerking amendement</w:t>
      </w:r>
    </w:p>
    <w:p w:rsidRPr="00B71268" w:rsidR="00B71268" w:rsidP="00B71268" w:rsidRDefault="00B71268" w14:paraId="19414B63" w14:textId="77777777">
      <w:r w:rsidRPr="00B71268">
        <w:t>Per 1 januari 2026 regelt het amendement het volgende. In het geval dat een aan een werknemer (waaronder een DGA) ter beschikking gestelde of vanuit de IB-onderneming ter beschikking staande auto jonger is dan 16 jaar, wordt het privévoordeel in 2026 belast via een belastingheffing over een bijtelling van 22% of 25%</w:t>
      </w:r>
      <w:r w:rsidRPr="00B71268">
        <w:rPr>
          <w:vertAlign w:val="superscript"/>
        </w:rPr>
        <w:footnoteReference w:id="2"/>
      </w:r>
      <w:r w:rsidRPr="00B71268">
        <w:t xml:space="preserve"> van de cataloguswaarde van deze auto. Vanaf het moment dat een auto 16 jaar is, geldt op basis van het amendement in 2026 een bijtelling van 35% van de waarde in het economische verkeer. Het amendement regelt verder dat per </w:t>
      </w:r>
      <w:r w:rsidR="009351FA">
        <w:t xml:space="preserve">    </w:t>
      </w:r>
      <w:r w:rsidRPr="00B71268">
        <w:t xml:space="preserve">1 januari 2027 de leeftijdsgrens nogmaals wordt verhoogd naar 25 jaar. </w:t>
      </w:r>
    </w:p>
    <w:p w:rsidRPr="00B71268" w:rsidR="00B71268" w:rsidP="00B71268" w:rsidRDefault="00B71268" w14:paraId="78F5C477" w14:textId="77777777">
      <w:r w:rsidRPr="00B71268">
        <w:br/>
        <w:t xml:space="preserve">De leden van verschillende fracties in de Eerste Kamer hebben hun zorgen geuit over het ontbreken van </w:t>
      </w:r>
      <w:r w:rsidR="00D62902">
        <w:t xml:space="preserve">een overgangsregeling </w:t>
      </w:r>
      <w:r w:rsidRPr="00B71268">
        <w:t xml:space="preserve">en dat het daardoor lastig, dan wel niet mogelijk is om desgewenst te anticiperen op de versobering van de youngtimerregeling. Zij vragen of ik ruimte zie om een toezegging te doen op dit terrein waarbij recht wordt gedaan aan de geest van het aangenomen amendement. </w:t>
      </w:r>
    </w:p>
    <w:p w:rsidRPr="00B71268" w:rsidR="00B71268" w:rsidP="00B71268" w:rsidRDefault="00B71268" w14:paraId="077F0F95" w14:textId="77777777"/>
    <w:p w:rsidRPr="00B71268" w:rsidR="00B71268" w:rsidP="00B71268" w:rsidRDefault="00B71268" w14:paraId="30856E78" w14:textId="77777777">
      <w:r w:rsidRPr="00B71268">
        <w:t xml:space="preserve">Deze zorgen zijn deels terecht. Een bepaalde groep autogebruikers heeft namelijk weinig tot geen tijd om te anticiperen op de verhoging van de leeftijdsgrens. Het gaat dan om auto’s die dit jaar 15 jaar oud zijn geworden of nog worden. Zodra zij 15 jaar oud worden, dus in de loop van 2025, is op deze auto’s de youngtimerregeling van toepassing. Op basis van het amendement geldt vanaf </w:t>
      </w:r>
      <w:r w:rsidR="009351FA">
        <w:t xml:space="preserve">    </w:t>
      </w:r>
      <w:r w:rsidRPr="00B71268">
        <w:t xml:space="preserve">1 januari 2026 tot het moment dat de auto 16 jaar oud wordt, een bijtelling van </w:t>
      </w:r>
      <w:r w:rsidRPr="00B71268">
        <w:lastRenderedPageBreak/>
        <w:t xml:space="preserve">25% over de cataloguswaarde. Zodra de auto 16 jaar oud is, is de youngtimerregeling weer van toepassing tot 1 januari 2027. </w:t>
      </w:r>
    </w:p>
    <w:p w:rsidRPr="00B71268" w:rsidR="00B71268" w:rsidP="00B71268" w:rsidRDefault="00B71268" w14:paraId="09EBB2EF" w14:textId="77777777"/>
    <w:p w:rsidRPr="00B71268" w:rsidR="00B71268" w:rsidP="00B71268" w:rsidRDefault="00B71268" w14:paraId="323C3D49" w14:textId="77777777">
      <w:r w:rsidRPr="00B71268">
        <w:t>Het kabinet denkt dat voorgaande niet een bedoeld effect is geweest van de indieners van het amendement, omdat expliciet is benoemd dat de gefaseerde leeftijdsverhoging bedoeld is om gebruikers een jaar de tijd te geven op de versobering van de youngtimerregeling te anticiperen. De mogelijkheid om in deze fase nog een overgangsregeling toe te zeggen die ingaat per 1 januari 2026, beperkt zich tot het publiceren van een goedkeurend besluit vooruitlopend op wetgeving. Met een dergelijk besluit wordt echter een beslissing genomen zonder dat het voor het parlement mogelijk is hier vooraf formeel toestemming voor te geven. Een van mijn voorgangers heeft dan ook, mede naar aanleiding van een advies van de Afdeling advisering van de Raad van State, toegezegd om terughoudend om te zullen gaan met de totstandkoming of opstelling van goedkeurende beleidsbesluiten die geen wettelijke grondslag kennen.</w:t>
      </w:r>
      <w:r w:rsidRPr="00B71268">
        <w:rPr>
          <w:vertAlign w:val="superscript"/>
        </w:rPr>
        <w:footnoteReference w:id="3"/>
      </w:r>
      <w:r w:rsidRPr="00B71268">
        <w:t xml:space="preserve"> </w:t>
      </w:r>
    </w:p>
    <w:p w:rsidRPr="00B71268" w:rsidR="00B71268" w:rsidP="00B71268" w:rsidRDefault="00B71268" w14:paraId="4C07F7C7" w14:textId="77777777"/>
    <w:p w:rsidRPr="00B71268" w:rsidR="00B71268" w:rsidP="00B71268" w:rsidRDefault="00B71268" w14:paraId="68B97A76" w14:textId="77777777">
      <w:r w:rsidRPr="00B71268">
        <w:t xml:space="preserve">Tegelijkertijd is er nu een groep autogebruikers die op basis van het amendement per 1 januari 2026 te maken krijgt met een hogere bijtelling en weinig tot geen handelingsperspectief heeft om hierop te anticiperen. In combinatie met de oproep vanuit de Eerste Kamer om alsnog </w:t>
      </w:r>
      <w:r w:rsidR="00D62902">
        <w:t>een overgangsregeling</w:t>
      </w:r>
      <w:r w:rsidRPr="00B71268">
        <w:t xml:space="preserve"> toe te zeggen, de toelichting op het amendement waaruit blijkt dat de indieners een anticipatiejaar wilden introduceren en dat deze overgangstermijn geen budgettaire gevolgen heeft, kiest het kabinet voor een overgangstermijn via een goedkeurend beleidsbesluit. </w:t>
      </w:r>
    </w:p>
    <w:p w:rsidRPr="00B71268" w:rsidR="00B71268" w:rsidP="00B71268" w:rsidRDefault="00B71268" w14:paraId="2E9BF3A9" w14:textId="77777777">
      <w:pPr>
        <w:rPr>
          <w:u w:val="single"/>
        </w:rPr>
      </w:pPr>
    </w:p>
    <w:p w:rsidRPr="00B71268" w:rsidR="00B71268" w:rsidP="00B71268" w:rsidRDefault="00B71268" w14:paraId="2FDF585D" w14:textId="77777777">
      <w:pPr>
        <w:rPr>
          <w:i/>
          <w:iCs/>
        </w:rPr>
      </w:pPr>
      <w:r w:rsidRPr="00B71268">
        <w:rPr>
          <w:i/>
          <w:iCs/>
        </w:rPr>
        <w:t>Vormgeving overgangstermijn</w:t>
      </w:r>
    </w:p>
    <w:p w:rsidRPr="00B71268" w:rsidR="0040119B" w:rsidP="0040119B" w:rsidRDefault="00B71268" w14:paraId="264DA394" w14:textId="77777777">
      <w:r w:rsidRPr="00B71268">
        <w:t xml:space="preserve">Het amendement heeft in een aantal situaties als gevolg dat er slechts tot </w:t>
      </w:r>
      <w:r w:rsidR="009351FA">
        <w:t xml:space="preserve">          </w:t>
      </w:r>
      <w:r w:rsidRPr="00B71268">
        <w:t>1 januari aanstaande tijd is om te anticiperen op de verhoogde leeftijdsgrens. Vanwege het zeer beperkte handelingsperspectief ontstaan zwaarwegende maatschappelijk onaanvaardbare gevolgen voor auto’s die in de loop van 2025 15 jaar zijn geworden of nog worden. Om het gewenste handelingsperspectief voor deze bestaande situaties te bieden is een overgangstermijn van een jaar wenselijk. De overgangstermijn in het hierbij aangekondigde beleidsbesluit zal alleen van toepassing zijn voor auto’s die in de loop van 2025 15 jaar zijn geworden of nog worden en in de loop van 2025 al ter beschikking zijn gesteld aan dezelfde werknemer of ter beschikking staan aan de IB-ondernemer. In (vermoedelijk voornamelijk theoretische) situaties zou het kunnen voorkomen dat het voordeliger is voor een belastingplichtige om de bijtelling te berekenen op basis van de cataloguswaarde. Daarom zal het besluit worden vormgegeven als een keuzeregeling.</w:t>
      </w:r>
      <w:r w:rsidR="0040119B">
        <w:t xml:space="preserve"> P</w:t>
      </w:r>
      <w:r w:rsidRPr="00B71268" w:rsidR="0040119B">
        <w:t xml:space="preserve">er 1 januari 2027 </w:t>
      </w:r>
      <w:r w:rsidR="0040119B">
        <w:t xml:space="preserve">wordt </w:t>
      </w:r>
      <w:r w:rsidRPr="00B71268" w:rsidR="0040119B">
        <w:t>de leeftijdsgrens verhoogd naar 25 jaar</w:t>
      </w:r>
      <w:r w:rsidR="0040119B">
        <w:t xml:space="preserve"> en stopt de overgangstermijn</w:t>
      </w:r>
      <w:r w:rsidRPr="00B71268" w:rsidR="0040119B">
        <w:t xml:space="preserve">. </w:t>
      </w:r>
    </w:p>
    <w:p w:rsidR="00E303CD" w:rsidP="00B71268" w:rsidRDefault="00E303CD" w14:paraId="0B893CA9" w14:textId="77777777">
      <w:pPr>
        <w:rPr>
          <w:i/>
          <w:iCs/>
        </w:rPr>
      </w:pPr>
    </w:p>
    <w:p w:rsidRPr="00B71268" w:rsidR="00B71268" w:rsidP="00B71268" w:rsidRDefault="00B71268" w14:paraId="2AE8D558" w14:textId="77777777">
      <w:r w:rsidRPr="00B71268">
        <w:rPr>
          <w:i/>
          <w:iCs/>
        </w:rPr>
        <w:t>Kader beleidsbesluit vooruitlopend op wetgeving</w:t>
      </w:r>
    </w:p>
    <w:p w:rsidRPr="00B71268" w:rsidR="00B71268" w:rsidP="00B71268" w:rsidRDefault="00B71268" w14:paraId="414D626B" w14:textId="77777777">
      <w:r w:rsidRPr="00B71268">
        <w:t xml:space="preserve">Het op korte termijn invoeren van een overgangstermijn is van belang om het gewenste handelingsperspectief te realiseren. Een novelle om de wet aan te passen binnen korte termijn is tijd technisch niet haalbaar. Hierdoor resteert een goedkeurend beleidsbesluit vooruitlopend op wetgeving als enige optie om op </w:t>
      </w:r>
      <w:r w:rsidRPr="00B71268">
        <w:lastRenderedPageBreak/>
        <w:t xml:space="preserve">korte termijn het gewenste handelingsperspectief te bieden. Ik </w:t>
      </w:r>
      <w:r w:rsidRPr="009351FA">
        <w:t xml:space="preserve">realiseer me dat dit besluit technisch gezien afwijkt van het door </w:t>
      </w:r>
      <w:r w:rsidRPr="009351FA" w:rsidR="009351FA">
        <w:t>de Tweede Kamer</w:t>
      </w:r>
      <w:r w:rsidRPr="009351FA">
        <w:t xml:space="preserve"> aangenomen Belastingplan 2026. Maar tegelijkertijd doet dit meer recht aan het signaal vanuit de Eerste Kamer dat </w:t>
      </w:r>
      <w:r w:rsidR="00D62902">
        <w:t>een overgangsregeling</w:t>
      </w:r>
      <w:r w:rsidRPr="009351FA">
        <w:t xml:space="preserve"> gewenst is en lijkt dit aan te sluiten bij d</w:t>
      </w:r>
      <w:r w:rsidRPr="00B71268">
        <w:t xml:space="preserve">e geest van het amendement, blijkende uit de toelichting van de indieners, die een anticipatiejaar beoogden voor alle bestaande situaties. Hierdoor oordeelt het kabinet dat er voldoende maatschappelijk en politiek draagvlak is om de gekozen route te verantwoorden. Ook staat het te nemen besluit in verhouding tot het belang dat hiermee is gediend. Het wachten op een wetswijziging knelt zodanig dat onverkorte wetstoepassing niet past bij een overheid die recht wil doen aan de menselijke maat en algemene rechtsbeginselen. Daarnaast heeft deze overgangstermijn geen budgettaire gevolgen. Het beleidsbesluit vooruitlopend op wetgeving pakt uitsluitend in het voordeel uit van belastingplichtigen door de keuzemogelijkheid om de bijtelling te berekenen op basis van de cataloguswaarde als dit leidt tot een lagere bijtelling voor belastingplichtigen. </w:t>
      </w:r>
    </w:p>
    <w:p w:rsidRPr="00B71268" w:rsidR="00B71268" w:rsidP="00B71268" w:rsidRDefault="00B71268" w14:paraId="50C5675B" w14:textId="77777777"/>
    <w:p w:rsidR="00F70946" w:rsidP="00B71268" w:rsidRDefault="00B71268" w14:paraId="401AE8A6" w14:textId="77777777">
      <w:r w:rsidRPr="00B71268">
        <w:t xml:space="preserve">Ik ben me ervan bewust dat het op korte termijn opstellen van een beleidsbesluit vooruitlopend op wetgeving extra werklast met zich meebrengt voor de Belastingdienst in haar handhaving en uitvoering. Dit geldt niet alleen voor de Belastingdienst, maar ook voor softwareontwikkelaars die deze aanpassing niet meer tijdig kunnen verwerken. Ook komt de Belastingdienst hierdoor haar afspraken met de softwareontwikkelaars niet na. Ook de communicatie uitingen van de Belastingdienst dienen aangepast te worden en hiervoor is aanvullende communicatie gewenst. Het risico bestaat dat werkgevers aan het begin van het jaar een verkeerde bijtelling toepassen. Dit kan nog worden gecorrigeerd via de loonaangifte, dan wel de aangifte inkomstenbelasting. </w:t>
      </w:r>
    </w:p>
    <w:p w:rsidRPr="00B71268" w:rsidR="00B71268" w:rsidP="00B71268" w:rsidRDefault="00B71268" w14:paraId="635BF2EE" w14:textId="77777777">
      <w:r w:rsidRPr="00B71268">
        <w:t xml:space="preserve">Desondanks is een beleidsbesluit vooruitlopend op wetgeving naar het oordeel van het kabinet wenselijk om een groep autogebruikers het benodigde handelingsperspectief te geven, om daarmee tegemoet te komen aan de wens vanuit de Eerst Kamer om aanvullend </w:t>
      </w:r>
      <w:r w:rsidR="00D62902">
        <w:t>een overgangsregeling</w:t>
      </w:r>
      <w:r w:rsidRPr="00B71268">
        <w:t xml:space="preserve"> aan te</w:t>
      </w:r>
      <w:r w:rsidR="00D62902">
        <w:t xml:space="preserve"> laten</w:t>
      </w:r>
      <w:r w:rsidRPr="00B71268">
        <w:t xml:space="preserve"> sluiten bij de geest van het amendement, zoals lijkt te volgen uit de toelichting van het amendement. </w:t>
      </w:r>
    </w:p>
    <w:p w:rsidRPr="00B71268" w:rsidR="00B71268" w:rsidP="00B71268" w:rsidRDefault="00B71268" w14:paraId="5983915D" w14:textId="77777777"/>
    <w:p w:rsidR="00D62902" w:rsidP="00B71268" w:rsidRDefault="00B71268" w14:paraId="276C951F" w14:textId="77777777">
      <w:r w:rsidRPr="00B71268">
        <w:t xml:space="preserve">Daarom ben ik voornemens op zo kort mogelijke termijn het beleidsbesluit vooruitlopend op wetgeving te publiceren. Het beleidsbesluit zal de dag na publicatie in de Staatscourant in werking treden met terugwerkende kracht tot en met 1 januari 2026. </w:t>
      </w:r>
    </w:p>
    <w:p w:rsidR="00D62902" w:rsidP="00B71268" w:rsidRDefault="00D62902" w14:paraId="0BA1952A" w14:textId="77777777"/>
    <w:p w:rsidR="00D62902" w:rsidP="00B71268" w:rsidRDefault="00D62902" w14:paraId="50E429FF" w14:textId="77777777"/>
    <w:p w:rsidR="00D62902" w:rsidP="00B71268" w:rsidRDefault="00D62902" w14:paraId="5C2C0F40" w14:textId="77777777"/>
    <w:p w:rsidR="00D62902" w:rsidP="00B71268" w:rsidRDefault="00D62902" w14:paraId="2151EE82" w14:textId="77777777"/>
    <w:p w:rsidR="00D62902" w:rsidP="00B71268" w:rsidRDefault="00D62902" w14:paraId="5F37A60D" w14:textId="77777777"/>
    <w:p w:rsidR="00D62902" w:rsidP="00B71268" w:rsidRDefault="00D62902" w14:paraId="74EA1CBB" w14:textId="77777777"/>
    <w:p w:rsidR="00D62902" w:rsidP="00B71268" w:rsidRDefault="00D62902" w14:paraId="545D343C" w14:textId="77777777"/>
    <w:p w:rsidR="00D62902" w:rsidP="00B71268" w:rsidRDefault="00D62902" w14:paraId="16A9B6D8" w14:textId="77777777"/>
    <w:p w:rsidR="00D62902" w:rsidP="00B71268" w:rsidRDefault="00D62902" w14:paraId="07D8362B" w14:textId="77777777"/>
    <w:p w:rsidRPr="00B71268" w:rsidR="00B71268" w:rsidP="00B71268" w:rsidRDefault="00B71268" w14:paraId="0CA2BDDB" w14:textId="77777777">
      <w:r w:rsidRPr="00B71268">
        <w:lastRenderedPageBreak/>
        <w:t xml:space="preserve">Uiterlijk op 1 januari 2027 zal de goedkeuring zoals opgenomen in het hiervoor genoemde beleidsbesluit worden omgezet in wetgeving. </w:t>
      </w:r>
      <w:r w:rsidR="00E303CD">
        <w:br/>
      </w:r>
    </w:p>
    <w:p w:rsidRPr="00B71268" w:rsidR="00B71268" w:rsidP="00B71268" w:rsidRDefault="00B71268" w14:paraId="5A5A30CE" w14:textId="77777777"/>
    <w:p w:rsidRPr="00B71268" w:rsidR="00B71268" w:rsidP="00B71268" w:rsidRDefault="00E303CD" w14:paraId="510F3C28" w14:textId="77777777">
      <w:r>
        <w:t xml:space="preserve">Hoogachtend, </w:t>
      </w:r>
    </w:p>
    <w:p w:rsidRPr="00B71268" w:rsidR="00B71268" w:rsidP="00B71268" w:rsidRDefault="00B71268" w14:paraId="5083A4E5" w14:textId="77777777"/>
    <w:p w:rsidR="00E303CD" w:rsidP="00B71268" w:rsidRDefault="00E303CD" w14:paraId="6559C147" w14:textId="77777777">
      <w:proofErr w:type="gramStart"/>
      <w:r>
        <w:t>d</w:t>
      </w:r>
      <w:r w:rsidRPr="00B71268" w:rsidR="00B71268">
        <w:t>e</w:t>
      </w:r>
      <w:proofErr w:type="gramEnd"/>
      <w:r w:rsidRPr="00B71268" w:rsidR="00B71268">
        <w:t xml:space="preserve"> </w:t>
      </w:r>
      <w:r>
        <w:t>s</w:t>
      </w:r>
      <w:r w:rsidRPr="00B71268" w:rsidR="00B71268">
        <w:t xml:space="preserve">taatssecretaris </w:t>
      </w:r>
      <w:r>
        <w:t>van Financiën –</w:t>
      </w:r>
    </w:p>
    <w:p w:rsidRPr="00B71268" w:rsidR="00B71268" w:rsidP="00B71268" w:rsidRDefault="00B71268" w14:paraId="3F58A3B3" w14:textId="77777777">
      <w:r w:rsidRPr="00B71268">
        <w:t>Fiscaliteit, Belastingdienst en Douane</w:t>
      </w:r>
      <w:r w:rsidRPr="00B71268">
        <w:rPr>
          <w:i/>
        </w:rPr>
        <w:t>,</w:t>
      </w:r>
    </w:p>
    <w:p w:rsidRPr="00B71268" w:rsidR="00B71268" w:rsidP="00B71268" w:rsidRDefault="00B71268" w14:paraId="468CDAE0" w14:textId="77777777"/>
    <w:p w:rsidRPr="00B71268" w:rsidR="00B71268" w:rsidP="00B71268" w:rsidRDefault="00B71268" w14:paraId="24B59CD7" w14:textId="77777777"/>
    <w:p w:rsidRPr="00B71268" w:rsidR="00B71268" w:rsidP="00B71268" w:rsidRDefault="00E303CD" w14:paraId="664EB94C" w14:textId="77777777">
      <w:r>
        <w:br/>
      </w:r>
      <w:r w:rsidR="00B84913">
        <w:br/>
      </w:r>
    </w:p>
    <w:p w:rsidR="000F6B7E" w:rsidP="00B71268" w:rsidRDefault="00B71268" w14:paraId="7527869A" w14:textId="77777777">
      <w:r w:rsidRPr="00B71268">
        <w:t>Eugène Heijnen</w:t>
      </w:r>
    </w:p>
    <w:sectPr w:rsidR="000F6B7E">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5A577" w14:textId="77777777" w:rsidR="00F70946" w:rsidRDefault="00F70946">
      <w:pPr>
        <w:spacing w:line="240" w:lineRule="auto"/>
      </w:pPr>
      <w:r>
        <w:separator/>
      </w:r>
    </w:p>
  </w:endnote>
  <w:endnote w:type="continuationSeparator" w:id="0">
    <w:p w14:paraId="34588D87" w14:textId="77777777" w:rsidR="00F70946" w:rsidRDefault="00F709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A6F0" w14:textId="77777777" w:rsidR="000F6B7E" w:rsidRDefault="000F6B7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87643" w14:textId="77777777" w:rsidR="00F70946" w:rsidRDefault="00F70946">
      <w:pPr>
        <w:spacing w:line="240" w:lineRule="auto"/>
      </w:pPr>
      <w:r>
        <w:separator/>
      </w:r>
    </w:p>
  </w:footnote>
  <w:footnote w:type="continuationSeparator" w:id="0">
    <w:p w14:paraId="5EDDBB3F" w14:textId="77777777" w:rsidR="00F70946" w:rsidRDefault="00F70946">
      <w:pPr>
        <w:spacing w:line="240" w:lineRule="auto"/>
      </w:pPr>
      <w:r>
        <w:continuationSeparator/>
      </w:r>
    </w:p>
  </w:footnote>
  <w:footnote w:id="1">
    <w:p w14:paraId="5F41B04E" w14:textId="77777777" w:rsidR="00B71268" w:rsidRDefault="00B71268" w:rsidP="00B71268">
      <w:pPr>
        <w:pStyle w:val="Voetnoottekst"/>
        <w:rPr>
          <w:sz w:val="14"/>
          <w:szCs w:val="14"/>
        </w:rPr>
      </w:pPr>
      <w:r>
        <w:rPr>
          <w:rStyle w:val="Voetnootmarkering"/>
          <w:sz w:val="14"/>
          <w:szCs w:val="14"/>
        </w:rPr>
        <w:footnoteRef/>
      </w:r>
      <w:r>
        <w:rPr>
          <w:sz w:val="14"/>
          <w:szCs w:val="14"/>
        </w:rPr>
        <w:t xml:space="preserve"> Kamerstukken II 2025/2026, 36 812, nr. 102</w:t>
      </w:r>
    </w:p>
  </w:footnote>
  <w:footnote w:id="2">
    <w:p w14:paraId="7615917A" w14:textId="77777777" w:rsidR="00B71268" w:rsidRDefault="00B71268" w:rsidP="00B71268">
      <w:pPr>
        <w:pStyle w:val="Voetnoottekst"/>
        <w:rPr>
          <w:rFonts w:asciiTheme="minorHAnsi" w:hAnsiTheme="minorHAnsi"/>
        </w:rPr>
      </w:pPr>
      <w:r>
        <w:rPr>
          <w:sz w:val="14"/>
          <w:szCs w:val="14"/>
          <w:vertAlign w:val="superscript"/>
        </w:rPr>
        <w:footnoteRef/>
      </w:r>
      <w:r>
        <w:rPr>
          <w:sz w:val="14"/>
          <w:szCs w:val="14"/>
        </w:rPr>
        <w:t xml:space="preserve"> Vlg. artikel 36c Wet LB 1964 en 10a.4 Wet IB 2001. Voor een auto met een datum van eerste toelating van uiterlijk 31 december 2016, geldt een bijtellingspercentage van 25.</w:t>
      </w:r>
      <w:r>
        <w:t xml:space="preserve"> </w:t>
      </w:r>
    </w:p>
  </w:footnote>
  <w:footnote w:id="3">
    <w:p w14:paraId="347AD9CD" w14:textId="77777777" w:rsidR="00B71268" w:rsidRDefault="00B71268" w:rsidP="00B71268">
      <w:pPr>
        <w:pStyle w:val="Voetnoottekst"/>
        <w:rPr>
          <w:sz w:val="14"/>
          <w:szCs w:val="14"/>
        </w:rPr>
      </w:pPr>
      <w:r>
        <w:rPr>
          <w:rStyle w:val="Voetnootmarkering"/>
          <w:sz w:val="14"/>
          <w:szCs w:val="14"/>
        </w:rPr>
        <w:footnoteRef/>
      </w:r>
      <w:r>
        <w:rPr>
          <w:sz w:val="14"/>
          <w:szCs w:val="14"/>
        </w:rPr>
        <w:t xml:space="preserve"> Beleidsbesluit dat zonder wettelijke basis afwijkt van wetgeving, vooruitlopend op de inwerkingtreding van een wetsvoorstel.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3493" w14:textId="77777777" w:rsidR="000F6B7E" w:rsidRDefault="00F70946">
    <w:r>
      <w:rPr>
        <w:noProof/>
      </w:rPr>
      <mc:AlternateContent>
        <mc:Choice Requires="wps">
          <w:drawing>
            <wp:anchor distT="0" distB="0" distL="0" distR="0" simplePos="0" relativeHeight="251652096" behindDoc="0" locked="1" layoutInCell="1" allowOverlap="1" wp14:anchorId="0EB8C1EB" wp14:editId="60F40AEB">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CDB1569" w14:textId="77777777" w:rsidR="00F70946" w:rsidRDefault="00F70946"/>
                      </w:txbxContent>
                    </wps:txbx>
                    <wps:bodyPr vert="horz" wrap="square" lIns="0" tIns="0" rIns="0" bIns="0" anchor="t" anchorCtr="0"/>
                  </wps:wsp>
                </a:graphicData>
              </a:graphic>
            </wp:anchor>
          </w:drawing>
        </mc:Choice>
        <mc:Fallback>
          <w:pict>
            <v:shapetype w14:anchorId="0EB8C1E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CDB1569" w14:textId="77777777" w:rsidR="00F70946" w:rsidRDefault="00F70946"/>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D53BC34" wp14:editId="6067E0C5">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14B4C5" w14:textId="77777777" w:rsidR="000F6B7E" w:rsidRDefault="00F70946">
                          <w:pPr>
                            <w:pStyle w:val="Referentiegegevensbold"/>
                          </w:pPr>
                          <w:r>
                            <w:t>Directoraat Generaal Fiscale Zaken</w:t>
                          </w:r>
                        </w:p>
                        <w:p w14:paraId="0967CE0D" w14:textId="77777777" w:rsidR="000F6B7E" w:rsidRDefault="00F70946">
                          <w:pPr>
                            <w:pStyle w:val="Referentiegegevens"/>
                          </w:pPr>
                          <w:r>
                            <w:t>Directie Directe Belastingen en Toeslagen</w:t>
                          </w:r>
                        </w:p>
                        <w:p w14:paraId="6E586C16" w14:textId="77777777" w:rsidR="000F6B7E" w:rsidRDefault="000F6B7E">
                          <w:pPr>
                            <w:pStyle w:val="WitregelW2"/>
                          </w:pPr>
                        </w:p>
                        <w:p w14:paraId="51377E01" w14:textId="77777777" w:rsidR="000F6B7E" w:rsidRDefault="00F70946">
                          <w:pPr>
                            <w:pStyle w:val="Referentiegegevensbold"/>
                          </w:pPr>
                          <w:r>
                            <w:t>Datum</w:t>
                          </w:r>
                        </w:p>
                        <w:p w14:paraId="58E9C97F" w14:textId="77777777" w:rsidR="000F6B7E" w:rsidRDefault="00AF20E3">
                          <w:pPr>
                            <w:pStyle w:val="Referentiegegevens"/>
                          </w:pPr>
                          <w:sdt>
                            <w:sdtPr>
                              <w:id w:val="876901532"/>
                              <w:date w:fullDate="2025-12-12T12:18:00Z">
                                <w:dateFormat w:val="d MMMM yyyy"/>
                                <w:lid w:val="nl"/>
                                <w:storeMappedDataAs w:val="dateTime"/>
                                <w:calendar w:val="gregorian"/>
                              </w:date>
                            </w:sdtPr>
                            <w:sdtEndPr/>
                            <w:sdtContent>
                              <w:r w:rsidR="00F70946">
                                <w:t>12 december 2025</w:t>
                              </w:r>
                            </w:sdtContent>
                          </w:sdt>
                        </w:p>
                        <w:p w14:paraId="1BE404E0" w14:textId="77777777" w:rsidR="000F6B7E" w:rsidRDefault="000F6B7E">
                          <w:pPr>
                            <w:pStyle w:val="WitregelW1"/>
                          </w:pPr>
                        </w:p>
                        <w:p w14:paraId="159BC2E5" w14:textId="77777777" w:rsidR="000F6B7E" w:rsidRDefault="00F70946">
                          <w:pPr>
                            <w:pStyle w:val="Referentiegegevensbold"/>
                          </w:pPr>
                          <w:r>
                            <w:t>Onze referentie</w:t>
                          </w:r>
                        </w:p>
                        <w:p w14:paraId="1390838A" w14:textId="77777777" w:rsidR="00832052" w:rsidRDefault="00AF20E3">
                          <w:pPr>
                            <w:pStyle w:val="Referentiegegevens"/>
                          </w:pPr>
                          <w:r>
                            <w:fldChar w:fldCharType="begin"/>
                          </w:r>
                          <w:r>
                            <w:instrText xml:space="preserve"> DOCPROPERTY  "Kenmerk"  \* MERGEFORMAT </w:instrText>
                          </w:r>
                          <w:r>
                            <w:fldChar w:fldCharType="separate"/>
                          </w:r>
                          <w:r>
                            <w:t>2025-0000614512</w:t>
                          </w:r>
                          <w:r>
                            <w:fldChar w:fldCharType="end"/>
                          </w:r>
                        </w:p>
                      </w:txbxContent>
                    </wps:txbx>
                    <wps:bodyPr vert="horz" wrap="square" lIns="0" tIns="0" rIns="0" bIns="0" anchor="t" anchorCtr="0"/>
                  </wps:wsp>
                </a:graphicData>
              </a:graphic>
            </wp:anchor>
          </w:drawing>
        </mc:Choice>
        <mc:Fallback>
          <w:pict>
            <v:shape w14:anchorId="0D53BC34"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414B4C5" w14:textId="77777777" w:rsidR="000F6B7E" w:rsidRDefault="00F70946">
                    <w:pPr>
                      <w:pStyle w:val="Referentiegegevensbold"/>
                    </w:pPr>
                    <w:r>
                      <w:t>Directoraat Generaal Fiscale Zaken</w:t>
                    </w:r>
                  </w:p>
                  <w:p w14:paraId="0967CE0D" w14:textId="77777777" w:rsidR="000F6B7E" w:rsidRDefault="00F70946">
                    <w:pPr>
                      <w:pStyle w:val="Referentiegegevens"/>
                    </w:pPr>
                    <w:r>
                      <w:t>Directie Directe Belastingen en Toeslagen</w:t>
                    </w:r>
                  </w:p>
                  <w:p w14:paraId="6E586C16" w14:textId="77777777" w:rsidR="000F6B7E" w:rsidRDefault="000F6B7E">
                    <w:pPr>
                      <w:pStyle w:val="WitregelW2"/>
                    </w:pPr>
                  </w:p>
                  <w:p w14:paraId="51377E01" w14:textId="77777777" w:rsidR="000F6B7E" w:rsidRDefault="00F70946">
                    <w:pPr>
                      <w:pStyle w:val="Referentiegegevensbold"/>
                    </w:pPr>
                    <w:r>
                      <w:t>Datum</w:t>
                    </w:r>
                  </w:p>
                  <w:p w14:paraId="58E9C97F" w14:textId="77777777" w:rsidR="000F6B7E" w:rsidRDefault="00AF20E3">
                    <w:pPr>
                      <w:pStyle w:val="Referentiegegevens"/>
                    </w:pPr>
                    <w:sdt>
                      <w:sdtPr>
                        <w:id w:val="876901532"/>
                        <w:date w:fullDate="2025-12-12T12:18:00Z">
                          <w:dateFormat w:val="d MMMM yyyy"/>
                          <w:lid w:val="nl"/>
                          <w:storeMappedDataAs w:val="dateTime"/>
                          <w:calendar w:val="gregorian"/>
                        </w:date>
                      </w:sdtPr>
                      <w:sdtEndPr/>
                      <w:sdtContent>
                        <w:r w:rsidR="00F70946">
                          <w:t>12 december 2025</w:t>
                        </w:r>
                      </w:sdtContent>
                    </w:sdt>
                  </w:p>
                  <w:p w14:paraId="1BE404E0" w14:textId="77777777" w:rsidR="000F6B7E" w:rsidRDefault="000F6B7E">
                    <w:pPr>
                      <w:pStyle w:val="WitregelW1"/>
                    </w:pPr>
                  </w:p>
                  <w:p w14:paraId="159BC2E5" w14:textId="77777777" w:rsidR="000F6B7E" w:rsidRDefault="00F70946">
                    <w:pPr>
                      <w:pStyle w:val="Referentiegegevensbold"/>
                    </w:pPr>
                    <w:r>
                      <w:t>Onze referentie</w:t>
                    </w:r>
                  </w:p>
                  <w:p w14:paraId="1390838A" w14:textId="77777777" w:rsidR="00832052" w:rsidRDefault="00AF20E3">
                    <w:pPr>
                      <w:pStyle w:val="Referentiegegevens"/>
                    </w:pPr>
                    <w:r>
                      <w:fldChar w:fldCharType="begin"/>
                    </w:r>
                    <w:r>
                      <w:instrText xml:space="preserve"> DOCPROPERTY  "Kenmerk"  \* MERGEFORMAT </w:instrText>
                    </w:r>
                    <w:r>
                      <w:fldChar w:fldCharType="separate"/>
                    </w:r>
                    <w:r>
                      <w:t>2025-0000614512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C26C328" wp14:editId="461983F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422308" w14:textId="77777777" w:rsidR="00F70946" w:rsidRDefault="00F70946"/>
                      </w:txbxContent>
                    </wps:txbx>
                    <wps:bodyPr vert="horz" wrap="square" lIns="0" tIns="0" rIns="0" bIns="0" anchor="t" anchorCtr="0"/>
                  </wps:wsp>
                </a:graphicData>
              </a:graphic>
            </wp:anchor>
          </w:drawing>
        </mc:Choice>
        <mc:Fallback>
          <w:pict>
            <v:shape w14:anchorId="0C26C328"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8422308" w14:textId="77777777" w:rsidR="00F70946" w:rsidRDefault="00F70946"/>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BE94C10" wp14:editId="2017E2C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DF9344A" w14:textId="77777777" w:rsidR="00832052" w:rsidRDefault="00AF20E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E94C10"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DF9344A" w14:textId="77777777" w:rsidR="00832052" w:rsidRDefault="00AF20E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784C" w14:textId="77777777" w:rsidR="000F6B7E" w:rsidRDefault="00F70946">
    <w:pPr>
      <w:spacing w:after="6377" w:line="14" w:lineRule="exact"/>
    </w:pPr>
    <w:r>
      <w:rPr>
        <w:noProof/>
      </w:rPr>
      <mc:AlternateContent>
        <mc:Choice Requires="wps">
          <w:drawing>
            <wp:anchor distT="0" distB="0" distL="0" distR="0" simplePos="0" relativeHeight="251656192" behindDoc="0" locked="1" layoutInCell="1" allowOverlap="1" wp14:anchorId="4F637B0E" wp14:editId="3674999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F620FC" w14:textId="77777777" w:rsidR="000F6B7E" w:rsidRDefault="000F6B7E">
                          <w:pPr>
                            <w:spacing w:line="240" w:lineRule="auto"/>
                          </w:pPr>
                        </w:p>
                      </w:txbxContent>
                    </wps:txbx>
                    <wps:bodyPr vert="horz" wrap="square" lIns="0" tIns="0" rIns="0" bIns="0" anchor="t" anchorCtr="0"/>
                  </wps:wsp>
                </a:graphicData>
              </a:graphic>
            </wp:anchor>
          </w:drawing>
        </mc:Choice>
        <mc:Fallback>
          <w:pict>
            <v:shapetype w14:anchorId="4F637B0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EF620FC" w14:textId="77777777" w:rsidR="000F6B7E" w:rsidRDefault="000F6B7E">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235C120" wp14:editId="533EBF17">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4D9CE92" w14:textId="77777777" w:rsidR="000F6B7E" w:rsidRDefault="00F70946">
                          <w:pPr>
                            <w:spacing w:line="240" w:lineRule="auto"/>
                          </w:pPr>
                          <w:r>
                            <w:rPr>
                              <w:noProof/>
                            </w:rPr>
                            <w:drawing>
                              <wp:inline distT="0" distB="0" distL="0" distR="0" wp14:anchorId="6F2E4FB8" wp14:editId="5EB544F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35C120"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4D9CE92" w14:textId="77777777" w:rsidR="000F6B7E" w:rsidRDefault="00F70946">
                    <w:pPr>
                      <w:spacing w:line="240" w:lineRule="auto"/>
                    </w:pPr>
                    <w:r>
                      <w:rPr>
                        <w:noProof/>
                      </w:rPr>
                      <w:drawing>
                        <wp:inline distT="0" distB="0" distL="0" distR="0" wp14:anchorId="6F2E4FB8" wp14:editId="5EB544FF">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935C6B9" wp14:editId="0F157A3B">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84DC9C6" w14:textId="77777777" w:rsidR="000F6B7E" w:rsidRDefault="00F70946">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2935C6B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784DC9C6" w14:textId="77777777" w:rsidR="000F6B7E" w:rsidRDefault="00F70946">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45FEE6CD" wp14:editId="5EE9173E">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83C32A" w14:textId="77777777" w:rsidR="000F6B7E" w:rsidRDefault="00F70946">
                          <w:r>
                            <w:t>Voorzitter van de Tweede Kamer der Staten-Generaal</w:t>
                          </w:r>
                        </w:p>
                        <w:p w14:paraId="3EE2F1AF" w14:textId="77777777" w:rsidR="000F6B7E" w:rsidRDefault="00F70946">
                          <w:r>
                            <w:t>Postbus 20018</w:t>
                          </w:r>
                        </w:p>
                        <w:p w14:paraId="235E8EBB" w14:textId="77777777" w:rsidR="000F6B7E" w:rsidRDefault="00F70946">
                          <w:r>
                            <w:t>2500 EA   Den Haag</w:t>
                          </w:r>
                        </w:p>
                      </w:txbxContent>
                    </wps:txbx>
                    <wps:bodyPr vert="horz" wrap="square" lIns="0" tIns="0" rIns="0" bIns="0" anchor="t" anchorCtr="0"/>
                  </wps:wsp>
                </a:graphicData>
              </a:graphic>
            </wp:anchor>
          </w:drawing>
        </mc:Choice>
        <mc:Fallback>
          <w:pict>
            <v:shape w14:anchorId="45FEE6CD"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983C32A" w14:textId="77777777" w:rsidR="000F6B7E" w:rsidRDefault="00F70946">
                    <w:r>
                      <w:t>Voorzitter van de Tweede Kamer der Staten-Generaal</w:t>
                    </w:r>
                  </w:p>
                  <w:p w14:paraId="3EE2F1AF" w14:textId="77777777" w:rsidR="000F6B7E" w:rsidRDefault="00F70946">
                    <w:r>
                      <w:t>Postbus 20018</w:t>
                    </w:r>
                  </w:p>
                  <w:p w14:paraId="235E8EBB" w14:textId="77777777" w:rsidR="000F6B7E" w:rsidRDefault="00F70946">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F2D9E62" wp14:editId="0421EEEC">
              <wp:simplePos x="0" y="0"/>
              <wp:positionH relativeFrom="page">
                <wp:posOffset>1009015</wp:posOffset>
              </wp:positionH>
              <wp:positionV relativeFrom="paragraph">
                <wp:posOffset>3363595</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F6B7E" w14:paraId="291C4007" w14:textId="77777777">
                            <w:trPr>
                              <w:trHeight w:val="240"/>
                            </w:trPr>
                            <w:tc>
                              <w:tcPr>
                                <w:tcW w:w="1140" w:type="dxa"/>
                              </w:tcPr>
                              <w:p w14:paraId="0FBB23E8" w14:textId="77777777" w:rsidR="000F6B7E" w:rsidRDefault="00F70946">
                                <w:r>
                                  <w:t>Datum</w:t>
                                </w:r>
                              </w:p>
                            </w:tc>
                            <w:tc>
                              <w:tcPr>
                                <w:tcW w:w="5918" w:type="dxa"/>
                              </w:tcPr>
                              <w:p w14:paraId="195D3DE5" w14:textId="2A22DE9F" w:rsidR="000F6B7E" w:rsidRDefault="00AF20E3">
                                <w:sdt>
                                  <w:sdtPr>
                                    <w:id w:val="119969264"/>
                                    <w:date w:fullDate="2025-12-16T00:00:00Z">
                                      <w:dateFormat w:val="d MMMM yyyy"/>
                                      <w:lid w:val="nl"/>
                                      <w:storeMappedDataAs w:val="dateTime"/>
                                      <w:calendar w:val="gregorian"/>
                                    </w:date>
                                  </w:sdtPr>
                                  <w:sdtEndPr/>
                                  <w:sdtContent>
                                    <w:r>
                                      <w:t>16 december 2025</w:t>
                                    </w:r>
                                  </w:sdtContent>
                                </w:sdt>
                              </w:p>
                            </w:tc>
                          </w:tr>
                          <w:tr w:rsidR="000F6B7E" w14:paraId="7761799D" w14:textId="77777777">
                            <w:trPr>
                              <w:trHeight w:val="240"/>
                            </w:trPr>
                            <w:tc>
                              <w:tcPr>
                                <w:tcW w:w="1140" w:type="dxa"/>
                              </w:tcPr>
                              <w:p w14:paraId="3BD10B1C" w14:textId="77777777" w:rsidR="000F6B7E" w:rsidRDefault="00F70946">
                                <w:r>
                                  <w:t>Betreft</w:t>
                                </w:r>
                              </w:p>
                            </w:tc>
                            <w:tc>
                              <w:tcPr>
                                <w:tcW w:w="5918" w:type="dxa"/>
                              </w:tcPr>
                              <w:p w14:paraId="5DA3FE59" w14:textId="77777777" w:rsidR="000F6B7E" w:rsidRDefault="00F70946">
                                <w:r>
                                  <w:t>Toezegging overgang</w:t>
                                </w:r>
                                <w:r w:rsidR="00B71268">
                                  <w:t>stermijn</w:t>
                                </w:r>
                                <w:r>
                                  <w:t xml:space="preserve"> versoberen youngtimerregeling</w:t>
                                </w:r>
                              </w:p>
                            </w:tc>
                          </w:tr>
                        </w:tbl>
                        <w:p w14:paraId="718381B4" w14:textId="77777777" w:rsidR="00F70946" w:rsidRDefault="00F70946"/>
                      </w:txbxContent>
                    </wps:txbx>
                    <wps:bodyPr vert="horz" wrap="square" lIns="0" tIns="0" rIns="0" bIns="0" anchor="t" anchorCtr="0"/>
                  </wps:wsp>
                </a:graphicData>
              </a:graphic>
            </wp:anchor>
          </w:drawing>
        </mc:Choice>
        <mc:Fallback>
          <w:pict>
            <v:shape w14:anchorId="2F2D9E62" id="1670fa0c-13cb-45ec-92be-ef1f34d237c5" o:spid="_x0000_s1034" type="#_x0000_t202" style="position:absolute;margin-left:79.45pt;margin-top:264.8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F6B7E" w14:paraId="291C4007" w14:textId="77777777">
                      <w:trPr>
                        <w:trHeight w:val="240"/>
                      </w:trPr>
                      <w:tc>
                        <w:tcPr>
                          <w:tcW w:w="1140" w:type="dxa"/>
                        </w:tcPr>
                        <w:p w14:paraId="0FBB23E8" w14:textId="77777777" w:rsidR="000F6B7E" w:rsidRDefault="00F70946">
                          <w:r>
                            <w:t>Datum</w:t>
                          </w:r>
                        </w:p>
                      </w:tc>
                      <w:tc>
                        <w:tcPr>
                          <w:tcW w:w="5918" w:type="dxa"/>
                        </w:tcPr>
                        <w:p w14:paraId="195D3DE5" w14:textId="2A22DE9F" w:rsidR="000F6B7E" w:rsidRDefault="00AF20E3">
                          <w:sdt>
                            <w:sdtPr>
                              <w:id w:val="119969264"/>
                              <w:date w:fullDate="2025-12-16T00:00:00Z">
                                <w:dateFormat w:val="d MMMM yyyy"/>
                                <w:lid w:val="nl"/>
                                <w:storeMappedDataAs w:val="dateTime"/>
                                <w:calendar w:val="gregorian"/>
                              </w:date>
                            </w:sdtPr>
                            <w:sdtEndPr/>
                            <w:sdtContent>
                              <w:r>
                                <w:t>16 december 2025</w:t>
                              </w:r>
                            </w:sdtContent>
                          </w:sdt>
                        </w:p>
                      </w:tc>
                    </w:tr>
                    <w:tr w:rsidR="000F6B7E" w14:paraId="7761799D" w14:textId="77777777">
                      <w:trPr>
                        <w:trHeight w:val="240"/>
                      </w:trPr>
                      <w:tc>
                        <w:tcPr>
                          <w:tcW w:w="1140" w:type="dxa"/>
                        </w:tcPr>
                        <w:p w14:paraId="3BD10B1C" w14:textId="77777777" w:rsidR="000F6B7E" w:rsidRDefault="00F70946">
                          <w:r>
                            <w:t>Betreft</w:t>
                          </w:r>
                        </w:p>
                      </w:tc>
                      <w:tc>
                        <w:tcPr>
                          <w:tcW w:w="5918" w:type="dxa"/>
                        </w:tcPr>
                        <w:p w14:paraId="5DA3FE59" w14:textId="77777777" w:rsidR="000F6B7E" w:rsidRDefault="00F70946">
                          <w:r>
                            <w:t>Toezegging overgang</w:t>
                          </w:r>
                          <w:r w:rsidR="00B71268">
                            <w:t>stermijn</w:t>
                          </w:r>
                          <w:r>
                            <w:t xml:space="preserve"> versoberen youngtimerregeling</w:t>
                          </w:r>
                        </w:p>
                      </w:tc>
                    </w:tr>
                  </w:tbl>
                  <w:p w14:paraId="718381B4" w14:textId="77777777" w:rsidR="00F70946" w:rsidRDefault="00F70946"/>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4D774A1" wp14:editId="78A2145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6153DC" w14:textId="77777777" w:rsidR="000F6B7E" w:rsidRDefault="00F70946">
                          <w:pPr>
                            <w:pStyle w:val="Referentiegegevensbold"/>
                          </w:pPr>
                          <w:r>
                            <w:t>Directoraat Generaal Fiscale Zaken</w:t>
                          </w:r>
                        </w:p>
                        <w:p w14:paraId="79DB0F76" w14:textId="77777777" w:rsidR="000F6B7E" w:rsidRDefault="00F70946">
                          <w:pPr>
                            <w:pStyle w:val="Referentiegegevens"/>
                          </w:pPr>
                          <w:r>
                            <w:t>Directie Directe Belastingen en Toeslagen</w:t>
                          </w:r>
                        </w:p>
                        <w:p w14:paraId="63ED1B53" w14:textId="77777777" w:rsidR="000F6B7E" w:rsidRDefault="000F6B7E">
                          <w:pPr>
                            <w:pStyle w:val="WitregelW1"/>
                          </w:pPr>
                        </w:p>
                        <w:p w14:paraId="1A3E29EE" w14:textId="77777777" w:rsidR="000F6B7E" w:rsidRDefault="00F70946">
                          <w:pPr>
                            <w:pStyle w:val="Referentiegegevens"/>
                          </w:pPr>
                          <w:r>
                            <w:t>Korte Voorhout 7</w:t>
                          </w:r>
                        </w:p>
                        <w:p w14:paraId="5DDB3CB7" w14:textId="77777777" w:rsidR="000F6B7E" w:rsidRDefault="00F70946">
                          <w:pPr>
                            <w:pStyle w:val="Referentiegegevens"/>
                          </w:pPr>
                          <w:r>
                            <w:t>2511 CW Den Haag</w:t>
                          </w:r>
                        </w:p>
                        <w:p w14:paraId="3EB52D98" w14:textId="77777777" w:rsidR="000F6B7E" w:rsidRDefault="00F70946">
                          <w:pPr>
                            <w:pStyle w:val="Referentiegegevens"/>
                          </w:pPr>
                          <w:r>
                            <w:t>POSTBUS 20201</w:t>
                          </w:r>
                        </w:p>
                        <w:p w14:paraId="47A2F663" w14:textId="77777777" w:rsidR="000F6B7E" w:rsidRDefault="00F70946">
                          <w:pPr>
                            <w:pStyle w:val="Referentiegegevens"/>
                          </w:pPr>
                          <w:r>
                            <w:t>2500 EE  Den Haag</w:t>
                          </w:r>
                        </w:p>
                        <w:p w14:paraId="51D30975" w14:textId="77777777" w:rsidR="000F6B7E" w:rsidRDefault="000F6B7E">
                          <w:pPr>
                            <w:pStyle w:val="WitregelW1"/>
                          </w:pPr>
                        </w:p>
                        <w:p w14:paraId="281EB103" w14:textId="77777777" w:rsidR="000F6B7E" w:rsidRDefault="00F70946">
                          <w:pPr>
                            <w:pStyle w:val="Referentiegegevensbold"/>
                          </w:pPr>
                          <w:r>
                            <w:t>Onze referentie</w:t>
                          </w:r>
                        </w:p>
                        <w:p w14:paraId="3C797BF5" w14:textId="77777777" w:rsidR="00832052" w:rsidRDefault="00AF20E3">
                          <w:pPr>
                            <w:pStyle w:val="Referentiegegevens"/>
                          </w:pPr>
                          <w:r>
                            <w:fldChar w:fldCharType="begin"/>
                          </w:r>
                          <w:r>
                            <w:instrText xml:space="preserve"> DOCPROPERTY  "Kenmerk"  \* MERGEFORMAT </w:instrText>
                          </w:r>
                          <w:r>
                            <w:fldChar w:fldCharType="separate"/>
                          </w:r>
                          <w:r>
                            <w:t>2025-0000614512</w:t>
                          </w:r>
                          <w:r>
                            <w:fldChar w:fldCharType="end"/>
                          </w:r>
                        </w:p>
                        <w:p w14:paraId="1B9544DE" w14:textId="77777777" w:rsidR="000F6B7E" w:rsidRDefault="000F6B7E">
                          <w:pPr>
                            <w:pStyle w:val="WitregelW1"/>
                          </w:pPr>
                        </w:p>
                        <w:p w14:paraId="487FAA7A" w14:textId="77777777" w:rsidR="000F6B7E" w:rsidRDefault="000F6B7E"/>
                      </w:txbxContent>
                    </wps:txbx>
                    <wps:bodyPr vert="horz" wrap="square" lIns="0" tIns="0" rIns="0" bIns="0" anchor="t" anchorCtr="0"/>
                  </wps:wsp>
                </a:graphicData>
              </a:graphic>
            </wp:anchor>
          </w:drawing>
        </mc:Choice>
        <mc:Fallback>
          <w:pict>
            <v:shape w14:anchorId="24D774A1"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D6153DC" w14:textId="77777777" w:rsidR="000F6B7E" w:rsidRDefault="00F70946">
                    <w:pPr>
                      <w:pStyle w:val="Referentiegegevensbold"/>
                    </w:pPr>
                    <w:r>
                      <w:t>Directoraat Generaal Fiscale Zaken</w:t>
                    </w:r>
                  </w:p>
                  <w:p w14:paraId="79DB0F76" w14:textId="77777777" w:rsidR="000F6B7E" w:rsidRDefault="00F70946">
                    <w:pPr>
                      <w:pStyle w:val="Referentiegegevens"/>
                    </w:pPr>
                    <w:r>
                      <w:t>Directie Directe Belastingen en Toeslagen</w:t>
                    </w:r>
                  </w:p>
                  <w:p w14:paraId="63ED1B53" w14:textId="77777777" w:rsidR="000F6B7E" w:rsidRDefault="000F6B7E">
                    <w:pPr>
                      <w:pStyle w:val="WitregelW1"/>
                    </w:pPr>
                  </w:p>
                  <w:p w14:paraId="1A3E29EE" w14:textId="77777777" w:rsidR="000F6B7E" w:rsidRDefault="00F70946">
                    <w:pPr>
                      <w:pStyle w:val="Referentiegegevens"/>
                    </w:pPr>
                    <w:r>
                      <w:t>Korte Voorhout 7</w:t>
                    </w:r>
                  </w:p>
                  <w:p w14:paraId="5DDB3CB7" w14:textId="77777777" w:rsidR="000F6B7E" w:rsidRDefault="00F70946">
                    <w:pPr>
                      <w:pStyle w:val="Referentiegegevens"/>
                    </w:pPr>
                    <w:r>
                      <w:t>2511 CW Den Haag</w:t>
                    </w:r>
                  </w:p>
                  <w:p w14:paraId="3EB52D98" w14:textId="77777777" w:rsidR="000F6B7E" w:rsidRDefault="00F70946">
                    <w:pPr>
                      <w:pStyle w:val="Referentiegegevens"/>
                    </w:pPr>
                    <w:r>
                      <w:t>POSTBUS 20201</w:t>
                    </w:r>
                  </w:p>
                  <w:p w14:paraId="47A2F663" w14:textId="77777777" w:rsidR="000F6B7E" w:rsidRDefault="00F70946">
                    <w:pPr>
                      <w:pStyle w:val="Referentiegegevens"/>
                    </w:pPr>
                    <w:r>
                      <w:t>2500 EE  Den Haag</w:t>
                    </w:r>
                  </w:p>
                  <w:p w14:paraId="51D30975" w14:textId="77777777" w:rsidR="000F6B7E" w:rsidRDefault="000F6B7E">
                    <w:pPr>
                      <w:pStyle w:val="WitregelW1"/>
                    </w:pPr>
                  </w:p>
                  <w:p w14:paraId="281EB103" w14:textId="77777777" w:rsidR="000F6B7E" w:rsidRDefault="00F70946">
                    <w:pPr>
                      <w:pStyle w:val="Referentiegegevensbold"/>
                    </w:pPr>
                    <w:r>
                      <w:t>Onze referentie</w:t>
                    </w:r>
                  </w:p>
                  <w:p w14:paraId="3C797BF5" w14:textId="77777777" w:rsidR="00832052" w:rsidRDefault="00AF20E3">
                    <w:pPr>
                      <w:pStyle w:val="Referentiegegevens"/>
                    </w:pPr>
                    <w:r>
                      <w:fldChar w:fldCharType="begin"/>
                    </w:r>
                    <w:r>
                      <w:instrText xml:space="preserve"> DOCPROPERTY  "Kenmerk"  \* MERGEFORMAT </w:instrText>
                    </w:r>
                    <w:r>
                      <w:fldChar w:fldCharType="separate"/>
                    </w:r>
                    <w:r>
                      <w:t>2025-0000614512</w:t>
                    </w:r>
                    <w:r>
                      <w:fldChar w:fldCharType="end"/>
                    </w:r>
                  </w:p>
                  <w:p w14:paraId="1B9544DE" w14:textId="77777777" w:rsidR="000F6B7E" w:rsidRDefault="000F6B7E">
                    <w:pPr>
                      <w:pStyle w:val="WitregelW1"/>
                    </w:pPr>
                  </w:p>
                  <w:p w14:paraId="487FAA7A" w14:textId="77777777" w:rsidR="000F6B7E" w:rsidRDefault="000F6B7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CF3FF62" wp14:editId="37995D7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5F93868" w14:textId="77777777" w:rsidR="00832052" w:rsidRDefault="00AF20E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CF3FF62"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5F93868" w14:textId="77777777" w:rsidR="00832052" w:rsidRDefault="00AF20E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11A2A839" wp14:editId="281C42F6">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FE32B5" w14:textId="77777777" w:rsidR="00F70946" w:rsidRDefault="00F70946"/>
                      </w:txbxContent>
                    </wps:txbx>
                    <wps:bodyPr vert="horz" wrap="square" lIns="0" tIns="0" rIns="0" bIns="0" anchor="t" anchorCtr="0"/>
                  </wps:wsp>
                </a:graphicData>
              </a:graphic>
            </wp:anchor>
          </w:drawing>
        </mc:Choice>
        <mc:Fallback>
          <w:pict>
            <v:shape w14:anchorId="11A2A83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0FE32B5" w14:textId="77777777" w:rsidR="00F70946" w:rsidRDefault="00F70946"/>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8B8B36"/>
    <w:multiLevelType w:val="multilevel"/>
    <w:tmpl w:val="DCDB6B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60514DF"/>
    <w:multiLevelType w:val="multilevel"/>
    <w:tmpl w:val="2507F54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3BD4D84"/>
    <w:multiLevelType w:val="multilevel"/>
    <w:tmpl w:val="201174E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0497363"/>
    <w:multiLevelType w:val="multilevel"/>
    <w:tmpl w:val="1896AB4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68658973">
    <w:abstractNumId w:val="3"/>
  </w:num>
  <w:num w:numId="2" w16cid:durableId="783043041">
    <w:abstractNumId w:val="0"/>
  </w:num>
  <w:num w:numId="3" w16cid:durableId="2085033110">
    <w:abstractNumId w:val="2"/>
  </w:num>
  <w:num w:numId="4" w16cid:durableId="1551921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7E"/>
    <w:rsid w:val="000E704F"/>
    <w:rsid w:val="000F6B7E"/>
    <w:rsid w:val="00255A7B"/>
    <w:rsid w:val="002561E9"/>
    <w:rsid w:val="002C4068"/>
    <w:rsid w:val="00307672"/>
    <w:rsid w:val="0040119B"/>
    <w:rsid w:val="00480BFC"/>
    <w:rsid w:val="004E18AC"/>
    <w:rsid w:val="00586B83"/>
    <w:rsid w:val="006E7711"/>
    <w:rsid w:val="00817B6C"/>
    <w:rsid w:val="00832052"/>
    <w:rsid w:val="008464AC"/>
    <w:rsid w:val="008C1DCC"/>
    <w:rsid w:val="009351FA"/>
    <w:rsid w:val="00AF20E3"/>
    <w:rsid w:val="00B71268"/>
    <w:rsid w:val="00B84913"/>
    <w:rsid w:val="00D01F1A"/>
    <w:rsid w:val="00D62902"/>
    <w:rsid w:val="00E303CD"/>
    <w:rsid w:val="00F70946"/>
    <w:rsid w:val="00FB65B3"/>
    <w:rsid w:val="00FC1C46"/>
    <w:rsid w:val="00FE3A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5A6F00E3"/>
  <w15:docId w15:val="{8676D6F3-12C5-48CA-BDF0-42145F73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12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1268"/>
    <w:rPr>
      <w:rFonts w:ascii="Verdana" w:hAnsi="Verdana"/>
      <w:color w:val="000000"/>
      <w:sz w:val="18"/>
      <w:szCs w:val="18"/>
    </w:rPr>
  </w:style>
  <w:style w:type="paragraph" w:styleId="Voettekst">
    <w:name w:val="footer"/>
    <w:basedOn w:val="Standaard"/>
    <w:link w:val="VoettekstChar"/>
    <w:uiPriority w:val="99"/>
    <w:unhideWhenUsed/>
    <w:rsid w:val="00B7126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71268"/>
    <w:rPr>
      <w:rFonts w:ascii="Verdana" w:hAnsi="Verdana"/>
      <w:color w:val="000000"/>
      <w:sz w:val="18"/>
      <w:szCs w:val="18"/>
    </w:rPr>
  </w:style>
  <w:style w:type="paragraph" w:styleId="Voetnoottekst">
    <w:name w:val="footnote text"/>
    <w:basedOn w:val="Standaard"/>
    <w:link w:val="VoetnoottekstChar"/>
    <w:uiPriority w:val="99"/>
    <w:semiHidden/>
    <w:unhideWhenUsed/>
    <w:rsid w:val="00B7126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71268"/>
    <w:rPr>
      <w:rFonts w:ascii="Verdana" w:hAnsi="Verdana"/>
      <w:color w:val="000000"/>
    </w:rPr>
  </w:style>
  <w:style w:type="character" w:styleId="Voetnootmarkering">
    <w:name w:val="footnote reference"/>
    <w:basedOn w:val="Standaardalinea-lettertype"/>
    <w:uiPriority w:val="99"/>
    <w:semiHidden/>
    <w:unhideWhenUsed/>
    <w:rsid w:val="00B71268"/>
    <w:rPr>
      <w:vertAlign w:val="superscript"/>
    </w:rPr>
  </w:style>
  <w:style w:type="paragraph" w:styleId="Revisie">
    <w:name w:val="Revision"/>
    <w:hidden/>
    <w:uiPriority w:val="99"/>
    <w:semiHidden/>
    <w:rsid w:val="00E303C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063369">
      <w:bodyDiv w:val="1"/>
      <w:marLeft w:val="0"/>
      <w:marRight w:val="0"/>
      <w:marTop w:val="0"/>
      <w:marBottom w:val="0"/>
      <w:divBdr>
        <w:top w:val="none" w:sz="0" w:space="0" w:color="auto"/>
        <w:left w:val="none" w:sz="0" w:space="0" w:color="auto"/>
        <w:bottom w:val="none" w:sz="0" w:space="0" w:color="auto"/>
        <w:right w:val="none" w:sz="0" w:space="0" w:color="auto"/>
      </w:divBdr>
    </w:div>
    <w:div w:id="1261992164">
      <w:bodyDiv w:val="1"/>
      <w:marLeft w:val="0"/>
      <w:marRight w:val="0"/>
      <w:marTop w:val="0"/>
      <w:marBottom w:val="0"/>
      <w:divBdr>
        <w:top w:val="none" w:sz="0" w:space="0" w:color="auto"/>
        <w:left w:val="none" w:sz="0" w:space="0" w:color="auto"/>
        <w:bottom w:val="none" w:sz="0" w:space="0" w:color="auto"/>
        <w:right w:val="none" w:sz="0" w:space="0" w:color="auto"/>
      </w:divBdr>
    </w:div>
    <w:div w:id="1720397175">
      <w:bodyDiv w:val="1"/>
      <w:marLeft w:val="0"/>
      <w:marRight w:val="0"/>
      <w:marTop w:val="0"/>
      <w:marBottom w:val="0"/>
      <w:divBdr>
        <w:top w:val="none" w:sz="0" w:space="0" w:color="auto"/>
        <w:left w:val="none" w:sz="0" w:space="0" w:color="auto"/>
        <w:bottom w:val="none" w:sz="0" w:space="0" w:color="auto"/>
        <w:right w:val="none" w:sz="0" w:space="0" w:color="auto"/>
      </w:divBdr>
    </w:div>
    <w:div w:id="206105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1246</ap:Words>
  <ap:Characters>6854</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 Toezegging overgangsrecht versoberen youngtimerregeling</vt:lpstr>
    </vt:vector>
  </ap:TitlesOfParts>
  <ap:LinksUpToDate>false</ap:LinksUpToDate>
  <ap:CharactersWithSpaces>8084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2025-12-16T11:51:00.0000000Z</dcterms:created>
  <dcterms:modified xsi:type="dcterms:W3CDTF">2025-12-16T11:51:00.0000000Z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12 december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2025-0000614512</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Toezegging overgangsrecht versoberen youngtimerregeling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2025-12-15T18:00:24Z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a22da1b2-5883-47e7-9836-f37c4e31728e</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