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2025Z22167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december 2025)</w:t>
        <w:br/>
      </w:r>
    </w:p>
    <w:p>
      <w:r>
        <w:t xml:space="preserve">Vragen van het lid Van den Berg (JA21) aan de ministers van Klimaat en Groene Groei, van Economische Zaken en van Financiën over het Rapport Wennink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Kunt u bevestigen dat volgens Netbeheer Nederland het aantal unieke verzoeken op de wachtlijst midden‑ en laagspanning in 2025 is opgelopen tot 14.044 en het wachtlijstvermogen tot 9,1GW? 1)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Hoeveel aanvragen op wachtlijsten betreffen (a) MKB, (b) grootverbruik/industrie, (c) maatschappelijke instellingen, en wat zijn de mediane wachttijden per categorie en regio? 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Deelt u de analyse dat netcongestie zowel schaalvergroting als verduurzaming vertraagt en dat in regionale industrie bijna driekwart van verduurzamingsplannen niet tijdig kan doorgaan door tekort aan energie‑infrastructuur?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Welke concrete stabiliteits- en veiligheidsmarges leiden er volgens u toe dat netten gemiddeld slechts 30% benut worden, en welke ruimte ziet u voor risicogebaseerde herijking zonder leveringszekerheid te schaden? 2) 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Hoeveel “Zeeland‑achtige” flexibiliteitsdeals (zoals TenneT–Air Liquide) zijn sinds 2024 gesloten, en welke juridische/financiële/ACM‑belemmeringen remmen opschaling?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Erkent u dat regionale afstemming over locaties voor energieprojecten tot 10 jaar kan duren en dat dit samenhangt met te weinig ruimtelijke regie op elektriciteitsinfrastructuur? Welke maximale doorlooptijden gaat u hanteren voor locatiekeuze en vergunningen voor netprojecten? 3)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Kunt u bevestigen dat elektriciteitskosten in Nederland 20–50% hoger liggen dan buurlanden en dat industriële elektriciteitsprijzen tot de helft hoger kunnen zijn? Welke maatregelen neemt u om prijspariteit met België en Duitsland te bereiken en op welke termijn? 4)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Deelt u de inschatting dat nettarieven richting 2040 meer dan verdubbelen bij ~5% groei per jaar? Hoeveel komt hiervan neer bij huishoudens, MKB en industrie, en welke dempingsopties onderzoekt u? 5)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Bent u bereid de optie uit te werken om de energiebelasting op elektriciteit voor grootverbruik richting het EU‑minimum te brengen?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Welke nationale koppen bovenop Europees beleid dragen volgens u aantoonbaar bij aan concurrentienadeel, en welke koppen heroverweegt u in het licht van investeringszekerheid en industriebehoud? 6)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Deelt u dat netcongestie een belangrijk obstakel is voor AI‑proposities en dat hyperscale‑datacenters door beleid feitelijk in 340 van 342 gemeenten niet mogelijk zijn? 7)</w:t>
      </w:r>
      <w:r>
        <w:br/>
      </w:r>
    </w:p>
    <w:p>
      <w:pPr>
        <w:pStyle w:val="ListParagraph"/>
        <w:numPr>
          <w:ilvl w:val="0"/>
          <w:numId w:val="100493590"/>
        </w:numPr>
        <w:ind w:left="360"/>
      </w:pPr>
      <w:r>
        <w:t xml:space="preserve">Gezien het projectvoorstel “AI Gigafabriek”  &gt;100.000 GPU’s en 250–750 MW IT‑capaciteit noemt, welke harde randvoorwaarden stelt het kabinet aan netinpassing, flexibiliteit en restwarmte zodat dit niet tot extra congestie leidt?</w:t>
      </w:r>
      <w:r>
        <w:br/>
      </w:r>
    </w:p>
    <w:p>
      <w:r>
        <w:t xml:space="preserve"> </w:t>
      </w:r>
      <w:r>
        <w:br/>
      </w:r>
    </w:p>
    <w:p>
      <w:r>
        <w:t xml:space="preserve">1) Rapport Wennink De route naar toekomstige welvaart, blz. 62, www.rapportwennink.nl</w:t>
      </w:r>
      <w:r>
        <w:br/>
      </w:r>
    </w:p>
    <w:p>
      <w:r>
        <w:t xml:space="preserve">2) Rapport Wennink De route naar toekomstige welvaart, blz. 63, www.rapportwennink.nl</w:t>
      </w:r>
      <w:r>
        <w:br/>
      </w:r>
    </w:p>
    <w:p>
      <w:r>
        <w:t xml:space="preserve">3) Rapport Wennink De route naar toekomstige welvaart, blz. 62, www.rapportwennink.nl</w:t>
      </w:r>
      <w:r>
        <w:br/>
      </w:r>
    </w:p>
    <w:p>
      <w:r>
        <w:t xml:space="preserve">4) Rapport Wennink De route naar toekomstige welvaart, blz. 64, www.rapportwennink.nl</w:t>
      </w:r>
      <w:r>
        <w:br/>
      </w:r>
    </w:p>
    <w:p>
      <w:r>
        <w:t xml:space="preserve">5) Rapport Wennink De route naar toekomstige welvaart, blz. 65, www.rapportwennink.nl</w:t>
      </w:r>
      <w:r>
        <w:br/>
      </w:r>
    </w:p>
    <w:p>
      <w:r>
        <w:t xml:space="preserve">6) Rapport Wennink De route naar toekomstige welvaart, blz. 52 en blz 65, www.rapportwennink.nl</w:t>
      </w:r>
      <w:r>
        <w:br/>
      </w:r>
    </w:p>
    <w:p>
      <w:r>
        <w:t xml:space="preserve">7) Rapport Wennink De route naar toekomstige welvaart, blz. 89, www.rapportwennink.nl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550">
    <w:abstractNumId w:val="100493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