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4036" w:rsidP="00025D4C" w:rsidRDefault="00404036" w14:paraId="37BCCD9E" w14:textId="77777777">
      <w:pPr>
        <w:rPr>
          <w:rFonts w:ascii="Verdana" w:hAnsi="Verdana" w:eastAsia="Times New Roman"/>
          <w:b/>
          <w:bCs/>
          <w:sz w:val="18"/>
          <w:szCs w:val="18"/>
        </w:rPr>
      </w:pPr>
    </w:p>
    <w:p w:rsidRPr="00025D4C" w:rsidR="0051767E" w:rsidP="0051767E" w:rsidRDefault="0051767E" w14:paraId="717DFFCE" w14:textId="05FC3653">
      <w:pPr>
        <w:jc w:val="center"/>
        <w:rPr>
          <w:rFonts w:ascii="Verdana" w:hAnsi="Verdana" w:eastAsia="Times New Roman"/>
          <w:sz w:val="18"/>
          <w:szCs w:val="18"/>
        </w:rPr>
      </w:pPr>
      <w:r w:rsidRPr="00025D4C">
        <w:rPr>
          <w:rFonts w:ascii="Verdana" w:hAnsi="Verdana" w:eastAsia="Times New Roman"/>
          <w:b/>
          <w:bCs/>
          <w:sz w:val="18"/>
          <w:szCs w:val="18"/>
        </w:rPr>
        <w:t xml:space="preserve">Beantwoording Kamervragen van de Vaste Kamer commissie voor Asiel en Migratie </w:t>
      </w:r>
      <w:proofErr w:type="gramStart"/>
      <w:r w:rsidRPr="00025D4C">
        <w:rPr>
          <w:rFonts w:ascii="Verdana" w:hAnsi="Verdana" w:eastAsia="Times New Roman"/>
          <w:b/>
          <w:bCs/>
          <w:sz w:val="18"/>
          <w:szCs w:val="18"/>
        </w:rPr>
        <w:t>inzake</w:t>
      </w:r>
      <w:proofErr w:type="gramEnd"/>
      <w:r w:rsidRPr="00025D4C">
        <w:rPr>
          <w:rFonts w:ascii="Verdana" w:hAnsi="Verdana" w:eastAsia="Times New Roman"/>
          <w:b/>
          <w:bCs/>
          <w:sz w:val="18"/>
          <w:szCs w:val="18"/>
        </w:rPr>
        <w:t xml:space="preserve"> Wijziging van de begrotingsstaat van het Ministerie van Asiel en Migratie (XX) voor het jaar 2025 (wijziging samenhangende met de Najaarsnota) (36850-XX)</w:t>
      </w:r>
    </w:p>
    <w:p w:rsidRPr="00025D4C" w:rsidR="0008141C" w:rsidRDefault="00C450C8" w14:paraId="1B0ED20F" w14:textId="1E285E1B">
      <w:pPr>
        <w:spacing w:after="240"/>
        <w:rPr>
          <w:rFonts w:ascii="Verdana" w:hAnsi="Verdana" w:eastAsia="Times New Roman"/>
          <w:sz w:val="18"/>
          <w:szCs w:val="18"/>
        </w:rPr>
      </w:pP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Vraag (1):</w:t>
      </w:r>
      <w:r w:rsidRPr="00025D4C">
        <w:rPr>
          <w:rFonts w:ascii="Verdana" w:hAnsi="Verdana" w:eastAsia="Times New Roman"/>
          <w:sz w:val="18"/>
          <w:szCs w:val="18"/>
        </w:rPr>
        <w:br/>
        <w:t>Kunt u toelichten wat de overwegingen zijn van gemeenten om de daadwerkelijk gemaakte kosten die zij maken bij de opvang van Oekraïense ontheemden (boven op het normbedrag) wel of niet te declareren?</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Pr>
          <w:rFonts w:ascii="Verdana" w:hAnsi="Verdana" w:eastAsia="Times New Roman"/>
          <w:sz w:val="18"/>
          <w:szCs w:val="18"/>
        </w:rPr>
        <w:br/>
        <w:t>Uiteraard kennen we niet alle afzonderlijke overwegingen van de gemeenten. Uit onze contacten met de gemeenten krijgen wij het volgende beeld. Gemeenten die gebruik maken van de ‘uitzonderingsbepaling’ waarbij de meerkosten boven de normvergoeding worden verantwoord, doen dit om geen financieel nadeel te ondervinden bij de opvang van Oekraïners. De administratieve last voor het verantwoorden van de werkelijke kosten is hoger dan waar zij voor gecompenseerd worden op basis van de normvergoeding. Voor gemeenten kan dit een overweging zijn om alleen de normvergoeding aan te vragen. Het inzetten van een positief resultaat op de opvang van Oekraïense ontheemden uit voorgaande jaren is eveneens een reden om geen gebruik te maken van de ‘uitzonderingsbepaling’.</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Vraag (2):</w:t>
      </w:r>
      <w:r w:rsidRPr="00025D4C">
        <w:rPr>
          <w:rFonts w:ascii="Verdana" w:hAnsi="Verdana" w:eastAsia="Times New Roman"/>
          <w:sz w:val="18"/>
          <w:szCs w:val="18"/>
        </w:rPr>
        <w:br/>
        <w:t>Wat is de laatste stand van zaken van de uitvoering van de motie van de leden Van Zanten en Boomsma (Kamerstuk 32317, nr. 961) over een verkenning naar verdragen die mogelijk moeten worden herzien of opgezegd?</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Pr>
          <w:rFonts w:ascii="Verdana" w:hAnsi="Verdana" w:eastAsia="Times New Roman"/>
          <w:sz w:val="18"/>
          <w:szCs w:val="18"/>
        </w:rPr>
        <w:br/>
        <w:t>U bent in de aanbiedingsbrief van de Geannoteerde Agenda van de JBZ-Raad van 13 en 14 oktober geïnformeerd over het plan van aanpak t.a.v. de motie Van Zanten/Boomsma. Zowel het onderzoek van Clingendael als de nationale ambtelijke analyse zijn momenteel nog niet afgerond. Na afronding van het onderzoek van Clingendael ontvangt uw Kamer de kabinetsappreciatie, alsook de resultaten van de ambtelijke analyse. Naar verwachting zal dit in Q1 met uw Kamer gedeeld worden. Met betrekking tot het traject met gelijkgezinde lidstaten wordt u regulier geïnformeerd via de Geannoteerde Agenda en het Verslag van de JBZ-Raad. Daarnaast heeft Nederland zich aangesloten bij de groep gelijkgezinde lidstaten om opvolging te geven aan de brief van de negen lidstaten over het EVRM. In dat kader heeft de Staatssecretaris van Justitie en Veiligheid ook deelgenomen aan een ministeriële conferentie in de Raad van Europa in Straatsburg. Over de uitkomsten van deze conferentie wordt u geïnformeerd via het Verslag van de JBZ-Raad van 8 en 9 december, dat nog voor het kerstreces met uw Kamer gedeeld zal worden.</w:t>
      </w:r>
      <w:r w:rsidRPr="00025D4C">
        <w:rPr>
          <w:rFonts w:ascii="Verdana" w:hAnsi="Verdana" w:eastAsia="Times New Roman"/>
          <w:sz w:val="18"/>
          <w:szCs w:val="18"/>
        </w:rPr>
        <w:br/>
        <w:t> </w:t>
      </w:r>
      <w:r w:rsidRPr="00025D4C">
        <w:rPr>
          <w:rFonts w:ascii="Verdana" w:hAnsi="Verdana" w:eastAsia="Times New Roman"/>
          <w:sz w:val="18"/>
          <w:szCs w:val="18"/>
        </w:rPr>
        <w:br/>
      </w:r>
      <w:r w:rsidRPr="00025D4C">
        <w:rPr>
          <w:rFonts w:ascii="Verdana" w:hAnsi="Verdana" w:eastAsia="Times New Roman"/>
          <w:b/>
          <w:bCs/>
          <w:sz w:val="18"/>
          <w:szCs w:val="18"/>
        </w:rPr>
        <w:t>Vraag (3):</w:t>
      </w:r>
      <w:r w:rsidRPr="00025D4C">
        <w:rPr>
          <w:rFonts w:ascii="Verdana" w:hAnsi="Verdana" w:eastAsia="Times New Roman"/>
          <w:sz w:val="18"/>
          <w:szCs w:val="18"/>
        </w:rPr>
        <w:br/>
        <w:t>Is de reservering van 160 miljoen euro voor IND-dwangsommen toereikend? Hoeveel is al uitgekeerd? Welke ontwikkeling wordt voor 2026 verwacht? Welke maatregelen neemt u om verdere toename van dwangsommen te beperken?</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Pr>
          <w:rFonts w:ascii="Verdana" w:hAnsi="Verdana" w:eastAsia="Times New Roman"/>
          <w:sz w:val="18"/>
          <w:szCs w:val="18"/>
        </w:rPr>
        <w:br/>
        <w:t xml:space="preserve">De ca. 160 miljoen euro is toegevoegd aan de dwangsomvoorziening voor 2025 op basis van de informatie die ten tijde van de </w:t>
      </w:r>
      <w:proofErr w:type="spellStart"/>
      <w:r w:rsidRPr="00025D4C">
        <w:rPr>
          <w:rFonts w:ascii="Verdana" w:hAnsi="Verdana" w:eastAsia="Times New Roman"/>
          <w:sz w:val="18"/>
          <w:szCs w:val="18"/>
        </w:rPr>
        <w:t>najaarsbesluitvorming</w:t>
      </w:r>
      <w:proofErr w:type="spellEnd"/>
      <w:r w:rsidRPr="00025D4C">
        <w:rPr>
          <w:rFonts w:ascii="Verdana" w:hAnsi="Verdana" w:eastAsia="Times New Roman"/>
          <w:sz w:val="18"/>
          <w:szCs w:val="18"/>
        </w:rPr>
        <w:t xml:space="preserve"> bekend was. Er is t/m november 2025 een bedrag van ca. 64 miljoen euro uitgekeerd aan dwangsommen. Dit jaar is een toename te zien in het aantal ingediende beroepen niet tijdig beslissen. Daardoor worden er meer rechterlijke dwangsommen opgelegd waarvan de kosten ook per dwangsom steeds hoger worden. Dat leidt tot een stijging van het aantal dwangsombetalingen en het totale bedrag dat betaald moet worden vanuit de IND. De verwachting is dat deze lijn zich in 2026 zal voortzetten. De IND zet zich in op tijdig beslissen door middel van de-compliceren en slimmer werken. Hiermee beoogt de IND ook de verdere toename van dwangsommen te </w:t>
      </w:r>
      <w:r w:rsidRPr="00025D4C">
        <w:rPr>
          <w:rFonts w:ascii="Verdana" w:hAnsi="Verdana" w:eastAsia="Times New Roman"/>
          <w:sz w:val="18"/>
          <w:szCs w:val="18"/>
        </w:rPr>
        <w:lastRenderedPageBreak/>
        <w:t xml:space="preserve">beperken. </w:t>
      </w:r>
      <w:proofErr w:type="gramStart"/>
      <w:r w:rsidRPr="00025D4C">
        <w:rPr>
          <w:rFonts w:ascii="Verdana" w:hAnsi="Verdana" w:eastAsia="Times New Roman"/>
          <w:sz w:val="18"/>
          <w:szCs w:val="18"/>
        </w:rPr>
        <w:t>Tevens</w:t>
      </w:r>
      <w:proofErr w:type="gramEnd"/>
      <w:r w:rsidRPr="00025D4C">
        <w:rPr>
          <w:rFonts w:ascii="Verdana" w:hAnsi="Verdana" w:eastAsia="Times New Roman"/>
          <w:sz w:val="18"/>
          <w:szCs w:val="18"/>
        </w:rPr>
        <w:t xml:space="preserve"> is het kabinet voornemens om de dwangsom in het kader van vreemdelingenrecht af te schaffen</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Vraag (4):</w:t>
      </w:r>
      <w:r w:rsidRPr="00025D4C">
        <w:rPr>
          <w:rFonts w:ascii="Verdana" w:hAnsi="Verdana" w:eastAsia="Times New Roman"/>
          <w:sz w:val="18"/>
          <w:szCs w:val="18"/>
        </w:rPr>
        <w:br/>
        <w:t>Hoeveel van het spreidingswetbonusbudget is in 2025 benut? Welk deel schuift door naar 2026? Hoe waarschijnlijk is het dat gemeenten in 2026 aan de voorwaarden voldoen, of bestaat het risico dat opnieuw middelen resteren?</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Pr>
          <w:rFonts w:ascii="Verdana" w:hAnsi="Verdana" w:eastAsia="Times New Roman"/>
          <w:sz w:val="18"/>
          <w:szCs w:val="18"/>
        </w:rPr>
        <w:br/>
      </w:r>
      <w:proofErr w:type="gramStart"/>
      <w:r w:rsidRPr="00025D4C">
        <w:rPr>
          <w:rFonts w:ascii="Verdana" w:hAnsi="Verdana" w:eastAsia="Times New Roman"/>
          <w:sz w:val="18"/>
          <w:szCs w:val="18"/>
        </w:rPr>
        <w:t>Conform</w:t>
      </w:r>
      <w:proofErr w:type="gramEnd"/>
      <w:r w:rsidRPr="00025D4C">
        <w:rPr>
          <w:rFonts w:ascii="Verdana" w:hAnsi="Verdana" w:eastAsia="Times New Roman"/>
          <w:sz w:val="18"/>
          <w:szCs w:val="18"/>
        </w:rPr>
        <w:t xml:space="preserve"> de wet en de regeling specifieke uitkeringen gemeentelijke taak mogelijk maken asielopvangvoorzieningen worden er per cyclus van de wet specifieke uitkeringen uitgekeerd aan gemeenten die daar op basis van de gestelde voorwaarden recht op hebben. Eenmaal per cyclus worden deze bonussen uitgekeerd. Voor specifieke uitkering (SPUK) 1 is dit volgens planning in 2025 en ook SPUK 2 wordt in 2025 uitbetaald. Hiermee wordt er in 2025 rond de 30 miljoen uitgekeerd. SPUK 3 wordt wettelijk na ommekomst van de eerste cyclus in 2026 uitgekeerd. Hiervoor is nog 20 miljoen beschikbaar. Omdat de cyclus eindigt op 31 januari 2026, is 2026 het jaar waarin de laatste uitbetalingen voor deze cyclus kunnen plaatsvinden. Het is nog niet mogelijk om vooruit te lopen op in welke mate gemeenten aan hun wettelijke taak voldoen om aanspraak te maken op SPUK 3.</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Vraag (5):</w:t>
      </w:r>
      <w:r w:rsidRPr="00025D4C">
        <w:rPr>
          <w:rFonts w:ascii="Verdana" w:hAnsi="Verdana" w:eastAsia="Times New Roman"/>
          <w:sz w:val="18"/>
          <w:szCs w:val="18"/>
        </w:rPr>
        <w:br/>
        <w:t>Waarop is gebaseerd dat het inwilligingspercentage veel lager is dan voorgaande jaren?</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Pr>
          <w:rFonts w:ascii="Verdana" w:hAnsi="Verdana" w:eastAsia="Times New Roman"/>
          <w:sz w:val="18"/>
          <w:szCs w:val="18"/>
        </w:rPr>
        <w:br/>
        <w:t>Het inwilligingspercentage is afgelopen jaar lager dan de voorgaande jaren. Het inwilligingspercentage is afhankelijk van verschillende factoren. Zo is het inwilligingspercentage voor een groot deel afhankelijk van de instroom en de nationaliteit of groep waartoe asielzoekers behoren. Als de instroom en het soort zaken waarin besluiten genomen worden voor een groot deel bestaat uit nationaliteiten of groepen die op basis van het landenbeleid zeer kansrijk zijn, zal het inwilligingspercentage hoger zijn. Dat was de afgelopen jaren het geval onder meer doordat de instroom van Syrië hoog was en veel Syrische aanvragen zijn afgedaan in het project Bespoediging Afdoening Asiel. Sinds 2024 hebben er echter een aantal wijzigingen plaatsgevonden met betrekking tot het landenbeleid van een aantal voorheen zeer kansrijke nationaliteiten. Dit geldt bijvoorbeeld voor Turkije, Jemen en het afgelopen jaar ook voor Syrië. Daardoor zijn er minder kansrijke nationaliteiten en is het inwilligingspercentage gedaald.</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Vraag (6):</w:t>
      </w:r>
      <w:r w:rsidRPr="00025D4C">
        <w:rPr>
          <w:rFonts w:ascii="Verdana" w:hAnsi="Verdana" w:eastAsia="Times New Roman"/>
          <w:sz w:val="18"/>
          <w:szCs w:val="18"/>
        </w:rPr>
        <w:br/>
        <w:t>Kunt u voor de jaren 2015 tot en met 2025 de cijfers verstrekken over arbeidsmigratie, asielmigratie, studiemigratie, overige vormen van migratie, emigratie en het totale migratiesaldo, uitgesplitst per jaar?</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Pr>
          <w:rFonts w:ascii="Verdana" w:hAnsi="Verdana" w:eastAsia="Times New Roman"/>
          <w:sz w:val="18"/>
          <w:szCs w:val="18"/>
        </w:rPr>
        <w:br/>
        <w:t>Het CBS dasboard Migratiemotieven bevat informatie over het motief of doel waarmee immigranten naar Nederland zijn gekomen. Voor immigranten van buiten de EU/EFTA heeft het CBS het motief gebaseerd op het type verblijfsvergunning van de Immigratie- en Naturalisatiedienst (IND). Migranten uit de EU en de EFTA-landen (Liechtenstein, Noorwegen, IJsland of Zwitserland) dienen geen verblijfsaanvraag in bij de IND. Voor deze migranten heeft het CBS het migratiedoel afgeleid van activiteiten die de immigrant kort voor of na immigratie in Nederland ontplooit. </w:t>
      </w:r>
    </w:p>
    <w:p w:rsidRPr="00025D4C" w:rsidR="0008141C" w:rsidP="000043C8" w:rsidRDefault="0008141C" w14:paraId="262A6746" w14:textId="77777777">
      <w:pPr>
        <w:rPr>
          <w:rFonts w:ascii="Verdana" w:hAnsi="Verdana" w:eastAsia="Times New Roman"/>
          <w:sz w:val="18"/>
          <w:szCs w:val="18"/>
        </w:rPr>
      </w:pPr>
      <w:r w:rsidRPr="00025D4C">
        <w:rPr>
          <w:rFonts w:ascii="Verdana" w:hAnsi="Verdana" w:eastAsia="Times New Roman"/>
          <w:sz w:val="18"/>
          <w:szCs w:val="18"/>
        </w:rPr>
        <w:t>Tabel: Immigratie van buiten de EU/EFTA naar migratiemotief, 2015 tot en met 2024</w:t>
      </w:r>
    </w:p>
    <w:tbl>
      <w:tblPr>
        <w:tblW w:w="9616" w:type="dxa"/>
        <w:tblCellMar>
          <w:left w:w="70" w:type="dxa"/>
          <w:right w:w="70" w:type="dxa"/>
        </w:tblCellMar>
        <w:tblLook w:val="04A0" w:firstRow="1" w:lastRow="0" w:firstColumn="1" w:lastColumn="0" w:noHBand="0" w:noVBand="1"/>
      </w:tblPr>
      <w:tblGrid>
        <w:gridCol w:w="720"/>
        <w:gridCol w:w="1120"/>
        <w:gridCol w:w="1180"/>
        <w:gridCol w:w="1120"/>
        <w:gridCol w:w="820"/>
        <w:gridCol w:w="1120"/>
        <w:gridCol w:w="1120"/>
        <w:gridCol w:w="1296"/>
        <w:gridCol w:w="1120"/>
      </w:tblGrid>
      <w:tr w:rsidRPr="00025D4C" w:rsidR="0008141C" w:rsidTr="00CB43DF" w14:paraId="1992F035" w14:textId="77777777">
        <w:trPr>
          <w:trHeight w:val="669"/>
        </w:trPr>
        <w:tc>
          <w:tcPr>
            <w:tcW w:w="720" w:type="dxa"/>
            <w:tcBorders>
              <w:top w:val="single" w:color="auto" w:sz="4" w:space="0"/>
              <w:left w:val="nil"/>
              <w:bottom w:val="single" w:color="auto" w:sz="4" w:space="0"/>
              <w:right w:val="nil"/>
            </w:tcBorders>
            <w:shd w:val="clear" w:color="auto" w:fill="auto"/>
            <w:vAlign w:val="bottom"/>
            <w:hideMark/>
          </w:tcPr>
          <w:p w:rsidRPr="00025D4C" w:rsidR="0008141C" w:rsidP="000043C8" w:rsidRDefault="0008141C" w14:paraId="3BF1F636"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Jaar</w:t>
            </w:r>
          </w:p>
        </w:tc>
        <w:tc>
          <w:tcPr>
            <w:tcW w:w="1120" w:type="dxa"/>
            <w:tcBorders>
              <w:top w:val="single" w:color="auto" w:sz="4" w:space="0"/>
              <w:left w:val="nil"/>
              <w:bottom w:val="single" w:color="auto" w:sz="4" w:space="0"/>
              <w:right w:val="nil"/>
            </w:tcBorders>
            <w:shd w:val="clear" w:color="auto" w:fill="auto"/>
            <w:vAlign w:val="bottom"/>
            <w:hideMark/>
          </w:tcPr>
          <w:p w:rsidRPr="00025D4C" w:rsidR="0008141C" w:rsidP="000043C8" w:rsidRDefault="0008141C" w14:paraId="4C7F566D"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Arbeid</w:t>
            </w:r>
          </w:p>
        </w:tc>
        <w:tc>
          <w:tcPr>
            <w:tcW w:w="1180" w:type="dxa"/>
            <w:tcBorders>
              <w:top w:val="single" w:color="auto" w:sz="4" w:space="0"/>
              <w:left w:val="nil"/>
              <w:bottom w:val="single" w:color="auto" w:sz="4" w:space="0"/>
              <w:right w:val="nil"/>
            </w:tcBorders>
            <w:shd w:val="clear" w:color="auto" w:fill="auto"/>
            <w:vAlign w:val="bottom"/>
            <w:hideMark/>
          </w:tcPr>
          <w:p w:rsidRPr="00025D4C" w:rsidR="0008141C" w:rsidP="000043C8" w:rsidRDefault="0008141C" w14:paraId="4C236126"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Asiel (excl. nareis)</w:t>
            </w:r>
          </w:p>
        </w:tc>
        <w:tc>
          <w:tcPr>
            <w:tcW w:w="1120" w:type="dxa"/>
            <w:tcBorders>
              <w:top w:val="single" w:color="auto" w:sz="4" w:space="0"/>
              <w:left w:val="nil"/>
              <w:bottom w:val="single" w:color="auto" w:sz="4" w:space="0"/>
              <w:right w:val="nil"/>
            </w:tcBorders>
            <w:shd w:val="clear" w:color="auto" w:fill="auto"/>
            <w:vAlign w:val="bottom"/>
            <w:hideMark/>
          </w:tcPr>
          <w:p w:rsidRPr="00025D4C" w:rsidR="0008141C" w:rsidP="000043C8" w:rsidRDefault="0008141C" w14:paraId="0452C893"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Asiel: nareis</w:t>
            </w:r>
          </w:p>
        </w:tc>
        <w:tc>
          <w:tcPr>
            <w:tcW w:w="820" w:type="dxa"/>
            <w:tcBorders>
              <w:top w:val="single" w:color="auto" w:sz="4" w:space="0"/>
              <w:left w:val="nil"/>
              <w:bottom w:val="single" w:color="auto" w:sz="4" w:space="0"/>
              <w:right w:val="nil"/>
            </w:tcBorders>
            <w:shd w:val="clear" w:color="auto" w:fill="auto"/>
            <w:vAlign w:val="bottom"/>
            <w:hideMark/>
          </w:tcPr>
          <w:p w:rsidRPr="00025D4C" w:rsidR="0008141C" w:rsidP="000043C8" w:rsidRDefault="0008141C" w14:paraId="76E553BD"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Gezin</w:t>
            </w:r>
          </w:p>
        </w:tc>
        <w:tc>
          <w:tcPr>
            <w:tcW w:w="1120" w:type="dxa"/>
            <w:tcBorders>
              <w:top w:val="single" w:color="auto" w:sz="4" w:space="0"/>
              <w:left w:val="nil"/>
              <w:bottom w:val="single" w:color="auto" w:sz="4" w:space="0"/>
              <w:right w:val="nil"/>
            </w:tcBorders>
            <w:shd w:val="clear" w:color="auto" w:fill="auto"/>
            <w:vAlign w:val="bottom"/>
            <w:hideMark/>
          </w:tcPr>
          <w:p w:rsidRPr="00025D4C" w:rsidR="0008141C" w:rsidP="000043C8" w:rsidRDefault="0008141C" w14:paraId="56CA7D88"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Studie</w:t>
            </w:r>
          </w:p>
        </w:tc>
        <w:tc>
          <w:tcPr>
            <w:tcW w:w="1120" w:type="dxa"/>
            <w:tcBorders>
              <w:top w:val="single" w:color="auto" w:sz="4" w:space="0"/>
              <w:left w:val="nil"/>
              <w:bottom w:val="single" w:color="auto" w:sz="4" w:space="0"/>
              <w:right w:val="nil"/>
            </w:tcBorders>
            <w:shd w:val="clear" w:color="auto" w:fill="auto"/>
            <w:vAlign w:val="bottom"/>
            <w:hideMark/>
          </w:tcPr>
          <w:p w:rsidRPr="00025D4C" w:rsidR="0008141C" w:rsidP="000043C8" w:rsidRDefault="0008141C" w14:paraId="313EBE9F"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Overige motieven</w:t>
            </w:r>
          </w:p>
        </w:tc>
        <w:tc>
          <w:tcPr>
            <w:tcW w:w="1296" w:type="dxa"/>
            <w:tcBorders>
              <w:top w:val="single" w:color="auto" w:sz="4" w:space="0"/>
              <w:left w:val="nil"/>
              <w:bottom w:val="single" w:color="auto" w:sz="4" w:space="0"/>
              <w:right w:val="nil"/>
            </w:tcBorders>
            <w:shd w:val="clear" w:color="auto" w:fill="auto"/>
            <w:vAlign w:val="bottom"/>
            <w:hideMark/>
          </w:tcPr>
          <w:p w:rsidRPr="00025D4C" w:rsidR="0008141C" w:rsidP="000043C8" w:rsidRDefault="0008141C" w14:paraId="4F23A909"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Tijdelijke bescherming</w:t>
            </w:r>
          </w:p>
        </w:tc>
        <w:tc>
          <w:tcPr>
            <w:tcW w:w="1120" w:type="dxa"/>
            <w:tcBorders>
              <w:top w:val="single" w:color="auto" w:sz="4" w:space="0"/>
              <w:left w:val="nil"/>
              <w:bottom w:val="single" w:color="auto" w:sz="4" w:space="0"/>
              <w:right w:val="nil"/>
            </w:tcBorders>
            <w:shd w:val="clear" w:color="auto" w:fill="auto"/>
            <w:vAlign w:val="bottom"/>
            <w:hideMark/>
          </w:tcPr>
          <w:p w:rsidRPr="00025D4C" w:rsidR="0008141C" w:rsidP="000043C8" w:rsidRDefault="0008141C" w14:paraId="26189EDB" w14:textId="77777777">
            <w:pPr>
              <w:jc w:val="right"/>
              <w:rPr>
                <w:rFonts w:ascii="Verdana" w:hAnsi="Verdana" w:eastAsia="Times New Roman" w:cs="Arial"/>
                <w:b/>
                <w:bCs/>
                <w:color w:val="000000"/>
                <w:sz w:val="18"/>
                <w:szCs w:val="18"/>
                <w:lang w:eastAsia="nl-NL"/>
              </w:rPr>
            </w:pPr>
            <w:r w:rsidRPr="00025D4C">
              <w:rPr>
                <w:rFonts w:ascii="Verdana" w:hAnsi="Verdana" w:eastAsia="Times New Roman" w:cs="Arial"/>
                <w:b/>
                <w:bCs/>
                <w:color w:val="000000"/>
                <w:sz w:val="18"/>
                <w:szCs w:val="18"/>
                <w:lang w:eastAsia="nl-NL"/>
              </w:rPr>
              <w:t>Totaal</w:t>
            </w:r>
          </w:p>
        </w:tc>
      </w:tr>
      <w:tr w:rsidRPr="00025D4C" w:rsidR="0008141C" w:rsidTr="00CB43DF" w14:paraId="5110241E" w14:textId="77777777">
        <w:trPr>
          <w:trHeight w:val="225"/>
        </w:trPr>
        <w:tc>
          <w:tcPr>
            <w:tcW w:w="720" w:type="dxa"/>
            <w:tcBorders>
              <w:top w:val="nil"/>
              <w:left w:val="nil"/>
              <w:bottom w:val="nil"/>
              <w:right w:val="nil"/>
            </w:tcBorders>
            <w:shd w:val="clear" w:color="auto" w:fill="auto"/>
            <w:noWrap/>
            <w:vAlign w:val="bottom"/>
            <w:hideMark/>
          </w:tcPr>
          <w:p w:rsidRPr="00025D4C" w:rsidR="0008141C" w:rsidP="00CB43DF" w:rsidRDefault="0008141C" w14:paraId="3515E105"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2015</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23664666"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11.085</w:t>
            </w:r>
          </w:p>
        </w:tc>
        <w:tc>
          <w:tcPr>
            <w:tcW w:w="1180" w:type="dxa"/>
            <w:tcBorders>
              <w:top w:val="nil"/>
              <w:left w:val="nil"/>
              <w:bottom w:val="nil"/>
              <w:right w:val="nil"/>
            </w:tcBorders>
            <w:shd w:val="clear" w:color="auto" w:fill="auto"/>
            <w:noWrap/>
            <w:vAlign w:val="bottom"/>
            <w:hideMark/>
          </w:tcPr>
          <w:p w:rsidRPr="00025D4C" w:rsidR="0008141C" w:rsidP="00CB43DF" w:rsidRDefault="0008141C" w14:paraId="25A778C5"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18.755</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24D0DC82"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13.585</w:t>
            </w:r>
          </w:p>
        </w:tc>
        <w:tc>
          <w:tcPr>
            <w:tcW w:w="820" w:type="dxa"/>
            <w:tcBorders>
              <w:top w:val="nil"/>
              <w:left w:val="nil"/>
              <w:bottom w:val="nil"/>
              <w:right w:val="nil"/>
            </w:tcBorders>
            <w:shd w:val="clear" w:color="auto" w:fill="auto"/>
            <w:noWrap/>
            <w:vAlign w:val="bottom"/>
            <w:hideMark/>
          </w:tcPr>
          <w:p w:rsidRPr="00025D4C" w:rsidR="0008141C" w:rsidP="00CB43DF" w:rsidRDefault="0008141C" w14:paraId="7BA830E1"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17.155</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7E6816C7"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13.290</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7A3ED7FC"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2.880</w:t>
            </w:r>
          </w:p>
        </w:tc>
        <w:tc>
          <w:tcPr>
            <w:tcW w:w="1296" w:type="dxa"/>
            <w:tcBorders>
              <w:top w:val="nil"/>
              <w:left w:val="nil"/>
              <w:bottom w:val="nil"/>
              <w:right w:val="nil"/>
            </w:tcBorders>
            <w:shd w:val="clear" w:color="auto" w:fill="auto"/>
            <w:noWrap/>
            <w:vAlign w:val="bottom"/>
            <w:hideMark/>
          </w:tcPr>
          <w:p w:rsidRPr="00025D4C" w:rsidR="0008141C" w:rsidP="00CB43DF" w:rsidRDefault="0008141C" w14:paraId="57F0DCF3" w14:textId="77777777">
            <w:pPr>
              <w:jc w:val="right"/>
              <w:rPr>
                <w:rFonts w:ascii="Verdana" w:hAnsi="Verdana" w:eastAsia="Times New Roman" w:cs="Arial"/>
                <w:color w:val="000000"/>
                <w:sz w:val="18"/>
                <w:szCs w:val="18"/>
                <w:lang w:eastAsia="nl-NL"/>
              </w:rPr>
            </w:pP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4E59409A" w14:textId="77777777">
            <w:pPr>
              <w:jc w:val="right"/>
              <w:rPr>
                <w:rFonts w:ascii="Verdana" w:hAnsi="Verdana" w:eastAsia="Times New Roman" w:cs="Arial"/>
                <w:b/>
                <w:bCs/>
                <w:color w:val="000000"/>
                <w:sz w:val="18"/>
                <w:szCs w:val="18"/>
                <w:lang w:eastAsia="nl-NL"/>
              </w:rPr>
            </w:pPr>
            <w:r w:rsidRPr="00025D4C">
              <w:rPr>
                <w:rFonts w:ascii="Verdana" w:hAnsi="Verdana" w:eastAsia="Times New Roman" w:cs="Arial"/>
                <w:b/>
                <w:bCs/>
                <w:color w:val="000000"/>
                <w:sz w:val="18"/>
                <w:szCs w:val="18"/>
                <w:lang w:eastAsia="nl-NL"/>
              </w:rPr>
              <w:t>76.750</w:t>
            </w:r>
          </w:p>
        </w:tc>
      </w:tr>
      <w:tr w:rsidRPr="00025D4C" w:rsidR="0008141C" w:rsidTr="00CB43DF" w14:paraId="20D6C2A8" w14:textId="77777777">
        <w:trPr>
          <w:trHeight w:val="225"/>
        </w:trPr>
        <w:tc>
          <w:tcPr>
            <w:tcW w:w="720" w:type="dxa"/>
            <w:tcBorders>
              <w:top w:val="nil"/>
              <w:left w:val="nil"/>
              <w:bottom w:val="nil"/>
              <w:right w:val="nil"/>
            </w:tcBorders>
            <w:shd w:val="clear" w:color="auto" w:fill="auto"/>
            <w:noWrap/>
            <w:vAlign w:val="bottom"/>
            <w:hideMark/>
          </w:tcPr>
          <w:p w:rsidRPr="00025D4C" w:rsidR="0008141C" w:rsidP="00CB43DF" w:rsidRDefault="0008141C" w14:paraId="73467A5F"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2016</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71D188CB"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12.485</w:t>
            </w:r>
          </w:p>
        </w:tc>
        <w:tc>
          <w:tcPr>
            <w:tcW w:w="1180" w:type="dxa"/>
            <w:tcBorders>
              <w:top w:val="nil"/>
              <w:left w:val="nil"/>
              <w:bottom w:val="nil"/>
              <w:right w:val="nil"/>
            </w:tcBorders>
            <w:shd w:val="clear" w:color="auto" w:fill="auto"/>
            <w:noWrap/>
            <w:vAlign w:val="bottom"/>
            <w:hideMark/>
          </w:tcPr>
          <w:p w:rsidRPr="00025D4C" w:rsidR="0008141C" w:rsidP="00CB43DF" w:rsidRDefault="0008141C" w14:paraId="0E79BE5F"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30.030</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6F890844"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12.875</w:t>
            </w:r>
          </w:p>
        </w:tc>
        <w:tc>
          <w:tcPr>
            <w:tcW w:w="820" w:type="dxa"/>
            <w:tcBorders>
              <w:top w:val="nil"/>
              <w:left w:val="nil"/>
              <w:bottom w:val="nil"/>
              <w:right w:val="nil"/>
            </w:tcBorders>
            <w:shd w:val="clear" w:color="auto" w:fill="auto"/>
            <w:noWrap/>
            <w:vAlign w:val="bottom"/>
            <w:hideMark/>
          </w:tcPr>
          <w:p w:rsidRPr="00025D4C" w:rsidR="0008141C" w:rsidP="00CB43DF" w:rsidRDefault="0008141C" w14:paraId="770F1D06"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20.055</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19D966FE"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14.465</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4450E2D5"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2.960</w:t>
            </w:r>
          </w:p>
        </w:tc>
        <w:tc>
          <w:tcPr>
            <w:tcW w:w="1296" w:type="dxa"/>
            <w:tcBorders>
              <w:top w:val="nil"/>
              <w:left w:val="nil"/>
              <w:bottom w:val="nil"/>
              <w:right w:val="nil"/>
            </w:tcBorders>
            <w:shd w:val="clear" w:color="auto" w:fill="auto"/>
            <w:noWrap/>
            <w:vAlign w:val="bottom"/>
            <w:hideMark/>
          </w:tcPr>
          <w:p w:rsidRPr="00025D4C" w:rsidR="0008141C" w:rsidP="00CB43DF" w:rsidRDefault="0008141C" w14:paraId="6E1AE6EF" w14:textId="77777777">
            <w:pPr>
              <w:jc w:val="right"/>
              <w:rPr>
                <w:rFonts w:ascii="Verdana" w:hAnsi="Verdana" w:eastAsia="Times New Roman" w:cs="Arial"/>
                <w:color w:val="000000"/>
                <w:sz w:val="18"/>
                <w:szCs w:val="18"/>
                <w:lang w:eastAsia="nl-NL"/>
              </w:rPr>
            </w:pP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191A4BB3" w14:textId="77777777">
            <w:pPr>
              <w:jc w:val="right"/>
              <w:rPr>
                <w:rFonts w:ascii="Verdana" w:hAnsi="Verdana" w:eastAsia="Times New Roman" w:cs="Arial"/>
                <w:b/>
                <w:bCs/>
                <w:color w:val="000000"/>
                <w:sz w:val="18"/>
                <w:szCs w:val="18"/>
                <w:lang w:eastAsia="nl-NL"/>
              </w:rPr>
            </w:pPr>
            <w:r w:rsidRPr="00025D4C">
              <w:rPr>
                <w:rFonts w:ascii="Verdana" w:hAnsi="Verdana" w:eastAsia="Times New Roman" w:cs="Arial"/>
                <w:b/>
                <w:bCs/>
                <w:color w:val="000000"/>
                <w:sz w:val="18"/>
                <w:szCs w:val="18"/>
                <w:lang w:eastAsia="nl-NL"/>
              </w:rPr>
              <w:t>92.870</w:t>
            </w:r>
          </w:p>
        </w:tc>
      </w:tr>
      <w:tr w:rsidRPr="00025D4C" w:rsidR="0008141C" w:rsidTr="00CB43DF" w14:paraId="5C2C8983" w14:textId="77777777">
        <w:trPr>
          <w:trHeight w:val="225"/>
        </w:trPr>
        <w:tc>
          <w:tcPr>
            <w:tcW w:w="720" w:type="dxa"/>
            <w:tcBorders>
              <w:top w:val="nil"/>
              <w:left w:val="nil"/>
              <w:bottom w:val="nil"/>
              <w:right w:val="nil"/>
            </w:tcBorders>
            <w:shd w:val="clear" w:color="auto" w:fill="auto"/>
            <w:noWrap/>
            <w:vAlign w:val="bottom"/>
            <w:hideMark/>
          </w:tcPr>
          <w:p w:rsidRPr="00025D4C" w:rsidR="0008141C" w:rsidP="00CB43DF" w:rsidRDefault="0008141C" w14:paraId="69F67C73"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2017</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30112451"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14.800</w:t>
            </w:r>
          </w:p>
        </w:tc>
        <w:tc>
          <w:tcPr>
            <w:tcW w:w="1180" w:type="dxa"/>
            <w:tcBorders>
              <w:top w:val="nil"/>
              <w:left w:val="nil"/>
              <w:bottom w:val="nil"/>
              <w:right w:val="nil"/>
            </w:tcBorders>
            <w:shd w:val="clear" w:color="auto" w:fill="auto"/>
            <w:noWrap/>
            <w:vAlign w:val="bottom"/>
            <w:hideMark/>
          </w:tcPr>
          <w:p w:rsidRPr="00025D4C" w:rsidR="0008141C" w:rsidP="00CB43DF" w:rsidRDefault="0008141C" w14:paraId="1CAAF76B"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9.725</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65E27BFE"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14.695</w:t>
            </w:r>
          </w:p>
        </w:tc>
        <w:tc>
          <w:tcPr>
            <w:tcW w:w="820" w:type="dxa"/>
            <w:tcBorders>
              <w:top w:val="nil"/>
              <w:left w:val="nil"/>
              <w:bottom w:val="nil"/>
              <w:right w:val="nil"/>
            </w:tcBorders>
            <w:shd w:val="clear" w:color="auto" w:fill="auto"/>
            <w:noWrap/>
            <w:vAlign w:val="bottom"/>
            <w:hideMark/>
          </w:tcPr>
          <w:p w:rsidRPr="00025D4C" w:rsidR="0008141C" w:rsidP="00CB43DF" w:rsidRDefault="0008141C" w14:paraId="3CBB9AFC"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24.270</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04359BFA"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16.220</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17AD84EA"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3.835</w:t>
            </w:r>
          </w:p>
        </w:tc>
        <w:tc>
          <w:tcPr>
            <w:tcW w:w="1296" w:type="dxa"/>
            <w:tcBorders>
              <w:top w:val="nil"/>
              <w:left w:val="nil"/>
              <w:bottom w:val="nil"/>
              <w:right w:val="nil"/>
            </w:tcBorders>
            <w:shd w:val="clear" w:color="auto" w:fill="auto"/>
            <w:noWrap/>
            <w:vAlign w:val="bottom"/>
            <w:hideMark/>
          </w:tcPr>
          <w:p w:rsidRPr="00025D4C" w:rsidR="0008141C" w:rsidP="00CB43DF" w:rsidRDefault="0008141C" w14:paraId="76D0B63C" w14:textId="77777777">
            <w:pPr>
              <w:jc w:val="right"/>
              <w:rPr>
                <w:rFonts w:ascii="Verdana" w:hAnsi="Verdana" w:eastAsia="Times New Roman" w:cs="Arial"/>
                <w:color w:val="000000"/>
                <w:sz w:val="18"/>
                <w:szCs w:val="18"/>
                <w:lang w:eastAsia="nl-NL"/>
              </w:rPr>
            </w:pP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3FEC0299" w14:textId="77777777">
            <w:pPr>
              <w:jc w:val="right"/>
              <w:rPr>
                <w:rFonts w:ascii="Verdana" w:hAnsi="Verdana" w:eastAsia="Times New Roman" w:cs="Arial"/>
                <w:b/>
                <w:bCs/>
                <w:color w:val="000000"/>
                <w:sz w:val="18"/>
                <w:szCs w:val="18"/>
                <w:lang w:eastAsia="nl-NL"/>
              </w:rPr>
            </w:pPr>
            <w:r w:rsidRPr="00025D4C">
              <w:rPr>
                <w:rFonts w:ascii="Verdana" w:hAnsi="Verdana" w:eastAsia="Times New Roman" w:cs="Arial"/>
                <w:b/>
                <w:bCs/>
                <w:color w:val="000000"/>
                <w:sz w:val="18"/>
                <w:szCs w:val="18"/>
                <w:lang w:eastAsia="nl-NL"/>
              </w:rPr>
              <w:t>83.545</w:t>
            </w:r>
          </w:p>
        </w:tc>
      </w:tr>
      <w:tr w:rsidRPr="00025D4C" w:rsidR="0008141C" w:rsidTr="00CB43DF" w14:paraId="7F8770CB" w14:textId="77777777">
        <w:trPr>
          <w:trHeight w:val="225"/>
        </w:trPr>
        <w:tc>
          <w:tcPr>
            <w:tcW w:w="720" w:type="dxa"/>
            <w:tcBorders>
              <w:top w:val="nil"/>
              <w:left w:val="nil"/>
              <w:bottom w:val="nil"/>
              <w:right w:val="nil"/>
            </w:tcBorders>
            <w:shd w:val="clear" w:color="auto" w:fill="auto"/>
            <w:noWrap/>
            <w:vAlign w:val="bottom"/>
            <w:hideMark/>
          </w:tcPr>
          <w:p w:rsidRPr="00025D4C" w:rsidR="0008141C" w:rsidP="00CB43DF" w:rsidRDefault="0008141C" w14:paraId="33A44FF1"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lastRenderedPageBreak/>
              <w:t>2018</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419B92DD"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17.590</w:t>
            </w:r>
          </w:p>
        </w:tc>
        <w:tc>
          <w:tcPr>
            <w:tcW w:w="1180" w:type="dxa"/>
            <w:tcBorders>
              <w:top w:val="nil"/>
              <w:left w:val="nil"/>
              <w:bottom w:val="nil"/>
              <w:right w:val="nil"/>
            </w:tcBorders>
            <w:shd w:val="clear" w:color="auto" w:fill="auto"/>
            <w:noWrap/>
            <w:vAlign w:val="bottom"/>
            <w:hideMark/>
          </w:tcPr>
          <w:p w:rsidRPr="00025D4C" w:rsidR="0008141C" w:rsidP="00CB43DF" w:rsidRDefault="0008141C" w14:paraId="085DF89D"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6.485</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181747B9"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6.520</w:t>
            </w:r>
          </w:p>
        </w:tc>
        <w:tc>
          <w:tcPr>
            <w:tcW w:w="820" w:type="dxa"/>
            <w:tcBorders>
              <w:top w:val="nil"/>
              <w:left w:val="nil"/>
              <w:bottom w:val="nil"/>
              <w:right w:val="nil"/>
            </w:tcBorders>
            <w:shd w:val="clear" w:color="auto" w:fill="auto"/>
            <w:noWrap/>
            <w:vAlign w:val="bottom"/>
            <w:hideMark/>
          </w:tcPr>
          <w:p w:rsidRPr="00025D4C" w:rsidR="0008141C" w:rsidP="00CB43DF" w:rsidRDefault="0008141C" w14:paraId="50274FE2"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26.785</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0F307C7A"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17.575</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522412F6"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5.525</w:t>
            </w:r>
          </w:p>
        </w:tc>
        <w:tc>
          <w:tcPr>
            <w:tcW w:w="1296" w:type="dxa"/>
            <w:tcBorders>
              <w:top w:val="nil"/>
              <w:left w:val="nil"/>
              <w:bottom w:val="nil"/>
              <w:right w:val="nil"/>
            </w:tcBorders>
            <w:shd w:val="clear" w:color="auto" w:fill="auto"/>
            <w:noWrap/>
            <w:vAlign w:val="bottom"/>
            <w:hideMark/>
          </w:tcPr>
          <w:p w:rsidRPr="00025D4C" w:rsidR="0008141C" w:rsidP="00CB43DF" w:rsidRDefault="0008141C" w14:paraId="4CF83B83" w14:textId="77777777">
            <w:pPr>
              <w:jc w:val="right"/>
              <w:rPr>
                <w:rFonts w:ascii="Verdana" w:hAnsi="Verdana" w:eastAsia="Times New Roman" w:cs="Arial"/>
                <w:color w:val="000000"/>
                <w:sz w:val="18"/>
                <w:szCs w:val="18"/>
                <w:lang w:eastAsia="nl-NL"/>
              </w:rPr>
            </w:pP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6A0FE9C1" w14:textId="77777777">
            <w:pPr>
              <w:jc w:val="right"/>
              <w:rPr>
                <w:rFonts w:ascii="Verdana" w:hAnsi="Verdana" w:eastAsia="Times New Roman" w:cs="Arial"/>
                <w:b/>
                <w:bCs/>
                <w:color w:val="000000"/>
                <w:sz w:val="18"/>
                <w:szCs w:val="18"/>
                <w:lang w:eastAsia="nl-NL"/>
              </w:rPr>
            </w:pPr>
            <w:r w:rsidRPr="00025D4C">
              <w:rPr>
                <w:rFonts w:ascii="Verdana" w:hAnsi="Verdana" w:eastAsia="Times New Roman" w:cs="Arial"/>
                <w:b/>
                <w:bCs/>
                <w:color w:val="000000"/>
                <w:sz w:val="18"/>
                <w:szCs w:val="18"/>
                <w:lang w:eastAsia="nl-NL"/>
              </w:rPr>
              <w:t>80.480</w:t>
            </w:r>
          </w:p>
        </w:tc>
      </w:tr>
      <w:tr w:rsidRPr="00025D4C" w:rsidR="0008141C" w:rsidTr="00CB43DF" w14:paraId="1438E366" w14:textId="77777777">
        <w:trPr>
          <w:trHeight w:val="225"/>
        </w:trPr>
        <w:tc>
          <w:tcPr>
            <w:tcW w:w="720" w:type="dxa"/>
            <w:tcBorders>
              <w:top w:val="nil"/>
              <w:left w:val="nil"/>
              <w:bottom w:val="nil"/>
              <w:right w:val="nil"/>
            </w:tcBorders>
            <w:shd w:val="clear" w:color="auto" w:fill="auto"/>
            <w:noWrap/>
            <w:vAlign w:val="bottom"/>
            <w:hideMark/>
          </w:tcPr>
          <w:p w:rsidRPr="00025D4C" w:rsidR="0008141C" w:rsidP="00CB43DF" w:rsidRDefault="0008141C" w14:paraId="09FF1A3B"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2019</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1A9DEDED"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19.850</w:t>
            </w:r>
          </w:p>
        </w:tc>
        <w:tc>
          <w:tcPr>
            <w:tcW w:w="1180" w:type="dxa"/>
            <w:tcBorders>
              <w:top w:val="nil"/>
              <w:left w:val="nil"/>
              <w:bottom w:val="nil"/>
              <w:right w:val="nil"/>
            </w:tcBorders>
            <w:shd w:val="clear" w:color="auto" w:fill="auto"/>
            <w:noWrap/>
            <w:vAlign w:val="bottom"/>
            <w:hideMark/>
          </w:tcPr>
          <w:p w:rsidRPr="00025D4C" w:rsidR="0008141C" w:rsidP="00CB43DF" w:rsidRDefault="0008141C" w14:paraId="37BD622F"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11.515</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776C6AAE"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4.245</w:t>
            </w:r>
          </w:p>
        </w:tc>
        <w:tc>
          <w:tcPr>
            <w:tcW w:w="820" w:type="dxa"/>
            <w:tcBorders>
              <w:top w:val="nil"/>
              <w:left w:val="nil"/>
              <w:bottom w:val="nil"/>
              <w:right w:val="nil"/>
            </w:tcBorders>
            <w:shd w:val="clear" w:color="auto" w:fill="auto"/>
            <w:noWrap/>
            <w:vAlign w:val="bottom"/>
            <w:hideMark/>
          </w:tcPr>
          <w:p w:rsidRPr="00025D4C" w:rsidR="0008141C" w:rsidP="00CB43DF" w:rsidRDefault="0008141C" w14:paraId="15458B9A"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29.510</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28094620"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19.135</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06D3EF6D"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6.385</w:t>
            </w:r>
          </w:p>
        </w:tc>
        <w:tc>
          <w:tcPr>
            <w:tcW w:w="1296" w:type="dxa"/>
            <w:tcBorders>
              <w:top w:val="nil"/>
              <w:left w:val="nil"/>
              <w:bottom w:val="nil"/>
              <w:right w:val="nil"/>
            </w:tcBorders>
            <w:shd w:val="clear" w:color="auto" w:fill="auto"/>
            <w:noWrap/>
            <w:vAlign w:val="bottom"/>
            <w:hideMark/>
          </w:tcPr>
          <w:p w:rsidRPr="00025D4C" w:rsidR="0008141C" w:rsidP="00CB43DF" w:rsidRDefault="0008141C" w14:paraId="0B94EC1D" w14:textId="77777777">
            <w:pPr>
              <w:jc w:val="right"/>
              <w:rPr>
                <w:rFonts w:ascii="Verdana" w:hAnsi="Verdana" w:eastAsia="Times New Roman" w:cs="Arial"/>
                <w:color w:val="000000"/>
                <w:sz w:val="18"/>
                <w:szCs w:val="18"/>
                <w:lang w:eastAsia="nl-NL"/>
              </w:rPr>
            </w:pP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6B32BAE5" w14:textId="77777777">
            <w:pPr>
              <w:jc w:val="right"/>
              <w:rPr>
                <w:rFonts w:ascii="Verdana" w:hAnsi="Verdana" w:eastAsia="Times New Roman" w:cs="Arial"/>
                <w:b/>
                <w:bCs/>
                <w:color w:val="000000"/>
                <w:sz w:val="18"/>
                <w:szCs w:val="18"/>
                <w:lang w:eastAsia="nl-NL"/>
              </w:rPr>
            </w:pPr>
            <w:r w:rsidRPr="00025D4C">
              <w:rPr>
                <w:rFonts w:ascii="Verdana" w:hAnsi="Verdana" w:eastAsia="Times New Roman" w:cs="Arial"/>
                <w:b/>
                <w:bCs/>
                <w:color w:val="000000"/>
                <w:sz w:val="18"/>
                <w:szCs w:val="18"/>
                <w:lang w:eastAsia="nl-NL"/>
              </w:rPr>
              <w:t>90.640</w:t>
            </w:r>
          </w:p>
        </w:tc>
      </w:tr>
      <w:tr w:rsidRPr="00025D4C" w:rsidR="0008141C" w:rsidTr="00CB43DF" w14:paraId="02A53ABE" w14:textId="77777777">
        <w:trPr>
          <w:trHeight w:val="225"/>
        </w:trPr>
        <w:tc>
          <w:tcPr>
            <w:tcW w:w="720" w:type="dxa"/>
            <w:tcBorders>
              <w:top w:val="nil"/>
              <w:left w:val="nil"/>
              <w:bottom w:val="nil"/>
              <w:right w:val="nil"/>
            </w:tcBorders>
            <w:shd w:val="clear" w:color="auto" w:fill="auto"/>
            <w:noWrap/>
            <w:vAlign w:val="bottom"/>
            <w:hideMark/>
          </w:tcPr>
          <w:p w:rsidRPr="00025D4C" w:rsidR="0008141C" w:rsidP="00CB43DF" w:rsidRDefault="0008141C" w14:paraId="65786B70"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2020</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57BE880B"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11.510</w:t>
            </w:r>
          </w:p>
        </w:tc>
        <w:tc>
          <w:tcPr>
            <w:tcW w:w="1180" w:type="dxa"/>
            <w:tcBorders>
              <w:top w:val="nil"/>
              <w:left w:val="nil"/>
              <w:bottom w:val="nil"/>
              <w:right w:val="nil"/>
            </w:tcBorders>
            <w:shd w:val="clear" w:color="auto" w:fill="auto"/>
            <w:noWrap/>
            <w:vAlign w:val="bottom"/>
            <w:hideMark/>
          </w:tcPr>
          <w:p w:rsidRPr="00025D4C" w:rsidR="0008141C" w:rsidP="00CB43DF" w:rsidRDefault="0008141C" w14:paraId="4375FE77"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8.765</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20AFE75C"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3.830</w:t>
            </w:r>
          </w:p>
        </w:tc>
        <w:tc>
          <w:tcPr>
            <w:tcW w:w="820" w:type="dxa"/>
            <w:tcBorders>
              <w:top w:val="nil"/>
              <w:left w:val="nil"/>
              <w:bottom w:val="nil"/>
              <w:right w:val="nil"/>
            </w:tcBorders>
            <w:shd w:val="clear" w:color="auto" w:fill="auto"/>
            <w:noWrap/>
            <w:vAlign w:val="bottom"/>
            <w:hideMark/>
          </w:tcPr>
          <w:p w:rsidRPr="00025D4C" w:rsidR="0008141C" w:rsidP="00CB43DF" w:rsidRDefault="0008141C" w14:paraId="174B7CE1"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21.160</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46029004"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12.805</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6B5BBFD8"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3.405</w:t>
            </w:r>
          </w:p>
        </w:tc>
        <w:tc>
          <w:tcPr>
            <w:tcW w:w="1296" w:type="dxa"/>
            <w:tcBorders>
              <w:top w:val="nil"/>
              <w:left w:val="nil"/>
              <w:bottom w:val="nil"/>
              <w:right w:val="nil"/>
            </w:tcBorders>
            <w:shd w:val="clear" w:color="auto" w:fill="auto"/>
            <w:noWrap/>
            <w:vAlign w:val="bottom"/>
            <w:hideMark/>
          </w:tcPr>
          <w:p w:rsidRPr="00025D4C" w:rsidR="0008141C" w:rsidP="00CB43DF" w:rsidRDefault="0008141C" w14:paraId="39DBABDE" w14:textId="77777777">
            <w:pPr>
              <w:jc w:val="right"/>
              <w:rPr>
                <w:rFonts w:ascii="Verdana" w:hAnsi="Verdana" w:eastAsia="Times New Roman" w:cs="Arial"/>
                <w:color w:val="000000"/>
                <w:sz w:val="18"/>
                <w:szCs w:val="18"/>
                <w:lang w:eastAsia="nl-NL"/>
              </w:rPr>
            </w:pP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3B5D3ACA" w14:textId="77777777">
            <w:pPr>
              <w:jc w:val="right"/>
              <w:rPr>
                <w:rFonts w:ascii="Verdana" w:hAnsi="Verdana" w:eastAsia="Times New Roman" w:cs="Arial"/>
                <w:b/>
                <w:bCs/>
                <w:color w:val="000000"/>
                <w:sz w:val="18"/>
                <w:szCs w:val="18"/>
                <w:lang w:eastAsia="nl-NL"/>
              </w:rPr>
            </w:pPr>
            <w:r w:rsidRPr="00025D4C">
              <w:rPr>
                <w:rFonts w:ascii="Verdana" w:hAnsi="Verdana" w:eastAsia="Times New Roman" w:cs="Arial"/>
                <w:b/>
                <w:bCs/>
                <w:color w:val="000000"/>
                <w:sz w:val="18"/>
                <w:szCs w:val="18"/>
                <w:lang w:eastAsia="nl-NL"/>
              </w:rPr>
              <w:t>61.475</w:t>
            </w:r>
          </w:p>
        </w:tc>
      </w:tr>
      <w:tr w:rsidRPr="00025D4C" w:rsidR="0008141C" w:rsidTr="00CB43DF" w14:paraId="2F3DFD43" w14:textId="77777777">
        <w:trPr>
          <w:trHeight w:val="225"/>
        </w:trPr>
        <w:tc>
          <w:tcPr>
            <w:tcW w:w="720" w:type="dxa"/>
            <w:tcBorders>
              <w:top w:val="nil"/>
              <w:left w:val="nil"/>
              <w:bottom w:val="nil"/>
              <w:right w:val="nil"/>
            </w:tcBorders>
            <w:shd w:val="clear" w:color="auto" w:fill="auto"/>
            <w:noWrap/>
            <w:vAlign w:val="bottom"/>
            <w:hideMark/>
          </w:tcPr>
          <w:p w:rsidRPr="00025D4C" w:rsidR="0008141C" w:rsidP="00CB43DF" w:rsidRDefault="0008141C" w14:paraId="17CB38F5"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2021</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6A54CFBE"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18.020</w:t>
            </w:r>
          </w:p>
        </w:tc>
        <w:tc>
          <w:tcPr>
            <w:tcW w:w="1180" w:type="dxa"/>
            <w:tcBorders>
              <w:top w:val="nil"/>
              <w:left w:val="nil"/>
              <w:bottom w:val="nil"/>
              <w:right w:val="nil"/>
            </w:tcBorders>
            <w:shd w:val="clear" w:color="auto" w:fill="auto"/>
            <w:noWrap/>
            <w:vAlign w:val="bottom"/>
            <w:hideMark/>
          </w:tcPr>
          <w:p w:rsidRPr="00025D4C" w:rsidR="0008141C" w:rsidP="00CB43DF" w:rsidRDefault="0008141C" w14:paraId="52B29A78"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11.685</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28DCBD65"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10.020</w:t>
            </w:r>
          </w:p>
        </w:tc>
        <w:tc>
          <w:tcPr>
            <w:tcW w:w="820" w:type="dxa"/>
            <w:tcBorders>
              <w:top w:val="nil"/>
              <w:left w:val="nil"/>
              <w:bottom w:val="nil"/>
              <w:right w:val="nil"/>
            </w:tcBorders>
            <w:shd w:val="clear" w:color="auto" w:fill="auto"/>
            <w:noWrap/>
            <w:vAlign w:val="bottom"/>
            <w:hideMark/>
          </w:tcPr>
          <w:p w:rsidRPr="00025D4C" w:rsidR="0008141C" w:rsidP="00CB43DF" w:rsidRDefault="0008141C" w14:paraId="375A9054"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29.435</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285FA8AE"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18.275</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78D6DD98"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2.905</w:t>
            </w:r>
          </w:p>
        </w:tc>
        <w:tc>
          <w:tcPr>
            <w:tcW w:w="1296" w:type="dxa"/>
            <w:tcBorders>
              <w:top w:val="nil"/>
              <w:left w:val="nil"/>
              <w:bottom w:val="nil"/>
              <w:right w:val="nil"/>
            </w:tcBorders>
            <w:shd w:val="clear" w:color="auto" w:fill="auto"/>
            <w:noWrap/>
            <w:vAlign w:val="bottom"/>
            <w:hideMark/>
          </w:tcPr>
          <w:p w:rsidRPr="00025D4C" w:rsidR="0008141C" w:rsidP="00CB43DF" w:rsidRDefault="0008141C" w14:paraId="66000DDF" w14:textId="77777777">
            <w:pPr>
              <w:jc w:val="right"/>
              <w:rPr>
                <w:rFonts w:ascii="Verdana" w:hAnsi="Verdana" w:eastAsia="Times New Roman" w:cs="Arial"/>
                <w:color w:val="000000"/>
                <w:sz w:val="18"/>
                <w:szCs w:val="18"/>
                <w:lang w:eastAsia="nl-NL"/>
              </w:rPr>
            </w:pP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2B211561" w14:textId="77777777">
            <w:pPr>
              <w:jc w:val="right"/>
              <w:rPr>
                <w:rFonts w:ascii="Verdana" w:hAnsi="Verdana" w:eastAsia="Times New Roman" w:cs="Arial"/>
                <w:b/>
                <w:bCs/>
                <w:color w:val="000000"/>
                <w:sz w:val="18"/>
                <w:szCs w:val="18"/>
                <w:lang w:eastAsia="nl-NL"/>
              </w:rPr>
            </w:pPr>
            <w:r w:rsidRPr="00025D4C">
              <w:rPr>
                <w:rFonts w:ascii="Verdana" w:hAnsi="Verdana" w:eastAsia="Times New Roman" w:cs="Arial"/>
                <w:b/>
                <w:bCs/>
                <w:color w:val="000000"/>
                <w:sz w:val="18"/>
                <w:szCs w:val="18"/>
                <w:lang w:eastAsia="nl-NL"/>
              </w:rPr>
              <w:t>90.340</w:t>
            </w:r>
          </w:p>
        </w:tc>
      </w:tr>
      <w:tr w:rsidRPr="00025D4C" w:rsidR="0008141C" w:rsidTr="00CB43DF" w14:paraId="74C84959" w14:textId="77777777">
        <w:trPr>
          <w:trHeight w:val="225"/>
        </w:trPr>
        <w:tc>
          <w:tcPr>
            <w:tcW w:w="720" w:type="dxa"/>
            <w:tcBorders>
              <w:top w:val="nil"/>
              <w:left w:val="nil"/>
              <w:bottom w:val="nil"/>
              <w:right w:val="nil"/>
            </w:tcBorders>
            <w:shd w:val="clear" w:color="auto" w:fill="auto"/>
            <w:noWrap/>
            <w:vAlign w:val="bottom"/>
            <w:hideMark/>
          </w:tcPr>
          <w:p w:rsidRPr="00025D4C" w:rsidR="0008141C" w:rsidP="00CB43DF" w:rsidRDefault="0008141C" w14:paraId="7829B0B4"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2022</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726CE086"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28.680</w:t>
            </w:r>
          </w:p>
        </w:tc>
        <w:tc>
          <w:tcPr>
            <w:tcW w:w="1180" w:type="dxa"/>
            <w:tcBorders>
              <w:top w:val="nil"/>
              <w:left w:val="nil"/>
              <w:bottom w:val="nil"/>
              <w:right w:val="nil"/>
            </w:tcBorders>
            <w:shd w:val="clear" w:color="auto" w:fill="auto"/>
            <w:noWrap/>
            <w:vAlign w:val="bottom"/>
            <w:hideMark/>
          </w:tcPr>
          <w:p w:rsidRPr="00025D4C" w:rsidR="0008141C" w:rsidP="00CB43DF" w:rsidRDefault="0008141C" w14:paraId="55EE6DB0"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16.640</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36F2E044"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11.115</w:t>
            </w:r>
          </w:p>
        </w:tc>
        <w:tc>
          <w:tcPr>
            <w:tcW w:w="820" w:type="dxa"/>
            <w:tcBorders>
              <w:top w:val="nil"/>
              <w:left w:val="nil"/>
              <w:bottom w:val="nil"/>
              <w:right w:val="nil"/>
            </w:tcBorders>
            <w:shd w:val="clear" w:color="auto" w:fill="auto"/>
            <w:noWrap/>
            <w:vAlign w:val="bottom"/>
            <w:hideMark/>
          </w:tcPr>
          <w:p w:rsidRPr="00025D4C" w:rsidR="0008141C" w:rsidP="00CB43DF" w:rsidRDefault="0008141C" w14:paraId="1E9256B0"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40.070</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6F146A70"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20.705</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7D4435FB"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4.555</w:t>
            </w:r>
          </w:p>
        </w:tc>
        <w:tc>
          <w:tcPr>
            <w:tcW w:w="1296" w:type="dxa"/>
            <w:tcBorders>
              <w:top w:val="nil"/>
              <w:left w:val="nil"/>
              <w:bottom w:val="nil"/>
              <w:right w:val="nil"/>
            </w:tcBorders>
            <w:shd w:val="clear" w:color="auto" w:fill="auto"/>
            <w:noWrap/>
            <w:vAlign w:val="bottom"/>
            <w:hideMark/>
          </w:tcPr>
          <w:p w:rsidRPr="00025D4C" w:rsidR="0008141C" w:rsidP="00CB43DF" w:rsidRDefault="0008141C" w14:paraId="3CD7E295"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108.550</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411C4678" w14:textId="77777777">
            <w:pPr>
              <w:jc w:val="right"/>
              <w:rPr>
                <w:rFonts w:ascii="Verdana" w:hAnsi="Verdana" w:eastAsia="Times New Roman" w:cs="Arial"/>
                <w:b/>
                <w:bCs/>
                <w:color w:val="000000"/>
                <w:sz w:val="18"/>
                <w:szCs w:val="18"/>
                <w:lang w:eastAsia="nl-NL"/>
              </w:rPr>
            </w:pPr>
            <w:r w:rsidRPr="00025D4C">
              <w:rPr>
                <w:rFonts w:ascii="Verdana" w:hAnsi="Verdana" w:eastAsia="Times New Roman" w:cs="Arial"/>
                <w:b/>
                <w:bCs/>
                <w:color w:val="000000"/>
                <w:sz w:val="18"/>
                <w:szCs w:val="18"/>
                <w:lang w:eastAsia="nl-NL"/>
              </w:rPr>
              <w:t>230.315</w:t>
            </w:r>
          </w:p>
        </w:tc>
      </w:tr>
      <w:tr w:rsidRPr="00025D4C" w:rsidR="0008141C" w:rsidTr="00CB43DF" w14:paraId="7232FDD9" w14:textId="77777777">
        <w:trPr>
          <w:trHeight w:val="225"/>
        </w:trPr>
        <w:tc>
          <w:tcPr>
            <w:tcW w:w="720" w:type="dxa"/>
            <w:tcBorders>
              <w:top w:val="nil"/>
              <w:left w:val="nil"/>
              <w:bottom w:val="nil"/>
              <w:right w:val="nil"/>
            </w:tcBorders>
            <w:shd w:val="clear" w:color="auto" w:fill="auto"/>
            <w:noWrap/>
            <w:vAlign w:val="bottom"/>
            <w:hideMark/>
          </w:tcPr>
          <w:p w:rsidRPr="00025D4C" w:rsidR="0008141C" w:rsidP="00CB43DF" w:rsidRDefault="0008141C" w14:paraId="42B2E0C8"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2023</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63661F76"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25.195</w:t>
            </w:r>
          </w:p>
        </w:tc>
        <w:tc>
          <w:tcPr>
            <w:tcW w:w="1180" w:type="dxa"/>
            <w:tcBorders>
              <w:top w:val="nil"/>
              <w:left w:val="nil"/>
              <w:bottom w:val="nil"/>
              <w:right w:val="nil"/>
            </w:tcBorders>
            <w:shd w:val="clear" w:color="auto" w:fill="auto"/>
            <w:noWrap/>
            <w:vAlign w:val="bottom"/>
            <w:hideMark/>
          </w:tcPr>
          <w:p w:rsidRPr="00025D4C" w:rsidR="0008141C" w:rsidP="00CB43DF" w:rsidRDefault="0008141C" w14:paraId="5FD1E4A8"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22.665</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123DE55D"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10.390</w:t>
            </w:r>
          </w:p>
        </w:tc>
        <w:tc>
          <w:tcPr>
            <w:tcW w:w="820" w:type="dxa"/>
            <w:tcBorders>
              <w:top w:val="nil"/>
              <w:left w:val="nil"/>
              <w:bottom w:val="nil"/>
              <w:right w:val="nil"/>
            </w:tcBorders>
            <w:shd w:val="clear" w:color="auto" w:fill="auto"/>
            <w:noWrap/>
            <w:vAlign w:val="bottom"/>
            <w:hideMark/>
          </w:tcPr>
          <w:p w:rsidRPr="00025D4C" w:rsidR="0008141C" w:rsidP="00CB43DF" w:rsidRDefault="0008141C" w14:paraId="6B94DC93"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41.560</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48DEF1A8"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22.580</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2BE9966B"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4.875</w:t>
            </w:r>
          </w:p>
        </w:tc>
        <w:tc>
          <w:tcPr>
            <w:tcW w:w="1296" w:type="dxa"/>
            <w:tcBorders>
              <w:top w:val="nil"/>
              <w:left w:val="nil"/>
              <w:bottom w:val="nil"/>
              <w:right w:val="nil"/>
            </w:tcBorders>
            <w:shd w:val="clear" w:color="auto" w:fill="auto"/>
            <w:noWrap/>
            <w:vAlign w:val="bottom"/>
            <w:hideMark/>
          </w:tcPr>
          <w:p w:rsidRPr="00025D4C" w:rsidR="0008141C" w:rsidP="00CB43DF" w:rsidRDefault="0008141C" w14:paraId="3B3C5F49"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37.340</w:t>
            </w:r>
          </w:p>
        </w:tc>
        <w:tc>
          <w:tcPr>
            <w:tcW w:w="1120" w:type="dxa"/>
            <w:tcBorders>
              <w:top w:val="nil"/>
              <w:left w:val="nil"/>
              <w:bottom w:val="nil"/>
              <w:right w:val="nil"/>
            </w:tcBorders>
            <w:shd w:val="clear" w:color="auto" w:fill="auto"/>
            <w:noWrap/>
            <w:vAlign w:val="bottom"/>
            <w:hideMark/>
          </w:tcPr>
          <w:p w:rsidRPr="00025D4C" w:rsidR="0008141C" w:rsidP="00CB43DF" w:rsidRDefault="0008141C" w14:paraId="16205A40" w14:textId="77777777">
            <w:pPr>
              <w:jc w:val="right"/>
              <w:rPr>
                <w:rFonts w:ascii="Verdana" w:hAnsi="Verdana" w:eastAsia="Times New Roman" w:cs="Arial"/>
                <w:b/>
                <w:bCs/>
                <w:color w:val="000000"/>
                <w:sz w:val="18"/>
                <w:szCs w:val="18"/>
                <w:lang w:eastAsia="nl-NL"/>
              </w:rPr>
            </w:pPr>
            <w:r w:rsidRPr="00025D4C">
              <w:rPr>
                <w:rFonts w:ascii="Verdana" w:hAnsi="Verdana" w:eastAsia="Times New Roman" w:cs="Arial"/>
                <w:b/>
                <w:bCs/>
                <w:color w:val="000000"/>
                <w:sz w:val="18"/>
                <w:szCs w:val="18"/>
                <w:lang w:eastAsia="nl-NL"/>
              </w:rPr>
              <w:t>164.605</w:t>
            </w:r>
          </w:p>
        </w:tc>
      </w:tr>
      <w:tr w:rsidRPr="00025D4C" w:rsidR="0008141C" w:rsidTr="00CB43DF" w14:paraId="03F86A3C" w14:textId="77777777">
        <w:trPr>
          <w:trHeight w:val="225"/>
        </w:trPr>
        <w:tc>
          <w:tcPr>
            <w:tcW w:w="720" w:type="dxa"/>
            <w:tcBorders>
              <w:top w:val="nil"/>
              <w:left w:val="nil"/>
              <w:bottom w:val="single" w:color="auto" w:sz="4" w:space="0"/>
              <w:right w:val="nil"/>
            </w:tcBorders>
            <w:shd w:val="clear" w:color="auto" w:fill="auto"/>
            <w:noWrap/>
            <w:vAlign w:val="bottom"/>
            <w:hideMark/>
          </w:tcPr>
          <w:p w:rsidRPr="00025D4C" w:rsidR="0008141C" w:rsidP="00CB43DF" w:rsidRDefault="0008141C" w14:paraId="29415B4E"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2024</w:t>
            </w:r>
          </w:p>
        </w:tc>
        <w:tc>
          <w:tcPr>
            <w:tcW w:w="1120" w:type="dxa"/>
            <w:tcBorders>
              <w:top w:val="nil"/>
              <w:left w:val="nil"/>
              <w:bottom w:val="single" w:color="auto" w:sz="4" w:space="0"/>
              <w:right w:val="nil"/>
            </w:tcBorders>
            <w:shd w:val="clear" w:color="auto" w:fill="auto"/>
            <w:noWrap/>
            <w:vAlign w:val="bottom"/>
            <w:hideMark/>
          </w:tcPr>
          <w:p w:rsidRPr="00025D4C" w:rsidR="0008141C" w:rsidP="00CB43DF" w:rsidRDefault="0008141C" w14:paraId="4B588159"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21.500</w:t>
            </w:r>
          </w:p>
        </w:tc>
        <w:tc>
          <w:tcPr>
            <w:tcW w:w="1180" w:type="dxa"/>
            <w:tcBorders>
              <w:top w:val="nil"/>
              <w:left w:val="nil"/>
              <w:bottom w:val="single" w:color="auto" w:sz="4" w:space="0"/>
              <w:right w:val="nil"/>
            </w:tcBorders>
            <w:shd w:val="clear" w:color="auto" w:fill="auto"/>
            <w:noWrap/>
            <w:vAlign w:val="bottom"/>
            <w:hideMark/>
          </w:tcPr>
          <w:p w:rsidRPr="00025D4C" w:rsidR="0008141C" w:rsidP="00CB43DF" w:rsidRDefault="0008141C" w14:paraId="1D670E26"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24.795</w:t>
            </w:r>
          </w:p>
        </w:tc>
        <w:tc>
          <w:tcPr>
            <w:tcW w:w="1120" w:type="dxa"/>
            <w:tcBorders>
              <w:top w:val="nil"/>
              <w:left w:val="nil"/>
              <w:bottom w:val="single" w:color="auto" w:sz="4" w:space="0"/>
              <w:right w:val="nil"/>
            </w:tcBorders>
            <w:shd w:val="clear" w:color="auto" w:fill="auto"/>
            <w:noWrap/>
            <w:vAlign w:val="bottom"/>
            <w:hideMark/>
          </w:tcPr>
          <w:p w:rsidRPr="00025D4C" w:rsidR="0008141C" w:rsidP="00CB43DF" w:rsidRDefault="0008141C" w14:paraId="159680FA"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11.595</w:t>
            </w:r>
          </w:p>
        </w:tc>
        <w:tc>
          <w:tcPr>
            <w:tcW w:w="820" w:type="dxa"/>
            <w:tcBorders>
              <w:top w:val="nil"/>
              <w:left w:val="nil"/>
              <w:bottom w:val="single" w:color="auto" w:sz="4" w:space="0"/>
              <w:right w:val="nil"/>
            </w:tcBorders>
            <w:shd w:val="clear" w:color="auto" w:fill="auto"/>
            <w:noWrap/>
            <w:vAlign w:val="bottom"/>
            <w:hideMark/>
          </w:tcPr>
          <w:p w:rsidRPr="00025D4C" w:rsidR="0008141C" w:rsidP="00CB43DF" w:rsidRDefault="0008141C" w14:paraId="49DEC100"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39.665</w:t>
            </w:r>
          </w:p>
        </w:tc>
        <w:tc>
          <w:tcPr>
            <w:tcW w:w="1120" w:type="dxa"/>
            <w:tcBorders>
              <w:top w:val="nil"/>
              <w:left w:val="nil"/>
              <w:bottom w:val="single" w:color="auto" w:sz="4" w:space="0"/>
              <w:right w:val="nil"/>
            </w:tcBorders>
            <w:shd w:val="clear" w:color="auto" w:fill="auto"/>
            <w:noWrap/>
            <w:vAlign w:val="bottom"/>
            <w:hideMark/>
          </w:tcPr>
          <w:p w:rsidRPr="00025D4C" w:rsidR="0008141C" w:rsidP="00CB43DF" w:rsidRDefault="0008141C" w14:paraId="019EF01A"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22.330</w:t>
            </w:r>
          </w:p>
        </w:tc>
        <w:tc>
          <w:tcPr>
            <w:tcW w:w="1120" w:type="dxa"/>
            <w:tcBorders>
              <w:top w:val="nil"/>
              <w:left w:val="nil"/>
              <w:bottom w:val="single" w:color="auto" w:sz="4" w:space="0"/>
              <w:right w:val="nil"/>
            </w:tcBorders>
            <w:shd w:val="clear" w:color="auto" w:fill="auto"/>
            <w:noWrap/>
            <w:vAlign w:val="bottom"/>
            <w:hideMark/>
          </w:tcPr>
          <w:p w:rsidRPr="00025D4C" w:rsidR="0008141C" w:rsidP="00CB43DF" w:rsidRDefault="0008141C" w14:paraId="496DB36B"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5.525</w:t>
            </w:r>
          </w:p>
        </w:tc>
        <w:tc>
          <w:tcPr>
            <w:tcW w:w="1296" w:type="dxa"/>
            <w:tcBorders>
              <w:top w:val="nil"/>
              <w:left w:val="nil"/>
              <w:bottom w:val="single" w:color="auto" w:sz="4" w:space="0"/>
              <w:right w:val="nil"/>
            </w:tcBorders>
            <w:shd w:val="clear" w:color="auto" w:fill="auto"/>
            <w:noWrap/>
            <w:vAlign w:val="bottom"/>
            <w:hideMark/>
          </w:tcPr>
          <w:p w:rsidRPr="00025D4C" w:rsidR="0008141C" w:rsidP="00CB43DF" w:rsidRDefault="0008141C" w14:paraId="1088DC87"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29.620</w:t>
            </w:r>
          </w:p>
        </w:tc>
        <w:tc>
          <w:tcPr>
            <w:tcW w:w="1120" w:type="dxa"/>
            <w:tcBorders>
              <w:top w:val="nil"/>
              <w:left w:val="nil"/>
              <w:bottom w:val="single" w:color="auto" w:sz="4" w:space="0"/>
              <w:right w:val="nil"/>
            </w:tcBorders>
            <w:shd w:val="clear" w:color="auto" w:fill="auto"/>
            <w:noWrap/>
            <w:vAlign w:val="bottom"/>
            <w:hideMark/>
          </w:tcPr>
          <w:p w:rsidRPr="00025D4C" w:rsidR="0008141C" w:rsidP="00CB43DF" w:rsidRDefault="0008141C" w14:paraId="6D80DF03" w14:textId="77777777">
            <w:pPr>
              <w:jc w:val="right"/>
              <w:rPr>
                <w:rFonts w:ascii="Verdana" w:hAnsi="Verdana" w:eastAsia="Times New Roman" w:cs="Arial"/>
                <w:b/>
                <w:bCs/>
                <w:color w:val="000000"/>
                <w:sz w:val="18"/>
                <w:szCs w:val="18"/>
                <w:lang w:eastAsia="nl-NL"/>
              </w:rPr>
            </w:pPr>
            <w:r w:rsidRPr="00025D4C">
              <w:rPr>
                <w:rFonts w:ascii="Verdana" w:hAnsi="Verdana" w:eastAsia="Times New Roman" w:cs="Arial"/>
                <w:b/>
                <w:bCs/>
                <w:color w:val="000000"/>
                <w:sz w:val="18"/>
                <w:szCs w:val="18"/>
                <w:lang w:eastAsia="nl-NL"/>
              </w:rPr>
              <w:t>155.030</w:t>
            </w:r>
          </w:p>
        </w:tc>
      </w:tr>
    </w:tbl>
    <w:p w:rsidRPr="00025D4C" w:rsidR="0008141C" w:rsidRDefault="0008141C" w14:paraId="02EC5B21" w14:textId="77777777">
      <w:pPr>
        <w:spacing w:after="240"/>
        <w:rPr>
          <w:rFonts w:ascii="Verdana" w:hAnsi="Verdana" w:eastAsia="Times New Roman"/>
          <w:sz w:val="18"/>
          <w:szCs w:val="18"/>
        </w:rPr>
      </w:pPr>
    </w:p>
    <w:p w:rsidRPr="00025D4C" w:rsidR="0008141C" w:rsidP="000043C8" w:rsidRDefault="0008141C" w14:paraId="3ECD52A9" w14:textId="14ED6626">
      <w:pPr>
        <w:rPr>
          <w:rFonts w:ascii="Verdana" w:hAnsi="Verdana" w:eastAsia="Times New Roman"/>
          <w:sz w:val="18"/>
          <w:szCs w:val="18"/>
        </w:rPr>
      </w:pPr>
      <w:r w:rsidRPr="00025D4C">
        <w:rPr>
          <w:rFonts w:ascii="Verdana" w:hAnsi="Verdana" w:eastAsia="Times New Roman"/>
          <w:sz w:val="18"/>
          <w:szCs w:val="18"/>
        </w:rPr>
        <w:t>Tabel: Immigratie van binnen de EU/EFTA naar afgeleid migratiedoel, 2015 tot en met 2023; gegevens over 2024 zijn nog niet beschikbaar.</w:t>
      </w:r>
    </w:p>
    <w:tbl>
      <w:tblPr>
        <w:tblW w:w="7940" w:type="dxa"/>
        <w:tblCellMar>
          <w:left w:w="70" w:type="dxa"/>
          <w:right w:w="70" w:type="dxa"/>
        </w:tblCellMar>
        <w:tblLook w:val="04A0" w:firstRow="1" w:lastRow="0" w:firstColumn="1" w:lastColumn="0" w:noHBand="0" w:noVBand="1"/>
      </w:tblPr>
      <w:tblGrid>
        <w:gridCol w:w="900"/>
        <w:gridCol w:w="900"/>
        <w:gridCol w:w="1360"/>
        <w:gridCol w:w="900"/>
        <w:gridCol w:w="1360"/>
        <w:gridCol w:w="1420"/>
        <w:gridCol w:w="1100"/>
      </w:tblGrid>
      <w:tr w:rsidRPr="00025D4C" w:rsidR="0008141C" w:rsidTr="00CB43DF" w14:paraId="287BB40B" w14:textId="77777777">
        <w:trPr>
          <w:trHeight w:val="656"/>
        </w:trPr>
        <w:tc>
          <w:tcPr>
            <w:tcW w:w="900" w:type="dxa"/>
            <w:tcBorders>
              <w:top w:val="single" w:color="auto" w:sz="4" w:space="0"/>
              <w:left w:val="nil"/>
              <w:bottom w:val="single" w:color="auto" w:sz="4" w:space="0"/>
              <w:right w:val="nil"/>
            </w:tcBorders>
            <w:shd w:val="clear" w:color="auto" w:fill="auto"/>
            <w:vAlign w:val="bottom"/>
            <w:hideMark/>
          </w:tcPr>
          <w:p w:rsidRPr="00025D4C" w:rsidR="0008141C" w:rsidP="000043C8" w:rsidRDefault="0008141C" w14:paraId="3602D12F"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Jaar</w:t>
            </w:r>
          </w:p>
        </w:tc>
        <w:tc>
          <w:tcPr>
            <w:tcW w:w="900" w:type="dxa"/>
            <w:tcBorders>
              <w:top w:val="single" w:color="auto" w:sz="4" w:space="0"/>
              <w:left w:val="nil"/>
              <w:bottom w:val="single" w:color="auto" w:sz="4" w:space="0"/>
              <w:right w:val="nil"/>
            </w:tcBorders>
            <w:shd w:val="clear" w:color="auto" w:fill="auto"/>
            <w:vAlign w:val="bottom"/>
            <w:hideMark/>
          </w:tcPr>
          <w:p w:rsidRPr="00025D4C" w:rsidR="0008141C" w:rsidP="000043C8" w:rsidRDefault="0008141C" w14:paraId="251FD7D6"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Arbeid</w:t>
            </w:r>
          </w:p>
        </w:tc>
        <w:tc>
          <w:tcPr>
            <w:tcW w:w="1360" w:type="dxa"/>
            <w:tcBorders>
              <w:top w:val="single" w:color="auto" w:sz="4" w:space="0"/>
              <w:left w:val="nil"/>
              <w:bottom w:val="single" w:color="auto" w:sz="4" w:space="0"/>
              <w:right w:val="nil"/>
            </w:tcBorders>
            <w:shd w:val="clear" w:color="auto" w:fill="auto"/>
            <w:vAlign w:val="bottom"/>
            <w:hideMark/>
          </w:tcPr>
          <w:p w:rsidRPr="00025D4C" w:rsidR="0008141C" w:rsidP="000043C8" w:rsidRDefault="0008141C" w14:paraId="51A7E576"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Gezin</w:t>
            </w:r>
          </w:p>
        </w:tc>
        <w:tc>
          <w:tcPr>
            <w:tcW w:w="900" w:type="dxa"/>
            <w:tcBorders>
              <w:top w:val="single" w:color="auto" w:sz="4" w:space="0"/>
              <w:left w:val="nil"/>
              <w:bottom w:val="single" w:color="auto" w:sz="4" w:space="0"/>
              <w:right w:val="nil"/>
            </w:tcBorders>
            <w:shd w:val="clear" w:color="auto" w:fill="auto"/>
            <w:vAlign w:val="bottom"/>
            <w:hideMark/>
          </w:tcPr>
          <w:p w:rsidRPr="00025D4C" w:rsidR="0008141C" w:rsidP="000043C8" w:rsidRDefault="0008141C" w14:paraId="311ACCF7"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Studie</w:t>
            </w:r>
          </w:p>
        </w:tc>
        <w:tc>
          <w:tcPr>
            <w:tcW w:w="1360" w:type="dxa"/>
            <w:tcBorders>
              <w:top w:val="single" w:color="auto" w:sz="4" w:space="0"/>
              <w:left w:val="nil"/>
              <w:bottom w:val="single" w:color="auto" w:sz="4" w:space="0"/>
              <w:right w:val="nil"/>
            </w:tcBorders>
            <w:shd w:val="clear" w:color="auto" w:fill="auto"/>
            <w:vAlign w:val="bottom"/>
            <w:hideMark/>
          </w:tcPr>
          <w:p w:rsidRPr="00025D4C" w:rsidR="0008141C" w:rsidP="000043C8" w:rsidRDefault="0008141C" w14:paraId="6C35E530"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Overige en onbekend</w:t>
            </w:r>
          </w:p>
        </w:tc>
        <w:tc>
          <w:tcPr>
            <w:tcW w:w="1420" w:type="dxa"/>
            <w:tcBorders>
              <w:top w:val="single" w:color="auto" w:sz="4" w:space="0"/>
              <w:left w:val="nil"/>
              <w:bottom w:val="single" w:color="auto" w:sz="4" w:space="0"/>
              <w:right w:val="nil"/>
            </w:tcBorders>
            <w:shd w:val="clear" w:color="auto" w:fill="auto"/>
            <w:vAlign w:val="bottom"/>
            <w:hideMark/>
          </w:tcPr>
          <w:p w:rsidRPr="00025D4C" w:rsidR="0008141C" w:rsidP="000043C8" w:rsidRDefault="0008141C" w14:paraId="6AA64AE3"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Geen (Nederlandse nationaliteit)</w:t>
            </w:r>
          </w:p>
        </w:tc>
        <w:tc>
          <w:tcPr>
            <w:tcW w:w="1100" w:type="dxa"/>
            <w:tcBorders>
              <w:top w:val="single" w:color="auto" w:sz="4" w:space="0"/>
              <w:left w:val="nil"/>
              <w:bottom w:val="single" w:color="auto" w:sz="4" w:space="0"/>
              <w:right w:val="nil"/>
            </w:tcBorders>
            <w:shd w:val="clear" w:color="auto" w:fill="auto"/>
            <w:vAlign w:val="bottom"/>
            <w:hideMark/>
          </w:tcPr>
          <w:p w:rsidRPr="00025D4C" w:rsidR="0008141C" w:rsidP="000043C8" w:rsidRDefault="0008141C" w14:paraId="0893C866" w14:textId="77777777">
            <w:pPr>
              <w:jc w:val="right"/>
              <w:rPr>
                <w:rFonts w:ascii="Verdana" w:hAnsi="Verdana" w:eastAsia="Times New Roman" w:cs="Arial"/>
                <w:b/>
                <w:bCs/>
                <w:color w:val="000000"/>
                <w:sz w:val="18"/>
                <w:szCs w:val="18"/>
                <w:lang w:eastAsia="nl-NL"/>
              </w:rPr>
            </w:pPr>
            <w:r w:rsidRPr="00025D4C">
              <w:rPr>
                <w:rFonts w:ascii="Verdana" w:hAnsi="Verdana" w:eastAsia="Times New Roman" w:cs="Arial"/>
                <w:b/>
                <w:bCs/>
                <w:color w:val="000000"/>
                <w:sz w:val="18"/>
                <w:szCs w:val="18"/>
                <w:lang w:eastAsia="nl-NL"/>
              </w:rPr>
              <w:t>Totaal</w:t>
            </w:r>
          </w:p>
        </w:tc>
      </w:tr>
      <w:tr w:rsidRPr="00025D4C" w:rsidR="0008141C" w:rsidTr="00CB43DF" w14:paraId="1BA6A57A" w14:textId="77777777">
        <w:trPr>
          <w:trHeight w:val="255"/>
        </w:trPr>
        <w:tc>
          <w:tcPr>
            <w:tcW w:w="900" w:type="dxa"/>
            <w:tcBorders>
              <w:top w:val="nil"/>
              <w:left w:val="nil"/>
              <w:bottom w:val="nil"/>
              <w:right w:val="nil"/>
            </w:tcBorders>
            <w:shd w:val="clear" w:color="auto" w:fill="auto"/>
            <w:noWrap/>
            <w:vAlign w:val="bottom"/>
            <w:hideMark/>
          </w:tcPr>
          <w:p w:rsidRPr="00025D4C" w:rsidR="0008141C" w:rsidP="00CB43DF" w:rsidRDefault="0008141C" w14:paraId="2CB6CC4F"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2015</w:t>
            </w:r>
          </w:p>
        </w:tc>
        <w:tc>
          <w:tcPr>
            <w:tcW w:w="900" w:type="dxa"/>
            <w:tcBorders>
              <w:top w:val="nil"/>
              <w:left w:val="nil"/>
              <w:bottom w:val="nil"/>
              <w:right w:val="nil"/>
            </w:tcBorders>
            <w:shd w:val="clear" w:color="auto" w:fill="auto"/>
            <w:noWrap/>
            <w:vAlign w:val="bottom"/>
            <w:hideMark/>
          </w:tcPr>
          <w:p w:rsidRPr="00025D4C" w:rsidR="0008141C" w:rsidP="00CB43DF" w:rsidRDefault="0008141C" w14:paraId="7BC8C305"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28.030</w:t>
            </w:r>
          </w:p>
        </w:tc>
        <w:tc>
          <w:tcPr>
            <w:tcW w:w="1360" w:type="dxa"/>
            <w:tcBorders>
              <w:top w:val="nil"/>
              <w:left w:val="nil"/>
              <w:bottom w:val="nil"/>
              <w:right w:val="nil"/>
            </w:tcBorders>
            <w:shd w:val="clear" w:color="auto" w:fill="auto"/>
            <w:noWrap/>
            <w:vAlign w:val="bottom"/>
            <w:hideMark/>
          </w:tcPr>
          <w:p w:rsidRPr="00025D4C" w:rsidR="0008141C" w:rsidP="00CB43DF" w:rsidRDefault="0008141C" w14:paraId="5FEE8C3A"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23.900</w:t>
            </w:r>
          </w:p>
        </w:tc>
        <w:tc>
          <w:tcPr>
            <w:tcW w:w="900" w:type="dxa"/>
            <w:tcBorders>
              <w:top w:val="nil"/>
              <w:left w:val="nil"/>
              <w:bottom w:val="nil"/>
              <w:right w:val="nil"/>
            </w:tcBorders>
            <w:shd w:val="clear" w:color="auto" w:fill="auto"/>
            <w:noWrap/>
            <w:vAlign w:val="bottom"/>
            <w:hideMark/>
          </w:tcPr>
          <w:p w:rsidRPr="00025D4C" w:rsidR="0008141C" w:rsidP="00CB43DF" w:rsidRDefault="0008141C" w14:paraId="5D867F2F"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9.930</w:t>
            </w:r>
          </w:p>
        </w:tc>
        <w:tc>
          <w:tcPr>
            <w:tcW w:w="1360" w:type="dxa"/>
            <w:tcBorders>
              <w:top w:val="nil"/>
              <w:left w:val="nil"/>
              <w:bottom w:val="nil"/>
              <w:right w:val="nil"/>
            </w:tcBorders>
            <w:shd w:val="clear" w:color="auto" w:fill="auto"/>
            <w:noWrap/>
            <w:vAlign w:val="bottom"/>
            <w:hideMark/>
          </w:tcPr>
          <w:p w:rsidRPr="00025D4C" w:rsidR="0008141C" w:rsidP="00CB43DF" w:rsidRDefault="0008141C" w14:paraId="0BCA206B"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20.255</w:t>
            </w:r>
          </w:p>
        </w:tc>
        <w:tc>
          <w:tcPr>
            <w:tcW w:w="1420" w:type="dxa"/>
            <w:tcBorders>
              <w:top w:val="nil"/>
              <w:left w:val="nil"/>
              <w:bottom w:val="nil"/>
              <w:right w:val="nil"/>
            </w:tcBorders>
            <w:shd w:val="clear" w:color="auto" w:fill="auto"/>
            <w:noWrap/>
            <w:vAlign w:val="bottom"/>
            <w:hideMark/>
          </w:tcPr>
          <w:p w:rsidRPr="00025D4C" w:rsidR="0008141C" w:rsidP="00CB43DF" w:rsidRDefault="0008141C" w14:paraId="644A6363"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45.730</w:t>
            </w:r>
          </w:p>
        </w:tc>
        <w:tc>
          <w:tcPr>
            <w:tcW w:w="1100" w:type="dxa"/>
            <w:tcBorders>
              <w:top w:val="nil"/>
              <w:left w:val="nil"/>
              <w:bottom w:val="nil"/>
              <w:right w:val="nil"/>
            </w:tcBorders>
            <w:shd w:val="clear" w:color="auto" w:fill="auto"/>
            <w:noWrap/>
            <w:hideMark/>
          </w:tcPr>
          <w:p w:rsidRPr="00025D4C" w:rsidR="0008141C" w:rsidP="00CB43DF" w:rsidRDefault="0008141C" w14:paraId="14D3C7DA" w14:textId="77777777">
            <w:pPr>
              <w:jc w:val="right"/>
              <w:rPr>
                <w:rFonts w:ascii="Verdana" w:hAnsi="Verdana" w:eastAsia="Times New Roman" w:cs="Arial"/>
                <w:b/>
                <w:bCs/>
                <w:color w:val="000000"/>
                <w:sz w:val="18"/>
                <w:szCs w:val="18"/>
                <w:lang w:eastAsia="nl-NL"/>
              </w:rPr>
            </w:pPr>
            <w:r w:rsidRPr="00025D4C">
              <w:rPr>
                <w:rFonts w:ascii="Verdana" w:hAnsi="Verdana"/>
                <w:b/>
                <w:bCs/>
                <w:sz w:val="18"/>
                <w:szCs w:val="18"/>
              </w:rPr>
              <w:t>127.840</w:t>
            </w:r>
          </w:p>
        </w:tc>
      </w:tr>
      <w:tr w:rsidRPr="00025D4C" w:rsidR="0008141C" w:rsidTr="00CB43DF" w14:paraId="4A0B28B3" w14:textId="77777777">
        <w:trPr>
          <w:trHeight w:val="255"/>
        </w:trPr>
        <w:tc>
          <w:tcPr>
            <w:tcW w:w="900" w:type="dxa"/>
            <w:tcBorders>
              <w:top w:val="nil"/>
              <w:left w:val="nil"/>
              <w:bottom w:val="nil"/>
              <w:right w:val="nil"/>
            </w:tcBorders>
            <w:shd w:val="clear" w:color="auto" w:fill="auto"/>
            <w:noWrap/>
            <w:vAlign w:val="bottom"/>
            <w:hideMark/>
          </w:tcPr>
          <w:p w:rsidRPr="00025D4C" w:rsidR="0008141C" w:rsidP="00CB43DF" w:rsidRDefault="0008141C" w14:paraId="63270466"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2016</w:t>
            </w:r>
          </w:p>
        </w:tc>
        <w:tc>
          <w:tcPr>
            <w:tcW w:w="900" w:type="dxa"/>
            <w:tcBorders>
              <w:top w:val="nil"/>
              <w:left w:val="nil"/>
              <w:bottom w:val="nil"/>
              <w:right w:val="nil"/>
            </w:tcBorders>
            <w:shd w:val="clear" w:color="auto" w:fill="auto"/>
            <w:noWrap/>
            <w:vAlign w:val="bottom"/>
            <w:hideMark/>
          </w:tcPr>
          <w:p w:rsidRPr="00025D4C" w:rsidR="0008141C" w:rsidP="00CB43DF" w:rsidRDefault="0008141C" w14:paraId="6AE0970B"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30.255</w:t>
            </w:r>
          </w:p>
        </w:tc>
        <w:tc>
          <w:tcPr>
            <w:tcW w:w="1360" w:type="dxa"/>
            <w:tcBorders>
              <w:top w:val="nil"/>
              <w:left w:val="nil"/>
              <w:bottom w:val="nil"/>
              <w:right w:val="nil"/>
            </w:tcBorders>
            <w:shd w:val="clear" w:color="auto" w:fill="auto"/>
            <w:noWrap/>
            <w:vAlign w:val="bottom"/>
            <w:hideMark/>
          </w:tcPr>
          <w:p w:rsidRPr="00025D4C" w:rsidR="0008141C" w:rsidP="00CB43DF" w:rsidRDefault="0008141C" w14:paraId="450F609B"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25.645</w:t>
            </w:r>
          </w:p>
        </w:tc>
        <w:tc>
          <w:tcPr>
            <w:tcW w:w="900" w:type="dxa"/>
            <w:tcBorders>
              <w:top w:val="nil"/>
              <w:left w:val="nil"/>
              <w:bottom w:val="nil"/>
              <w:right w:val="nil"/>
            </w:tcBorders>
            <w:shd w:val="clear" w:color="auto" w:fill="auto"/>
            <w:noWrap/>
            <w:vAlign w:val="bottom"/>
            <w:hideMark/>
          </w:tcPr>
          <w:p w:rsidRPr="00025D4C" w:rsidR="0008141C" w:rsidP="00CB43DF" w:rsidRDefault="0008141C" w14:paraId="79F9EB74"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10.970</w:t>
            </w:r>
          </w:p>
        </w:tc>
        <w:tc>
          <w:tcPr>
            <w:tcW w:w="1360" w:type="dxa"/>
            <w:tcBorders>
              <w:top w:val="nil"/>
              <w:left w:val="nil"/>
              <w:bottom w:val="nil"/>
              <w:right w:val="nil"/>
            </w:tcBorders>
            <w:shd w:val="clear" w:color="auto" w:fill="auto"/>
            <w:noWrap/>
            <w:vAlign w:val="bottom"/>
            <w:hideMark/>
          </w:tcPr>
          <w:p w:rsidRPr="00025D4C" w:rsidR="0008141C" w:rsidP="00CB43DF" w:rsidRDefault="0008141C" w14:paraId="03CAB67B"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21.710</w:t>
            </w:r>
          </w:p>
        </w:tc>
        <w:tc>
          <w:tcPr>
            <w:tcW w:w="1420" w:type="dxa"/>
            <w:tcBorders>
              <w:top w:val="nil"/>
              <w:left w:val="nil"/>
              <w:bottom w:val="nil"/>
              <w:right w:val="nil"/>
            </w:tcBorders>
            <w:shd w:val="clear" w:color="auto" w:fill="auto"/>
            <w:noWrap/>
            <w:vAlign w:val="bottom"/>
            <w:hideMark/>
          </w:tcPr>
          <w:p w:rsidRPr="00025D4C" w:rsidR="0008141C" w:rsidP="00CB43DF" w:rsidRDefault="0008141C" w14:paraId="12C7518C"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49.110</w:t>
            </w:r>
          </w:p>
        </w:tc>
        <w:tc>
          <w:tcPr>
            <w:tcW w:w="1100" w:type="dxa"/>
            <w:tcBorders>
              <w:top w:val="nil"/>
              <w:left w:val="nil"/>
              <w:bottom w:val="nil"/>
              <w:right w:val="nil"/>
            </w:tcBorders>
            <w:shd w:val="clear" w:color="auto" w:fill="auto"/>
            <w:noWrap/>
            <w:hideMark/>
          </w:tcPr>
          <w:p w:rsidRPr="00025D4C" w:rsidR="0008141C" w:rsidP="00CB43DF" w:rsidRDefault="0008141C" w14:paraId="03901891" w14:textId="77777777">
            <w:pPr>
              <w:jc w:val="right"/>
              <w:rPr>
                <w:rFonts w:ascii="Verdana" w:hAnsi="Verdana" w:eastAsia="Times New Roman" w:cs="Arial"/>
                <w:b/>
                <w:bCs/>
                <w:color w:val="000000"/>
                <w:sz w:val="18"/>
                <w:szCs w:val="18"/>
                <w:lang w:eastAsia="nl-NL"/>
              </w:rPr>
            </w:pPr>
            <w:r w:rsidRPr="00025D4C">
              <w:rPr>
                <w:rFonts w:ascii="Verdana" w:hAnsi="Verdana"/>
                <w:b/>
                <w:bCs/>
                <w:sz w:val="18"/>
                <w:szCs w:val="18"/>
              </w:rPr>
              <w:t>137.690</w:t>
            </w:r>
          </w:p>
        </w:tc>
      </w:tr>
      <w:tr w:rsidRPr="00025D4C" w:rsidR="0008141C" w:rsidTr="00CB43DF" w14:paraId="20243014" w14:textId="77777777">
        <w:trPr>
          <w:trHeight w:val="255"/>
        </w:trPr>
        <w:tc>
          <w:tcPr>
            <w:tcW w:w="900" w:type="dxa"/>
            <w:tcBorders>
              <w:top w:val="nil"/>
              <w:left w:val="nil"/>
              <w:bottom w:val="nil"/>
              <w:right w:val="nil"/>
            </w:tcBorders>
            <w:shd w:val="clear" w:color="auto" w:fill="auto"/>
            <w:noWrap/>
            <w:vAlign w:val="bottom"/>
            <w:hideMark/>
          </w:tcPr>
          <w:p w:rsidRPr="00025D4C" w:rsidR="0008141C" w:rsidP="00CB43DF" w:rsidRDefault="0008141C" w14:paraId="29253372"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2017</w:t>
            </w:r>
          </w:p>
        </w:tc>
        <w:tc>
          <w:tcPr>
            <w:tcW w:w="900" w:type="dxa"/>
            <w:tcBorders>
              <w:top w:val="nil"/>
              <w:left w:val="nil"/>
              <w:bottom w:val="nil"/>
              <w:right w:val="nil"/>
            </w:tcBorders>
            <w:shd w:val="clear" w:color="auto" w:fill="auto"/>
            <w:noWrap/>
            <w:vAlign w:val="bottom"/>
            <w:hideMark/>
          </w:tcPr>
          <w:p w:rsidRPr="00025D4C" w:rsidR="0008141C" w:rsidP="00CB43DF" w:rsidRDefault="0008141C" w14:paraId="13335CC8"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35.855</w:t>
            </w:r>
          </w:p>
        </w:tc>
        <w:tc>
          <w:tcPr>
            <w:tcW w:w="1360" w:type="dxa"/>
            <w:tcBorders>
              <w:top w:val="nil"/>
              <w:left w:val="nil"/>
              <w:bottom w:val="nil"/>
              <w:right w:val="nil"/>
            </w:tcBorders>
            <w:shd w:val="clear" w:color="auto" w:fill="auto"/>
            <w:noWrap/>
            <w:vAlign w:val="bottom"/>
            <w:hideMark/>
          </w:tcPr>
          <w:p w:rsidRPr="00025D4C" w:rsidR="0008141C" w:rsidP="00CB43DF" w:rsidRDefault="0008141C" w14:paraId="347B1942"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26.845</w:t>
            </w:r>
          </w:p>
        </w:tc>
        <w:tc>
          <w:tcPr>
            <w:tcW w:w="900" w:type="dxa"/>
            <w:tcBorders>
              <w:top w:val="nil"/>
              <w:left w:val="nil"/>
              <w:bottom w:val="nil"/>
              <w:right w:val="nil"/>
            </w:tcBorders>
            <w:shd w:val="clear" w:color="auto" w:fill="auto"/>
            <w:noWrap/>
            <w:vAlign w:val="bottom"/>
            <w:hideMark/>
          </w:tcPr>
          <w:p w:rsidRPr="00025D4C" w:rsidR="0008141C" w:rsidP="00CB43DF" w:rsidRDefault="0008141C" w14:paraId="7184C015"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15.165</w:t>
            </w:r>
          </w:p>
        </w:tc>
        <w:tc>
          <w:tcPr>
            <w:tcW w:w="1360" w:type="dxa"/>
            <w:tcBorders>
              <w:top w:val="nil"/>
              <w:left w:val="nil"/>
              <w:bottom w:val="nil"/>
              <w:right w:val="nil"/>
            </w:tcBorders>
            <w:shd w:val="clear" w:color="auto" w:fill="auto"/>
            <w:noWrap/>
            <w:vAlign w:val="bottom"/>
            <w:hideMark/>
          </w:tcPr>
          <w:p w:rsidRPr="00025D4C" w:rsidR="0008141C" w:rsidP="00CB43DF" w:rsidRDefault="0008141C" w14:paraId="0CC9CDEF"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21.745</w:t>
            </w:r>
          </w:p>
        </w:tc>
        <w:tc>
          <w:tcPr>
            <w:tcW w:w="1420" w:type="dxa"/>
            <w:tcBorders>
              <w:top w:val="nil"/>
              <w:left w:val="nil"/>
              <w:bottom w:val="nil"/>
              <w:right w:val="nil"/>
            </w:tcBorders>
            <w:shd w:val="clear" w:color="auto" w:fill="auto"/>
            <w:noWrap/>
            <w:vAlign w:val="bottom"/>
            <w:hideMark/>
          </w:tcPr>
          <w:p w:rsidRPr="00025D4C" w:rsidR="0008141C" w:rsidP="00CB43DF" w:rsidRDefault="0008141C" w14:paraId="34EDF74F"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51.645</w:t>
            </w:r>
          </w:p>
        </w:tc>
        <w:tc>
          <w:tcPr>
            <w:tcW w:w="1100" w:type="dxa"/>
            <w:tcBorders>
              <w:top w:val="nil"/>
              <w:left w:val="nil"/>
              <w:bottom w:val="nil"/>
              <w:right w:val="nil"/>
            </w:tcBorders>
            <w:shd w:val="clear" w:color="auto" w:fill="auto"/>
            <w:noWrap/>
            <w:hideMark/>
          </w:tcPr>
          <w:p w:rsidRPr="00025D4C" w:rsidR="0008141C" w:rsidP="00CB43DF" w:rsidRDefault="0008141C" w14:paraId="28354EFE" w14:textId="77777777">
            <w:pPr>
              <w:jc w:val="right"/>
              <w:rPr>
                <w:rFonts w:ascii="Verdana" w:hAnsi="Verdana" w:eastAsia="Times New Roman" w:cs="Arial"/>
                <w:b/>
                <w:bCs/>
                <w:color w:val="000000"/>
                <w:sz w:val="18"/>
                <w:szCs w:val="18"/>
                <w:lang w:eastAsia="nl-NL"/>
              </w:rPr>
            </w:pPr>
            <w:r w:rsidRPr="00025D4C">
              <w:rPr>
                <w:rFonts w:ascii="Verdana" w:hAnsi="Verdana"/>
                <w:b/>
                <w:bCs/>
                <w:sz w:val="18"/>
                <w:szCs w:val="18"/>
              </w:rPr>
              <w:t>151.255</w:t>
            </w:r>
          </w:p>
        </w:tc>
      </w:tr>
      <w:tr w:rsidRPr="00025D4C" w:rsidR="0008141C" w:rsidTr="00CB43DF" w14:paraId="2A5C75EE" w14:textId="77777777">
        <w:trPr>
          <w:trHeight w:val="255"/>
        </w:trPr>
        <w:tc>
          <w:tcPr>
            <w:tcW w:w="900" w:type="dxa"/>
            <w:tcBorders>
              <w:top w:val="nil"/>
              <w:left w:val="nil"/>
              <w:bottom w:val="nil"/>
              <w:right w:val="nil"/>
            </w:tcBorders>
            <w:shd w:val="clear" w:color="auto" w:fill="auto"/>
            <w:noWrap/>
            <w:vAlign w:val="bottom"/>
            <w:hideMark/>
          </w:tcPr>
          <w:p w:rsidRPr="00025D4C" w:rsidR="0008141C" w:rsidP="00CB43DF" w:rsidRDefault="0008141C" w14:paraId="275545E2"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2018</w:t>
            </w:r>
          </w:p>
        </w:tc>
        <w:tc>
          <w:tcPr>
            <w:tcW w:w="900" w:type="dxa"/>
            <w:tcBorders>
              <w:top w:val="nil"/>
              <w:left w:val="nil"/>
              <w:bottom w:val="nil"/>
              <w:right w:val="nil"/>
            </w:tcBorders>
            <w:shd w:val="clear" w:color="auto" w:fill="auto"/>
            <w:noWrap/>
            <w:vAlign w:val="bottom"/>
            <w:hideMark/>
          </w:tcPr>
          <w:p w:rsidRPr="00025D4C" w:rsidR="0008141C" w:rsidP="00CB43DF" w:rsidRDefault="0008141C" w14:paraId="0D66C80B"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39.940</w:t>
            </w:r>
          </w:p>
        </w:tc>
        <w:tc>
          <w:tcPr>
            <w:tcW w:w="1360" w:type="dxa"/>
            <w:tcBorders>
              <w:top w:val="nil"/>
              <w:left w:val="nil"/>
              <w:bottom w:val="nil"/>
              <w:right w:val="nil"/>
            </w:tcBorders>
            <w:shd w:val="clear" w:color="auto" w:fill="auto"/>
            <w:noWrap/>
            <w:vAlign w:val="bottom"/>
            <w:hideMark/>
          </w:tcPr>
          <w:p w:rsidRPr="00025D4C" w:rsidR="0008141C" w:rsidP="00CB43DF" w:rsidRDefault="0008141C" w14:paraId="3B1518C6"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29.260</w:t>
            </w:r>
          </w:p>
        </w:tc>
        <w:tc>
          <w:tcPr>
            <w:tcW w:w="900" w:type="dxa"/>
            <w:tcBorders>
              <w:top w:val="nil"/>
              <w:left w:val="nil"/>
              <w:bottom w:val="nil"/>
              <w:right w:val="nil"/>
            </w:tcBorders>
            <w:shd w:val="clear" w:color="auto" w:fill="auto"/>
            <w:noWrap/>
            <w:vAlign w:val="bottom"/>
            <w:hideMark/>
          </w:tcPr>
          <w:p w:rsidRPr="00025D4C" w:rsidR="0008141C" w:rsidP="00CB43DF" w:rsidRDefault="0008141C" w14:paraId="33644869"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19.890</w:t>
            </w:r>
          </w:p>
        </w:tc>
        <w:tc>
          <w:tcPr>
            <w:tcW w:w="1360" w:type="dxa"/>
            <w:tcBorders>
              <w:top w:val="nil"/>
              <w:left w:val="nil"/>
              <w:bottom w:val="nil"/>
              <w:right w:val="nil"/>
            </w:tcBorders>
            <w:shd w:val="clear" w:color="auto" w:fill="auto"/>
            <w:noWrap/>
            <w:vAlign w:val="bottom"/>
            <w:hideMark/>
          </w:tcPr>
          <w:p w:rsidRPr="00025D4C" w:rsidR="0008141C" w:rsidP="00CB43DF" w:rsidRDefault="0008141C" w14:paraId="293AADE0"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20.900</w:t>
            </w:r>
          </w:p>
        </w:tc>
        <w:tc>
          <w:tcPr>
            <w:tcW w:w="1420" w:type="dxa"/>
            <w:tcBorders>
              <w:top w:val="nil"/>
              <w:left w:val="nil"/>
              <w:bottom w:val="nil"/>
              <w:right w:val="nil"/>
            </w:tcBorders>
            <w:shd w:val="clear" w:color="auto" w:fill="auto"/>
            <w:noWrap/>
            <w:vAlign w:val="bottom"/>
            <w:hideMark/>
          </w:tcPr>
          <w:p w:rsidRPr="00025D4C" w:rsidR="0008141C" w:rsidP="00CB43DF" w:rsidRDefault="0008141C" w14:paraId="4B2D3A06"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53.320</w:t>
            </w:r>
          </w:p>
        </w:tc>
        <w:tc>
          <w:tcPr>
            <w:tcW w:w="1100" w:type="dxa"/>
            <w:tcBorders>
              <w:top w:val="nil"/>
              <w:left w:val="nil"/>
              <w:bottom w:val="nil"/>
              <w:right w:val="nil"/>
            </w:tcBorders>
            <w:shd w:val="clear" w:color="auto" w:fill="auto"/>
            <w:noWrap/>
            <w:hideMark/>
          </w:tcPr>
          <w:p w:rsidRPr="00025D4C" w:rsidR="0008141C" w:rsidP="00CB43DF" w:rsidRDefault="0008141C" w14:paraId="2117D53E" w14:textId="77777777">
            <w:pPr>
              <w:jc w:val="right"/>
              <w:rPr>
                <w:rFonts w:ascii="Verdana" w:hAnsi="Verdana" w:eastAsia="Times New Roman" w:cs="Arial"/>
                <w:b/>
                <w:bCs/>
                <w:color w:val="000000"/>
                <w:sz w:val="18"/>
                <w:szCs w:val="18"/>
                <w:lang w:eastAsia="nl-NL"/>
              </w:rPr>
            </w:pPr>
            <w:r w:rsidRPr="00025D4C">
              <w:rPr>
                <w:rFonts w:ascii="Verdana" w:hAnsi="Verdana"/>
                <w:b/>
                <w:bCs/>
                <w:sz w:val="18"/>
                <w:szCs w:val="18"/>
              </w:rPr>
              <w:t>163.310</w:t>
            </w:r>
          </w:p>
        </w:tc>
      </w:tr>
      <w:tr w:rsidRPr="00025D4C" w:rsidR="0008141C" w:rsidTr="00CB43DF" w14:paraId="3596E04C" w14:textId="77777777">
        <w:trPr>
          <w:trHeight w:val="255"/>
        </w:trPr>
        <w:tc>
          <w:tcPr>
            <w:tcW w:w="900" w:type="dxa"/>
            <w:tcBorders>
              <w:top w:val="nil"/>
              <w:left w:val="nil"/>
              <w:bottom w:val="nil"/>
              <w:right w:val="nil"/>
            </w:tcBorders>
            <w:shd w:val="clear" w:color="auto" w:fill="auto"/>
            <w:noWrap/>
            <w:vAlign w:val="bottom"/>
            <w:hideMark/>
          </w:tcPr>
          <w:p w:rsidRPr="00025D4C" w:rsidR="0008141C" w:rsidP="00CB43DF" w:rsidRDefault="0008141C" w14:paraId="3824ED19"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2019</w:t>
            </w:r>
          </w:p>
        </w:tc>
        <w:tc>
          <w:tcPr>
            <w:tcW w:w="900" w:type="dxa"/>
            <w:tcBorders>
              <w:top w:val="nil"/>
              <w:left w:val="nil"/>
              <w:bottom w:val="nil"/>
              <w:right w:val="nil"/>
            </w:tcBorders>
            <w:shd w:val="clear" w:color="auto" w:fill="auto"/>
            <w:noWrap/>
            <w:vAlign w:val="bottom"/>
            <w:hideMark/>
          </w:tcPr>
          <w:p w:rsidRPr="00025D4C" w:rsidR="0008141C" w:rsidP="00CB43DF" w:rsidRDefault="0008141C" w14:paraId="7BA8B66A"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44.510</w:t>
            </w:r>
          </w:p>
        </w:tc>
        <w:tc>
          <w:tcPr>
            <w:tcW w:w="1360" w:type="dxa"/>
            <w:tcBorders>
              <w:top w:val="nil"/>
              <w:left w:val="nil"/>
              <w:bottom w:val="nil"/>
              <w:right w:val="nil"/>
            </w:tcBorders>
            <w:shd w:val="clear" w:color="auto" w:fill="auto"/>
            <w:noWrap/>
            <w:vAlign w:val="bottom"/>
            <w:hideMark/>
          </w:tcPr>
          <w:p w:rsidRPr="00025D4C" w:rsidR="0008141C" w:rsidP="00CB43DF" w:rsidRDefault="0008141C" w14:paraId="126AF4A6"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33.070</w:t>
            </w:r>
          </w:p>
        </w:tc>
        <w:tc>
          <w:tcPr>
            <w:tcW w:w="900" w:type="dxa"/>
            <w:tcBorders>
              <w:top w:val="nil"/>
              <w:left w:val="nil"/>
              <w:bottom w:val="nil"/>
              <w:right w:val="nil"/>
            </w:tcBorders>
            <w:shd w:val="clear" w:color="auto" w:fill="auto"/>
            <w:noWrap/>
            <w:vAlign w:val="bottom"/>
            <w:hideMark/>
          </w:tcPr>
          <w:p w:rsidRPr="00025D4C" w:rsidR="0008141C" w:rsidP="00CB43DF" w:rsidRDefault="0008141C" w14:paraId="2C384CC3"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22.960</w:t>
            </w:r>
          </w:p>
        </w:tc>
        <w:tc>
          <w:tcPr>
            <w:tcW w:w="1360" w:type="dxa"/>
            <w:tcBorders>
              <w:top w:val="nil"/>
              <w:left w:val="nil"/>
              <w:bottom w:val="nil"/>
              <w:right w:val="nil"/>
            </w:tcBorders>
            <w:shd w:val="clear" w:color="auto" w:fill="auto"/>
            <w:noWrap/>
            <w:vAlign w:val="bottom"/>
            <w:hideMark/>
          </w:tcPr>
          <w:p w:rsidRPr="00025D4C" w:rsidR="0008141C" w:rsidP="00CB43DF" w:rsidRDefault="0008141C" w14:paraId="06E5A11F"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24.015</w:t>
            </w:r>
          </w:p>
        </w:tc>
        <w:tc>
          <w:tcPr>
            <w:tcW w:w="1420" w:type="dxa"/>
            <w:tcBorders>
              <w:top w:val="nil"/>
              <w:left w:val="nil"/>
              <w:bottom w:val="nil"/>
              <w:right w:val="nil"/>
            </w:tcBorders>
            <w:shd w:val="clear" w:color="auto" w:fill="auto"/>
            <w:noWrap/>
            <w:vAlign w:val="bottom"/>
            <w:hideMark/>
          </w:tcPr>
          <w:p w:rsidRPr="00025D4C" w:rsidR="0008141C" w:rsidP="00CB43DF" w:rsidRDefault="0008141C" w14:paraId="3262D24B"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54.435</w:t>
            </w:r>
          </w:p>
        </w:tc>
        <w:tc>
          <w:tcPr>
            <w:tcW w:w="1100" w:type="dxa"/>
            <w:tcBorders>
              <w:top w:val="nil"/>
              <w:left w:val="nil"/>
              <w:bottom w:val="nil"/>
              <w:right w:val="nil"/>
            </w:tcBorders>
            <w:shd w:val="clear" w:color="auto" w:fill="auto"/>
            <w:noWrap/>
            <w:hideMark/>
          </w:tcPr>
          <w:p w:rsidRPr="00025D4C" w:rsidR="0008141C" w:rsidP="00CB43DF" w:rsidRDefault="0008141C" w14:paraId="142A4B49" w14:textId="77777777">
            <w:pPr>
              <w:jc w:val="right"/>
              <w:rPr>
                <w:rFonts w:ascii="Verdana" w:hAnsi="Verdana" w:eastAsia="Times New Roman" w:cs="Arial"/>
                <w:b/>
                <w:bCs/>
                <w:color w:val="000000"/>
                <w:sz w:val="18"/>
                <w:szCs w:val="18"/>
                <w:lang w:eastAsia="nl-NL"/>
              </w:rPr>
            </w:pPr>
            <w:r w:rsidRPr="00025D4C">
              <w:rPr>
                <w:rFonts w:ascii="Verdana" w:hAnsi="Verdana"/>
                <w:b/>
                <w:bCs/>
                <w:sz w:val="18"/>
                <w:szCs w:val="18"/>
              </w:rPr>
              <w:t>178.985</w:t>
            </w:r>
          </w:p>
        </w:tc>
      </w:tr>
      <w:tr w:rsidRPr="00025D4C" w:rsidR="0008141C" w:rsidTr="00CB43DF" w14:paraId="06BA0AE0" w14:textId="77777777">
        <w:trPr>
          <w:trHeight w:val="255"/>
        </w:trPr>
        <w:tc>
          <w:tcPr>
            <w:tcW w:w="900" w:type="dxa"/>
            <w:tcBorders>
              <w:top w:val="nil"/>
              <w:left w:val="nil"/>
              <w:bottom w:val="nil"/>
              <w:right w:val="nil"/>
            </w:tcBorders>
            <w:shd w:val="clear" w:color="auto" w:fill="auto"/>
            <w:noWrap/>
            <w:vAlign w:val="bottom"/>
            <w:hideMark/>
          </w:tcPr>
          <w:p w:rsidRPr="00025D4C" w:rsidR="0008141C" w:rsidP="00CB43DF" w:rsidRDefault="0008141C" w14:paraId="7827A6F6"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2020</w:t>
            </w:r>
          </w:p>
        </w:tc>
        <w:tc>
          <w:tcPr>
            <w:tcW w:w="900" w:type="dxa"/>
            <w:tcBorders>
              <w:top w:val="nil"/>
              <w:left w:val="nil"/>
              <w:bottom w:val="nil"/>
              <w:right w:val="nil"/>
            </w:tcBorders>
            <w:shd w:val="clear" w:color="auto" w:fill="auto"/>
            <w:noWrap/>
            <w:vAlign w:val="bottom"/>
            <w:hideMark/>
          </w:tcPr>
          <w:p w:rsidRPr="00025D4C" w:rsidR="0008141C" w:rsidP="00CB43DF" w:rsidRDefault="0008141C" w14:paraId="243D2607"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36.650</w:t>
            </w:r>
          </w:p>
        </w:tc>
        <w:tc>
          <w:tcPr>
            <w:tcW w:w="1360" w:type="dxa"/>
            <w:tcBorders>
              <w:top w:val="nil"/>
              <w:left w:val="nil"/>
              <w:bottom w:val="nil"/>
              <w:right w:val="nil"/>
            </w:tcBorders>
            <w:shd w:val="clear" w:color="auto" w:fill="auto"/>
            <w:noWrap/>
            <w:vAlign w:val="bottom"/>
            <w:hideMark/>
          </w:tcPr>
          <w:p w:rsidRPr="00025D4C" w:rsidR="0008141C" w:rsidP="00CB43DF" w:rsidRDefault="0008141C" w14:paraId="58E89B5B"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29.355</w:t>
            </w:r>
          </w:p>
        </w:tc>
        <w:tc>
          <w:tcPr>
            <w:tcW w:w="900" w:type="dxa"/>
            <w:tcBorders>
              <w:top w:val="nil"/>
              <w:left w:val="nil"/>
              <w:bottom w:val="nil"/>
              <w:right w:val="nil"/>
            </w:tcBorders>
            <w:shd w:val="clear" w:color="auto" w:fill="auto"/>
            <w:noWrap/>
            <w:vAlign w:val="bottom"/>
            <w:hideMark/>
          </w:tcPr>
          <w:p w:rsidRPr="00025D4C" w:rsidR="0008141C" w:rsidP="00CB43DF" w:rsidRDefault="0008141C" w14:paraId="6E9CD077"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21.550</w:t>
            </w:r>
          </w:p>
        </w:tc>
        <w:tc>
          <w:tcPr>
            <w:tcW w:w="1360" w:type="dxa"/>
            <w:tcBorders>
              <w:top w:val="nil"/>
              <w:left w:val="nil"/>
              <w:bottom w:val="nil"/>
              <w:right w:val="nil"/>
            </w:tcBorders>
            <w:shd w:val="clear" w:color="auto" w:fill="auto"/>
            <w:noWrap/>
            <w:vAlign w:val="bottom"/>
            <w:hideMark/>
          </w:tcPr>
          <w:p w:rsidRPr="00025D4C" w:rsidR="0008141C" w:rsidP="00CB43DF" w:rsidRDefault="0008141C" w14:paraId="10F66057"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21.625</w:t>
            </w:r>
          </w:p>
        </w:tc>
        <w:tc>
          <w:tcPr>
            <w:tcW w:w="1420" w:type="dxa"/>
            <w:tcBorders>
              <w:top w:val="nil"/>
              <w:left w:val="nil"/>
              <w:bottom w:val="nil"/>
              <w:right w:val="nil"/>
            </w:tcBorders>
            <w:shd w:val="clear" w:color="auto" w:fill="auto"/>
            <w:noWrap/>
            <w:vAlign w:val="bottom"/>
            <w:hideMark/>
          </w:tcPr>
          <w:p w:rsidRPr="00025D4C" w:rsidR="0008141C" w:rsidP="00CB43DF" w:rsidRDefault="0008141C" w14:paraId="56DAADDD"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50.720</w:t>
            </w:r>
          </w:p>
        </w:tc>
        <w:tc>
          <w:tcPr>
            <w:tcW w:w="1100" w:type="dxa"/>
            <w:tcBorders>
              <w:top w:val="nil"/>
              <w:left w:val="nil"/>
              <w:bottom w:val="nil"/>
              <w:right w:val="nil"/>
            </w:tcBorders>
            <w:shd w:val="clear" w:color="auto" w:fill="auto"/>
            <w:noWrap/>
            <w:hideMark/>
          </w:tcPr>
          <w:p w:rsidRPr="00025D4C" w:rsidR="0008141C" w:rsidP="00CB43DF" w:rsidRDefault="0008141C" w14:paraId="1E4CE356" w14:textId="77777777">
            <w:pPr>
              <w:jc w:val="right"/>
              <w:rPr>
                <w:rFonts w:ascii="Verdana" w:hAnsi="Verdana" w:eastAsia="Times New Roman" w:cs="Arial"/>
                <w:b/>
                <w:bCs/>
                <w:color w:val="000000"/>
                <w:sz w:val="18"/>
                <w:szCs w:val="18"/>
                <w:lang w:eastAsia="nl-NL"/>
              </w:rPr>
            </w:pPr>
            <w:r w:rsidRPr="00025D4C">
              <w:rPr>
                <w:rFonts w:ascii="Verdana" w:hAnsi="Verdana"/>
                <w:b/>
                <w:bCs/>
                <w:sz w:val="18"/>
                <w:szCs w:val="18"/>
              </w:rPr>
              <w:t>159.900</w:t>
            </w:r>
          </w:p>
        </w:tc>
      </w:tr>
      <w:tr w:rsidRPr="00025D4C" w:rsidR="0008141C" w:rsidTr="00CB43DF" w14:paraId="21103791" w14:textId="77777777">
        <w:trPr>
          <w:trHeight w:val="255"/>
        </w:trPr>
        <w:tc>
          <w:tcPr>
            <w:tcW w:w="900" w:type="dxa"/>
            <w:tcBorders>
              <w:top w:val="nil"/>
              <w:left w:val="nil"/>
              <w:bottom w:val="nil"/>
              <w:right w:val="nil"/>
            </w:tcBorders>
            <w:shd w:val="clear" w:color="auto" w:fill="auto"/>
            <w:noWrap/>
            <w:vAlign w:val="bottom"/>
            <w:hideMark/>
          </w:tcPr>
          <w:p w:rsidRPr="00025D4C" w:rsidR="0008141C" w:rsidP="00CB43DF" w:rsidRDefault="0008141C" w14:paraId="2A3FE26E"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2021</w:t>
            </w:r>
          </w:p>
        </w:tc>
        <w:tc>
          <w:tcPr>
            <w:tcW w:w="900" w:type="dxa"/>
            <w:tcBorders>
              <w:top w:val="nil"/>
              <w:left w:val="nil"/>
              <w:bottom w:val="nil"/>
              <w:right w:val="nil"/>
            </w:tcBorders>
            <w:shd w:val="clear" w:color="auto" w:fill="auto"/>
            <w:noWrap/>
            <w:vAlign w:val="bottom"/>
            <w:hideMark/>
          </w:tcPr>
          <w:p w:rsidRPr="00025D4C" w:rsidR="0008141C" w:rsidP="00CB43DF" w:rsidRDefault="0008141C" w14:paraId="6FDE727F"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40.550</w:t>
            </w:r>
          </w:p>
        </w:tc>
        <w:tc>
          <w:tcPr>
            <w:tcW w:w="1360" w:type="dxa"/>
            <w:tcBorders>
              <w:top w:val="nil"/>
              <w:left w:val="nil"/>
              <w:bottom w:val="nil"/>
              <w:right w:val="nil"/>
            </w:tcBorders>
            <w:shd w:val="clear" w:color="auto" w:fill="auto"/>
            <w:noWrap/>
            <w:vAlign w:val="bottom"/>
            <w:hideMark/>
          </w:tcPr>
          <w:p w:rsidRPr="00025D4C" w:rsidR="0008141C" w:rsidP="00CB43DF" w:rsidRDefault="0008141C" w14:paraId="43DB587D"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27.350</w:t>
            </w:r>
          </w:p>
        </w:tc>
        <w:tc>
          <w:tcPr>
            <w:tcW w:w="900" w:type="dxa"/>
            <w:tcBorders>
              <w:top w:val="nil"/>
              <w:left w:val="nil"/>
              <w:bottom w:val="nil"/>
              <w:right w:val="nil"/>
            </w:tcBorders>
            <w:shd w:val="clear" w:color="auto" w:fill="auto"/>
            <w:noWrap/>
            <w:vAlign w:val="bottom"/>
            <w:hideMark/>
          </w:tcPr>
          <w:p w:rsidRPr="00025D4C" w:rsidR="0008141C" w:rsidP="00CB43DF" w:rsidRDefault="0008141C" w14:paraId="50DE920B"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28.815</w:t>
            </w:r>
          </w:p>
        </w:tc>
        <w:tc>
          <w:tcPr>
            <w:tcW w:w="1360" w:type="dxa"/>
            <w:tcBorders>
              <w:top w:val="nil"/>
              <w:left w:val="nil"/>
              <w:bottom w:val="nil"/>
              <w:right w:val="nil"/>
            </w:tcBorders>
            <w:shd w:val="clear" w:color="auto" w:fill="auto"/>
            <w:noWrap/>
            <w:vAlign w:val="bottom"/>
            <w:hideMark/>
          </w:tcPr>
          <w:p w:rsidRPr="00025D4C" w:rsidR="0008141C" w:rsidP="00CB43DF" w:rsidRDefault="0008141C" w14:paraId="059599A6"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21.025</w:t>
            </w:r>
          </w:p>
        </w:tc>
        <w:tc>
          <w:tcPr>
            <w:tcW w:w="1420" w:type="dxa"/>
            <w:tcBorders>
              <w:top w:val="nil"/>
              <w:left w:val="nil"/>
              <w:bottom w:val="nil"/>
              <w:right w:val="nil"/>
            </w:tcBorders>
            <w:shd w:val="clear" w:color="auto" w:fill="auto"/>
            <w:noWrap/>
            <w:vAlign w:val="bottom"/>
            <w:hideMark/>
          </w:tcPr>
          <w:p w:rsidRPr="00025D4C" w:rsidR="0008141C" w:rsidP="00CB43DF" w:rsidRDefault="0008141C" w14:paraId="57342D20"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44.990</w:t>
            </w:r>
          </w:p>
        </w:tc>
        <w:tc>
          <w:tcPr>
            <w:tcW w:w="1100" w:type="dxa"/>
            <w:tcBorders>
              <w:top w:val="nil"/>
              <w:left w:val="nil"/>
              <w:bottom w:val="nil"/>
              <w:right w:val="nil"/>
            </w:tcBorders>
            <w:shd w:val="clear" w:color="auto" w:fill="auto"/>
            <w:noWrap/>
            <w:hideMark/>
          </w:tcPr>
          <w:p w:rsidRPr="00025D4C" w:rsidR="0008141C" w:rsidP="00CB43DF" w:rsidRDefault="0008141C" w14:paraId="07B40AD5" w14:textId="77777777">
            <w:pPr>
              <w:jc w:val="right"/>
              <w:rPr>
                <w:rFonts w:ascii="Verdana" w:hAnsi="Verdana" w:eastAsia="Times New Roman" w:cs="Arial"/>
                <w:b/>
                <w:bCs/>
                <w:color w:val="000000"/>
                <w:sz w:val="18"/>
                <w:szCs w:val="18"/>
                <w:lang w:eastAsia="nl-NL"/>
              </w:rPr>
            </w:pPr>
            <w:r w:rsidRPr="00025D4C">
              <w:rPr>
                <w:rFonts w:ascii="Verdana" w:hAnsi="Verdana"/>
                <w:b/>
                <w:bCs/>
                <w:sz w:val="18"/>
                <w:szCs w:val="18"/>
              </w:rPr>
              <w:t>162.730</w:t>
            </w:r>
          </w:p>
        </w:tc>
      </w:tr>
      <w:tr w:rsidRPr="00025D4C" w:rsidR="0008141C" w:rsidTr="00CB43DF" w14:paraId="3420073A" w14:textId="77777777">
        <w:trPr>
          <w:trHeight w:val="255"/>
        </w:trPr>
        <w:tc>
          <w:tcPr>
            <w:tcW w:w="900" w:type="dxa"/>
            <w:tcBorders>
              <w:top w:val="nil"/>
              <w:left w:val="nil"/>
              <w:bottom w:val="nil"/>
              <w:right w:val="nil"/>
            </w:tcBorders>
            <w:shd w:val="clear" w:color="auto" w:fill="auto"/>
            <w:noWrap/>
            <w:vAlign w:val="bottom"/>
            <w:hideMark/>
          </w:tcPr>
          <w:p w:rsidRPr="00025D4C" w:rsidR="0008141C" w:rsidP="00CB43DF" w:rsidRDefault="0008141C" w14:paraId="06307345"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2022</w:t>
            </w:r>
          </w:p>
        </w:tc>
        <w:tc>
          <w:tcPr>
            <w:tcW w:w="900" w:type="dxa"/>
            <w:tcBorders>
              <w:top w:val="nil"/>
              <w:left w:val="nil"/>
              <w:bottom w:val="nil"/>
              <w:right w:val="nil"/>
            </w:tcBorders>
            <w:shd w:val="clear" w:color="auto" w:fill="auto"/>
            <w:noWrap/>
            <w:vAlign w:val="bottom"/>
            <w:hideMark/>
          </w:tcPr>
          <w:p w:rsidRPr="00025D4C" w:rsidR="0008141C" w:rsidP="00CB43DF" w:rsidRDefault="0008141C" w14:paraId="0BC2DD62"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48.065</w:t>
            </w:r>
          </w:p>
        </w:tc>
        <w:tc>
          <w:tcPr>
            <w:tcW w:w="1360" w:type="dxa"/>
            <w:tcBorders>
              <w:top w:val="nil"/>
              <w:left w:val="nil"/>
              <w:bottom w:val="nil"/>
              <w:right w:val="nil"/>
            </w:tcBorders>
            <w:shd w:val="clear" w:color="auto" w:fill="auto"/>
            <w:noWrap/>
            <w:vAlign w:val="bottom"/>
            <w:hideMark/>
          </w:tcPr>
          <w:p w:rsidRPr="00025D4C" w:rsidR="0008141C" w:rsidP="00CB43DF" w:rsidRDefault="0008141C" w14:paraId="4DB3BEBC"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30.065</w:t>
            </w:r>
          </w:p>
        </w:tc>
        <w:tc>
          <w:tcPr>
            <w:tcW w:w="900" w:type="dxa"/>
            <w:tcBorders>
              <w:top w:val="nil"/>
              <w:left w:val="nil"/>
              <w:bottom w:val="nil"/>
              <w:right w:val="nil"/>
            </w:tcBorders>
            <w:shd w:val="clear" w:color="auto" w:fill="auto"/>
            <w:noWrap/>
            <w:vAlign w:val="bottom"/>
            <w:hideMark/>
          </w:tcPr>
          <w:p w:rsidRPr="00025D4C" w:rsidR="0008141C" w:rsidP="00CB43DF" w:rsidRDefault="0008141C" w14:paraId="03A90CBD"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25.650</w:t>
            </w:r>
          </w:p>
        </w:tc>
        <w:tc>
          <w:tcPr>
            <w:tcW w:w="1360" w:type="dxa"/>
            <w:tcBorders>
              <w:top w:val="nil"/>
              <w:left w:val="nil"/>
              <w:bottom w:val="nil"/>
              <w:right w:val="nil"/>
            </w:tcBorders>
            <w:shd w:val="clear" w:color="auto" w:fill="auto"/>
            <w:noWrap/>
            <w:vAlign w:val="bottom"/>
            <w:hideMark/>
          </w:tcPr>
          <w:p w:rsidRPr="00025D4C" w:rsidR="0008141C" w:rsidP="00CB43DF" w:rsidRDefault="0008141C" w14:paraId="075A6B5B"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25.195</w:t>
            </w:r>
          </w:p>
        </w:tc>
        <w:tc>
          <w:tcPr>
            <w:tcW w:w="1420" w:type="dxa"/>
            <w:tcBorders>
              <w:top w:val="nil"/>
              <w:left w:val="nil"/>
              <w:bottom w:val="nil"/>
              <w:right w:val="nil"/>
            </w:tcBorders>
            <w:shd w:val="clear" w:color="auto" w:fill="auto"/>
            <w:noWrap/>
            <w:vAlign w:val="bottom"/>
            <w:hideMark/>
          </w:tcPr>
          <w:p w:rsidRPr="00025D4C" w:rsidR="0008141C" w:rsidP="00CB43DF" w:rsidRDefault="0008141C" w14:paraId="32D53A7B"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44.285</w:t>
            </w:r>
          </w:p>
        </w:tc>
        <w:tc>
          <w:tcPr>
            <w:tcW w:w="1100" w:type="dxa"/>
            <w:tcBorders>
              <w:top w:val="nil"/>
              <w:left w:val="nil"/>
              <w:bottom w:val="nil"/>
              <w:right w:val="nil"/>
            </w:tcBorders>
            <w:shd w:val="clear" w:color="auto" w:fill="auto"/>
            <w:noWrap/>
            <w:hideMark/>
          </w:tcPr>
          <w:p w:rsidRPr="00025D4C" w:rsidR="0008141C" w:rsidP="00CB43DF" w:rsidRDefault="0008141C" w14:paraId="393151E8" w14:textId="77777777">
            <w:pPr>
              <w:jc w:val="right"/>
              <w:rPr>
                <w:rFonts w:ascii="Verdana" w:hAnsi="Verdana" w:eastAsia="Times New Roman" w:cs="Arial"/>
                <w:b/>
                <w:bCs/>
                <w:color w:val="000000"/>
                <w:sz w:val="18"/>
                <w:szCs w:val="18"/>
                <w:lang w:eastAsia="nl-NL"/>
              </w:rPr>
            </w:pPr>
            <w:r w:rsidRPr="00025D4C">
              <w:rPr>
                <w:rFonts w:ascii="Verdana" w:hAnsi="Verdana"/>
                <w:b/>
                <w:bCs/>
                <w:sz w:val="18"/>
                <w:szCs w:val="18"/>
              </w:rPr>
              <w:t>173.255</w:t>
            </w:r>
          </w:p>
        </w:tc>
      </w:tr>
      <w:tr w:rsidRPr="00025D4C" w:rsidR="0008141C" w:rsidTr="00CB43DF" w14:paraId="6B7C3D6E" w14:textId="77777777">
        <w:trPr>
          <w:trHeight w:val="255"/>
        </w:trPr>
        <w:tc>
          <w:tcPr>
            <w:tcW w:w="900" w:type="dxa"/>
            <w:tcBorders>
              <w:top w:val="nil"/>
              <w:left w:val="nil"/>
              <w:bottom w:val="single" w:color="auto" w:sz="4" w:space="0"/>
              <w:right w:val="nil"/>
            </w:tcBorders>
            <w:shd w:val="clear" w:color="auto" w:fill="auto"/>
            <w:noWrap/>
            <w:vAlign w:val="bottom"/>
            <w:hideMark/>
          </w:tcPr>
          <w:p w:rsidRPr="00025D4C" w:rsidR="0008141C" w:rsidP="00CB43DF" w:rsidRDefault="0008141C" w14:paraId="4BC1FCA8"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2023</w:t>
            </w:r>
          </w:p>
        </w:tc>
        <w:tc>
          <w:tcPr>
            <w:tcW w:w="900" w:type="dxa"/>
            <w:tcBorders>
              <w:top w:val="nil"/>
              <w:left w:val="nil"/>
              <w:bottom w:val="single" w:color="auto" w:sz="4" w:space="0"/>
              <w:right w:val="nil"/>
            </w:tcBorders>
            <w:shd w:val="clear" w:color="auto" w:fill="auto"/>
            <w:noWrap/>
            <w:vAlign w:val="bottom"/>
            <w:hideMark/>
          </w:tcPr>
          <w:p w:rsidRPr="00025D4C" w:rsidR="0008141C" w:rsidP="00CB43DF" w:rsidRDefault="0008141C" w14:paraId="6C06A8E6"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43.900</w:t>
            </w:r>
          </w:p>
        </w:tc>
        <w:tc>
          <w:tcPr>
            <w:tcW w:w="1360" w:type="dxa"/>
            <w:tcBorders>
              <w:top w:val="nil"/>
              <w:left w:val="nil"/>
              <w:bottom w:val="single" w:color="auto" w:sz="4" w:space="0"/>
              <w:right w:val="nil"/>
            </w:tcBorders>
            <w:shd w:val="clear" w:color="auto" w:fill="auto"/>
            <w:noWrap/>
            <w:vAlign w:val="bottom"/>
            <w:hideMark/>
          </w:tcPr>
          <w:p w:rsidRPr="00025D4C" w:rsidR="0008141C" w:rsidP="00CB43DF" w:rsidRDefault="0008141C" w14:paraId="568A60A9"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31.185</w:t>
            </w:r>
          </w:p>
        </w:tc>
        <w:tc>
          <w:tcPr>
            <w:tcW w:w="900" w:type="dxa"/>
            <w:tcBorders>
              <w:top w:val="nil"/>
              <w:left w:val="nil"/>
              <w:bottom w:val="single" w:color="auto" w:sz="4" w:space="0"/>
              <w:right w:val="nil"/>
            </w:tcBorders>
            <w:shd w:val="clear" w:color="auto" w:fill="auto"/>
            <w:noWrap/>
            <w:vAlign w:val="bottom"/>
            <w:hideMark/>
          </w:tcPr>
          <w:p w:rsidRPr="00025D4C" w:rsidR="0008141C" w:rsidP="00CB43DF" w:rsidRDefault="0008141C" w14:paraId="15AB1CD2"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18.430</w:t>
            </w:r>
          </w:p>
        </w:tc>
        <w:tc>
          <w:tcPr>
            <w:tcW w:w="1360" w:type="dxa"/>
            <w:tcBorders>
              <w:top w:val="nil"/>
              <w:left w:val="nil"/>
              <w:bottom w:val="single" w:color="auto" w:sz="4" w:space="0"/>
              <w:right w:val="nil"/>
            </w:tcBorders>
            <w:shd w:val="clear" w:color="auto" w:fill="auto"/>
            <w:noWrap/>
            <w:vAlign w:val="bottom"/>
            <w:hideMark/>
          </w:tcPr>
          <w:p w:rsidRPr="00025D4C" w:rsidR="0008141C" w:rsidP="00CB43DF" w:rsidRDefault="0008141C" w14:paraId="607D6D91"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33.165</w:t>
            </w:r>
          </w:p>
        </w:tc>
        <w:tc>
          <w:tcPr>
            <w:tcW w:w="1420" w:type="dxa"/>
            <w:tcBorders>
              <w:top w:val="nil"/>
              <w:left w:val="nil"/>
              <w:bottom w:val="single" w:color="auto" w:sz="4" w:space="0"/>
              <w:right w:val="nil"/>
            </w:tcBorders>
            <w:shd w:val="clear" w:color="auto" w:fill="auto"/>
            <w:noWrap/>
            <w:vAlign w:val="bottom"/>
            <w:hideMark/>
          </w:tcPr>
          <w:p w:rsidRPr="00025D4C" w:rsidR="0008141C" w:rsidP="00CB43DF" w:rsidRDefault="0008141C" w14:paraId="46E1463E"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44.880</w:t>
            </w:r>
          </w:p>
        </w:tc>
        <w:tc>
          <w:tcPr>
            <w:tcW w:w="1100" w:type="dxa"/>
            <w:tcBorders>
              <w:top w:val="nil"/>
              <w:left w:val="nil"/>
              <w:bottom w:val="single" w:color="auto" w:sz="4" w:space="0"/>
              <w:right w:val="nil"/>
            </w:tcBorders>
            <w:shd w:val="clear" w:color="auto" w:fill="auto"/>
            <w:noWrap/>
            <w:hideMark/>
          </w:tcPr>
          <w:p w:rsidRPr="00025D4C" w:rsidR="0008141C" w:rsidP="00CB43DF" w:rsidRDefault="0008141C" w14:paraId="4B5087F2" w14:textId="77777777">
            <w:pPr>
              <w:jc w:val="right"/>
              <w:rPr>
                <w:rFonts w:ascii="Verdana" w:hAnsi="Verdana" w:eastAsia="Times New Roman" w:cs="Arial"/>
                <w:b/>
                <w:bCs/>
                <w:color w:val="000000"/>
                <w:sz w:val="18"/>
                <w:szCs w:val="18"/>
                <w:lang w:eastAsia="nl-NL"/>
              </w:rPr>
            </w:pPr>
            <w:r w:rsidRPr="00025D4C">
              <w:rPr>
                <w:rFonts w:ascii="Verdana" w:hAnsi="Verdana"/>
                <w:b/>
                <w:bCs/>
                <w:sz w:val="18"/>
                <w:szCs w:val="18"/>
              </w:rPr>
              <w:t>171.555</w:t>
            </w:r>
          </w:p>
        </w:tc>
      </w:tr>
    </w:tbl>
    <w:p w:rsidRPr="00025D4C" w:rsidR="0008141C" w:rsidRDefault="0082497E" w14:paraId="7B46027E" w14:textId="157C2952">
      <w:pPr>
        <w:spacing w:after="240"/>
        <w:rPr>
          <w:rFonts w:ascii="Verdana" w:hAnsi="Verdana" w:eastAsia="Times New Roman"/>
          <w:sz w:val="18"/>
          <w:szCs w:val="18"/>
        </w:rPr>
      </w:pPr>
      <w:r w:rsidRPr="00025D4C">
        <w:rPr>
          <w:rFonts w:ascii="Verdana" w:hAnsi="Verdana" w:eastAsia="Times New Roman"/>
          <w:sz w:val="18"/>
          <w:szCs w:val="18"/>
        </w:rPr>
        <w:t>Bron: CBS, Dashboard Migratiemotieven, afgerond op vijftallen.</w:t>
      </w:r>
    </w:p>
    <w:p w:rsidRPr="00025D4C" w:rsidR="0082497E" w:rsidP="000043C8" w:rsidRDefault="0082497E" w14:paraId="47F30274" w14:textId="77777777">
      <w:pPr>
        <w:rPr>
          <w:rFonts w:ascii="Verdana" w:hAnsi="Verdana" w:eastAsia="Times New Roman"/>
          <w:sz w:val="18"/>
          <w:szCs w:val="18"/>
        </w:rPr>
      </w:pPr>
    </w:p>
    <w:p w:rsidRPr="00025D4C" w:rsidR="0082497E" w:rsidP="000043C8" w:rsidRDefault="0082497E" w14:paraId="566D0D66" w14:textId="2E0D1AA8">
      <w:pPr>
        <w:rPr>
          <w:rFonts w:ascii="Verdana" w:hAnsi="Verdana" w:eastAsia="Times New Roman"/>
          <w:sz w:val="18"/>
          <w:szCs w:val="18"/>
        </w:rPr>
      </w:pPr>
      <w:r w:rsidRPr="00025D4C">
        <w:rPr>
          <w:rFonts w:ascii="Verdana" w:hAnsi="Verdana" w:eastAsia="Times New Roman"/>
          <w:sz w:val="18"/>
          <w:szCs w:val="18"/>
        </w:rPr>
        <w:t>Tabel: Immigratie, emigratie en migratiesaldo, 2013 tot en met 2024.</w:t>
      </w:r>
    </w:p>
    <w:tbl>
      <w:tblPr>
        <w:tblW w:w="4960" w:type="dxa"/>
        <w:tblCellMar>
          <w:left w:w="70" w:type="dxa"/>
          <w:right w:w="70" w:type="dxa"/>
        </w:tblCellMar>
        <w:tblLook w:val="04A0" w:firstRow="1" w:lastRow="0" w:firstColumn="1" w:lastColumn="0" w:noHBand="0" w:noVBand="1"/>
      </w:tblPr>
      <w:tblGrid>
        <w:gridCol w:w="960"/>
        <w:gridCol w:w="1200"/>
        <w:gridCol w:w="1200"/>
        <w:gridCol w:w="1600"/>
      </w:tblGrid>
      <w:tr w:rsidRPr="00025D4C" w:rsidR="0082497E" w:rsidTr="00CB43DF" w14:paraId="13863736" w14:textId="77777777">
        <w:trPr>
          <w:trHeight w:val="240"/>
        </w:trPr>
        <w:tc>
          <w:tcPr>
            <w:tcW w:w="960" w:type="dxa"/>
            <w:tcBorders>
              <w:top w:val="single" w:color="auto" w:sz="4" w:space="0"/>
              <w:left w:val="nil"/>
              <w:bottom w:val="single" w:color="auto" w:sz="4" w:space="0"/>
              <w:right w:val="nil"/>
            </w:tcBorders>
            <w:shd w:val="clear" w:color="auto" w:fill="auto"/>
            <w:vAlign w:val="bottom"/>
            <w:hideMark/>
          </w:tcPr>
          <w:p w:rsidRPr="00025D4C" w:rsidR="0082497E" w:rsidP="000043C8" w:rsidRDefault="0082497E" w14:paraId="15FF190C"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Jaar</w:t>
            </w:r>
          </w:p>
        </w:tc>
        <w:tc>
          <w:tcPr>
            <w:tcW w:w="1200" w:type="dxa"/>
            <w:tcBorders>
              <w:top w:val="single" w:color="auto" w:sz="4" w:space="0"/>
              <w:left w:val="nil"/>
              <w:bottom w:val="single" w:color="auto" w:sz="4" w:space="0"/>
              <w:right w:val="nil"/>
            </w:tcBorders>
            <w:shd w:val="clear" w:color="auto" w:fill="auto"/>
            <w:vAlign w:val="bottom"/>
            <w:hideMark/>
          </w:tcPr>
          <w:p w:rsidRPr="00025D4C" w:rsidR="0082497E" w:rsidP="000043C8" w:rsidRDefault="0082497E" w14:paraId="7670A205"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Immigratie</w:t>
            </w:r>
          </w:p>
        </w:tc>
        <w:tc>
          <w:tcPr>
            <w:tcW w:w="1200" w:type="dxa"/>
            <w:tcBorders>
              <w:top w:val="single" w:color="auto" w:sz="4" w:space="0"/>
              <w:left w:val="nil"/>
              <w:bottom w:val="single" w:color="auto" w:sz="4" w:space="0"/>
              <w:right w:val="nil"/>
            </w:tcBorders>
            <w:shd w:val="clear" w:color="auto" w:fill="auto"/>
            <w:vAlign w:val="bottom"/>
            <w:hideMark/>
          </w:tcPr>
          <w:p w:rsidRPr="00025D4C" w:rsidR="0082497E" w:rsidP="000043C8" w:rsidRDefault="0082497E" w14:paraId="5A0490A7" w14:textId="77777777">
            <w:pPr>
              <w:jc w:val="right"/>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Emigratie</w:t>
            </w:r>
          </w:p>
        </w:tc>
        <w:tc>
          <w:tcPr>
            <w:tcW w:w="1600" w:type="dxa"/>
            <w:tcBorders>
              <w:top w:val="single" w:color="auto" w:sz="4" w:space="0"/>
              <w:left w:val="nil"/>
              <w:bottom w:val="single" w:color="auto" w:sz="4" w:space="0"/>
              <w:right w:val="nil"/>
            </w:tcBorders>
            <w:shd w:val="clear" w:color="auto" w:fill="auto"/>
            <w:vAlign w:val="bottom"/>
            <w:hideMark/>
          </w:tcPr>
          <w:p w:rsidRPr="00025D4C" w:rsidR="0082497E" w:rsidP="000043C8" w:rsidRDefault="0082497E" w14:paraId="7C2E33CD" w14:textId="77777777">
            <w:pPr>
              <w:jc w:val="right"/>
              <w:rPr>
                <w:rFonts w:ascii="Verdana" w:hAnsi="Verdana" w:eastAsia="Times New Roman" w:cs="Arial"/>
                <w:b/>
                <w:bCs/>
                <w:color w:val="000000"/>
                <w:sz w:val="18"/>
                <w:szCs w:val="18"/>
                <w:lang w:eastAsia="nl-NL"/>
              </w:rPr>
            </w:pPr>
            <w:r w:rsidRPr="00025D4C">
              <w:rPr>
                <w:rFonts w:ascii="Verdana" w:hAnsi="Verdana" w:eastAsia="Times New Roman" w:cs="Arial"/>
                <w:b/>
                <w:bCs/>
                <w:color w:val="000000"/>
                <w:sz w:val="18"/>
                <w:szCs w:val="18"/>
                <w:lang w:eastAsia="nl-NL"/>
              </w:rPr>
              <w:t>Migratiesaldo</w:t>
            </w:r>
          </w:p>
        </w:tc>
      </w:tr>
      <w:tr w:rsidRPr="00025D4C" w:rsidR="0082497E" w:rsidTr="00CB43DF" w14:paraId="541EFA58" w14:textId="77777777">
        <w:trPr>
          <w:trHeight w:val="240"/>
        </w:trPr>
        <w:tc>
          <w:tcPr>
            <w:tcW w:w="960" w:type="dxa"/>
            <w:tcBorders>
              <w:top w:val="nil"/>
              <w:left w:val="nil"/>
              <w:bottom w:val="nil"/>
              <w:right w:val="nil"/>
            </w:tcBorders>
            <w:shd w:val="clear" w:color="auto" w:fill="auto"/>
            <w:noWrap/>
            <w:vAlign w:val="bottom"/>
            <w:hideMark/>
          </w:tcPr>
          <w:p w:rsidRPr="00025D4C" w:rsidR="0082497E" w:rsidP="000043C8" w:rsidRDefault="0082497E" w14:paraId="1F00D049"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2013</w:t>
            </w:r>
          </w:p>
        </w:tc>
        <w:tc>
          <w:tcPr>
            <w:tcW w:w="1200" w:type="dxa"/>
            <w:tcBorders>
              <w:top w:val="nil"/>
              <w:left w:val="nil"/>
              <w:bottom w:val="nil"/>
              <w:right w:val="nil"/>
            </w:tcBorders>
            <w:shd w:val="clear" w:color="auto" w:fill="auto"/>
            <w:noWrap/>
            <w:hideMark/>
          </w:tcPr>
          <w:p w:rsidRPr="00025D4C" w:rsidR="0082497E" w:rsidP="000043C8" w:rsidRDefault="0082497E" w14:paraId="7D4346CD" w14:textId="77777777">
            <w:pPr>
              <w:jc w:val="right"/>
              <w:rPr>
                <w:rFonts w:ascii="Verdana" w:hAnsi="Verdana" w:eastAsia="Times New Roman" w:cs="Arial"/>
                <w:color w:val="000000"/>
                <w:sz w:val="18"/>
                <w:szCs w:val="18"/>
                <w:lang w:eastAsia="nl-NL"/>
              </w:rPr>
            </w:pPr>
            <w:r w:rsidRPr="00025D4C">
              <w:rPr>
                <w:rFonts w:ascii="Verdana" w:hAnsi="Verdana"/>
                <w:sz w:val="18"/>
                <w:szCs w:val="18"/>
              </w:rPr>
              <w:t xml:space="preserve"> 164.770 </w:t>
            </w:r>
          </w:p>
        </w:tc>
        <w:tc>
          <w:tcPr>
            <w:tcW w:w="1200" w:type="dxa"/>
            <w:tcBorders>
              <w:top w:val="nil"/>
              <w:left w:val="nil"/>
              <w:bottom w:val="nil"/>
              <w:right w:val="nil"/>
            </w:tcBorders>
            <w:shd w:val="clear" w:color="auto" w:fill="auto"/>
            <w:noWrap/>
            <w:hideMark/>
          </w:tcPr>
          <w:p w:rsidRPr="00025D4C" w:rsidR="0082497E" w:rsidP="000043C8" w:rsidRDefault="0082497E" w14:paraId="19000EDA" w14:textId="77777777">
            <w:pPr>
              <w:jc w:val="right"/>
              <w:rPr>
                <w:rFonts w:ascii="Verdana" w:hAnsi="Verdana" w:eastAsia="Times New Roman" w:cs="Arial"/>
                <w:color w:val="000000"/>
                <w:sz w:val="18"/>
                <w:szCs w:val="18"/>
                <w:lang w:eastAsia="nl-NL"/>
              </w:rPr>
            </w:pPr>
            <w:r w:rsidRPr="00025D4C">
              <w:rPr>
                <w:rFonts w:ascii="Verdana" w:hAnsi="Verdana"/>
                <w:sz w:val="18"/>
                <w:szCs w:val="18"/>
              </w:rPr>
              <w:t xml:space="preserve"> 145.670 </w:t>
            </w:r>
          </w:p>
        </w:tc>
        <w:tc>
          <w:tcPr>
            <w:tcW w:w="1600" w:type="dxa"/>
            <w:tcBorders>
              <w:top w:val="nil"/>
              <w:left w:val="nil"/>
              <w:bottom w:val="nil"/>
              <w:right w:val="nil"/>
            </w:tcBorders>
            <w:shd w:val="clear" w:color="auto" w:fill="auto"/>
            <w:noWrap/>
            <w:hideMark/>
          </w:tcPr>
          <w:p w:rsidRPr="00025D4C" w:rsidR="0082497E" w:rsidP="000043C8" w:rsidRDefault="0082497E" w14:paraId="324675B9" w14:textId="77777777">
            <w:pPr>
              <w:jc w:val="right"/>
              <w:rPr>
                <w:rFonts w:ascii="Verdana" w:hAnsi="Verdana" w:eastAsia="Times New Roman" w:cs="Arial"/>
                <w:b/>
                <w:bCs/>
                <w:color w:val="000000"/>
                <w:sz w:val="18"/>
                <w:szCs w:val="18"/>
                <w:lang w:eastAsia="nl-NL"/>
              </w:rPr>
            </w:pPr>
            <w:r w:rsidRPr="00025D4C">
              <w:rPr>
                <w:rFonts w:ascii="Verdana" w:hAnsi="Verdana"/>
                <w:b/>
                <w:bCs/>
                <w:sz w:val="18"/>
                <w:szCs w:val="18"/>
              </w:rPr>
              <w:t xml:space="preserve"> 19.100 </w:t>
            </w:r>
          </w:p>
        </w:tc>
      </w:tr>
      <w:tr w:rsidRPr="00025D4C" w:rsidR="0082497E" w:rsidTr="00CB43DF" w14:paraId="3BFEAF35" w14:textId="77777777">
        <w:trPr>
          <w:trHeight w:val="240"/>
        </w:trPr>
        <w:tc>
          <w:tcPr>
            <w:tcW w:w="960" w:type="dxa"/>
            <w:tcBorders>
              <w:top w:val="nil"/>
              <w:left w:val="nil"/>
              <w:bottom w:val="nil"/>
              <w:right w:val="nil"/>
            </w:tcBorders>
            <w:shd w:val="clear" w:color="auto" w:fill="auto"/>
            <w:noWrap/>
            <w:vAlign w:val="bottom"/>
            <w:hideMark/>
          </w:tcPr>
          <w:p w:rsidRPr="00025D4C" w:rsidR="0082497E" w:rsidP="00CB43DF" w:rsidRDefault="0082497E" w14:paraId="4376EE64"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2014</w:t>
            </w:r>
          </w:p>
        </w:tc>
        <w:tc>
          <w:tcPr>
            <w:tcW w:w="1200" w:type="dxa"/>
            <w:tcBorders>
              <w:top w:val="nil"/>
              <w:left w:val="nil"/>
              <w:bottom w:val="nil"/>
              <w:right w:val="nil"/>
            </w:tcBorders>
            <w:shd w:val="clear" w:color="auto" w:fill="auto"/>
            <w:noWrap/>
            <w:hideMark/>
          </w:tcPr>
          <w:p w:rsidRPr="00025D4C" w:rsidR="0082497E" w:rsidP="00CB43DF" w:rsidRDefault="0082497E" w14:paraId="44A445CC" w14:textId="77777777">
            <w:pPr>
              <w:jc w:val="right"/>
              <w:rPr>
                <w:rFonts w:ascii="Verdana" w:hAnsi="Verdana" w:eastAsia="Times New Roman" w:cs="Arial"/>
                <w:color w:val="000000"/>
                <w:sz w:val="18"/>
                <w:szCs w:val="18"/>
                <w:lang w:eastAsia="nl-NL"/>
              </w:rPr>
            </w:pPr>
            <w:r w:rsidRPr="00025D4C">
              <w:rPr>
                <w:rFonts w:ascii="Verdana" w:hAnsi="Verdana"/>
                <w:sz w:val="18"/>
                <w:szCs w:val="18"/>
              </w:rPr>
              <w:t xml:space="preserve"> 182.950 </w:t>
            </w:r>
          </w:p>
        </w:tc>
        <w:tc>
          <w:tcPr>
            <w:tcW w:w="1200" w:type="dxa"/>
            <w:tcBorders>
              <w:top w:val="nil"/>
              <w:left w:val="nil"/>
              <w:bottom w:val="nil"/>
              <w:right w:val="nil"/>
            </w:tcBorders>
            <w:shd w:val="clear" w:color="auto" w:fill="auto"/>
            <w:noWrap/>
            <w:hideMark/>
          </w:tcPr>
          <w:p w:rsidRPr="00025D4C" w:rsidR="0082497E" w:rsidP="00CB43DF" w:rsidRDefault="0082497E" w14:paraId="6D168A49" w14:textId="77777777">
            <w:pPr>
              <w:jc w:val="right"/>
              <w:rPr>
                <w:rFonts w:ascii="Verdana" w:hAnsi="Verdana" w:eastAsia="Times New Roman" w:cs="Arial"/>
                <w:color w:val="000000"/>
                <w:sz w:val="18"/>
                <w:szCs w:val="18"/>
                <w:lang w:eastAsia="nl-NL"/>
              </w:rPr>
            </w:pPr>
            <w:r w:rsidRPr="00025D4C">
              <w:rPr>
                <w:rFonts w:ascii="Verdana" w:hAnsi="Verdana"/>
                <w:sz w:val="18"/>
                <w:szCs w:val="18"/>
              </w:rPr>
              <w:t xml:space="preserve"> 147.860 </w:t>
            </w:r>
          </w:p>
        </w:tc>
        <w:tc>
          <w:tcPr>
            <w:tcW w:w="1600" w:type="dxa"/>
            <w:tcBorders>
              <w:top w:val="nil"/>
              <w:left w:val="nil"/>
              <w:bottom w:val="nil"/>
              <w:right w:val="nil"/>
            </w:tcBorders>
            <w:shd w:val="clear" w:color="auto" w:fill="auto"/>
            <w:noWrap/>
            <w:hideMark/>
          </w:tcPr>
          <w:p w:rsidRPr="00025D4C" w:rsidR="0082497E" w:rsidP="00CB43DF" w:rsidRDefault="0082497E" w14:paraId="14C3F0EF" w14:textId="77777777">
            <w:pPr>
              <w:jc w:val="right"/>
              <w:rPr>
                <w:rFonts w:ascii="Verdana" w:hAnsi="Verdana" w:eastAsia="Times New Roman" w:cs="Arial"/>
                <w:b/>
                <w:bCs/>
                <w:color w:val="000000"/>
                <w:sz w:val="18"/>
                <w:szCs w:val="18"/>
                <w:lang w:eastAsia="nl-NL"/>
              </w:rPr>
            </w:pPr>
            <w:r w:rsidRPr="00025D4C">
              <w:rPr>
                <w:rFonts w:ascii="Verdana" w:hAnsi="Verdana"/>
                <w:b/>
                <w:bCs/>
                <w:sz w:val="18"/>
                <w:szCs w:val="18"/>
              </w:rPr>
              <w:t xml:space="preserve"> 35.090 </w:t>
            </w:r>
          </w:p>
        </w:tc>
      </w:tr>
      <w:tr w:rsidRPr="00025D4C" w:rsidR="0082497E" w:rsidTr="00CB43DF" w14:paraId="52BDA6A7" w14:textId="77777777">
        <w:trPr>
          <w:trHeight w:val="240"/>
        </w:trPr>
        <w:tc>
          <w:tcPr>
            <w:tcW w:w="960" w:type="dxa"/>
            <w:tcBorders>
              <w:top w:val="nil"/>
              <w:left w:val="nil"/>
              <w:bottom w:val="nil"/>
              <w:right w:val="nil"/>
            </w:tcBorders>
            <w:shd w:val="clear" w:color="auto" w:fill="auto"/>
            <w:noWrap/>
            <w:vAlign w:val="bottom"/>
            <w:hideMark/>
          </w:tcPr>
          <w:p w:rsidRPr="00025D4C" w:rsidR="0082497E" w:rsidP="00CB43DF" w:rsidRDefault="0082497E" w14:paraId="34944871"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2015</w:t>
            </w:r>
          </w:p>
        </w:tc>
        <w:tc>
          <w:tcPr>
            <w:tcW w:w="1200" w:type="dxa"/>
            <w:tcBorders>
              <w:top w:val="nil"/>
              <w:left w:val="nil"/>
              <w:bottom w:val="nil"/>
              <w:right w:val="nil"/>
            </w:tcBorders>
            <w:shd w:val="clear" w:color="auto" w:fill="auto"/>
            <w:noWrap/>
            <w:hideMark/>
          </w:tcPr>
          <w:p w:rsidRPr="00025D4C" w:rsidR="0082497E" w:rsidP="00CB43DF" w:rsidRDefault="0082497E" w14:paraId="37ABD5C4" w14:textId="77777777">
            <w:pPr>
              <w:jc w:val="right"/>
              <w:rPr>
                <w:rFonts w:ascii="Verdana" w:hAnsi="Verdana" w:eastAsia="Times New Roman" w:cs="Arial"/>
                <w:color w:val="000000"/>
                <w:sz w:val="18"/>
                <w:szCs w:val="18"/>
                <w:lang w:eastAsia="nl-NL"/>
              </w:rPr>
            </w:pPr>
            <w:r w:rsidRPr="00025D4C">
              <w:rPr>
                <w:rFonts w:ascii="Verdana" w:hAnsi="Verdana"/>
                <w:sz w:val="18"/>
                <w:szCs w:val="18"/>
              </w:rPr>
              <w:t xml:space="preserve"> 204.620 </w:t>
            </w:r>
          </w:p>
        </w:tc>
        <w:tc>
          <w:tcPr>
            <w:tcW w:w="1200" w:type="dxa"/>
            <w:tcBorders>
              <w:top w:val="nil"/>
              <w:left w:val="nil"/>
              <w:bottom w:val="nil"/>
              <w:right w:val="nil"/>
            </w:tcBorders>
            <w:shd w:val="clear" w:color="auto" w:fill="auto"/>
            <w:noWrap/>
            <w:hideMark/>
          </w:tcPr>
          <w:p w:rsidRPr="00025D4C" w:rsidR="0082497E" w:rsidP="00CB43DF" w:rsidRDefault="0082497E" w14:paraId="56349B51" w14:textId="77777777">
            <w:pPr>
              <w:jc w:val="right"/>
              <w:rPr>
                <w:rFonts w:ascii="Verdana" w:hAnsi="Verdana" w:eastAsia="Times New Roman" w:cs="Arial"/>
                <w:color w:val="000000"/>
                <w:sz w:val="18"/>
                <w:szCs w:val="18"/>
                <w:lang w:eastAsia="nl-NL"/>
              </w:rPr>
            </w:pPr>
            <w:r w:rsidRPr="00025D4C">
              <w:rPr>
                <w:rFonts w:ascii="Verdana" w:hAnsi="Verdana"/>
                <w:sz w:val="18"/>
                <w:szCs w:val="18"/>
              </w:rPr>
              <w:t xml:space="preserve"> 149.510 </w:t>
            </w:r>
          </w:p>
        </w:tc>
        <w:tc>
          <w:tcPr>
            <w:tcW w:w="1600" w:type="dxa"/>
            <w:tcBorders>
              <w:top w:val="nil"/>
              <w:left w:val="nil"/>
              <w:bottom w:val="nil"/>
              <w:right w:val="nil"/>
            </w:tcBorders>
            <w:shd w:val="clear" w:color="auto" w:fill="auto"/>
            <w:noWrap/>
            <w:hideMark/>
          </w:tcPr>
          <w:p w:rsidRPr="00025D4C" w:rsidR="0082497E" w:rsidP="00CB43DF" w:rsidRDefault="0082497E" w14:paraId="3B374778" w14:textId="77777777">
            <w:pPr>
              <w:jc w:val="right"/>
              <w:rPr>
                <w:rFonts w:ascii="Verdana" w:hAnsi="Verdana" w:eastAsia="Times New Roman" w:cs="Arial"/>
                <w:b/>
                <w:bCs/>
                <w:color w:val="000000"/>
                <w:sz w:val="18"/>
                <w:szCs w:val="18"/>
                <w:lang w:eastAsia="nl-NL"/>
              </w:rPr>
            </w:pPr>
            <w:r w:rsidRPr="00025D4C">
              <w:rPr>
                <w:rFonts w:ascii="Verdana" w:hAnsi="Verdana"/>
                <w:b/>
                <w:bCs/>
                <w:sz w:val="18"/>
                <w:szCs w:val="18"/>
              </w:rPr>
              <w:t xml:space="preserve"> 55.110 </w:t>
            </w:r>
          </w:p>
        </w:tc>
      </w:tr>
      <w:tr w:rsidRPr="00025D4C" w:rsidR="0082497E" w:rsidTr="00CB43DF" w14:paraId="6C5790DF" w14:textId="77777777">
        <w:trPr>
          <w:trHeight w:val="240"/>
        </w:trPr>
        <w:tc>
          <w:tcPr>
            <w:tcW w:w="960" w:type="dxa"/>
            <w:tcBorders>
              <w:top w:val="nil"/>
              <w:left w:val="nil"/>
              <w:bottom w:val="nil"/>
              <w:right w:val="nil"/>
            </w:tcBorders>
            <w:shd w:val="clear" w:color="auto" w:fill="auto"/>
            <w:noWrap/>
            <w:vAlign w:val="bottom"/>
            <w:hideMark/>
          </w:tcPr>
          <w:p w:rsidRPr="00025D4C" w:rsidR="0082497E" w:rsidP="00CB43DF" w:rsidRDefault="0082497E" w14:paraId="50AF2943"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2016</w:t>
            </w:r>
          </w:p>
        </w:tc>
        <w:tc>
          <w:tcPr>
            <w:tcW w:w="1200" w:type="dxa"/>
            <w:tcBorders>
              <w:top w:val="nil"/>
              <w:left w:val="nil"/>
              <w:bottom w:val="nil"/>
              <w:right w:val="nil"/>
            </w:tcBorders>
            <w:shd w:val="clear" w:color="auto" w:fill="auto"/>
            <w:noWrap/>
            <w:hideMark/>
          </w:tcPr>
          <w:p w:rsidRPr="00025D4C" w:rsidR="0082497E" w:rsidP="00CB43DF" w:rsidRDefault="0082497E" w14:paraId="6ACECBF3" w14:textId="77777777">
            <w:pPr>
              <w:jc w:val="right"/>
              <w:rPr>
                <w:rFonts w:ascii="Verdana" w:hAnsi="Verdana" w:eastAsia="Times New Roman" w:cs="Arial"/>
                <w:color w:val="000000"/>
                <w:sz w:val="18"/>
                <w:szCs w:val="18"/>
                <w:lang w:eastAsia="nl-NL"/>
              </w:rPr>
            </w:pPr>
            <w:r w:rsidRPr="00025D4C">
              <w:rPr>
                <w:rFonts w:ascii="Verdana" w:hAnsi="Verdana"/>
                <w:sz w:val="18"/>
                <w:szCs w:val="18"/>
              </w:rPr>
              <w:t xml:space="preserve"> 230.740 </w:t>
            </w:r>
          </w:p>
        </w:tc>
        <w:tc>
          <w:tcPr>
            <w:tcW w:w="1200" w:type="dxa"/>
            <w:tcBorders>
              <w:top w:val="nil"/>
              <w:left w:val="nil"/>
              <w:bottom w:val="nil"/>
              <w:right w:val="nil"/>
            </w:tcBorders>
            <w:shd w:val="clear" w:color="auto" w:fill="auto"/>
            <w:noWrap/>
            <w:hideMark/>
          </w:tcPr>
          <w:p w:rsidRPr="00025D4C" w:rsidR="0082497E" w:rsidP="00CB43DF" w:rsidRDefault="0082497E" w14:paraId="1A73169A" w14:textId="77777777">
            <w:pPr>
              <w:jc w:val="right"/>
              <w:rPr>
                <w:rFonts w:ascii="Verdana" w:hAnsi="Verdana" w:eastAsia="Times New Roman" w:cs="Arial"/>
                <w:color w:val="000000"/>
                <w:sz w:val="18"/>
                <w:szCs w:val="18"/>
                <w:lang w:eastAsia="nl-NL"/>
              </w:rPr>
            </w:pPr>
            <w:r w:rsidRPr="00025D4C">
              <w:rPr>
                <w:rFonts w:ascii="Verdana" w:hAnsi="Verdana"/>
                <w:sz w:val="18"/>
                <w:szCs w:val="18"/>
              </w:rPr>
              <w:t xml:space="preserve"> 151.550 </w:t>
            </w:r>
          </w:p>
        </w:tc>
        <w:tc>
          <w:tcPr>
            <w:tcW w:w="1600" w:type="dxa"/>
            <w:tcBorders>
              <w:top w:val="nil"/>
              <w:left w:val="nil"/>
              <w:bottom w:val="nil"/>
              <w:right w:val="nil"/>
            </w:tcBorders>
            <w:shd w:val="clear" w:color="auto" w:fill="auto"/>
            <w:noWrap/>
            <w:hideMark/>
          </w:tcPr>
          <w:p w:rsidRPr="00025D4C" w:rsidR="0082497E" w:rsidP="00CB43DF" w:rsidRDefault="0082497E" w14:paraId="4C36C605" w14:textId="77777777">
            <w:pPr>
              <w:jc w:val="right"/>
              <w:rPr>
                <w:rFonts w:ascii="Verdana" w:hAnsi="Verdana" w:eastAsia="Times New Roman" w:cs="Arial"/>
                <w:b/>
                <w:bCs/>
                <w:color w:val="000000"/>
                <w:sz w:val="18"/>
                <w:szCs w:val="18"/>
                <w:lang w:eastAsia="nl-NL"/>
              </w:rPr>
            </w:pPr>
            <w:r w:rsidRPr="00025D4C">
              <w:rPr>
                <w:rFonts w:ascii="Verdana" w:hAnsi="Verdana"/>
                <w:b/>
                <w:bCs/>
                <w:sz w:val="18"/>
                <w:szCs w:val="18"/>
              </w:rPr>
              <w:t xml:space="preserve"> 79.190 </w:t>
            </w:r>
          </w:p>
        </w:tc>
      </w:tr>
      <w:tr w:rsidRPr="00025D4C" w:rsidR="0082497E" w:rsidTr="00CB43DF" w14:paraId="08EBAAFF" w14:textId="77777777">
        <w:trPr>
          <w:trHeight w:val="240"/>
        </w:trPr>
        <w:tc>
          <w:tcPr>
            <w:tcW w:w="960" w:type="dxa"/>
            <w:tcBorders>
              <w:top w:val="nil"/>
              <w:left w:val="nil"/>
              <w:bottom w:val="nil"/>
              <w:right w:val="nil"/>
            </w:tcBorders>
            <w:shd w:val="clear" w:color="auto" w:fill="auto"/>
            <w:noWrap/>
            <w:vAlign w:val="bottom"/>
            <w:hideMark/>
          </w:tcPr>
          <w:p w:rsidRPr="00025D4C" w:rsidR="0082497E" w:rsidP="00CB43DF" w:rsidRDefault="0082497E" w14:paraId="765D99CB"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2017</w:t>
            </w:r>
          </w:p>
        </w:tc>
        <w:tc>
          <w:tcPr>
            <w:tcW w:w="1200" w:type="dxa"/>
            <w:tcBorders>
              <w:top w:val="nil"/>
              <w:left w:val="nil"/>
              <w:bottom w:val="nil"/>
              <w:right w:val="nil"/>
            </w:tcBorders>
            <w:shd w:val="clear" w:color="auto" w:fill="auto"/>
            <w:noWrap/>
            <w:hideMark/>
          </w:tcPr>
          <w:p w:rsidRPr="00025D4C" w:rsidR="0082497E" w:rsidP="00CB43DF" w:rsidRDefault="0082497E" w14:paraId="7FE1F867" w14:textId="77777777">
            <w:pPr>
              <w:jc w:val="right"/>
              <w:rPr>
                <w:rFonts w:ascii="Verdana" w:hAnsi="Verdana" w:eastAsia="Times New Roman" w:cs="Arial"/>
                <w:color w:val="000000"/>
                <w:sz w:val="18"/>
                <w:szCs w:val="18"/>
                <w:lang w:eastAsia="nl-NL"/>
              </w:rPr>
            </w:pPr>
            <w:r w:rsidRPr="00025D4C">
              <w:rPr>
                <w:rFonts w:ascii="Verdana" w:hAnsi="Verdana"/>
                <w:sz w:val="18"/>
                <w:szCs w:val="18"/>
              </w:rPr>
              <w:t xml:space="preserve"> 234.960 </w:t>
            </w:r>
          </w:p>
        </w:tc>
        <w:tc>
          <w:tcPr>
            <w:tcW w:w="1200" w:type="dxa"/>
            <w:tcBorders>
              <w:top w:val="nil"/>
              <w:left w:val="nil"/>
              <w:bottom w:val="nil"/>
              <w:right w:val="nil"/>
            </w:tcBorders>
            <w:shd w:val="clear" w:color="auto" w:fill="auto"/>
            <w:noWrap/>
            <w:hideMark/>
          </w:tcPr>
          <w:p w:rsidRPr="00025D4C" w:rsidR="0082497E" w:rsidP="00CB43DF" w:rsidRDefault="0082497E" w14:paraId="1B038AC5" w14:textId="77777777">
            <w:pPr>
              <w:jc w:val="right"/>
              <w:rPr>
                <w:rFonts w:ascii="Verdana" w:hAnsi="Verdana" w:eastAsia="Times New Roman" w:cs="Arial"/>
                <w:color w:val="000000"/>
                <w:sz w:val="18"/>
                <w:szCs w:val="18"/>
                <w:lang w:eastAsia="nl-NL"/>
              </w:rPr>
            </w:pPr>
            <w:r w:rsidRPr="00025D4C">
              <w:rPr>
                <w:rFonts w:ascii="Verdana" w:hAnsi="Verdana"/>
                <w:sz w:val="18"/>
                <w:szCs w:val="18"/>
              </w:rPr>
              <w:t xml:space="preserve"> 154.290 </w:t>
            </w:r>
          </w:p>
        </w:tc>
        <w:tc>
          <w:tcPr>
            <w:tcW w:w="1600" w:type="dxa"/>
            <w:tcBorders>
              <w:top w:val="nil"/>
              <w:left w:val="nil"/>
              <w:bottom w:val="nil"/>
              <w:right w:val="nil"/>
            </w:tcBorders>
            <w:shd w:val="clear" w:color="auto" w:fill="auto"/>
            <w:noWrap/>
            <w:hideMark/>
          </w:tcPr>
          <w:p w:rsidRPr="00025D4C" w:rsidR="0082497E" w:rsidP="00CB43DF" w:rsidRDefault="0082497E" w14:paraId="71EF6B13" w14:textId="77777777">
            <w:pPr>
              <w:jc w:val="right"/>
              <w:rPr>
                <w:rFonts w:ascii="Verdana" w:hAnsi="Verdana" w:eastAsia="Times New Roman" w:cs="Arial"/>
                <w:b/>
                <w:bCs/>
                <w:color w:val="000000"/>
                <w:sz w:val="18"/>
                <w:szCs w:val="18"/>
                <w:lang w:eastAsia="nl-NL"/>
              </w:rPr>
            </w:pPr>
            <w:r w:rsidRPr="00025D4C">
              <w:rPr>
                <w:rFonts w:ascii="Verdana" w:hAnsi="Verdana"/>
                <w:b/>
                <w:bCs/>
                <w:sz w:val="18"/>
                <w:szCs w:val="18"/>
              </w:rPr>
              <w:t xml:space="preserve"> 80.670 </w:t>
            </w:r>
          </w:p>
        </w:tc>
      </w:tr>
      <w:tr w:rsidRPr="00025D4C" w:rsidR="0082497E" w:rsidTr="00CB43DF" w14:paraId="3A3B7D60" w14:textId="77777777">
        <w:trPr>
          <w:trHeight w:val="240"/>
        </w:trPr>
        <w:tc>
          <w:tcPr>
            <w:tcW w:w="960" w:type="dxa"/>
            <w:tcBorders>
              <w:top w:val="nil"/>
              <w:left w:val="nil"/>
              <w:bottom w:val="nil"/>
              <w:right w:val="nil"/>
            </w:tcBorders>
            <w:shd w:val="clear" w:color="auto" w:fill="auto"/>
            <w:noWrap/>
            <w:vAlign w:val="bottom"/>
            <w:hideMark/>
          </w:tcPr>
          <w:p w:rsidRPr="00025D4C" w:rsidR="0082497E" w:rsidP="00CB43DF" w:rsidRDefault="0082497E" w14:paraId="540BAC1D"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2018</w:t>
            </w:r>
          </w:p>
        </w:tc>
        <w:tc>
          <w:tcPr>
            <w:tcW w:w="1200" w:type="dxa"/>
            <w:tcBorders>
              <w:top w:val="nil"/>
              <w:left w:val="nil"/>
              <w:bottom w:val="nil"/>
              <w:right w:val="nil"/>
            </w:tcBorders>
            <w:shd w:val="clear" w:color="auto" w:fill="auto"/>
            <w:noWrap/>
            <w:hideMark/>
          </w:tcPr>
          <w:p w:rsidRPr="00025D4C" w:rsidR="0082497E" w:rsidP="00CB43DF" w:rsidRDefault="0082497E" w14:paraId="5ED6A635" w14:textId="77777777">
            <w:pPr>
              <w:jc w:val="right"/>
              <w:rPr>
                <w:rFonts w:ascii="Verdana" w:hAnsi="Verdana" w:eastAsia="Times New Roman" w:cs="Arial"/>
                <w:color w:val="000000"/>
                <w:sz w:val="18"/>
                <w:szCs w:val="18"/>
                <w:lang w:eastAsia="nl-NL"/>
              </w:rPr>
            </w:pPr>
            <w:r w:rsidRPr="00025D4C">
              <w:rPr>
                <w:rFonts w:ascii="Verdana" w:hAnsi="Verdana"/>
                <w:sz w:val="18"/>
                <w:szCs w:val="18"/>
              </w:rPr>
              <w:t xml:space="preserve"> 243.740 </w:t>
            </w:r>
          </w:p>
        </w:tc>
        <w:tc>
          <w:tcPr>
            <w:tcW w:w="1200" w:type="dxa"/>
            <w:tcBorders>
              <w:top w:val="nil"/>
              <w:left w:val="nil"/>
              <w:bottom w:val="nil"/>
              <w:right w:val="nil"/>
            </w:tcBorders>
            <w:shd w:val="clear" w:color="auto" w:fill="auto"/>
            <w:noWrap/>
            <w:hideMark/>
          </w:tcPr>
          <w:p w:rsidRPr="00025D4C" w:rsidR="0082497E" w:rsidP="00CB43DF" w:rsidRDefault="0082497E" w14:paraId="6BB318A4" w14:textId="77777777">
            <w:pPr>
              <w:jc w:val="right"/>
              <w:rPr>
                <w:rFonts w:ascii="Verdana" w:hAnsi="Verdana" w:eastAsia="Times New Roman" w:cs="Arial"/>
                <w:color w:val="000000"/>
                <w:sz w:val="18"/>
                <w:szCs w:val="18"/>
                <w:lang w:eastAsia="nl-NL"/>
              </w:rPr>
            </w:pPr>
            <w:r w:rsidRPr="00025D4C">
              <w:rPr>
                <w:rFonts w:ascii="Verdana" w:hAnsi="Verdana"/>
                <w:sz w:val="18"/>
                <w:szCs w:val="18"/>
              </w:rPr>
              <w:t xml:space="preserve"> 157.370 </w:t>
            </w:r>
          </w:p>
        </w:tc>
        <w:tc>
          <w:tcPr>
            <w:tcW w:w="1600" w:type="dxa"/>
            <w:tcBorders>
              <w:top w:val="nil"/>
              <w:left w:val="nil"/>
              <w:bottom w:val="nil"/>
              <w:right w:val="nil"/>
            </w:tcBorders>
            <w:shd w:val="clear" w:color="auto" w:fill="auto"/>
            <w:noWrap/>
            <w:hideMark/>
          </w:tcPr>
          <w:p w:rsidRPr="00025D4C" w:rsidR="0082497E" w:rsidP="00CB43DF" w:rsidRDefault="0082497E" w14:paraId="50C5402A" w14:textId="77777777">
            <w:pPr>
              <w:jc w:val="right"/>
              <w:rPr>
                <w:rFonts w:ascii="Verdana" w:hAnsi="Verdana" w:eastAsia="Times New Roman" w:cs="Arial"/>
                <w:b/>
                <w:bCs/>
                <w:color w:val="000000"/>
                <w:sz w:val="18"/>
                <w:szCs w:val="18"/>
                <w:lang w:eastAsia="nl-NL"/>
              </w:rPr>
            </w:pPr>
            <w:r w:rsidRPr="00025D4C">
              <w:rPr>
                <w:rFonts w:ascii="Verdana" w:hAnsi="Verdana"/>
                <w:b/>
                <w:bCs/>
                <w:sz w:val="18"/>
                <w:szCs w:val="18"/>
              </w:rPr>
              <w:t xml:space="preserve"> 86.370 </w:t>
            </w:r>
          </w:p>
        </w:tc>
      </w:tr>
      <w:tr w:rsidRPr="00025D4C" w:rsidR="0082497E" w:rsidTr="00CB43DF" w14:paraId="160196D7" w14:textId="77777777">
        <w:trPr>
          <w:trHeight w:val="240"/>
        </w:trPr>
        <w:tc>
          <w:tcPr>
            <w:tcW w:w="960" w:type="dxa"/>
            <w:tcBorders>
              <w:top w:val="nil"/>
              <w:left w:val="nil"/>
              <w:bottom w:val="nil"/>
              <w:right w:val="nil"/>
            </w:tcBorders>
            <w:shd w:val="clear" w:color="auto" w:fill="auto"/>
            <w:noWrap/>
            <w:vAlign w:val="bottom"/>
            <w:hideMark/>
          </w:tcPr>
          <w:p w:rsidRPr="00025D4C" w:rsidR="0082497E" w:rsidP="00CB43DF" w:rsidRDefault="0082497E" w14:paraId="174597DB"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2019</w:t>
            </w:r>
          </w:p>
        </w:tc>
        <w:tc>
          <w:tcPr>
            <w:tcW w:w="1200" w:type="dxa"/>
            <w:tcBorders>
              <w:top w:val="nil"/>
              <w:left w:val="nil"/>
              <w:bottom w:val="nil"/>
              <w:right w:val="nil"/>
            </w:tcBorders>
            <w:shd w:val="clear" w:color="auto" w:fill="auto"/>
            <w:noWrap/>
            <w:hideMark/>
          </w:tcPr>
          <w:p w:rsidRPr="00025D4C" w:rsidR="0082497E" w:rsidP="00CB43DF" w:rsidRDefault="0082497E" w14:paraId="63DF6713" w14:textId="77777777">
            <w:pPr>
              <w:jc w:val="right"/>
              <w:rPr>
                <w:rFonts w:ascii="Verdana" w:hAnsi="Verdana" w:eastAsia="Times New Roman" w:cs="Arial"/>
                <w:color w:val="000000"/>
                <w:sz w:val="18"/>
                <w:szCs w:val="18"/>
                <w:lang w:eastAsia="nl-NL"/>
              </w:rPr>
            </w:pPr>
            <w:r w:rsidRPr="00025D4C">
              <w:rPr>
                <w:rFonts w:ascii="Verdana" w:hAnsi="Verdana"/>
                <w:sz w:val="18"/>
                <w:szCs w:val="18"/>
              </w:rPr>
              <w:t xml:space="preserve"> 269.060 </w:t>
            </w:r>
          </w:p>
        </w:tc>
        <w:tc>
          <w:tcPr>
            <w:tcW w:w="1200" w:type="dxa"/>
            <w:tcBorders>
              <w:top w:val="nil"/>
              <w:left w:val="nil"/>
              <w:bottom w:val="nil"/>
              <w:right w:val="nil"/>
            </w:tcBorders>
            <w:shd w:val="clear" w:color="auto" w:fill="auto"/>
            <w:noWrap/>
            <w:hideMark/>
          </w:tcPr>
          <w:p w:rsidRPr="00025D4C" w:rsidR="0082497E" w:rsidP="00CB43DF" w:rsidRDefault="0082497E" w14:paraId="0C823ECA" w14:textId="77777777">
            <w:pPr>
              <w:jc w:val="right"/>
              <w:rPr>
                <w:rFonts w:ascii="Verdana" w:hAnsi="Verdana" w:eastAsia="Times New Roman" w:cs="Arial"/>
                <w:color w:val="000000"/>
                <w:sz w:val="18"/>
                <w:szCs w:val="18"/>
                <w:lang w:eastAsia="nl-NL"/>
              </w:rPr>
            </w:pPr>
            <w:r w:rsidRPr="00025D4C">
              <w:rPr>
                <w:rFonts w:ascii="Verdana" w:hAnsi="Verdana"/>
                <w:sz w:val="18"/>
                <w:szCs w:val="18"/>
              </w:rPr>
              <w:t xml:space="preserve"> 161.030 </w:t>
            </w:r>
          </w:p>
        </w:tc>
        <w:tc>
          <w:tcPr>
            <w:tcW w:w="1600" w:type="dxa"/>
            <w:tcBorders>
              <w:top w:val="nil"/>
              <w:left w:val="nil"/>
              <w:bottom w:val="nil"/>
              <w:right w:val="nil"/>
            </w:tcBorders>
            <w:shd w:val="clear" w:color="auto" w:fill="auto"/>
            <w:noWrap/>
            <w:hideMark/>
          </w:tcPr>
          <w:p w:rsidRPr="00025D4C" w:rsidR="0082497E" w:rsidP="00CB43DF" w:rsidRDefault="0082497E" w14:paraId="7BAF7AA9" w14:textId="77777777">
            <w:pPr>
              <w:jc w:val="right"/>
              <w:rPr>
                <w:rFonts w:ascii="Verdana" w:hAnsi="Verdana" w:eastAsia="Times New Roman" w:cs="Arial"/>
                <w:b/>
                <w:bCs/>
                <w:color w:val="000000"/>
                <w:sz w:val="18"/>
                <w:szCs w:val="18"/>
                <w:lang w:eastAsia="nl-NL"/>
              </w:rPr>
            </w:pPr>
            <w:r w:rsidRPr="00025D4C">
              <w:rPr>
                <w:rFonts w:ascii="Verdana" w:hAnsi="Verdana"/>
                <w:b/>
                <w:bCs/>
                <w:sz w:val="18"/>
                <w:szCs w:val="18"/>
              </w:rPr>
              <w:t xml:space="preserve"> 108.040 </w:t>
            </w:r>
          </w:p>
        </w:tc>
      </w:tr>
      <w:tr w:rsidRPr="00025D4C" w:rsidR="0082497E" w:rsidTr="00CB43DF" w14:paraId="300CE8D0" w14:textId="77777777">
        <w:trPr>
          <w:trHeight w:val="240"/>
        </w:trPr>
        <w:tc>
          <w:tcPr>
            <w:tcW w:w="960" w:type="dxa"/>
            <w:tcBorders>
              <w:top w:val="nil"/>
              <w:left w:val="nil"/>
              <w:bottom w:val="nil"/>
              <w:right w:val="nil"/>
            </w:tcBorders>
            <w:shd w:val="clear" w:color="auto" w:fill="auto"/>
            <w:noWrap/>
            <w:vAlign w:val="bottom"/>
            <w:hideMark/>
          </w:tcPr>
          <w:p w:rsidRPr="00025D4C" w:rsidR="0082497E" w:rsidP="00CB43DF" w:rsidRDefault="0082497E" w14:paraId="560469E1"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2020</w:t>
            </w:r>
          </w:p>
        </w:tc>
        <w:tc>
          <w:tcPr>
            <w:tcW w:w="1200" w:type="dxa"/>
            <w:tcBorders>
              <w:top w:val="nil"/>
              <w:left w:val="nil"/>
              <w:bottom w:val="nil"/>
              <w:right w:val="nil"/>
            </w:tcBorders>
            <w:shd w:val="clear" w:color="auto" w:fill="auto"/>
            <w:noWrap/>
            <w:hideMark/>
          </w:tcPr>
          <w:p w:rsidRPr="00025D4C" w:rsidR="0082497E" w:rsidP="00CB43DF" w:rsidRDefault="0082497E" w14:paraId="025ECA4A" w14:textId="77777777">
            <w:pPr>
              <w:jc w:val="right"/>
              <w:rPr>
                <w:rFonts w:ascii="Verdana" w:hAnsi="Verdana" w:eastAsia="Times New Roman" w:cs="Arial"/>
                <w:color w:val="000000"/>
                <w:sz w:val="18"/>
                <w:szCs w:val="18"/>
                <w:lang w:eastAsia="nl-NL"/>
              </w:rPr>
            </w:pPr>
            <w:r w:rsidRPr="00025D4C">
              <w:rPr>
                <w:rFonts w:ascii="Verdana" w:hAnsi="Verdana"/>
                <w:sz w:val="18"/>
                <w:szCs w:val="18"/>
              </w:rPr>
              <w:t xml:space="preserve"> 220.850 </w:t>
            </w:r>
          </w:p>
        </w:tc>
        <w:tc>
          <w:tcPr>
            <w:tcW w:w="1200" w:type="dxa"/>
            <w:tcBorders>
              <w:top w:val="nil"/>
              <w:left w:val="nil"/>
              <w:bottom w:val="nil"/>
              <w:right w:val="nil"/>
            </w:tcBorders>
            <w:shd w:val="clear" w:color="auto" w:fill="auto"/>
            <w:noWrap/>
            <w:hideMark/>
          </w:tcPr>
          <w:p w:rsidRPr="00025D4C" w:rsidR="0082497E" w:rsidP="00CB43DF" w:rsidRDefault="0082497E" w14:paraId="09831B6E" w14:textId="77777777">
            <w:pPr>
              <w:jc w:val="right"/>
              <w:rPr>
                <w:rFonts w:ascii="Verdana" w:hAnsi="Verdana" w:eastAsia="Times New Roman" w:cs="Arial"/>
                <w:color w:val="000000"/>
                <w:sz w:val="18"/>
                <w:szCs w:val="18"/>
                <w:lang w:eastAsia="nl-NL"/>
              </w:rPr>
            </w:pPr>
            <w:r w:rsidRPr="00025D4C">
              <w:rPr>
                <w:rFonts w:ascii="Verdana" w:hAnsi="Verdana"/>
                <w:sz w:val="18"/>
                <w:szCs w:val="18"/>
              </w:rPr>
              <w:t xml:space="preserve"> 152.490 </w:t>
            </w:r>
          </w:p>
        </w:tc>
        <w:tc>
          <w:tcPr>
            <w:tcW w:w="1600" w:type="dxa"/>
            <w:tcBorders>
              <w:top w:val="nil"/>
              <w:left w:val="nil"/>
              <w:bottom w:val="nil"/>
              <w:right w:val="nil"/>
            </w:tcBorders>
            <w:shd w:val="clear" w:color="auto" w:fill="auto"/>
            <w:noWrap/>
            <w:hideMark/>
          </w:tcPr>
          <w:p w:rsidRPr="00025D4C" w:rsidR="0082497E" w:rsidP="00CB43DF" w:rsidRDefault="0082497E" w14:paraId="05BFF454" w14:textId="77777777">
            <w:pPr>
              <w:jc w:val="right"/>
              <w:rPr>
                <w:rFonts w:ascii="Verdana" w:hAnsi="Verdana" w:eastAsia="Times New Roman" w:cs="Arial"/>
                <w:b/>
                <w:bCs/>
                <w:color w:val="000000"/>
                <w:sz w:val="18"/>
                <w:szCs w:val="18"/>
                <w:lang w:eastAsia="nl-NL"/>
              </w:rPr>
            </w:pPr>
            <w:r w:rsidRPr="00025D4C">
              <w:rPr>
                <w:rFonts w:ascii="Verdana" w:hAnsi="Verdana"/>
                <w:b/>
                <w:bCs/>
                <w:sz w:val="18"/>
                <w:szCs w:val="18"/>
              </w:rPr>
              <w:t xml:space="preserve"> 68.360 </w:t>
            </w:r>
          </w:p>
        </w:tc>
      </w:tr>
      <w:tr w:rsidRPr="00025D4C" w:rsidR="0082497E" w:rsidTr="00CB43DF" w14:paraId="2AD1F42A" w14:textId="77777777">
        <w:trPr>
          <w:trHeight w:val="240"/>
        </w:trPr>
        <w:tc>
          <w:tcPr>
            <w:tcW w:w="960" w:type="dxa"/>
            <w:tcBorders>
              <w:top w:val="nil"/>
              <w:left w:val="nil"/>
              <w:bottom w:val="nil"/>
              <w:right w:val="nil"/>
            </w:tcBorders>
            <w:shd w:val="clear" w:color="auto" w:fill="auto"/>
            <w:noWrap/>
            <w:vAlign w:val="bottom"/>
            <w:hideMark/>
          </w:tcPr>
          <w:p w:rsidRPr="00025D4C" w:rsidR="0082497E" w:rsidP="00CB43DF" w:rsidRDefault="0082497E" w14:paraId="7A4C47E2"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2021</w:t>
            </w:r>
          </w:p>
        </w:tc>
        <w:tc>
          <w:tcPr>
            <w:tcW w:w="1200" w:type="dxa"/>
            <w:tcBorders>
              <w:top w:val="nil"/>
              <w:left w:val="nil"/>
              <w:bottom w:val="nil"/>
              <w:right w:val="nil"/>
            </w:tcBorders>
            <w:shd w:val="clear" w:color="auto" w:fill="auto"/>
            <w:noWrap/>
            <w:hideMark/>
          </w:tcPr>
          <w:p w:rsidRPr="00025D4C" w:rsidR="0082497E" w:rsidP="00CB43DF" w:rsidRDefault="0082497E" w14:paraId="5B6E979F" w14:textId="77777777">
            <w:pPr>
              <w:jc w:val="right"/>
              <w:rPr>
                <w:rFonts w:ascii="Verdana" w:hAnsi="Verdana" w:eastAsia="Times New Roman" w:cs="Arial"/>
                <w:color w:val="000000"/>
                <w:sz w:val="18"/>
                <w:szCs w:val="18"/>
                <w:lang w:eastAsia="nl-NL"/>
              </w:rPr>
            </w:pPr>
            <w:r w:rsidRPr="00025D4C">
              <w:rPr>
                <w:rFonts w:ascii="Verdana" w:hAnsi="Verdana"/>
                <w:sz w:val="18"/>
                <w:szCs w:val="18"/>
              </w:rPr>
              <w:t xml:space="preserve"> 252.530 </w:t>
            </w:r>
          </w:p>
        </w:tc>
        <w:tc>
          <w:tcPr>
            <w:tcW w:w="1200" w:type="dxa"/>
            <w:tcBorders>
              <w:top w:val="nil"/>
              <w:left w:val="nil"/>
              <w:bottom w:val="nil"/>
              <w:right w:val="nil"/>
            </w:tcBorders>
            <w:shd w:val="clear" w:color="auto" w:fill="auto"/>
            <w:noWrap/>
            <w:hideMark/>
          </w:tcPr>
          <w:p w:rsidRPr="00025D4C" w:rsidR="0082497E" w:rsidP="00CB43DF" w:rsidRDefault="0082497E" w14:paraId="3CBB859B" w14:textId="77777777">
            <w:pPr>
              <w:jc w:val="right"/>
              <w:rPr>
                <w:rFonts w:ascii="Verdana" w:hAnsi="Verdana" w:eastAsia="Times New Roman" w:cs="Arial"/>
                <w:color w:val="000000"/>
                <w:sz w:val="18"/>
                <w:szCs w:val="18"/>
                <w:lang w:eastAsia="nl-NL"/>
              </w:rPr>
            </w:pPr>
            <w:r w:rsidRPr="00025D4C">
              <w:rPr>
                <w:rFonts w:ascii="Verdana" w:hAnsi="Verdana"/>
                <w:sz w:val="18"/>
                <w:szCs w:val="18"/>
              </w:rPr>
              <w:t xml:space="preserve"> 145.330 </w:t>
            </w:r>
          </w:p>
        </w:tc>
        <w:tc>
          <w:tcPr>
            <w:tcW w:w="1600" w:type="dxa"/>
            <w:tcBorders>
              <w:top w:val="nil"/>
              <w:left w:val="nil"/>
              <w:bottom w:val="nil"/>
              <w:right w:val="nil"/>
            </w:tcBorders>
            <w:shd w:val="clear" w:color="auto" w:fill="auto"/>
            <w:noWrap/>
            <w:hideMark/>
          </w:tcPr>
          <w:p w:rsidRPr="00025D4C" w:rsidR="0082497E" w:rsidP="00CB43DF" w:rsidRDefault="0082497E" w14:paraId="010152CB" w14:textId="77777777">
            <w:pPr>
              <w:jc w:val="right"/>
              <w:rPr>
                <w:rFonts w:ascii="Verdana" w:hAnsi="Verdana" w:eastAsia="Times New Roman" w:cs="Arial"/>
                <w:b/>
                <w:bCs/>
                <w:color w:val="000000"/>
                <w:sz w:val="18"/>
                <w:szCs w:val="18"/>
                <w:lang w:eastAsia="nl-NL"/>
              </w:rPr>
            </w:pPr>
            <w:r w:rsidRPr="00025D4C">
              <w:rPr>
                <w:rFonts w:ascii="Verdana" w:hAnsi="Verdana"/>
                <w:b/>
                <w:bCs/>
                <w:sz w:val="18"/>
                <w:szCs w:val="18"/>
              </w:rPr>
              <w:t xml:space="preserve"> 107.200 </w:t>
            </w:r>
          </w:p>
        </w:tc>
      </w:tr>
      <w:tr w:rsidRPr="00025D4C" w:rsidR="0082497E" w:rsidTr="00CB43DF" w14:paraId="6271EF00" w14:textId="77777777">
        <w:trPr>
          <w:trHeight w:val="240"/>
        </w:trPr>
        <w:tc>
          <w:tcPr>
            <w:tcW w:w="960" w:type="dxa"/>
            <w:tcBorders>
              <w:top w:val="nil"/>
              <w:left w:val="nil"/>
              <w:bottom w:val="nil"/>
              <w:right w:val="nil"/>
            </w:tcBorders>
            <w:shd w:val="clear" w:color="auto" w:fill="auto"/>
            <w:noWrap/>
            <w:vAlign w:val="bottom"/>
            <w:hideMark/>
          </w:tcPr>
          <w:p w:rsidRPr="00025D4C" w:rsidR="0082497E" w:rsidP="00CB43DF" w:rsidRDefault="0082497E" w14:paraId="5390AE7F"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2022</w:t>
            </w:r>
          </w:p>
        </w:tc>
        <w:tc>
          <w:tcPr>
            <w:tcW w:w="1200" w:type="dxa"/>
            <w:tcBorders>
              <w:top w:val="nil"/>
              <w:left w:val="nil"/>
              <w:bottom w:val="nil"/>
              <w:right w:val="nil"/>
            </w:tcBorders>
            <w:shd w:val="clear" w:color="auto" w:fill="auto"/>
            <w:noWrap/>
            <w:hideMark/>
          </w:tcPr>
          <w:p w:rsidRPr="00025D4C" w:rsidR="0082497E" w:rsidP="00CB43DF" w:rsidRDefault="0082497E" w14:paraId="70832F2A" w14:textId="77777777">
            <w:pPr>
              <w:jc w:val="right"/>
              <w:rPr>
                <w:rFonts w:ascii="Verdana" w:hAnsi="Verdana" w:eastAsia="Times New Roman" w:cs="Arial"/>
                <w:color w:val="000000"/>
                <w:sz w:val="18"/>
                <w:szCs w:val="18"/>
                <w:lang w:eastAsia="nl-NL"/>
              </w:rPr>
            </w:pPr>
            <w:r w:rsidRPr="00025D4C">
              <w:rPr>
                <w:rFonts w:ascii="Verdana" w:hAnsi="Verdana"/>
                <w:sz w:val="18"/>
                <w:szCs w:val="18"/>
              </w:rPr>
              <w:t xml:space="preserve"> 403.110 </w:t>
            </w:r>
          </w:p>
        </w:tc>
        <w:tc>
          <w:tcPr>
            <w:tcW w:w="1200" w:type="dxa"/>
            <w:tcBorders>
              <w:top w:val="nil"/>
              <w:left w:val="nil"/>
              <w:bottom w:val="nil"/>
              <w:right w:val="nil"/>
            </w:tcBorders>
            <w:shd w:val="clear" w:color="auto" w:fill="auto"/>
            <w:noWrap/>
            <w:hideMark/>
          </w:tcPr>
          <w:p w:rsidRPr="00025D4C" w:rsidR="0082497E" w:rsidP="00CB43DF" w:rsidRDefault="0082497E" w14:paraId="73B54B80" w14:textId="77777777">
            <w:pPr>
              <w:jc w:val="right"/>
              <w:rPr>
                <w:rFonts w:ascii="Verdana" w:hAnsi="Verdana" w:eastAsia="Times New Roman" w:cs="Arial"/>
                <w:color w:val="000000"/>
                <w:sz w:val="18"/>
                <w:szCs w:val="18"/>
                <w:lang w:eastAsia="nl-NL"/>
              </w:rPr>
            </w:pPr>
            <w:r w:rsidRPr="00025D4C">
              <w:rPr>
                <w:rFonts w:ascii="Verdana" w:hAnsi="Verdana"/>
                <w:sz w:val="18"/>
                <w:szCs w:val="18"/>
              </w:rPr>
              <w:t xml:space="preserve"> 179.310 </w:t>
            </w:r>
          </w:p>
        </w:tc>
        <w:tc>
          <w:tcPr>
            <w:tcW w:w="1600" w:type="dxa"/>
            <w:tcBorders>
              <w:top w:val="nil"/>
              <w:left w:val="nil"/>
              <w:bottom w:val="nil"/>
              <w:right w:val="nil"/>
            </w:tcBorders>
            <w:shd w:val="clear" w:color="auto" w:fill="auto"/>
            <w:noWrap/>
            <w:hideMark/>
          </w:tcPr>
          <w:p w:rsidRPr="00025D4C" w:rsidR="0082497E" w:rsidP="00CB43DF" w:rsidRDefault="0082497E" w14:paraId="0D1E6769" w14:textId="77777777">
            <w:pPr>
              <w:jc w:val="right"/>
              <w:rPr>
                <w:rFonts w:ascii="Verdana" w:hAnsi="Verdana" w:eastAsia="Times New Roman" w:cs="Arial"/>
                <w:b/>
                <w:bCs/>
                <w:color w:val="000000"/>
                <w:sz w:val="18"/>
                <w:szCs w:val="18"/>
                <w:lang w:eastAsia="nl-NL"/>
              </w:rPr>
            </w:pPr>
            <w:r w:rsidRPr="00025D4C">
              <w:rPr>
                <w:rFonts w:ascii="Verdana" w:hAnsi="Verdana"/>
                <w:b/>
                <w:bCs/>
                <w:sz w:val="18"/>
                <w:szCs w:val="18"/>
              </w:rPr>
              <w:t xml:space="preserve"> 223.800 </w:t>
            </w:r>
          </w:p>
        </w:tc>
      </w:tr>
      <w:tr w:rsidRPr="00025D4C" w:rsidR="0082497E" w:rsidTr="00CB43DF" w14:paraId="010934C3" w14:textId="77777777">
        <w:trPr>
          <w:trHeight w:val="240"/>
        </w:trPr>
        <w:tc>
          <w:tcPr>
            <w:tcW w:w="960" w:type="dxa"/>
            <w:tcBorders>
              <w:top w:val="nil"/>
              <w:left w:val="nil"/>
              <w:bottom w:val="nil"/>
              <w:right w:val="nil"/>
            </w:tcBorders>
            <w:shd w:val="clear" w:color="auto" w:fill="auto"/>
            <w:noWrap/>
            <w:vAlign w:val="bottom"/>
            <w:hideMark/>
          </w:tcPr>
          <w:p w:rsidRPr="00025D4C" w:rsidR="0082497E" w:rsidP="00CB43DF" w:rsidRDefault="0082497E" w14:paraId="47EAB442"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2023</w:t>
            </w:r>
          </w:p>
        </w:tc>
        <w:tc>
          <w:tcPr>
            <w:tcW w:w="1200" w:type="dxa"/>
            <w:tcBorders>
              <w:top w:val="nil"/>
              <w:left w:val="nil"/>
              <w:bottom w:val="nil"/>
              <w:right w:val="nil"/>
            </w:tcBorders>
            <w:shd w:val="clear" w:color="auto" w:fill="auto"/>
            <w:noWrap/>
            <w:hideMark/>
          </w:tcPr>
          <w:p w:rsidRPr="00025D4C" w:rsidR="0082497E" w:rsidP="00CB43DF" w:rsidRDefault="0082497E" w14:paraId="121218FA" w14:textId="77777777">
            <w:pPr>
              <w:jc w:val="right"/>
              <w:rPr>
                <w:rFonts w:ascii="Verdana" w:hAnsi="Verdana" w:eastAsia="Times New Roman" w:cs="Arial"/>
                <w:color w:val="000000"/>
                <w:sz w:val="18"/>
                <w:szCs w:val="18"/>
                <w:lang w:eastAsia="nl-NL"/>
              </w:rPr>
            </w:pPr>
            <w:r w:rsidRPr="00025D4C">
              <w:rPr>
                <w:rFonts w:ascii="Verdana" w:hAnsi="Verdana"/>
                <w:sz w:val="18"/>
                <w:szCs w:val="18"/>
              </w:rPr>
              <w:t xml:space="preserve"> 335.670 </w:t>
            </w:r>
          </w:p>
        </w:tc>
        <w:tc>
          <w:tcPr>
            <w:tcW w:w="1200" w:type="dxa"/>
            <w:tcBorders>
              <w:top w:val="nil"/>
              <w:left w:val="nil"/>
              <w:bottom w:val="nil"/>
              <w:right w:val="nil"/>
            </w:tcBorders>
            <w:shd w:val="clear" w:color="auto" w:fill="auto"/>
            <w:noWrap/>
            <w:hideMark/>
          </w:tcPr>
          <w:p w:rsidRPr="00025D4C" w:rsidR="0082497E" w:rsidP="00CB43DF" w:rsidRDefault="0082497E" w14:paraId="5B54EFDB" w14:textId="77777777">
            <w:pPr>
              <w:jc w:val="right"/>
              <w:rPr>
                <w:rFonts w:ascii="Verdana" w:hAnsi="Verdana" w:eastAsia="Times New Roman" w:cs="Arial"/>
                <w:color w:val="000000"/>
                <w:sz w:val="18"/>
                <w:szCs w:val="18"/>
                <w:lang w:eastAsia="nl-NL"/>
              </w:rPr>
            </w:pPr>
            <w:r w:rsidRPr="00025D4C">
              <w:rPr>
                <w:rFonts w:ascii="Verdana" w:hAnsi="Verdana"/>
                <w:sz w:val="18"/>
                <w:szCs w:val="18"/>
              </w:rPr>
              <w:t xml:space="preserve"> 198.300 </w:t>
            </w:r>
          </w:p>
        </w:tc>
        <w:tc>
          <w:tcPr>
            <w:tcW w:w="1600" w:type="dxa"/>
            <w:tcBorders>
              <w:top w:val="nil"/>
              <w:left w:val="nil"/>
              <w:bottom w:val="nil"/>
              <w:right w:val="nil"/>
            </w:tcBorders>
            <w:shd w:val="clear" w:color="auto" w:fill="auto"/>
            <w:noWrap/>
            <w:hideMark/>
          </w:tcPr>
          <w:p w:rsidRPr="00025D4C" w:rsidR="0082497E" w:rsidP="00CB43DF" w:rsidRDefault="0082497E" w14:paraId="648297DF" w14:textId="77777777">
            <w:pPr>
              <w:jc w:val="right"/>
              <w:rPr>
                <w:rFonts w:ascii="Verdana" w:hAnsi="Verdana" w:eastAsia="Times New Roman" w:cs="Arial"/>
                <w:b/>
                <w:bCs/>
                <w:color w:val="000000"/>
                <w:sz w:val="18"/>
                <w:szCs w:val="18"/>
                <w:lang w:eastAsia="nl-NL"/>
              </w:rPr>
            </w:pPr>
            <w:r w:rsidRPr="00025D4C">
              <w:rPr>
                <w:rFonts w:ascii="Verdana" w:hAnsi="Verdana"/>
                <w:b/>
                <w:bCs/>
                <w:sz w:val="18"/>
                <w:szCs w:val="18"/>
              </w:rPr>
              <w:t xml:space="preserve"> 137.370 </w:t>
            </w:r>
          </w:p>
        </w:tc>
      </w:tr>
      <w:tr w:rsidRPr="00025D4C" w:rsidR="0082497E" w:rsidTr="00CB43DF" w14:paraId="55E6BDFE" w14:textId="77777777">
        <w:trPr>
          <w:trHeight w:val="240"/>
        </w:trPr>
        <w:tc>
          <w:tcPr>
            <w:tcW w:w="960" w:type="dxa"/>
            <w:tcBorders>
              <w:top w:val="nil"/>
              <w:left w:val="nil"/>
              <w:bottom w:val="single" w:color="auto" w:sz="4" w:space="0"/>
              <w:right w:val="nil"/>
            </w:tcBorders>
            <w:shd w:val="clear" w:color="auto" w:fill="auto"/>
            <w:noWrap/>
            <w:vAlign w:val="bottom"/>
            <w:hideMark/>
          </w:tcPr>
          <w:p w:rsidRPr="00025D4C" w:rsidR="0082497E" w:rsidP="00CB43DF" w:rsidRDefault="0082497E" w14:paraId="5939BBC9" w14:textId="77777777">
            <w:pPr>
              <w:rPr>
                <w:rFonts w:ascii="Verdana" w:hAnsi="Verdana" w:eastAsia="Times New Roman" w:cs="Arial"/>
                <w:color w:val="000000"/>
                <w:sz w:val="18"/>
                <w:szCs w:val="18"/>
                <w:lang w:eastAsia="nl-NL"/>
              </w:rPr>
            </w:pPr>
            <w:r w:rsidRPr="00025D4C">
              <w:rPr>
                <w:rFonts w:ascii="Verdana" w:hAnsi="Verdana" w:eastAsia="Times New Roman" w:cs="Arial"/>
                <w:color w:val="000000"/>
                <w:sz w:val="18"/>
                <w:szCs w:val="18"/>
                <w:lang w:eastAsia="nl-NL"/>
              </w:rPr>
              <w:t>2024</w:t>
            </w:r>
          </w:p>
        </w:tc>
        <w:tc>
          <w:tcPr>
            <w:tcW w:w="1200" w:type="dxa"/>
            <w:tcBorders>
              <w:top w:val="nil"/>
              <w:left w:val="nil"/>
              <w:bottom w:val="single" w:color="auto" w:sz="4" w:space="0"/>
              <w:right w:val="nil"/>
            </w:tcBorders>
            <w:shd w:val="clear" w:color="auto" w:fill="auto"/>
            <w:noWrap/>
            <w:hideMark/>
          </w:tcPr>
          <w:p w:rsidRPr="00025D4C" w:rsidR="0082497E" w:rsidP="00CB43DF" w:rsidRDefault="0082497E" w14:paraId="16E5E889" w14:textId="77777777">
            <w:pPr>
              <w:jc w:val="right"/>
              <w:rPr>
                <w:rFonts w:ascii="Verdana" w:hAnsi="Verdana" w:eastAsia="Times New Roman" w:cs="Arial"/>
                <w:color w:val="000000"/>
                <w:sz w:val="18"/>
                <w:szCs w:val="18"/>
                <w:lang w:eastAsia="nl-NL"/>
              </w:rPr>
            </w:pPr>
            <w:r w:rsidRPr="00025D4C">
              <w:rPr>
                <w:rFonts w:ascii="Verdana" w:hAnsi="Verdana"/>
                <w:sz w:val="18"/>
                <w:szCs w:val="18"/>
              </w:rPr>
              <w:t xml:space="preserve"> 316.310 </w:t>
            </w:r>
          </w:p>
        </w:tc>
        <w:tc>
          <w:tcPr>
            <w:tcW w:w="1200" w:type="dxa"/>
            <w:tcBorders>
              <w:top w:val="nil"/>
              <w:left w:val="nil"/>
              <w:bottom w:val="single" w:color="auto" w:sz="4" w:space="0"/>
              <w:right w:val="nil"/>
            </w:tcBorders>
            <w:shd w:val="clear" w:color="auto" w:fill="auto"/>
            <w:noWrap/>
            <w:hideMark/>
          </w:tcPr>
          <w:p w:rsidRPr="00025D4C" w:rsidR="0082497E" w:rsidP="00CB43DF" w:rsidRDefault="0082497E" w14:paraId="0D169EE6" w14:textId="77777777">
            <w:pPr>
              <w:jc w:val="right"/>
              <w:rPr>
                <w:rFonts w:ascii="Verdana" w:hAnsi="Verdana" w:eastAsia="Times New Roman" w:cs="Arial"/>
                <w:color w:val="000000"/>
                <w:sz w:val="18"/>
                <w:szCs w:val="18"/>
                <w:lang w:eastAsia="nl-NL"/>
              </w:rPr>
            </w:pPr>
            <w:r w:rsidRPr="00025D4C">
              <w:rPr>
                <w:rFonts w:ascii="Verdana" w:hAnsi="Verdana"/>
                <w:sz w:val="18"/>
                <w:szCs w:val="18"/>
              </w:rPr>
              <w:t xml:space="preserve"> 208.540 </w:t>
            </w:r>
          </w:p>
        </w:tc>
        <w:tc>
          <w:tcPr>
            <w:tcW w:w="1600" w:type="dxa"/>
            <w:tcBorders>
              <w:top w:val="nil"/>
              <w:left w:val="nil"/>
              <w:bottom w:val="single" w:color="auto" w:sz="4" w:space="0"/>
              <w:right w:val="nil"/>
            </w:tcBorders>
            <w:shd w:val="clear" w:color="auto" w:fill="auto"/>
            <w:noWrap/>
            <w:hideMark/>
          </w:tcPr>
          <w:p w:rsidRPr="00025D4C" w:rsidR="0082497E" w:rsidP="00CB43DF" w:rsidRDefault="0082497E" w14:paraId="37DA89D7" w14:textId="77777777">
            <w:pPr>
              <w:jc w:val="right"/>
              <w:rPr>
                <w:rFonts w:ascii="Verdana" w:hAnsi="Verdana" w:eastAsia="Times New Roman" w:cs="Arial"/>
                <w:b/>
                <w:bCs/>
                <w:color w:val="000000"/>
                <w:sz w:val="18"/>
                <w:szCs w:val="18"/>
                <w:lang w:eastAsia="nl-NL"/>
              </w:rPr>
            </w:pPr>
            <w:r w:rsidRPr="00025D4C">
              <w:rPr>
                <w:rFonts w:ascii="Verdana" w:hAnsi="Verdana"/>
                <w:b/>
                <w:bCs/>
                <w:sz w:val="18"/>
                <w:szCs w:val="18"/>
              </w:rPr>
              <w:t xml:space="preserve"> 107.770 </w:t>
            </w:r>
          </w:p>
        </w:tc>
      </w:tr>
    </w:tbl>
    <w:p w:rsidRPr="00025D4C" w:rsidR="0082497E" w:rsidRDefault="0082497E" w14:paraId="572CF6E2" w14:textId="427BD867">
      <w:pPr>
        <w:spacing w:after="240"/>
        <w:rPr>
          <w:rFonts w:ascii="Verdana" w:hAnsi="Verdana" w:eastAsia="Times New Roman"/>
          <w:sz w:val="18"/>
          <w:szCs w:val="18"/>
        </w:rPr>
      </w:pPr>
      <w:r w:rsidRPr="00025D4C">
        <w:rPr>
          <w:rFonts w:ascii="Verdana" w:hAnsi="Verdana" w:eastAsia="Times New Roman"/>
          <w:sz w:val="18"/>
          <w:szCs w:val="18"/>
        </w:rPr>
        <w:t>Bron: Statline CBS, cijfers afgerond op tientallen</w:t>
      </w:r>
    </w:p>
    <w:p w:rsidRPr="00025D4C" w:rsidR="003D5BD0" w:rsidP="003D5BD0" w:rsidRDefault="00C450C8" w14:paraId="68B51226" w14:textId="164A5695">
      <w:pPr>
        <w:rPr>
          <w:rFonts w:ascii="Verdana" w:hAnsi="Verdana" w:eastAsia="Times New Roman"/>
          <w:sz w:val="18"/>
          <w:szCs w:val="18"/>
        </w:rPr>
      </w:pPr>
      <w:r w:rsidRPr="00025D4C">
        <w:rPr>
          <w:rFonts w:ascii="Verdana" w:hAnsi="Verdana" w:eastAsia="Times New Roman"/>
          <w:sz w:val="18"/>
          <w:szCs w:val="18"/>
        </w:rPr>
        <w:br/>
      </w:r>
      <w:r w:rsidRPr="00025D4C">
        <w:rPr>
          <w:rFonts w:ascii="Verdana" w:hAnsi="Verdana" w:eastAsia="Times New Roman"/>
          <w:b/>
          <w:bCs/>
          <w:sz w:val="18"/>
          <w:szCs w:val="18"/>
        </w:rPr>
        <w:t>Vraag (7):</w:t>
      </w:r>
      <w:r w:rsidRPr="00025D4C">
        <w:rPr>
          <w:rFonts w:ascii="Verdana" w:hAnsi="Verdana" w:eastAsia="Times New Roman"/>
          <w:sz w:val="18"/>
          <w:szCs w:val="18"/>
        </w:rPr>
        <w:br/>
        <w:t>Kunt u aangeven wat het gemiddelde migratiesaldo is geweest over de periode 2015 tot en met 2025, uitgesplitst per jaar?</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Pr>
          <w:rFonts w:ascii="Verdana" w:hAnsi="Verdana" w:eastAsia="Times New Roman"/>
          <w:sz w:val="18"/>
          <w:szCs w:val="18"/>
        </w:rPr>
        <w:br/>
        <w:t>Voor het antwoord wordt uw Kamer verwezen naar het antwoord op vraag 6</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Vraag (8):</w:t>
      </w:r>
      <w:r w:rsidRPr="00025D4C">
        <w:rPr>
          <w:rFonts w:ascii="Verdana" w:hAnsi="Verdana" w:eastAsia="Times New Roman"/>
          <w:sz w:val="18"/>
          <w:szCs w:val="18"/>
        </w:rPr>
        <w:br/>
        <w:t>Kunt u weergeven hoeveel COA-locaties er tussen 2015 en 2025 zijn gesloten en hoeveel er in dezelfde periode zijn geopend, uitgesplitst per jaar en inclusief het aantal opvangplaatsen per locatie?</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lastRenderedPageBreak/>
        <w:t>Antwoord:</w:t>
      </w:r>
      <w:r w:rsidRPr="00025D4C">
        <w:rPr>
          <w:rFonts w:ascii="Verdana" w:hAnsi="Verdana" w:eastAsia="Times New Roman"/>
          <w:sz w:val="18"/>
          <w:szCs w:val="18"/>
        </w:rPr>
        <w:br/>
        <w:t>Het is niet mogelijk gebleken om deze vraag binnen de gestelde termijn te beantwoorden.</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Vraag (9):</w:t>
      </w:r>
      <w:r w:rsidRPr="00025D4C">
        <w:rPr>
          <w:rFonts w:ascii="Verdana" w:hAnsi="Verdana" w:eastAsia="Times New Roman"/>
          <w:sz w:val="18"/>
          <w:szCs w:val="18"/>
        </w:rPr>
        <w:br/>
        <w:t>Kunt u in een tabel aangeven hoeveel vluchtelingen er in Nederland zijn aangekomen tussen 2015 en 2025, uitgesplitst per jaar?</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Pr>
          <w:rFonts w:ascii="Verdana" w:hAnsi="Verdana" w:eastAsia="Times New Roman"/>
          <w:sz w:val="18"/>
          <w:szCs w:val="18"/>
        </w:rPr>
        <w:br/>
        <w:t>Het aantal eerste asielaanvragen in de periode 2015 - 2025 t/m oktober is weergegeven in onderstaande tabel.</w:t>
      </w:r>
      <w:r w:rsidRPr="00025D4C">
        <w:rPr>
          <w:rFonts w:ascii="Verdana" w:hAnsi="Verdana" w:eastAsia="Times New Roman"/>
          <w:sz w:val="18"/>
          <w:szCs w:val="18"/>
        </w:rPr>
        <w:br/>
        <w:t>Jaar - Eerste asielaanvragen</w:t>
      </w:r>
      <w:r w:rsidRPr="00025D4C">
        <w:rPr>
          <w:rFonts w:ascii="Verdana" w:hAnsi="Verdana" w:eastAsia="Times New Roman"/>
          <w:sz w:val="18"/>
          <w:szCs w:val="18"/>
        </w:rPr>
        <w:br/>
        <w:t>2015 - 43.090</w:t>
      </w:r>
      <w:r w:rsidRPr="00025D4C">
        <w:rPr>
          <w:rFonts w:ascii="Verdana" w:hAnsi="Verdana" w:eastAsia="Times New Roman"/>
          <w:sz w:val="18"/>
          <w:szCs w:val="18"/>
        </w:rPr>
        <w:br/>
        <w:t>2016 - 18.170</w:t>
      </w:r>
      <w:r w:rsidRPr="00025D4C">
        <w:rPr>
          <w:rFonts w:ascii="Verdana" w:hAnsi="Verdana" w:eastAsia="Times New Roman"/>
          <w:sz w:val="18"/>
          <w:szCs w:val="18"/>
        </w:rPr>
        <w:br/>
        <w:t>2017 - 14.720</w:t>
      </w:r>
      <w:r w:rsidRPr="00025D4C">
        <w:rPr>
          <w:rFonts w:ascii="Verdana" w:hAnsi="Verdana" w:eastAsia="Times New Roman"/>
          <w:sz w:val="18"/>
          <w:szCs w:val="18"/>
        </w:rPr>
        <w:br/>
        <w:t>2018 - 20.350</w:t>
      </w:r>
      <w:r w:rsidRPr="00025D4C">
        <w:rPr>
          <w:rFonts w:ascii="Verdana" w:hAnsi="Verdana" w:eastAsia="Times New Roman"/>
          <w:sz w:val="18"/>
          <w:szCs w:val="18"/>
        </w:rPr>
        <w:br/>
        <w:t>2019 - 22.530</w:t>
      </w:r>
      <w:r w:rsidRPr="00025D4C">
        <w:rPr>
          <w:rFonts w:ascii="Verdana" w:hAnsi="Verdana" w:eastAsia="Times New Roman"/>
          <w:sz w:val="18"/>
          <w:szCs w:val="18"/>
        </w:rPr>
        <w:br/>
        <w:t>2020 - 13.670</w:t>
      </w:r>
      <w:r w:rsidRPr="00025D4C">
        <w:rPr>
          <w:rFonts w:ascii="Verdana" w:hAnsi="Verdana" w:eastAsia="Times New Roman"/>
          <w:sz w:val="18"/>
          <w:szCs w:val="18"/>
        </w:rPr>
        <w:br/>
        <w:t>2021 - 24.690</w:t>
      </w:r>
      <w:r w:rsidRPr="00025D4C">
        <w:rPr>
          <w:rFonts w:ascii="Verdana" w:hAnsi="Verdana" w:eastAsia="Times New Roman"/>
          <w:sz w:val="18"/>
          <w:szCs w:val="18"/>
        </w:rPr>
        <w:br/>
        <w:t>2022 - 35.540</w:t>
      </w:r>
      <w:r w:rsidRPr="00025D4C">
        <w:rPr>
          <w:rFonts w:ascii="Verdana" w:hAnsi="Verdana" w:eastAsia="Times New Roman"/>
          <w:sz w:val="18"/>
          <w:szCs w:val="18"/>
        </w:rPr>
        <w:br/>
        <w:t>2023 - 38.380</w:t>
      </w:r>
      <w:r w:rsidRPr="00025D4C">
        <w:rPr>
          <w:rFonts w:ascii="Verdana" w:hAnsi="Verdana" w:eastAsia="Times New Roman"/>
          <w:sz w:val="18"/>
          <w:szCs w:val="18"/>
        </w:rPr>
        <w:br/>
        <w:t>2024 - 32.180</w:t>
      </w:r>
      <w:r w:rsidRPr="00025D4C">
        <w:rPr>
          <w:rFonts w:ascii="Verdana" w:hAnsi="Verdana" w:eastAsia="Times New Roman"/>
          <w:sz w:val="18"/>
          <w:szCs w:val="18"/>
        </w:rPr>
        <w:br/>
        <w:t>2025 t/m oktober - 19.050</w:t>
      </w:r>
      <w:r w:rsidRPr="00025D4C">
        <w:rPr>
          <w:rFonts w:ascii="Verdana" w:hAnsi="Verdana" w:eastAsia="Times New Roman"/>
          <w:sz w:val="18"/>
          <w:szCs w:val="18"/>
        </w:rPr>
        <w:br/>
      </w:r>
      <w:r w:rsidRPr="00025D4C">
        <w:rPr>
          <w:rFonts w:ascii="Verdana" w:hAnsi="Verdana" w:eastAsia="Times New Roman"/>
          <w:sz w:val="18"/>
          <w:szCs w:val="18"/>
        </w:rPr>
        <w:br/>
        <w:t>Bronnen: Rapportage Vreemdelingenketen (RVK) (2015-2018); Staat van Migratie (2019-2024) en IND Asylum Trends (2025)</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Vraag (10):</w:t>
      </w:r>
      <w:r w:rsidRPr="00025D4C">
        <w:rPr>
          <w:rFonts w:ascii="Verdana" w:hAnsi="Verdana" w:eastAsia="Times New Roman"/>
          <w:sz w:val="18"/>
          <w:szCs w:val="18"/>
        </w:rPr>
        <w:br/>
        <w:t>Kunt u in een tabel aangeven hoeveel vluchtelingen er per gemeente in Nederland worden opgevangen?</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Pr>
          <w:rFonts w:ascii="Verdana" w:hAnsi="Verdana" w:eastAsia="Times New Roman"/>
          <w:sz w:val="18"/>
          <w:szCs w:val="18"/>
        </w:rPr>
        <w:br/>
        <w:t>In onderstaande tabel is per gemeente het aantal personen vermeld dat door COA wordt opgevangen.</w:t>
      </w:r>
      <w:r w:rsidRPr="00025D4C" w:rsidR="003D5BD0">
        <w:rPr>
          <w:rFonts w:ascii="Verdana" w:hAnsi="Verdana" w:eastAsia="Times New Roman"/>
          <w:sz w:val="18"/>
          <w:szCs w:val="18"/>
        </w:rPr>
        <w:br/>
      </w:r>
      <w:r w:rsidRPr="00025D4C">
        <w:rPr>
          <w:rFonts w:ascii="Verdana" w:hAnsi="Verdana" w:eastAsia="Times New Roman"/>
          <w:sz w:val="18"/>
          <w:szCs w:val="18"/>
        </w:rPr>
        <w:br/>
        <w:t>Bron: COA (peildatum 1 december 2025). Cijfers afgerond op tientallen.</w:t>
      </w:r>
    </w:p>
    <w:tbl>
      <w:tblPr>
        <w:tblW w:w="6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3074"/>
        <w:gridCol w:w="3625"/>
      </w:tblGrid>
      <w:tr w:rsidRPr="00025D4C" w:rsidR="003D5BD0" w:rsidTr="00CB43DF" w14:paraId="660D27AD" w14:textId="77777777">
        <w:trPr>
          <w:trHeight w:val="330"/>
        </w:trPr>
        <w:tc>
          <w:tcPr>
            <w:tcW w:w="3681" w:type="dxa"/>
            <w:shd w:val="clear" w:color="auto" w:fill="auto"/>
            <w:hideMark/>
          </w:tcPr>
          <w:p w:rsidRPr="00025D4C" w:rsidR="003D5BD0" w:rsidP="003D5BD0" w:rsidRDefault="003D5BD0" w14:paraId="2671F44C" w14:textId="77777777">
            <w:pPr>
              <w:rPr>
                <w:rFonts w:ascii="Calibri" w:hAnsi="Calibri" w:eastAsia="Times New Roman" w:cs="Calibri"/>
                <w:b/>
                <w:bCs/>
                <w:lang w:eastAsia="nl-NL"/>
              </w:rPr>
            </w:pPr>
            <w:r w:rsidRPr="00025D4C">
              <w:rPr>
                <w:rFonts w:ascii="Calibri" w:hAnsi="Calibri" w:eastAsia="Times New Roman" w:cs="Calibri"/>
                <w:b/>
                <w:bCs/>
                <w:lang w:eastAsia="nl-NL"/>
              </w:rPr>
              <w:t>Gemeente</w:t>
            </w:r>
          </w:p>
        </w:tc>
        <w:tc>
          <w:tcPr>
            <w:tcW w:w="3018" w:type="dxa"/>
            <w:shd w:val="clear" w:color="auto" w:fill="auto"/>
            <w:hideMark/>
          </w:tcPr>
          <w:p w:rsidRPr="00025D4C" w:rsidR="003D5BD0" w:rsidP="003D5BD0" w:rsidRDefault="003D5BD0" w14:paraId="7CB5D083" w14:textId="77777777">
            <w:pPr>
              <w:ind w:firstLine="964" w:firstLineChars="400"/>
              <w:jc w:val="right"/>
              <w:rPr>
                <w:rFonts w:ascii="Calibri" w:hAnsi="Calibri" w:eastAsia="Times New Roman" w:cs="Calibri"/>
                <w:b/>
                <w:bCs/>
                <w:lang w:eastAsia="nl-NL"/>
              </w:rPr>
            </w:pPr>
            <w:r w:rsidRPr="00025D4C">
              <w:rPr>
                <w:rFonts w:ascii="Calibri" w:hAnsi="Calibri" w:eastAsia="Times New Roman" w:cs="Calibri"/>
                <w:b/>
                <w:bCs/>
                <w:lang w:eastAsia="nl-NL"/>
              </w:rPr>
              <w:t>Bezetting</w:t>
            </w:r>
          </w:p>
        </w:tc>
      </w:tr>
      <w:tr w:rsidRPr="00025D4C" w:rsidR="003D5BD0" w:rsidTr="00CB43DF" w14:paraId="74688130" w14:textId="77777777">
        <w:trPr>
          <w:trHeight w:val="330"/>
        </w:trPr>
        <w:tc>
          <w:tcPr>
            <w:tcW w:w="3681" w:type="dxa"/>
            <w:shd w:val="clear" w:color="auto" w:fill="auto"/>
            <w:hideMark/>
          </w:tcPr>
          <w:p w:rsidRPr="00025D4C" w:rsidR="003D5BD0" w:rsidP="003D5BD0" w:rsidRDefault="003D5BD0" w14:paraId="21B7FBE1" w14:textId="77777777">
            <w:pPr>
              <w:rPr>
                <w:rFonts w:ascii="Calibri" w:hAnsi="Calibri" w:eastAsia="Times New Roman" w:cs="Calibri"/>
                <w:lang w:eastAsia="nl-NL"/>
              </w:rPr>
            </w:pPr>
            <w:r w:rsidRPr="00025D4C">
              <w:rPr>
                <w:rFonts w:ascii="Calibri" w:hAnsi="Calibri" w:eastAsia="Times New Roman" w:cs="Calibri"/>
                <w:lang w:eastAsia="nl-NL"/>
              </w:rPr>
              <w:t>Amsterdam</w:t>
            </w:r>
          </w:p>
        </w:tc>
        <w:tc>
          <w:tcPr>
            <w:tcW w:w="3018" w:type="dxa"/>
            <w:shd w:val="clear" w:color="auto" w:fill="auto"/>
            <w:noWrap/>
            <w:hideMark/>
          </w:tcPr>
          <w:p w:rsidRPr="00025D4C" w:rsidR="003D5BD0" w:rsidP="003D5BD0" w:rsidRDefault="003D5BD0" w14:paraId="2A46AD06" w14:textId="77777777">
            <w:pPr>
              <w:ind w:firstLine="2880" w:firstLineChars="12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4.680</w:t>
            </w:r>
          </w:p>
        </w:tc>
      </w:tr>
      <w:tr w:rsidRPr="00025D4C" w:rsidR="003D5BD0" w:rsidTr="00CB43DF" w14:paraId="16178039" w14:textId="77777777">
        <w:trPr>
          <w:trHeight w:val="330"/>
        </w:trPr>
        <w:tc>
          <w:tcPr>
            <w:tcW w:w="3681" w:type="dxa"/>
            <w:shd w:val="clear" w:color="auto" w:fill="auto"/>
            <w:hideMark/>
          </w:tcPr>
          <w:p w:rsidRPr="00025D4C" w:rsidR="003D5BD0" w:rsidP="003D5BD0" w:rsidRDefault="003D5BD0" w14:paraId="68310F9D" w14:textId="77777777">
            <w:pPr>
              <w:rPr>
                <w:rFonts w:ascii="Calibri" w:hAnsi="Calibri" w:eastAsia="Times New Roman" w:cs="Calibri"/>
                <w:lang w:eastAsia="nl-NL"/>
              </w:rPr>
            </w:pPr>
            <w:r w:rsidRPr="00025D4C">
              <w:rPr>
                <w:rFonts w:ascii="Calibri" w:hAnsi="Calibri" w:eastAsia="Times New Roman" w:cs="Calibri"/>
                <w:lang w:eastAsia="nl-NL"/>
              </w:rPr>
              <w:t>Dronten</w:t>
            </w:r>
          </w:p>
        </w:tc>
        <w:tc>
          <w:tcPr>
            <w:tcW w:w="3018" w:type="dxa"/>
            <w:shd w:val="clear" w:color="auto" w:fill="auto"/>
            <w:noWrap/>
            <w:hideMark/>
          </w:tcPr>
          <w:p w:rsidRPr="00025D4C" w:rsidR="003D5BD0" w:rsidP="003D5BD0" w:rsidRDefault="003D5BD0" w14:paraId="3D30D992" w14:textId="77777777">
            <w:pPr>
              <w:ind w:firstLine="2880" w:firstLineChars="12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2.540</w:t>
            </w:r>
          </w:p>
        </w:tc>
      </w:tr>
      <w:tr w:rsidRPr="00025D4C" w:rsidR="003D5BD0" w:rsidTr="00CB43DF" w14:paraId="1E30589E" w14:textId="77777777">
        <w:trPr>
          <w:trHeight w:val="330"/>
        </w:trPr>
        <w:tc>
          <w:tcPr>
            <w:tcW w:w="3681" w:type="dxa"/>
            <w:shd w:val="clear" w:color="auto" w:fill="auto"/>
            <w:hideMark/>
          </w:tcPr>
          <w:p w:rsidRPr="00025D4C" w:rsidR="003D5BD0" w:rsidP="00CB43DF" w:rsidRDefault="003D5BD0" w14:paraId="1E9EB771" w14:textId="77777777">
            <w:pPr>
              <w:rPr>
                <w:rFonts w:ascii="Calibri" w:hAnsi="Calibri" w:eastAsia="Times New Roman" w:cs="Calibri"/>
                <w:lang w:eastAsia="nl-NL"/>
              </w:rPr>
            </w:pPr>
            <w:r w:rsidRPr="00025D4C">
              <w:rPr>
                <w:rFonts w:ascii="Calibri" w:hAnsi="Calibri" w:eastAsia="Times New Roman" w:cs="Calibri"/>
                <w:lang w:eastAsia="nl-NL"/>
              </w:rPr>
              <w:t>Rotterdam</w:t>
            </w:r>
          </w:p>
        </w:tc>
        <w:tc>
          <w:tcPr>
            <w:tcW w:w="3018" w:type="dxa"/>
            <w:shd w:val="clear" w:color="auto" w:fill="auto"/>
            <w:noWrap/>
            <w:hideMark/>
          </w:tcPr>
          <w:p w:rsidRPr="00025D4C" w:rsidR="003D5BD0" w:rsidP="00CB43DF" w:rsidRDefault="003D5BD0" w14:paraId="49F02E63" w14:textId="77777777">
            <w:pPr>
              <w:ind w:firstLine="2880" w:firstLineChars="12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2.420</w:t>
            </w:r>
          </w:p>
        </w:tc>
      </w:tr>
      <w:tr w:rsidRPr="00025D4C" w:rsidR="003D5BD0" w:rsidTr="00CB43DF" w14:paraId="08FB04F1" w14:textId="77777777">
        <w:trPr>
          <w:trHeight w:val="330"/>
        </w:trPr>
        <w:tc>
          <w:tcPr>
            <w:tcW w:w="3681" w:type="dxa"/>
            <w:shd w:val="clear" w:color="auto" w:fill="auto"/>
            <w:hideMark/>
          </w:tcPr>
          <w:p w:rsidRPr="00025D4C" w:rsidR="003D5BD0" w:rsidP="00CB43DF" w:rsidRDefault="003D5BD0" w14:paraId="3FC47845" w14:textId="77777777">
            <w:pPr>
              <w:rPr>
                <w:rFonts w:ascii="Calibri" w:hAnsi="Calibri" w:eastAsia="Times New Roman" w:cs="Calibri"/>
                <w:lang w:eastAsia="nl-NL"/>
              </w:rPr>
            </w:pPr>
            <w:r w:rsidRPr="00025D4C">
              <w:rPr>
                <w:rFonts w:ascii="Calibri" w:hAnsi="Calibri" w:eastAsia="Times New Roman" w:cs="Calibri"/>
                <w:lang w:eastAsia="nl-NL"/>
              </w:rPr>
              <w:t>Arnhem</w:t>
            </w:r>
          </w:p>
        </w:tc>
        <w:tc>
          <w:tcPr>
            <w:tcW w:w="3018" w:type="dxa"/>
            <w:shd w:val="clear" w:color="auto" w:fill="auto"/>
            <w:noWrap/>
            <w:hideMark/>
          </w:tcPr>
          <w:p w:rsidRPr="00025D4C" w:rsidR="003D5BD0" w:rsidP="00CB43DF" w:rsidRDefault="003D5BD0" w14:paraId="6F46C4DB" w14:textId="77777777">
            <w:pPr>
              <w:ind w:firstLine="2880" w:firstLineChars="12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2.070</w:t>
            </w:r>
          </w:p>
        </w:tc>
      </w:tr>
      <w:tr w:rsidRPr="00025D4C" w:rsidR="003D5BD0" w:rsidTr="00CB43DF" w14:paraId="5F063E2D" w14:textId="77777777">
        <w:trPr>
          <w:trHeight w:val="330"/>
        </w:trPr>
        <w:tc>
          <w:tcPr>
            <w:tcW w:w="3681" w:type="dxa"/>
            <w:shd w:val="clear" w:color="auto" w:fill="auto"/>
            <w:hideMark/>
          </w:tcPr>
          <w:p w:rsidRPr="00025D4C" w:rsidR="003D5BD0" w:rsidP="00CB43DF" w:rsidRDefault="003D5BD0" w14:paraId="20F93CF0" w14:textId="77777777">
            <w:pPr>
              <w:rPr>
                <w:rFonts w:ascii="Calibri" w:hAnsi="Calibri" w:eastAsia="Times New Roman" w:cs="Calibri"/>
                <w:lang w:eastAsia="nl-NL"/>
              </w:rPr>
            </w:pPr>
            <w:proofErr w:type="spellStart"/>
            <w:r w:rsidRPr="00025D4C">
              <w:rPr>
                <w:rFonts w:ascii="Calibri" w:hAnsi="Calibri" w:eastAsia="Times New Roman" w:cs="Calibri"/>
                <w:lang w:eastAsia="nl-NL"/>
              </w:rPr>
              <w:t>Westerwolde</w:t>
            </w:r>
            <w:proofErr w:type="spellEnd"/>
          </w:p>
        </w:tc>
        <w:tc>
          <w:tcPr>
            <w:tcW w:w="3018" w:type="dxa"/>
            <w:shd w:val="clear" w:color="auto" w:fill="auto"/>
            <w:noWrap/>
            <w:hideMark/>
          </w:tcPr>
          <w:p w:rsidRPr="00025D4C" w:rsidR="003D5BD0" w:rsidP="00CB43DF" w:rsidRDefault="003D5BD0" w14:paraId="14A37D2F" w14:textId="77777777">
            <w:pPr>
              <w:ind w:firstLine="2880" w:firstLineChars="12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1.980</w:t>
            </w:r>
          </w:p>
        </w:tc>
      </w:tr>
      <w:tr w:rsidRPr="00025D4C" w:rsidR="003D5BD0" w:rsidTr="00CB43DF" w14:paraId="196FC698" w14:textId="77777777">
        <w:trPr>
          <w:trHeight w:val="330"/>
        </w:trPr>
        <w:tc>
          <w:tcPr>
            <w:tcW w:w="3681" w:type="dxa"/>
            <w:shd w:val="clear" w:color="auto" w:fill="auto"/>
            <w:hideMark/>
          </w:tcPr>
          <w:p w:rsidRPr="00025D4C" w:rsidR="003D5BD0" w:rsidP="00CB43DF" w:rsidRDefault="003D5BD0" w14:paraId="0D8C36D7" w14:textId="77777777">
            <w:pPr>
              <w:rPr>
                <w:rFonts w:ascii="Calibri" w:hAnsi="Calibri" w:eastAsia="Times New Roman" w:cs="Calibri"/>
                <w:lang w:eastAsia="nl-NL"/>
              </w:rPr>
            </w:pPr>
            <w:r w:rsidRPr="00025D4C">
              <w:rPr>
                <w:rFonts w:ascii="Calibri" w:hAnsi="Calibri" w:eastAsia="Times New Roman" w:cs="Calibri"/>
                <w:lang w:eastAsia="nl-NL"/>
              </w:rPr>
              <w:t>Assen</w:t>
            </w:r>
          </w:p>
        </w:tc>
        <w:tc>
          <w:tcPr>
            <w:tcW w:w="3018" w:type="dxa"/>
            <w:shd w:val="clear" w:color="auto" w:fill="auto"/>
            <w:noWrap/>
            <w:hideMark/>
          </w:tcPr>
          <w:p w:rsidRPr="00025D4C" w:rsidR="003D5BD0" w:rsidP="00CB43DF" w:rsidRDefault="003D5BD0" w14:paraId="57209E8F" w14:textId="77777777">
            <w:pPr>
              <w:ind w:firstLine="2880" w:firstLineChars="12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1.630</w:t>
            </w:r>
          </w:p>
        </w:tc>
      </w:tr>
      <w:tr w:rsidRPr="00025D4C" w:rsidR="003D5BD0" w:rsidTr="00CB43DF" w14:paraId="0E4B23AA" w14:textId="77777777">
        <w:trPr>
          <w:trHeight w:val="330"/>
        </w:trPr>
        <w:tc>
          <w:tcPr>
            <w:tcW w:w="3681" w:type="dxa"/>
            <w:shd w:val="clear" w:color="auto" w:fill="auto"/>
            <w:hideMark/>
          </w:tcPr>
          <w:p w:rsidRPr="00025D4C" w:rsidR="003D5BD0" w:rsidP="00CB43DF" w:rsidRDefault="003D5BD0" w14:paraId="7022653F" w14:textId="77777777">
            <w:pPr>
              <w:rPr>
                <w:rFonts w:ascii="Calibri" w:hAnsi="Calibri" w:eastAsia="Times New Roman" w:cs="Calibri"/>
                <w:lang w:eastAsia="nl-NL"/>
              </w:rPr>
            </w:pPr>
            <w:r w:rsidRPr="00025D4C">
              <w:rPr>
                <w:rFonts w:ascii="Calibri" w:hAnsi="Calibri" w:eastAsia="Times New Roman" w:cs="Calibri"/>
                <w:lang w:eastAsia="nl-NL"/>
              </w:rPr>
              <w:t>Utrecht</w:t>
            </w:r>
          </w:p>
        </w:tc>
        <w:tc>
          <w:tcPr>
            <w:tcW w:w="3018" w:type="dxa"/>
            <w:shd w:val="clear" w:color="auto" w:fill="auto"/>
            <w:noWrap/>
            <w:hideMark/>
          </w:tcPr>
          <w:p w:rsidRPr="00025D4C" w:rsidR="003D5BD0" w:rsidP="00CB43DF" w:rsidRDefault="003D5BD0" w14:paraId="72930C48" w14:textId="77777777">
            <w:pPr>
              <w:ind w:firstLine="2880" w:firstLineChars="12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1.600</w:t>
            </w:r>
          </w:p>
        </w:tc>
      </w:tr>
      <w:tr w:rsidRPr="00025D4C" w:rsidR="003D5BD0" w:rsidTr="00CB43DF" w14:paraId="38FBFE24" w14:textId="77777777">
        <w:trPr>
          <w:trHeight w:val="330"/>
        </w:trPr>
        <w:tc>
          <w:tcPr>
            <w:tcW w:w="3681" w:type="dxa"/>
            <w:shd w:val="clear" w:color="auto" w:fill="auto"/>
            <w:hideMark/>
          </w:tcPr>
          <w:p w:rsidRPr="00025D4C" w:rsidR="003D5BD0" w:rsidP="00CB43DF" w:rsidRDefault="003D5BD0" w14:paraId="73A3EDD2" w14:textId="77777777">
            <w:pPr>
              <w:rPr>
                <w:rFonts w:ascii="Calibri" w:hAnsi="Calibri" w:eastAsia="Times New Roman" w:cs="Calibri"/>
                <w:lang w:eastAsia="nl-NL"/>
              </w:rPr>
            </w:pPr>
            <w:r w:rsidRPr="00025D4C">
              <w:rPr>
                <w:rFonts w:ascii="Calibri" w:hAnsi="Calibri" w:eastAsia="Times New Roman" w:cs="Calibri"/>
                <w:lang w:eastAsia="nl-NL"/>
              </w:rPr>
              <w:t>Zaanstad</w:t>
            </w:r>
          </w:p>
        </w:tc>
        <w:tc>
          <w:tcPr>
            <w:tcW w:w="3018" w:type="dxa"/>
            <w:shd w:val="clear" w:color="auto" w:fill="auto"/>
            <w:noWrap/>
            <w:hideMark/>
          </w:tcPr>
          <w:p w:rsidRPr="00025D4C" w:rsidR="003D5BD0" w:rsidP="00CB43DF" w:rsidRDefault="003D5BD0" w14:paraId="72E792EA" w14:textId="77777777">
            <w:pPr>
              <w:ind w:firstLine="2880" w:firstLineChars="12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1.540</w:t>
            </w:r>
          </w:p>
        </w:tc>
      </w:tr>
      <w:tr w:rsidRPr="00025D4C" w:rsidR="003D5BD0" w:rsidTr="00CB43DF" w14:paraId="4C7ACEDF" w14:textId="77777777">
        <w:trPr>
          <w:trHeight w:val="330"/>
        </w:trPr>
        <w:tc>
          <w:tcPr>
            <w:tcW w:w="3681" w:type="dxa"/>
            <w:shd w:val="clear" w:color="auto" w:fill="auto"/>
            <w:hideMark/>
          </w:tcPr>
          <w:p w:rsidRPr="00025D4C" w:rsidR="003D5BD0" w:rsidP="00CB43DF" w:rsidRDefault="003D5BD0" w14:paraId="36516A8B" w14:textId="77777777">
            <w:pPr>
              <w:rPr>
                <w:rFonts w:ascii="Calibri" w:hAnsi="Calibri" w:eastAsia="Times New Roman" w:cs="Calibri"/>
                <w:lang w:eastAsia="nl-NL"/>
              </w:rPr>
            </w:pPr>
            <w:r w:rsidRPr="00025D4C">
              <w:rPr>
                <w:rFonts w:ascii="Calibri" w:hAnsi="Calibri" w:eastAsia="Times New Roman" w:cs="Calibri"/>
                <w:lang w:eastAsia="nl-NL"/>
              </w:rPr>
              <w:t>Cranendonck</w:t>
            </w:r>
          </w:p>
        </w:tc>
        <w:tc>
          <w:tcPr>
            <w:tcW w:w="3018" w:type="dxa"/>
            <w:shd w:val="clear" w:color="auto" w:fill="auto"/>
            <w:noWrap/>
            <w:hideMark/>
          </w:tcPr>
          <w:p w:rsidRPr="00025D4C" w:rsidR="003D5BD0" w:rsidP="00CB43DF" w:rsidRDefault="003D5BD0" w14:paraId="6C712A90" w14:textId="77777777">
            <w:pPr>
              <w:ind w:firstLine="2880" w:firstLineChars="12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1.430</w:t>
            </w:r>
          </w:p>
        </w:tc>
      </w:tr>
      <w:tr w:rsidRPr="00025D4C" w:rsidR="003D5BD0" w:rsidTr="00CB43DF" w14:paraId="68D50162" w14:textId="77777777">
        <w:trPr>
          <w:trHeight w:val="330"/>
        </w:trPr>
        <w:tc>
          <w:tcPr>
            <w:tcW w:w="3681" w:type="dxa"/>
            <w:shd w:val="clear" w:color="auto" w:fill="auto"/>
            <w:hideMark/>
          </w:tcPr>
          <w:p w:rsidRPr="00025D4C" w:rsidR="003D5BD0" w:rsidP="00CB43DF" w:rsidRDefault="003D5BD0" w14:paraId="1E5F24E5" w14:textId="77777777">
            <w:pPr>
              <w:rPr>
                <w:rFonts w:ascii="Calibri" w:hAnsi="Calibri" w:eastAsia="Times New Roman" w:cs="Calibri"/>
                <w:lang w:eastAsia="nl-NL"/>
              </w:rPr>
            </w:pPr>
            <w:r w:rsidRPr="00025D4C">
              <w:rPr>
                <w:rFonts w:ascii="Calibri" w:hAnsi="Calibri" w:eastAsia="Times New Roman" w:cs="Calibri"/>
                <w:lang w:eastAsia="nl-NL"/>
              </w:rPr>
              <w:t>Eindhoven</w:t>
            </w:r>
          </w:p>
        </w:tc>
        <w:tc>
          <w:tcPr>
            <w:tcW w:w="3018" w:type="dxa"/>
            <w:shd w:val="clear" w:color="auto" w:fill="auto"/>
            <w:noWrap/>
            <w:hideMark/>
          </w:tcPr>
          <w:p w:rsidRPr="00025D4C" w:rsidR="003D5BD0" w:rsidP="00CB43DF" w:rsidRDefault="003D5BD0" w14:paraId="43171D8A" w14:textId="77777777">
            <w:pPr>
              <w:ind w:firstLine="2880" w:firstLineChars="12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1.250</w:t>
            </w:r>
          </w:p>
        </w:tc>
      </w:tr>
      <w:tr w:rsidRPr="00025D4C" w:rsidR="003D5BD0" w:rsidTr="00CB43DF" w14:paraId="52D2EE4A" w14:textId="77777777">
        <w:trPr>
          <w:trHeight w:val="330"/>
        </w:trPr>
        <w:tc>
          <w:tcPr>
            <w:tcW w:w="3681" w:type="dxa"/>
            <w:shd w:val="clear" w:color="auto" w:fill="auto"/>
            <w:hideMark/>
          </w:tcPr>
          <w:p w:rsidRPr="00025D4C" w:rsidR="003D5BD0" w:rsidP="00CB43DF" w:rsidRDefault="003D5BD0" w14:paraId="4EA30D07" w14:textId="77777777">
            <w:pPr>
              <w:rPr>
                <w:rFonts w:ascii="Calibri" w:hAnsi="Calibri" w:eastAsia="Times New Roman" w:cs="Calibri"/>
                <w:lang w:eastAsia="nl-NL"/>
              </w:rPr>
            </w:pPr>
            <w:r w:rsidRPr="00025D4C">
              <w:rPr>
                <w:rFonts w:ascii="Calibri" w:hAnsi="Calibri" w:eastAsia="Times New Roman" w:cs="Calibri"/>
                <w:lang w:eastAsia="nl-NL"/>
              </w:rPr>
              <w:t>Haarlemmermeer</w:t>
            </w:r>
          </w:p>
        </w:tc>
        <w:tc>
          <w:tcPr>
            <w:tcW w:w="3018" w:type="dxa"/>
            <w:shd w:val="clear" w:color="auto" w:fill="auto"/>
            <w:noWrap/>
            <w:hideMark/>
          </w:tcPr>
          <w:p w:rsidRPr="00025D4C" w:rsidR="003D5BD0" w:rsidP="00CB43DF" w:rsidRDefault="003D5BD0" w14:paraId="6037AC1E" w14:textId="77777777">
            <w:pPr>
              <w:ind w:firstLine="2880" w:firstLineChars="12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1.200</w:t>
            </w:r>
          </w:p>
        </w:tc>
      </w:tr>
      <w:tr w:rsidRPr="00025D4C" w:rsidR="003D5BD0" w:rsidTr="00CB43DF" w14:paraId="42ECE070" w14:textId="77777777">
        <w:trPr>
          <w:trHeight w:val="330"/>
        </w:trPr>
        <w:tc>
          <w:tcPr>
            <w:tcW w:w="3681" w:type="dxa"/>
            <w:shd w:val="clear" w:color="auto" w:fill="auto"/>
            <w:hideMark/>
          </w:tcPr>
          <w:p w:rsidRPr="00025D4C" w:rsidR="003D5BD0" w:rsidP="00CB43DF" w:rsidRDefault="003D5BD0" w14:paraId="010C5C3C" w14:textId="77777777">
            <w:pPr>
              <w:rPr>
                <w:rFonts w:ascii="Calibri" w:hAnsi="Calibri" w:eastAsia="Times New Roman" w:cs="Calibri"/>
                <w:lang w:eastAsia="nl-NL"/>
              </w:rPr>
            </w:pPr>
            <w:r w:rsidRPr="00025D4C">
              <w:rPr>
                <w:rFonts w:ascii="Calibri" w:hAnsi="Calibri" w:eastAsia="Times New Roman" w:cs="Calibri"/>
                <w:lang w:eastAsia="nl-NL"/>
              </w:rPr>
              <w:t>Gilze en Rijen</w:t>
            </w:r>
          </w:p>
        </w:tc>
        <w:tc>
          <w:tcPr>
            <w:tcW w:w="3018" w:type="dxa"/>
            <w:shd w:val="clear" w:color="auto" w:fill="auto"/>
            <w:noWrap/>
            <w:hideMark/>
          </w:tcPr>
          <w:p w:rsidRPr="00025D4C" w:rsidR="003D5BD0" w:rsidP="00CB43DF" w:rsidRDefault="003D5BD0" w14:paraId="523B2AFC" w14:textId="77777777">
            <w:pPr>
              <w:ind w:firstLine="2880" w:firstLineChars="12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1.170</w:t>
            </w:r>
          </w:p>
        </w:tc>
      </w:tr>
      <w:tr w:rsidRPr="00025D4C" w:rsidR="003D5BD0" w:rsidTr="00CB43DF" w14:paraId="0C2D9CA6" w14:textId="77777777">
        <w:trPr>
          <w:trHeight w:val="330"/>
        </w:trPr>
        <w:tc>
          <w:tcPr>
            <w:tcW w:w="3681" w:type="dxa"/>
            <w:shd w:val="clear" w:color="auto" w:fill="auto"/>
            <w:hideMark/>
          </w:tcPr>
          <w:p w:rsidRPr="00025D4C" w:rsidR="003D5BD0" w:rsidP="00CB43DF" w:rsidRDefault="003D5BD0" w14:paraId="146AF44B" w14:textId="77777777">
            <w:pPr>
              <w:rPr>
                <w:rFonts w:ascii="Calibri" w:hAnsi="Calibri" w:eastAsia="Times New Roman" w:cs="Calibri"/>
                <w:lang w:eastAsia="nl-NL"/>
              </w:rPr>
            </w:pPr>
            <w:r w:rsidRPr="00025D4C">
              <w:rPr>
                <w:rFonts w:ascii="Calibri" w:hAnsi="Calibri" w:eastAsia="Times New Roman" w:cs="Calibri"/>
                <w:lang w:eastAsia="nl-NL"/>
              </w:rPr>
              <w:t>Groningen</w:t>
            </w:r>
          </w:p>
        </w:tc>
        <w:tc>
          <w:tcPr>
            <w:tcW w:w="3018" w:type="dxa"/>
            <w:shd w:val="clear" w:color="auto" w:fill="auto"/>
            <w:noWrap/>
            <w:hideMark/>
          </w:tcPr>
          <w:p w:rsidRPr="00025D4C" w:rsidR="003D5BD0" w:rsidP="00CB43DF" w:rsidRDefault="003D5BD0" w14:paraId="662A9F49" w14:textId="77777777">
            <w:pPr>
              <w:ind w:firstLine="2880" w:firstLineChars="12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1.060</w:t>
            </w:r>
          </w:p>
        </w:tc>
      </w:tr>
      <w:tr w:rsidRPr="00025D4C" w:rsidR="003D5BD0" w:rsidTr="00CB43DF" w14:paraId="1D24C7C4" w14:textId="77777777">
        <w:trPr>
          <w:trHeight w:val="330"/>
        </w:trPr>
        <w:tc>
          <w:tcPr>
            <w:tcW w:w="3681" w:type="dxa"/>
            <w:shd w:val="clear" w:color="auto" w:fill="auto"/>
            <w:hideMark/>
          </w:tcPr>
          <w:p w:rsidRPr="00025D4C" w:rsidR="003D5BD0" w:rsidP="00CB43DF" w:rsidRDefault="003D5BD0" w14:paraId="4CDF39B6" w14:textId="77777777">
            <w:pPr>
              <w:rPr>
                <w:rFonts w:ascii="Calibri" w:hAnsi="Calibri" w:eastAsia="Times New Roman" w:cs="Calibri"/>
                <w:lang w:eastAsia="nl-NL"/>
              </w:rPr>
            </w:pPr>
            <w:r w:rsidRPr="00025D4C">
              <w:rPr>
                <w:rFonts w:ascii="Calibri" w:hAnsi="Calibri" w:eastAsia="Times New Roman" w:cs="Calibri"/>
                <w:lang w:eastAsia="nl-NL"/>
              </w:rPr>
              <w:t>Almere</w:t>
            </w:r>
          </w:p>
        </w:tc>
        <w:tc>
          <w:tcPr>
            <w:tcW w:w="3018" w:type="dxa"/>
            <w:shd w:val="clear" w:color="auto" w:fill="auto"/>
            <w:noWrap/>
            <w:hideMark/>
          </w:tcPr>
          <w:p w:rsidRPr="00025D4C" w:rsidR="003D5BD0" w:rsidP="00CB43DF" w:rsidRDefault="003D5BD0" w14:paraId="2AB5D7CE" w14:textId="77777777">
            <w:pPr>
              <w:ind w:firstLine="2880" w:firstLineChars="12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1.050</w:t>
            </w:r>
          </w:p>
        </w:tc>
      </w:tr>
      <w:tr w:rsidRPr="00025D4C" w:rsidR="003D5BD0" w:rsidTr="00CB43DF" w14:paraId="3475B5BD" w14:textId="77777777">
        <w:trPr>
          <w:trHeight w:val="330"/>
        </w:trPr>
        <w:tc>
          <w:tcPr>
            <w:tcW w:w="3681" w:type="dxa"/>
            <w:shd w:val="clear" w:color="auto" w:fill="auto"/>
            <w:hideMark/>
          </w:tcPr>
          <w:p w:rsidRPr="00025D4C" w:rsidR="003D5BD0" w:rsidP="00CB43DF" w:rsidRDefault="003D5BD0" w14:paraId="27105A16" w14:textId="77777777">
            <w:pPr>
              <w:rPr>
                <w:rFonts w:ascii="Calibri" w:hAnsi="Calibri" w:eastAsia="Times New Roman" w:cs="Calibri"/>
                <w:lang w:eastAsia="nl-NL"/>
              </w:rPr>
            </w:pPr>
            <w:r w:rsidRPr="00025D4C">
              <w:rPr>
                <w:rFonts w:ascii="Calibri" w:hAnsi="Calibri" w:eastAsia="Times New Roman" w:cs="Calibri"/>
                <w:lang w:eastAsia="nl-NL"/>
              </w:rPr>
              <w:lastRenderedPageBreak/>
              <w:t>Noordoostpolder</w:t>
            </w:r>
          </w:p>
        </w:tc>
        <w:tc>
          <w:tcPr>
            <w:tcW w:w="3018" w:type="dxa"/>
            <w:shd w:val="clear" w:color="auto" w:fill="auto"/>
            <w:noWrap/>
            <w:hideMark/>
          </w:tcPr>
          <w:p w:rsidRPr="00025D4C" w:rsidR="003D5BD0" w:rsidP="00CB43DF" w:rsidRDefault="003D5BD0" w14:paraId="395CB417"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980</w:t>
            </w:r>
          </w:p>
        </w:tc>
      </w:tr>
      <w:tr w:rsidRPr="00025D4C" w:rsidR="003D5BD0" w:rsidTr="00CB43DF" w14:paraId="5365EB95" w14:textId="77777777">
        <w:trPr>
          <w:trHeight w:val="330"/>
        </w:trPr>
        <w:tc>
          <w:tcPr>
            <w:tcW w:w="3681" w:type="dxa"/>
            <w:shd w:val="clear" w:color="auto" w:fill="auto"/>
            <w:hideMark/>
          </w:tcPr>
          <w:p w:rsidRPr="00025D4C" w:rsidR="003D5BD0" w:rsidP="00CB43DF" w:rsidRDefault="003D5BD0" w14:paraId="22C9F645" w14:textId="77777777">
            <w:pPr>
              <w:rPr>
                <w:rFonts w:ascii="Calibri" w:hAnsi="Calibri" w:eastAsia="Times New Roman" w:cs="Calibri"/>
                <w:lang w:eastAsia="nl-NL"/>
              </w:rPr>
            </w:pPr>
            <w:r w:rsidRPr="00025D4C">
              <w:rPr>
                <w:rFonts w:ascii="Calibri" w:hAnsi="Calibri" w:eastAsia="Times New Roman" w:cs="Calibri"/>
                <w:lang w:eastAsia="nl-NL"/>
              </w:rPr>
              <w:t>Haarlem</w:t>
            </w:r>
          </w:p>
        </w:tc>
        <w:tc>
          <w:tcPr>
            <w:tcW w:w="3018" w:type="dxa"/>
            <w:shd w:val="clear" w:color="auto" w:fill="auto"/>
            <w:noWrap/>
            <w:hideMark/>
          </w:tcPr>
          <w:p w:rsidRPr="00025D4C" w:rsidR="003D5BD0" w:rsidP="00CB43DF" w:rsidRDefault="003D5BD0" w14:paraId="38F96A0B"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980</w:t>
            </w:r>
          </w:p>
        </w:tc>
      </w:tr>
      <w:tr w:rsidRPr="00025D4C" w:rsidR="003D5BD0" w:rsidTr="00CB43DF" w14:paraId="6073688E" w14:textId="77777777">
        <w:trPr>
          <w:trHeight w:val="330"/>
        </w:trPr>
        <w:tc>
          <w:tcPr>
            <w:tcW w:w="3681" w:type="dxa"/>
            <w:shd w:val="clear" w:color="auto" w:fill="auto"/>
            <w:hideMark/>
          </w:tcPr>
          <w:p w:rsidRPr="00025D4C" w:rsidR="003D5BD0" w:rsidP="00CB43DF" w:rsidRDefault="003D5BD0" w14:paraId="080B86D4" w14:textId="77777777">
            <w:pPr>
              <w:rPr>
                <w:rFonts w:ascii="Calibri" w:hAnsi="Calibri" w:eastAsia="Times New Roman" w:cs="Calibri"/>
                <w:lang w:eastAsia="nl-NL"/>
              </w:rPr>
            </w:pPr>
            <w:r w:rsidRPr="00025D4C">
              <w:rPr>
                <w:rFonts w:ascii="Calibri" w:hAnsi="Calibri" w:eastAsia="Times New Roman" w:cs="Calibri"/>
                <w:lang w:eastAsia="nl-NL"/>
              </w:rPr>
              <w:t>Hoogeveen</w:t>
            </w:r>
          </w:p>
        </w:tc>
        <w:tc>
          <w:tcPr>
            <w:tcW w:w="3018" w:type="dxa"/>
            <w:shd w:val="clear" w:color="auto" w:fill="auto"/>
            <w:noWrap/>
            <w:hideMark/>
          </w:tcPr>
          <w:p w:rsidRPr="00025D4C" w:rsidR="003D5BD0" w:rsidP="00CB43DF" w:rsidRDefault="003D5BD0" w14:paraId="3D40225F"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920</w:t>
            </w:r>
          </w:p>
        </w:tc>
      </w:tr>
      <w:tr w:rsidRPr="00025D4C" w:rsidR="003D5BD0" w:rsidTr="00CB43DF" w14:paraId="63622845" w14:textId="77777777">
        <w:trPr>
          <w:trHeight w:val="330"/>
        </w:trPr>
        <w:tc>
          <w:tcPr>
            <w:tcW w:w="3681" w:type="dxa"/>
            <w:shd w:val="clear" w:color="auto" w:fill="auto"/>
            <w:hideMark/>
          </w:tcPr>
          <w:p w:rsidRPr="00025D4C" w:rsidR="003D5BD0" w:rsidP="00CB43DF" w:rsidRDefault="003D5BD0" w14:paraId="467F0BD1" w14:textId="77777777">
            <w:pPr>
              <w:rPr>
                <w:rFonts w:ascii="Calibri" w:hAnsi="Calibri" w:eastAsia="Times New Roman" w:cs="Calibri"/>
                <w:lang w:eastAsia="nl-NL"/>
              </w:rPr>
            </w:pPr>
            <w:r w:rsidRPr="00025D4C">
              <w:rPr>
                <w:rFonts w:ascii="Calibri" w:hAnsi="Calibri" w:eastAsia="Times New Roman" w:cs="Calibri"/>
                <w:lang w:eastAsia="nl-NL"/>
              </w:rPr>
              <w:t>Wassenaar</w:t>
            </w:r>
          </w:p>
        </w:tc>
        <w:tc>
          <w:tcPr>
            <w:tcW w:w="3018" w:type="dxa"/>
            <w:shd w:val="clear" w:color="auto" w:fill="auto"/>
            <w:noWrap/>
            <w:hideMark/>
          </w:tcPr>
          <w:p w:rsidRPr="00025D4C" w:rsidR="003D5BD0" w:rsidP="00CB43DF" w:rsidRDefault="003D5BD0" w14:paraId="12F530E9"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910</w:t>
            </w:r>
          </w:p>
        </w:tc>
      </w:tr>
      <w:tr w:rsidRPr="00025D4C" w:rsidR="003D5BD0" w:rsidTr="00CB43DF" w14:paraId="78B610F8" w14:textId="77777777">
        <w:trPr>
          <w:trHeight w:val="330"/>
        </w:trPr>
        <w:tc>
          <w:tcPr>
            <w:tcW w:w="3681" w:type="dxa"/>
            <w:shd w:val="clear" w:color="auto" w:fill="auto"/>
            <w:hideMark/>
          </w:tcPr>
          <w:p w:rsidRPr="00025D4C" w:rsidR="003D5BD0" w:rsidP="00CB43DF" w:rsidRDefault="003D5BD0" w14:paraId="47AFBFCC" w14:textId="77777777">
            <w:pPr>
              <w:rPr>
                <w:rFonts w:ascii="Calibri" w:hAnsi="Calibri" w:eastAsia="Times New Roman" w:cs="Calibri"/>
                <w:lang w:eastAsia="nl-NL"/>
              </w:rPr>
            </w:pPr>
            <w:r w:rsidRPr="00025D4C">
              <w:rPr>
                <w:rFonts w:ascii="Calibri" w:hAnsi="Calibri" w:eastAsia="Times New Roman" w:cs="Calibri"/>
                <w:lang w:eastAsia="nl-NL"/>
              </w:rPr>
              <w:t>Apeldoorn</w:t>
            </w:r>
          </w:p>
        </w:tc>
        <w:tc>
          <w:tcPr>
            <w:tcW w:w="3018" w:type="dxa"/>
            <w:shd w:val="clear" w:color="auto" w:fill="auto"/>
            <w:noWrap/>
            <w:hideMark/>
          </w:tcPr>
          <w:p w:rsidRPr="00025D4C" w:rsidR="003D5BD0" w:rsidP="00CB43DF" w:rsidRDefault="003D5BD0" w14:paraId="3C5DE20E"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900</w:t>
            </w:r>
          </w:p>
        </w:tc>
      </w:tr>
      <w:tr w:rsidRPr="00025D4C" w:rsidR="003D5BD0" w:rsidTr="00CB43DF" w14:paraId="61448F40" w14:textId="77777777">
        <w:trPr>
          <w:trHeight w:val="330"/>
        </w:trPr>
        <w:tc>
          <w:tcPr>
            <w:tcW w:w="3681" w:type="dxa"/>
            <w:shd w:val="clear" w:color="auto" w:fill="auto"/>
            <w:hideMark/>
          </w:tcPr>
          <w:p w:rsidRPr="00025D4C" w:rsidR="003D5BD0" w:rsidP="00CB43DF" w:rsidRDefault="003D5BD0" w14:paraId="7BB5EAC8" w14:textId="77777777">
            <w:pPr>
              <w:rPr>
                <w:rFonts w:ascii="Calibri" w:hAnsi="Calibri" w:eastAsia="Times New Roman" w:cs="Calibri"/>
                <w:lang w:eastAsia="nl-NL"/>
              </w:rPr>
            </w:pPr>
            <w:r w:rsidRPr="00025D4C">
              <w:rPr>
                <w:rFonts w:ascii="Calibri" w:hAnsi="Calibri" w:eastAsia="Times New Roman" w:cs="Calibri"/>
                <w:lang w:eastAsia="nl-NL"/>
              </w:rPr>
              <w:t>Maastricht</w:t>
            </w:r>
          </w:p>
        </w:tc>
        <w:tc>
          <w:tcPr>
            <w:tcW w:w="3018" w:type="dxa"/>
            <w:shd w:val="clear" w:color="auto" w:fill="auto"/>
            <w:noWrap/>
            <w:hideMark/>
          </w:tcPr>
          <w:p w:rsidRPr="00025D4C" w:rsidR="003D5BD0" w:rsidP="00CB43DF" w:rsidRDefault="003D5BD0" w14:paraId="0CFD020E"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840</w:t>
            </w:r>
          </w:p>
        </w:tc>
      </w:tr>
      <w:tr w:rsidRPr="00025D4C" w:rsidR="003D5BD0" w:rsidTr="00CB43DF" w14:paraId="6CE8B3EE" w14:textId="77777777">
        <w:trPr>
          <w:trHeight w:val="330"/>
        </w:trPr>
        <w:tc>
          <w:tcPr>
            <w:tcW w:w="3681" w:type="dxa"/>
            <w:shd w:val="clear" w:color="auto" w:fill="auto"/>
            <w:hideMark/>
          </w:tcPr>
          <w:p w:rsidRPr="00025D4C" w:rsidR="003D5BD0" w:rsidP="00CB43DF" w:rsidRDefault="003D5BD0" w14:paraId="1E3884FC" w14:textId="77777777">
            <w:pPr>
              <w:rPr>
                <w:rFonts w:ascii="Calibri" w:hAnsi="Calibri" w:eastAsia="Times New Roman" w:cs="Calibri"/>
                <w:lang w:eastAsia="nl-NL"/>
              </w:rPr>
            </w:pPr>
            <w:r w:rsidRPr="00025D4C">
              <w:rPr>
                <w:rFonts w:ascii="Calibri" w:hAnsi="Calibri" w:eastAsia="Times New Roman" w:cs="Calibri"/>
                <w:lang w:eastAsia="nl-NL"/>
              </w:rPr>
              <w:t>Eemsdelta</w:t>
            </w:r>
          </w:p>
        </w:tc>
        <w:tc>
          <w:tcPr>
            <w:tcW w:w="3018" w:type="dxa"/>
            <w:shd w:val="clear" w:color="auto" w:fill="auto"/>
            <w:noWrap/>
            <w:hideMark/>
          </w:tcPr>
          <w:p w:rsidRPr="00025D4C" w:rsidR="003D5BD0" w:rsidP="00CB43DF" w:rsidRDefault="003D5BD0" w14:paraId="79527F40"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830</w:t>
            </w:r>
          </w:p>
        </w:tc>
      </w:tr>
      <w:tr w:rsidRPr="00025D4C" w:rsidR="003D5BD0" w:rsidTr="00CB43DF" w14:paraId="47131E18" w14:textId="77777777">
        <w:trPr>
          <w:trHeight w:val="330"/>
        </w:trPr>
        <w:tc>
          <w:tcPr>
            <w:tcW w:w="3681" w:type="dxa"/>
            <w:shd w:val="clear" w:color="auto" w:fill="auto"/>
            <w:hideMark/>
          </w:tcPr>
          <w:p w:rsidRPr="00025D4C" w:rsidR="003D5BD0" w:rsidP="00CB43DF" w:rsidRDefault="003D5BD0" w14:paraId="364BB111" w14:textId="77777777">
            <w:pPr>
              <w:rPr>
                <w:rFonts w:ascii="Calibri" w:hAnsi="Calibri" w:eastAsia="Times New Roman" w:cs="Calibri"/>
                <w:lang w:eastAsia="nl-NL"/>
              </w:rPr>
            </w:pPr>
            <w:r w:rsidRPr="00025D4C">
              <w:rPr>
                <w:rFonts w:ascii="Calibri" w:hAnsi="Calibri" w:eastAsia="Times New Roman" w:cs="Calibri"/>
                <w:lang w:eastAsia="nl-NL"/>
              </w:rPr>
              <w:t>Harderwijk</w:t>
            </w:r>
          </w:p>
        </w:tc>
        <w:tc>
          <w:tcPr>
            <w:tcW w:w="3018" w:type="dxa"/>
            <w:shd w:val="clear" w:color="auto" w:fill="auto"/>
            <w:noWrap/>
            <w:hideMark/>
          </w:tcPr>
          <w:p w:rsidRPr="00025D4C" w:rsidR="003D5BD0" w:rsidP="00CB43DF" w:rsidRDefault="003D5BD0" w14:paraId="10D4998B"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790</w:t>
            </w:r>
          </w:p>
        </w:tc>
      </w:tr>
      <w:tr w:rsidRPr="00025D4C" w:rsidR="003D5BD0" w:rsidTr="00CB43DF" w14:paraId="66E30781" w14:textId="77777777">
        <w:trPr>
          <w:trHeight w:val="330"/>
        </w:trPr>
        <w:tc>
          <w:tcPr>
            <w:tcW w:w="3681" w:type="dxa"/>
            <w:shd w:val="clear" w:color="auto" w:fill="auto"/>
            <w:hideMark/>
          </w:tcPr>
          <w:p w:rsidRPr="00025D4C" w:rsidR="003D5BD0" w:rsidP="00CB43DF" w:rsidRDefault="003D5BD0" w14:paraId="43766C30" w14:textId="77777777">
            <w:pPr>
              <w:rPr>
                <w:rFonts w:ascii="Calibri" w:hAnsi="Calibri" w:eastAsia="Times New Roman" w:cs="Calibri"/>
                <w:lang w:eastAsia="nl-NL"/>
              </w:rPr>
            </w:pPr>
            <w:r w:rsidRPr="00025D4C">
              <w:rPr>
                <w:rFonts w:ascii="Calibri" w:hAnsi="Calibri" w:eastAsia="Times New Roman" w:cs="Calibri"/>
                <w:lang w:eastAsia="nl-NL"/>
              </w:rPr>
              <w:t>Leiden</w:t>
            </w:r>
          </w:p>
        </w:tc>
        <w:tc>
          <w:tcPr>
            <w:tcW w:w="3018" w:type="dxa"/>
            <w:shd w:val="clear" w:color="auto" w:fill="auto"/>
            <w:noWrap/>
            <w:hideMark/>
          </w:tcPr>
          <w:p w:rsidRPr="00025D4C" w:rsidR="003D5BD0" w:rsidP="00CB43DF" w:rsidRDefault="003D5BD0" w14:paraId="312155BD"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770</w:t>
            </w:r>
          </w:p>
        </w:tc>
      </w:tr>
      <w:tr w:rsidRPr="00025D4C" w:rsidR="003D5BD0" w:rsidTr="00CB43DF" w14:paraId="53CF6EE1" w14:textId="77777777">
        <w:trPr>
          <w:trHeight w:val="330"/>
        </w:trPr>
        <w:tc>
          <w:tcPr>
            <w:tcW w:w="3681" w:type="dxa"/>
            <w:shd w:val="clear" w:color="auto" w:fill="auto"/>
            <w:hideMark/>
          </w:tcPr>
          <w:p w:rsidRPr="00025D4C" w:rsidR="003D5BD0" w:rsidP="00CB43DF" w:rsidRDefault="003D5BD0" w14:paraId="2EA3C385" w14:textId="77777777">
            <w:pPr>
              <w:rPr>
                <w:rFonts w:ascii="Calibri" w:hAnsi="Calibri" w:eastAsia="Times New Roman" w:cs="Calibri"/>
                <w:lang w:eastAsia="nl-NL"/>
              </w:rPr>
            </w:pPr>
            <w:r w:rsidRPr="00025D4C">
              <w:rPr>
                <w:rFonts w:ascii="Calibri" w:hAnsi="Calibri" w:eastAsia="Times New Roman" w:cs="Calibri"/>
                <w:lang w:eastAsia="nl-NL"/>
              </w:rPr>
              <w:t>Hardenberg</w:t>
            </w:r>
          </w:p>
        </w:tc>
        <w:tc>
          <w:tcPr>
            <w:tcW w:w="3018" w:type="dxa"/>
            <w:shd w:val="clear" w:color="auto" w:fill="auto"/>
            <w:noWrap/>
            <w:hideMark/>
          </w:tcPr>
          <w:p w:rsidRPr="00025D4C" w:rsidR="003D5BD0" w:rsidP="00CB43DF" w:rsidRDefault="003D5BD0" w14:paraId="5B908F1F"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770</w:t>
            </w:r>
          </w:p>
        </w:tc>
      </w:tr>
      <w:tr w:rsidRPr="00025D4C" w:rsidR="003D5BD0" w:rsidTr="00CB43DF" w14:paraId="3FFB4D64" w14:textId="77777777">
        <w:trPr>
          <w:trHeight w:val="330"/>
        </w:trPr>
        <w:tc>
          <w:tcPr>
            <w:tcW w:w="3681" w:type="dxa"/>
            <w:shd w:val="clear" w:color="auto" w:fill="auto"/>
            <w:hideMark/>
          </w:tcPr>
          <w:p w:rsidRPr="00025D4C" w:rsidR="003D5BD0" w:rsidP="00CB43DF" w:rsidRDefault="003D5BD0" w14:paraId="57DD86AD" w14:textId="77777777">
            <w:pPr>
              <w:rPr>
                <w:rFonts w:ascii="Calibri" w:hAnsi="Calibri" w:eastAsia="Times New Roman" w:cs="Calibri"/>
                <w:lang w:eastAsia="nl-NL"/>
              </w:rPr>
            </w:pPr>
            <w:r w:rsidRPr="00025D4C">
              <w:rPr>
                <w:rFonts w:ascii="Calibri" w:hAnsi="Calibri" w:eastAsia="Times New Roman" w:cs="Calibri"/>
                <w:lang w:eastAsia="nl-NL"/>
              </w:rPr>
              <w:t>Amersfoort</w:t>
            </w:r>
          </w:p>
        </w:tc>
        <w:tc>
          <w:tcPr>
            <w:tcW w:w="3018" w:type="dxa"/>
            <w:shd w:val="clear" w:color="auto" w:fill="auto"/>
            <w:noWrap/>
            <w:hideMark/>
          </w:tcPr>
          <w:p w:rsidRPr="00025D4C" w:rsidR="003D5BD0" w:rsidP="00CB43DF" w:rsidRDefault="003D5BD0" w14:paraId="68848BFD"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770</w:t>
            </w:r>
          </w:p>
        </w:tc>
      </w:tr>
      <w:tr w:rsidRPr="00025D4C" w:rsidR="003D5BD0" w:rsidTr="00CB43DF" w14:paraId="3AD00625" w14:textId="77777777">
        <w:trPr>
          <w:trHeight w:val="330"/>
        </w:trPr>
        <w:tc>
          <w:tcPr>
            <w:tcW w:w="3681" w:type="dxa"/>
            <w:shd w:val="clear" w:color="auto" w:fill="auto"/>
            <w:hideMark/>
          </w:tcPr>
          <w:p w:rsidRPr="00025D4C" w:rsidR="003D5BD0" w:rsidP="00CB43DF" w:rsidRDefault="003D5BD0" w14:paraId="26D4BF0F" w14:textId="77777777">
            <w:pPr>
              <w:rPr>
                <w:rFonts w:ascii="Calibri" w:hAnsi="Calibri" w:eastAsia="Times New Roman" w:cs="Calibri"/>
                <w:lang w:eastAsia="nl-NL"/>
              </w:rPr>
            </w:pPr>
            <w:r w:rsidRPr="00025D4C">
              <w:rPr>
                <w:rFonts w:ascii="Calibri" w:hAnsi="Calibri" w:eastAsia="Times New Roman" w:cs="Calibri"/>
                <w:lang w:eastAsia="nl-NL"/>
              </w:rPr>
              <w:t>Zutphen</w:t>
            </w:r>
          </w:p>
        </w:tc>
        <w:tc>
          <w:tcPr>
            <w:tcW w:w="3018" w:type="dxa"/>
            <w:shd w:val="clear" w:color="auto" w:fill="auto"/>
            <w:noWrap/>
            <w:hideMark/>
          </w:tcPr>
          <w:p w:rsidRPr="00025D4C" w:rsidR="003D5BD0" w:rsidP="00CB43DF" w:rsidRDefault="003D5BD0" w14:paraId="4AB27219"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740</w:t>
            </w:r>
          </w:p>
        </w:tc>
      </w:tr>
      <w:tr w:rsidRPr="00025D4C" w:rsidR="003D5BD0" w:rsidTr="00CB43DF" w14:paraId="04DB22EF" w14:textId="77777777">
        <w:trPr>
          <w:trHeight w:val="330"/>
        </w:trPr>
        <w:tc>
          <w:tcPr>
            <w:tcW w:w="3681" w:type="dxa"/>
            <w:shd w:val="clear" w:color="auto" w:fill="auto"/>
            <w:hideMark/>
          </w:tcPr>
          <w:p w:rsidRPr="00025D4C" w:rsidR="003D5BD0" w:rsidP="00CB43DF" w:rsidRDefault="003D5BD0" w14:paraId="598883D8" w14:textId="77777777">
            <w:pPr>
              <w:rPr>
                <w:rFonts w:ascii="Calibri" w:hAnsi="Calibri" w:eastAsia="Times New Roman" w:cs="Calibri"/>
                <w:lang w:eastAsia="nl-NL"/>
              </w:rPr>
            </w:pPr>
            <w:r w:rsidRPr="00025D4C">
              <w:rPr>
                <w:rFonts w:ascii="Calibri" w:hAnsi="Calibri" w:eastAsia="Times New Roman" w:cs="Calibri"/>
                <w:lang w:eastAsia="nl-NL"/>
              </w:rPr>
              <w:t>Emmen</w:t>
            </w:r>
          </w:p>
        </w:tc>
        <w:tc>
          <w:tcPr>
            <w:tcW w:w="3018" w:type="dxa"/>
            <w:shd w:val="clear" w:color="auto" w:fill="auto"/>
            <w:noWrap/>
            <w:hideMark/>
          </w:tcPr>
          <w:p w:rsidRPr="00025D4C" w:rsidR="003D5BD0" w:rsidP="00CB43DF" w:rsidRDefault="003D5BD0" w14:paraId="6536DD78"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700</w:t>
            </w:r>
          </w:p>
        </w:tc>
      </w:tr>
      <w:tr w:rsidRPr="00025D4C" w:rsidR="003D5BD0" w:rsidTr="00CB43DF" w14:paraId="2D9B57EF" w14:textId="77777777">
        <w:trPr>
          <w:trHeight w:val="330"/>
        </w:trPr>
        <w:tc>
          <w:tcPr>
            <w:tcW w:w="3681" w:type="dxa"/>
            <w:shd w:val="clear" w:color="auto" w:fill="auto"/>
            <w:hideMark/>
          </w:tcPr>
          <w:p w:rsidRPr="00025D4C" w:rsidR="003D5BD0" w:rsidP="00CB43DF" w:rsidRDefault="003D5BD0" w14:paraId="65D7D23C" w14:textId="77777777">
            <w:pPr>
              <w:rPr>
                <w:rFonts w:ascii="Calibri" w:hAnsi="Calibri" w:eastAsia="Times New Roman" w:cs="Calibri"/>
                <w:lang w:eastAsia="nl-NL"/>
              </w:rPr>
            </w:pPr>
            <w:r w:rsidRPr="00025D4C">
              <w:rPr>
                <w:rFonts w:ascii="Calibri" w:hAnsi="Calibri" w:eastAsia="Times New Roman" w:cs="Calibri"/>
                <w:lang w:eastAsia="nl-NL"/>
              </w:rPr>
              <w:t>Zoetermeer</w:t>
            </w:r>
          </w:p>
        </w:tc>
        <w:tc>
          <w:tcPr>
            <w:tcW w:w="3018" w:type="dxa"/>
            <w:shd w:val="clear" w:color="auto" w:fill="auto"/>
            <w:noWrap/>
            <w:hideMark/>
          </w:tcPr>
          <w:p w:rsidRPr="00025D4C" w:rsidR="003D5BD0" w:rsidP="00CB43DF" w:rsidRDefault="003D5BD0" w14:paraId="23A93678"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680</w:t>
            </w:r>
          </w:p>
        </w:tc>
      </w:tr>
      <w:tr w:rsidRPr="00025D4C" w:rsidR="003D5BD0" w:rsidTr="00CB43DF" w14:paraId="4A7B3A5A" w14:textId="77777777">
        <w:trPr>
          <w:trHeight w:val="330"/>
        </w:trPr>
        <w:tc>
          <w:tcPr>
            <w:tcW w:w="3681" w:type="dxa"/>
            <w:shd w:val="clear" w:color="auto" w:fill="auto"/>
            <w:hideMark/>
          </w:tcPr>
          <w:p w:rsidRPr="00025D4C" w:rsidR="003D5BD0" w:rsidP="00CB43DF" w:rsidRDefault="003D5BD0" w14:paraId="3B894A76" w14:textId="77777777">
            <w:pPr>
              <w:rPr>
                <w:rFonts w:ascii="Calibri" w:hAnsi="Calibri" w:eastAsia="Times New Roman" w:cs="Calibri"/>
                <w:lang w:eastAsia="nl-NL"/>
              </w:rPr>
            </w:pPr>
            <w:r w:rsidRPr="00025D4C">
              <w:rPr>
                <w:rFonts w:ascii="Calibri" w:hAnsi="Calibri" w:eastAsia="Times New Roman" w:cs="Calibri"/>
                <w:lang w:eastAsia="nl-NL"/>
              </w:rPr>
              <w:t>Deventer</w:t>
            </w:r>
          </w:p>
        </w:tc>
        <w:tc>
          <w:tcPr>
            <w:tcW w:w="3018" w:type="dxa"/>
            <w:shd w:val="clear" w:color="auto" w:fill="auto"/>
            <w:noWrap/>
            <w:hideMark/>
          </w:tcPr>
          <w:p w:rsidRPr="00025D4C" w:rsidR="003D5BD0" w:rsidP="00CB43DF" w:rsidRDefault="003D5BD0" w14:paraId="1CFA5428"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670</w:t>
            </w:r>
          </w:p>
        </w:tc>
      </w:tr>
      <w:tr w:rsidRPr="00025D4C" w:rsidR="003D5BD0" w:rsidTr="00CB43DF" w14:paraId="67B70579" w14:textId="77777777">
        <w:trPr>
          <w:trHeight w:val="330"/>
        </w:trPr>
        <w:tc>
          <w:tcPr>
            <w:tcW w:w="3681" w:type="dxa"/>
            <w:shd w:val="clear" w:color="auto" w:fill="auto"/>
            <w:hideMark/>
          </w:tcPr>
          <w:p w:rsidRPr="00025D4C" w:rsidR="003D5BD0" w:rsidP="00CB43DF" w:rsidRDefault="003D5BD0" w14:paraId="747A74E5" w14:textId="77777777">
            <w:pPr>
              <w:rPr>
                <w:rFonts w:ascii="Calibri" w:hAnsi="Calibri" w:eastAsia="Times New Roman" w:cs="Calibri"/>
                <w:lang w:eastAsia="nl-NL"/>
              </w:rPr>
            </w:pPr>
            <w:r w:rsidRPr="00025D4C">
              <w:rPr>
                <w:rFonts w:ascii="Calibri" w:hAnsi="Calibri" w:eastAsia="Times New Roman" w:cs="Calibri"/>
                <w:lang w:eastAsia="nl-NL"/>
              </w:rPr>
              <w:t>Nijmegen</w:t>
            </w:r>
          </w:p>
        </w:tc>
        <w:tc>
          <w:tcPr>
            <w:tcW w:w="3018" w:type="dxa"/>
            <w:shd w:val="clear" w:color="auto" w:fill="auto"/>
            <w:noWrap/>
            <w:hideMark/>
          </w:tcPr>
          <w:p w:rsidRPr="00025D4C" w:rsidR="003D5BD0" w:rsidP="00CB43DF" w:rsidRDefault="003D5BD0" w14:paraId="18E36C1B"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670</w:t>
            </w:r>
          </w:p>
        </w:tc>
      </w:tr>
      <w:tr w:rsidRPr="00025D4C" w:rsidR="003D5BD0" w:rsidTr="00CB43DF" w14:paraId="1AC6C7AE" w14:textId="77777777">
        <w:trPr>
          <w:trHeight w:val="330"/>
        </w:trPr>
        <w:tc>
          <w:tcPr>
            <w:tcW w:w="3681" w:type="dxa"/>
            <w:shd w:val="clear" w:color="auto" w:fill="auto"/>
            <w:hideMark/>
          </w:tcPr>
          <w:p w:rsidRPr="00025D4C" w:rsidR="003D5BD0" w:rsidP="00CB43DF" w:rsidRDefault="003D5BD0" w14:paraId="7359DF9A" w14:textId="77777777">
            <w:pPr>
              <w:rPr>
                <w:rFonts w:ascii="Calibri" w:hAnsi="Calibri" w:eastAsia="Times New Roman" w:cs="Calibri"/>
                <w:lang w:eastAsia="nl-NL"/>
              </w:rPr>
            </w:pPr>
            <w:r w:rsidRPr="00025D4C">
              <w:rPr>
                <w:rFonts w:ascii="Calibri" w:hAnsi="Calibri" w:eastAsia="Times New Roman" w:cs="Calibri"/>
                <w:lang w:eastAsia="nl-NL"/>
              </w:rPr>
              <w:t>Land van Cuijk</w:t>
            </w:r>
          </w:p>
        </w:tc>
        <w:tc>
          <w:tcPr>
            <w:tcW w:w="3018" w:type="dxa"/>
            <w:shd w:val="clear" w:color="auto" w:fill="auto"/>
            <w:noWrap/>
            <w:hideMark/>
          </w:tcPr>
          <w:p w:rsidRPr="00025D4C" w:rsidR="003D5BD0" w:rsidP="00CB43DF" w:rsidRDefault="003D5BD0" w14:paraId="59E3FF52"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650</w:t>
            </w:r>
          </w:p>
        </w:tc>
      </w:tr>
      <w:tr w:rsidRPr="00025D4C" w:rsidR="003D5BD0" w:rsidTr="00CB43DF" w14:paraId="181C4796" w14:textId="77777777">
        <w:trPr>
          <w:trHeight w:val="330"/>
        </w:trPr>
        <w:tc>
          <w:tcPr>
            <w:tcW w:w="3681" w:type="dxa"/>
            <w:shd w:val="clear" w:color="auto" w:fill="auto"/>
            <w:hideMark/>
          </w:tcPr>
          <w:p w:rsidRPr="00025D4C" w:rsidR="003D5BD0" w:rsidP="00CB43DF" w:rsidRDefault="003D5BD0" w14:paraId="56E71E59" w14:textId="77777777">
            <w:pPr>
              <w:rPr>
                <w:rFonts w:ascii="Calibri" w:hAnsi="Calibri" w:eastAsia="Times New Roman" w:cs="Calibri"/>
                <w:lang w:eastAsia="nl-NL"/>
              </w:rPr>
            </w:pPr>
            <w:r w:rsidRPr="00025D4C">
              <w:rPr>
                <w:rFonts w:ascii="Calibri" w:hAnsi="Calibri" w:eastAsia="Times New Roman" w:cs="Calibri"/>
                <w:lang w:eastAsia="nl-NL"/>
              </w:rPr>
              <w:t>Dijk en Waard</w:t>
            </w:r>
          </w:p>
        </w:tc>
        <w:tc>
          <w:tcPr>
            <w:tcW w:w="3018" w:type="dxa"/>
            <w:shd w:val="clear" w:color="auto" w:fill="auto"/>
            <w:noWrap/>
            <w:hideMark/>
          </w:tcPr>
          <w:p w:rsidRPr="00025D4C" w:rsidR="003D5BD0" w:rsidP="00CB43DF" w:rsidRDefault="003D5BD0" w14:paraId="7B8428C0"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640</w:t>
            </w:r>
          </w:p>
        </w:tc>
      </w:tr>
      <w:tr w:rsidRPr="00025D4C" w:rsidR="003D5BD0" w:rsidTr="00CB43DF" w14:paraId="5FF393E9" w14:textId="77777777">
        <w:trPr>
          <w:trHeight w:val="330"/>
        </w:trPr>
        <w:tc>
          <w:tcPr>
            <w:tcW w:w="3681" w:type="dxa"/>
            <w:shd w:val="clear" w:color="auto" w:fill="auto"/>
            <w:hideMark/>
          </w:tcPr>
          <w:p w:rsidRPr="00025D4C" w:rsidR="003D5BD0" w:rsidP="00CB43DF" w:rsidRDefault="003D5BD0" w14:paraId="0FF30675" w14:textId="77777777">
            <w:pPr>
              <w:rPr>
                <w:rFonts w:ascii="Calibri" w:hAnsi="Calibri" w:eastAsia="Times New Roman" w:cs="Calibri"/>
                <w:lang w:eastAsia="nl-NL"/>
              </w:rPr>
            </w:pPr>
            <w:r w:rsidRPr="00025D4C">
              <w:rPr>
                <w:rFonts w:ascii="Calibri" w:hAnsi="Calibri" w:eastAsia="Times New Roman" w:cs="Calibri"/>
                <w:lang w:eastAsia="nl-NL"/>
              </w:rPr>
              <w:t>Wageningen</w:t>
            </w:r>
          </w:p>
        </w:tc>
        <w:tc>
          <w:tcPr>
            <w:tcW w:w="3018" w:type="dxa"/>
            <w:shd w:val="clear" w:color="auto" w:fill="auto"/>
            <w:noWrap/>
            <w:hideMark/>
          </w:tcPr>
          <w:p w:rsidRPr="00025D4C" w:rsidR="003D5BD0" w:rsidP="00CB43DF" w:rsidRDefault="003D5BD0" w14:paraId="794B7C7C"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630</w:t>
            </w:r>
          </w:p>
        </w:tc>
      </w:tr>
      <w:tr w:rsidRPr="00025D4C" w:rsidR="003D5BD0" w:rsidTr="00CB43DF" w14:paraId="16E007A7" w14:textId="77777777">
        <w:trPr>
          <w:trHeight w:val="330"/>
        </w:trPr>
        <w:tc>
          <w:tcPr>
            <w:tcW w:w="3681" w:type="dxa"/>
            <w:shd w:val="clear" w:color="auto" w:fill="auto"/>
            <w:hideMark/>
          </w:tcPr>
          <w:p w:rsidRPr="00025D4C" w:rsidR="003D5BD0" w:rsidP="00CB43DF" w:rsidRDefault="003D5BD0" w14:paraId="1E7E3D05" w14:textId="77777777">
            <w:pPr>
              <w:rPr>
                <w:rFonts w:ascii="Calibri" w:hAnsi="Calibri" w:eastAsia="Times New Roman" w:cs="Calibri"/>
                <w:lang w:eastAsia="nl-NL"/>
              </w:rPr>
            </w:pPr>
            <w:r w:rsidRPr="00025D4C">
              <w:rPr>
                <w:rFonts w:ascii="Calibri" w:hAnsi="Calibri" w:eastAsia="Times New Roman" w:cs="Calibri"/>
                <w:lang w:eastAsia="nl-NL"/>
              </w:rPr>
              <w:t>Duiven</w:t>
            </w:r>
          </w:p>
        </w:tc>
        <w:tc>
          <w:tcPr>
            <w:tcW w:w="3018" w:type="dxa"/>
            <w:shd w:val="clear" w:color="auto" w:fill="auto"/>
            <w:noWrap/>
            <w:hideMark/>
          </w:tcPr>
          <w:p w:rsidRPr="00025D4C" w:rsidR="003D5BD0" w:rsidP="00CB43DF" w:rsidRDefault="003D5BD0" w14:paraId="6BF7A774"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620</w:t>
            </w:r>
          </w:p>
        </w:tc>
      </w:tr>
      <w:tr w:rsidRPr="00025D4C" w:rsidR="003D5BD0" w:rsidTr="00CB43DF" w14:paraId="6620D8CC" w14:textId="77777777">
        <w:trPr>
          <w:trHeight w:val="330"/>
        </w:trPr>
        <w:tc>
          <w:tcPr>
            <w:tcW w:w="3681" w:type="dxa"/>
            <w:shd w:val="clear" w:color="auto" w:fill="auto"/>
            <w:hideMark/>
          </w:tcPr>
          <w:p w:rsidRPr="00025D4C" w:rsidR="003D5BD0" w:rsidP="00CB43DF" w:rsidRDefault="003D5BD0" w14:paraId="2B92448C" w14:textId="77777777">
            <w:pPr>
              <w:rPr>
                <w:rFonts w:ascii="Calibri" w:hAnsi="Calibri" w:eastAsia="Times New Roman" w:cs="Calibri"/>
                <w:lang w:eastAsia="nl-NL"/>
              </w:rPr>
            </w:pPr>
            <w:r w:rsidRPr="00025D4C">
              <w:rPr>
                <w:rFonts w:ascii="Calibri" w:hAnsi="Calibri" w:eastAsia="Times New Roman" w:cs="Calibri"/>
                <w:lang w:eastAsia="nl-NL"/>
              </w:rPr>
              <w:t>Den Helder</w:t>
            </w:r>
          </w:p>
        </w:tc>
        <w:tc>
          <w:tcPr>
            <w:tcW w:w="3018" w:type="dxa"/>
            <w:shd w:val="clear" w:color="auto" w:fill="auto"/>
            <w:noWrap/>
            <w:hideMark/>
          </w:tcPr>
          <w:p w:rsidRPr="00025D4C" w:rsidR="003D5BD0" w:rsidP="00CB43DF" w:rsidRDefault="003D5BD0" w14:paraId="255C6F26"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620</w:t>
            </w:r>
          </w:p>
        </w:tc>
      </w:tr>
      <w:tr w:rsidRPr="00025D4C" w:rsidR="003D5BD0" w:rsidTr="00CB43DF" w14:paraId="3F810D02" w14:textId="77777777">
        <w:trPr>
          <w:trHeight w:val="330"/>
        </w:trPr>
        <w:tc>
          <w:tcPr>
            <w:tcW w:w="3681" w:type="dxa"/>
            <w:shd w:val="clear" w:color="auto" w:fill="auto"/>
            <w:hideMark/>
          </w:tcPr>
          <w:p w:rsidRPr="00025D4C" w:rsidR="003D5BD0" w:rsidP="00CB43DF" w:rsidRDefault="003D5BD0" w14:paraId="1529FBB4" w14:textId="77777777">
            <w:pPr>
              <w:rPr>
                <w:rFonts w:ascii="Calibri" w:hAnsi="Calibri" w:eastAsia="Times New Roman" w:cs="Calibri"/>
                <w:lang w:eastAsia="nl-NL"/>
              </w:rPr>
            </w:pPr>
            <w:r w:rsidRPr="00025D4C">
              <w:rPr>
                <w:rFonts w:ascii="Calibri" w:hAnsi="Calibri" w:eastAsia="Times New Roman" w:cs="Calibri"/>
                <w:lang w:eastAsia="nl-NL"/>
              </w:rPr>
              <w:t>Tytsjerksteradiel</w:t>
            </w:r>
          </w:p>
        </w:tc>
        <w:tc>
          <w:tcPr>
            <w:tcW w:w="3018" w:type="dxa"/>
            <w:shd w:val="clear" w:color="auto" w:fill="auto"/>
            <w:noWrap/>
            <w:hideMark/>
          </w:tcPr>
          <w:p w:rsidRPr="00025D4C" w:rsidR="003D5BD0" w:rsidP="00CB43DF" w:rsidRDefault="003D5BD0" w14:paraId="06A9E9F5"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610</w:t>
            </w:r>
          </w:p>
        </w:tc>
      </w:tr>
      <w:tr w:rsidRPr="00025D4C" w:rsidR="003D5BD0" w:rsidTr="00CB43DF" w14:paraId="01554A51" w14:textId="77777777">
        <w:trPr>
          <w:trHeight w:val="330"/>
        </w:trPr>
        <w:tc>
          <w:tcPr>
            <w:tcW w:w="3681" w:type="dxa"/>
            <w:shd w:val="clear" w:color="auto" w:fill="auto"/>
            <w:hideMark/>
          </w:tcPr>
          <w:p w:rsidRPr="00025D4C" w:rsidR="003D5BD0" w:rsidP="00CB43DF" w:rsidRDefault="003D5BD0" w14:paraId="54DCD79F" w14:textId="77777777">
            <w:pPr>
              <w:rPr>
                <w:rFonts w:ascii="Calibri" w:hAnsi="Calibri" w:eastAsia="Times New Roman" w:cs="Calibri"/>
                <w:lang w:eastAsia="nl-NL"/>
              </w:rPr>
            </w:pPr>
            <w:r w:rsidRPr="00025D4C">
              <w:rPr>
                <w:rFonts w:ascii="Calibri" w:hAnsi="Calibri" w:eastAsia="Times New Roman" w:cs="Calibri"/>
                <w:lang w:eastAsia="nl-NL"/>
              </w:rPr>
              <w:t>Zeewolde</w:t>
            </w:r>
          </w:p>
        </w:tc>
        <w:tc>
          <w:tcPr>
            <w:tcW w:w="3018" w:type="dxa"/>
            <w:shd w:val="clear" w:color="auto" w:fill="auto"/>
            <w:noWrap/>
            <w:hideMark/>
          </w:tcPr>
          <w:p w:rsidRPr="00025D4C" w:rsidR="003D5BD0" w:rsidP="00CB43DF" w:rsidRDefault="003D5BD0" w14:paraId="3748DD0F"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600</w:t>
            </w:r>
          </w:p>
        </w:tc>
      </w:tr>
      <w:tr w:rsidRPr="00025D4C" w:rsidR="003D5BD0" w:rsidTr="00CB43DF" w14:paraId="6D3BC19F" w14:textId="77777777">
        <w:trPr>
          <w:trHeight w:val="330"/>
        </w:trPr>
        <w:tc>
          <w:tcPr>
            <w:tcW w:w="3681" w:type="dxa"/>
            <w:shd w:val="clear" w:color="auto" w:fill="auto"/>
            <w:hideMark/>
          </w:tcPr>
          <w:p w:rsidRPr="00025D4C" w:rsidR="003D5BD0" w:rsidP="00CB43DF" w:rsidRDefault="003D5BD0" w14:paraId="4010ABF0" w14:textId="77777777">
            <w:pPr>
              <w:rPr>
                <w:rFonts w:ascii="Calibri" w:hAnsi="Calibri" w:eastAsia="Times New Roman" w:cs="Calibri"/>
                <w:lang w:eastAsia="nl-NL"/>
              </w:rPr>
            </w:pPr>
            <w:r w:rsidRPr="00025D4C">
              <w:rPr>
                <w:rFonts w:ascii="Calibri" w:hAnsi="Calibri" w:eastAsia="Times New Roman" w:cs="Calibri"/>
                <w:lang w:eastAsia="nl-NL"/>
              </w:rPr>
              <w:t>Katwijk</w:t>
            </w:r>
          </w:p>
        </w:tc>
        <w:tc>
          <w:tcPr>
            <w:tcW w:w="3018" w:type="dxa"/>
            <w:shd w:val="clear" w:color="auto" w:fill="auto"/>
            <w:noWrap/>
            <w:hideMark/>
          </w:tcPr>
          <w:p w:rsidRPr="00025D4C" w:rsidR="003D5BD0" w:rsidP="00CB43DF" w:rsidRDefault="003D5BD0" w14:paraId="5AA0FDF7"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600</w:t>
            </w:r>
          </w:p>
        </w:tc>
      </w:tr>
      <w:tr w:rsidRPr="00025D4C" w:rsidR="003D5BD0" w:rsidTr="00CB43DF" w14:paraId="54237F11" w14:textId="77777777">
        <w:trPr>
          <w:trHeight w:val="330"/>
        </w:trPr>
        <w:tc>
          <w:tcPr>
            <w:tcW w:w="3681" w:type="dxa"/>
            <w:shd w:val="clear" w:color="auto" w:fill="auto"/>
            <w:hideMark/>
          </w:tcPr>
          <w:p w:rsidRPr="00025D4C" w:rsidR="003D5BD0" w:rsidP="00CB43DF" w:rsidRDefault="003D5BD0" w14:paraId="287FE940" w14:textId="77777777">
            <w:pPr>
              <w:rPr>
                <w:rFonts w:ascii="Calibri" w:hAnsi="Calibri" w:eastAsia="Times New Roman" w:cs="Calibri"/>
                <w:lang w:eastAsia="nl-NL"/>
              </w:rPr>
            </w:pPr>
            <w:proofErr w:type="spellStart"/>
            <w:r w:rsidRPr="00025D4C">
              <w:rPr>
                <w:rFonts w:ascii="Calibri" w:hAnsi="Calibri" w:eastAsia="Times New Roman" w:cs="Calibri"/>
                <w:lang w:eastAsia="nl-NL"/>
              </w:rPr>
              <w:t>Súdwest</w:t>
            </w:r>
            <w:proofErr w:type="spellEnd"/>
            <w:r w:rsidRPr="00025D4C">
              <w:rPr>
                <w:rFonts w:ascii="Calibri" w:hAnsi="Calibri" w:eastAsia="Times New Roman" w:cs="Calibri"/>
                <w:lang w:eastAsia="nl-NL"/>
              </w:rPr>
              <w:t xml:space="preserve"> Fryslân</w:t>
            </w:r>
          </w:p>
        </w:tc>
        <w:tc>
          <w:tcPr>
            <w:tcW w:w="3018" w:type="dxa"/>
            <w:shd w:val="clear" w:color="auto" w:fill="auto"/>
            <w:noWrap/>
            <w:hideMark/>
          </w:tcPr>
          <w:p w:rsidRPr="00025D4C" w:rsidR="003D5BD0" w:rsidP="00CB43DF" w:rsidRDefault="003D5BD0" w14:paraId="4E23F2B9"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600</w:t>
            </w:r>
          </w:p>
        </w:tc>
      </w:tr>
      <w:tr w:rsidRPr="00025D4C" w:rsidR="003D5BD0" w:rsidTr="00CB43DF" w14:paraId="2E808250" w14:textId="77777777">
        <w:trPr>
          <w:trHeight w:val="330"/>
        </w:trPr>
        <w:tc>
          <w:tcPr>
            <w:tcW w:w="3681" w:type="dxa"/>
            <w:shd w:val="clear" w:color="auto" w:fill="auto"/>
            <w:hideMark/>
          </w:tcPr>
          <w:p w:rsidRPr="00025D4C" w:rsidR="003D5BD0" w:rsidP="00CB43DF" w:rsidRDefault="003D5BD0" w14:paraId="70CEA389" w14:textId="77777777">
            <w:pPr>
              <w:rPr>
                <w:rFonts w:ascii="Calibri" w:hAnsi="Calibri" w:eastAsia="Times New Roman" w:cs="Calibri"/>
                <w:lang w:eastAsia="nl-NL"/>
              </w:rPr>
            </w:pPr>
            <w:r w:rsidRPr="00025D4C">
              <w:rPr>
                <w:rFonts w:ascii="Calibri" w:hAnsi="Calibri" w:eastAsia="Times New Roman" w:cs="Calibri"/>
                <w:lang w:eastAsia="nl-NL"/>
              </w:rPr>
              <w:t>Vlissingen</w:t>
            </w:r>
          </w:p>
        </w:tc>
        <w:tc>
          <w:tcPr>
            <w:tcW w:w="3018" w:type="dxa"/>
            <w:shd w:val="clear" w:color="auto" w:fill="auto"/>
            <w:noWrap/>
            <w:hideMark/>
          </w:tcPr>
          <w:p w:rsidRPr="00025D4C" w:rsidR="003D5BD0" w:rsidP="00CB43DF" w:rsidRDefault="003D5BD0" w14:paraId="4264C258"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600</w:t>
            </w:r>
          </w:p>
        </w:tc>
      </w:tr>
      <w:tr w:rsidRPr="00025D4C" w:rsidR="003D5BD0" w:rsidTr="00CB43DF" w14:paraId="3B504297" w14:textId="77777777">
        <w:trPr>
          <w:trHeight w:val="330"/>
        </w:trPr>
        <w:tc>
          <w:tcPr>
            <w:tcW w:w="3681" w:type="dxa"/>
            <w:shd w:val="clear" w:color="auto" w:fill="auto"/>
            <w:hideMark/>
          </w:tcPr>
          <w:p w:rsidRPr="00025D4C" w:rsidR="003D5BD0" w:rsidP="00CB43DF" w:rsidRDefault="003D5BD0" w14:paraId="1313F076" w14:textId="77777777">
            <w:pPr>
              <w:rPr>
                <w:rFonts w:ascii="Calibri" w:hAnsi="Calibri" w:eastAsia="Times New Roman" w:cs="Calibri"/>
                <w:lang w:eastAsia="nl-NL"/>
              </w:rPr>
            </w:pPr>
            <w:r w:rsidRPr="00025D4C">
              <w:rPr>
                <w:rFonts w:ascii="Calibri" w:hAnsi="Calibri" w:eastAsia="Times New Roman" w:cs="Calibri"/>
                <w:lang w:eastAsia="nl-NL"/>
              </w:rPr>
              <w:t>Smallingerland</w:t>
            </w:r>
          </w:p>
        </w:tc>
        <w:tc>
          <w:tcPr>
            <w:tcW w:w="3018" w:type="dxa"/>
            <w:shd w:val="clear" w:color="auto" w:fill="auto"/>
            <w:noWrap/>
            <w:hideMark/>
          </w:tcPr>
          <w:p w:rsidRPr="00025D4C" w:rsidR="003D5BD0" w:rsidP="00CB43DF" w:rsidRDefault="003D5BD0" w14:paraId="7EFC9796"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600</w:t>
            </w:r>
          </w:p>
        </w:tc>
      </w:tr>
      <w:tr w:rsidRPr="00025D4C" w:rsidR="003D5BD0" w:rsidTr="00CB43DF" w14:paraId="7264145E" w14:textId="77777777">
        <w:trPr>
          <w:trHeight w:val="330"/>
        </w:trPr>
        <w:tc>
          <w:tcPr>
            <w:tcW w:w="3681" w:type="dxa"/>
            <w:shd w:val="clear" w:color="auto" w:fill="auto"/>
            <w:hideMark/>
          </w:tcPr>
          <w:p w:rsidRPr="00025D4C" w:rsidR="003D5BD0" w:rsidP="00CB43DF" w:rsidRDefault="003D5BD0" w14:paraId="11176051" w14:textId="77777777">
            <w:pPr>
              <w:rPr>
                <w:rFonts w:ascii="Calibri" w:hAnsi="Calibri" w:eastAsia="Times New Roman" w:cs="Calibri"/>
                <w:lang w:eastAsia="nl-NL"/>
              </w:rPr>
            </w:pPr>
            <w:r w:rsidRPr="00025D4C">
              <w:rPr>
                <w:rFonts w:ascii="Calibri" w:hAnsi="Calibri" w:eastAsia="Times New Roman" w:cs="Calibri"/>
                <w:lang w:eastAsia="nl-NL"/>
              </w:rPr>
              <w:t>Leudal</w:t>
            </w:r>
          </w:p>
        </w:tc>
        <w:tc>
          <w:tcPr>
            <w:tcW w:w="3018" w:type="dxa"/>
            <w:shd w:val="clear" w:color="auto" w:fill="auto"/>
            <w:noWrap/>
            <w:hideMark/>
          </w:tcPr>
          <w:p w:rsidRPr="00025D4C" w:rsidR="003D5BD0" w:rsidP="00CB43DF" w:rsidRDefault="003D5BD0" w14:paraId="48D6C583"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560</w:t>
            </w:r>
          </w:p>
        </w:tc>
      </w:tr>
      <w:tr w:rsidRPr="00025D4C" w:rsidR="003D5BD0" w:rsidTr="00CB43DF" w14:paraId="001A9F3F" w14:textId="77777777">
        <w:trPr>
          <w:trHeight w:val="330"/>
        </w:trPr>
        <w:tc>
          <w:tcPr>
            <w:tcW w:w="3681" w:type="dxa"/>
            <w:shd w:val="clear" w:color="auto" w:fill="auto"/>
            <w:hideMark/>
          </w:tcPr>
          <w:p w:rsidRPr="00025D4C" w:rsidR="003D5BD0" w:rsidP="00CB43DF" w:rsidRDefault="003D5BD0" w14:paraId="046E5BEE" w14:textId="77777777">
            <w:pPr>
              <w:rPr>
                <w:rFonts w:ascii="Calibri" w:hAnsi="Calibri" w:eastAsia="Times New Roman" w:cs="Calibri"/>
                <w:lang w:eastAsia="nl-NL"/>
              </w:rPr>
            </w:pPr>
            <w:r w:rsidRPr="00025D4C">
              <w:rPr>
                <w:rFonts w:ascii="Calibri" w:hAnsi="Calibri" w:eastAsia="Times New Roman" w:cs="Calibri"/>
                <w:lang w:eastAsia="nl-NL"/>
              </w:rPr>
              <w:t>Hengelo (O)</w:t>
            </w:r>
          </w:p>
        </w:tc>
        <w:tc>
          <w:tcPr>
            <w:tcW w:w="3018" w:type="dxa"/>
            <w:shd w:val="clear" w:color="auto" w:fill="auto"/>
            <w:noWrap/>
            <w:hideMark/>
          </w:tcPr>
          <w:p w:rsidRPr="00025D4C" w:rsidR="003D5BD0" w:rsidP="00CB43DF" w:rsidRDefault="003D5BD0" w14:paraId="18C95DA7"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550</w:t>
            </w:r>
          </w:p>
        </w:tc>
      </w:tr>
      <w:tr w:rsidRPr="00025D4C" w:rsidR="003D5BD0" w:rsidTr="00CB43DF" w14:paraId="356F3DBB" w14:textId="77777777">
        <w:trPr>
          <w:trHeight w:val="330"/>
        </w:trPr>
        <w:tc>
          <w:tcPr>
            <w:tcW w:w="3681" w:type="dxa"/>
            <w:shd w:val="clear" w:color="auto" w:fill="auto"/>
            <w:hideMark/>
          </w:tcPr>
          <w:p w:rsidRPr="00025D4C" w:rsidR="003D5BD0" w:rsidP="00CB43DF" w:rsidRDefault="003D5BD0" w14:paraId="185BE39E" w14:textId="77777777">
            <w:pPr>
              <w:rPr>
                <w:rFonts w:ascii="Calibri" w:hAnsi="Calibri" w:eastAsia="Times New Roman" w:cs="Calibri"/>
                <w:lang w:eastAsia="nl-NL"/>
              </w:rPr>
            </w:pPr>
            <w:r w:rsidRPr="00025D4C">
              <w:rPr>
                <w:rFonts w:ascii="Calibri" w:hAnsi="Calibri" w:eastAsia="Times New Roman" w:cs="Calibri"/>
                <w:lang w:eastAsia="nl-NL"/>
              </w:rPr>
              <w:t>Breda</w:t>
            </w:r>
          </w:p>
        </w:tc>
        <w:tc>
          <w:tcPr>
            <w:tcW w:w="3018" w:type="dxa"/>
            <w:shd w:val="clear" w:color="auto" w:fill="auto"/>
            <w:noWrap/>
            <w:hideMark/>
          </w:tcPr>
          <w:p w:rsidRPr="00025D4C" w:rsidR="003D5BD0" w:rsidP="00CB43DF" w:rsidRDefault="003D5BD0" w14:paraId="1837F2ED"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540</w:t>
            </w:r>
          </w:p>
        </w:tc>
      </w:tr>
      <w:tr w:rsidRPr="00025D4C" w:rsidR="003D5BD0" w:rsidTr="00CB43DF" w14:paraId="7B002BA0" w14:textId="77777777">
        <w:trPr>
          <w:trHeight w:val="330"/>
        </w:trPr>
        <w:tc>
          <w:tcPr>
            <w:tcW w:w="3681" w:type="dxa"/>
            <w:shd w:val="clear" w:color="auto" w:fill="auto"/>
            <w:hideMark/>
          </w:tcPr>
          <w:p w:rsidRPr="00025D4C" w:rsidR="003D5BD0" w:rsidP="00CB43DF" w:rsidRDefault="003D5BD0" w14:paraId="079FED7C" w14:textId="77777777">
            <w:pPr>
              <w:rPr>
                <w:rFonts w:ascii="Calibri" w:hAnsi="Calibri" w:eastAsia="Times New Roman" w:cs="Calibri"/>
                <w:lang w:eastAsia="nl-NL"/>
              </w:rPr>
            </w:pPr>
            <w:r w:rsidRPr="00025D4C">
              <w:rPr>
                <w:rFonts w:ascii="Calibri" w:hAnsi="Calibri" w:eastAsia="Times New Roman" w:cs="Calibri"/>
                <w:lang w:eastAsia="nl-NL"/>
              </w:rPr>
              <w:t>Utrechtse Heuvelrug</w:t>
            </w:r>
          </w:p>
        </w:tc>
        <w:tc>
          <w:tcPr>
            <w:tcW w:w="3018" w:type="dxa"/>
            <w:shd w:val="clear" w:color="auto" w:fill="auto"/>
            <w:noWrap/>
            <w:hideMark/>
          </w:tcPr>
          <w:p w:rsidRPr="00025D4C" w:rsidR="003D5BD0" w:rsidP="00CB43DF" w:rsidRDefault="003D5BD0" w14:paraId="1D665CBB"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530</w:t>
            </w:r>
          </w:p>
        </w:tc>
      </w:tr>
      <w:tr w:rsidRPr="00025D4C" w:rsidR="003D5BD0" w:rsidTr="00CB43DF" w14:paraId="2DB3DF5A" w14:textId="77777777">
        <w:trPr>
          <w:trHeight w:val="330"/>
        </w:trPr>
        <w:tc>
          <w:tcPr>
            <w:tcW w:w="3681" w:type="dxa"/>
            <w:shd w:val="clear" w:color="auto" w:fill="auto"/>
            <w:hideMark/>
          </w:tcPr>
          <w:p w:rsidRPr="00025D4C" w:rsidR="003D5BD0" w:rsidP="00CB43DF" w:rsidRDefault="003D5BD0" w14:paraId="50969415" w14:textId="77777777">
            <w:pPr>
              <w:rPr>
                <w:rFonts w:ascii="Calibri" w:hAnsi="Calibri" w:eastAsia="Times New Roman" w:cs="Calibri"/>
                <w:lang w:eastAsia="nl-NL"/>
              </w:rPr>
            </w:pPr>
            <w:r w:rsidRPr="00025D4C">
              <w:rPr>
                <w:rFonts w:ascii="Calibri" w:hAnsi="Calibri" w:eastAsia="Times New Roman" w:cs="Calibri"/>
                <w:lang w:eastAsia="nl-NL"/>
              </w:rPr>
              <w:t>Middelburg</w:t>
            </w:r>
          </w:p>
        </w:tc>
        <w:tc>
          <w:tcPr>
            <w:tcW w:w="3018" w:type="dxa"/>
            <w:shd w:val="clear" w:color="auto" w:fill="auto"/>
            <w:noWrap/>
            <w:hideMark/>
          </w:tcPr>
          <w:p w:rsidRPr="00025D4C" w:rsidR="003D5BD0" w:rsidP="00CB43DF" w:rsidRDefault="003D5BD0" w14:paraId="3BBBC651"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510</w:t>
            </w:r>
          </w:p>
        </w:tc>
      </w:tr>
      <w:tr w:rsidRPr="00025D4C" w:rsidR="003D5BD0" w:rsidTr="00CB43DF" w14:paraId="572423B0" w14:textId="77777777">
        <w:trPr>
          <w:trHeight w:val="330"/>
        </w:trPr>
        <w:tc>
          <w:tcPr>
            <w:tcW w:w="3681" w:type="dxa"/>
            <w:shd w:val="clear" w:color="auto" w:fill="auto"/>
            <w:hideMark/>
          </w:tcPr>
          <w:p w:rsidRPr="00025D4C" w:rsidR="003D5BD0" w:rsidP="00CB43DF" w:rsidRDefault="003D5BD0" w14:paraId="688C55F0" w14:textId="77777777">
            <w:pPr>
              <w:rPr>
                <w:rFonts w:ascii="Calibri" w:hAnsi="Calibri" w:eastAsia="Times New Roman" w:cs="Calibri"/>
                <w:lang w:eastAsia="nl-NL"/>
              </w:rPr>
            </w:pPr>
            <w:r w:rsidRPr="00025D4C">
              <w:rPr>
                <w:rFonts w:ascii="Calibri" w:hAnsi="Calibri" w:eastAsia="Times New Roman" w:cs="Calibri"/>
                <w:lang w:eastAsia="nl-NL"/>
              </w:rPr>
              <w:t>Het Hogeland</w:t>
            </w:r>
          </w:p>
        </w:tc>
        <w:tc>
          <w:tcPr>
            <w:tcW w:w="3018" w:type="dxa"/>
            <w:shd w:val="clear" w:color="auto" w:fill="auto"/>
            <w:noWrap/>
            <w:hideMark/>
          </w:tcPr>
          <w:p w:rsidRPr="00025D4C" w:rsidR="003D5BD0" w:rsidP="00CB43DF" w:rsidRDefault="003D5BD0" w14:paraId="6AC9B4A6"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510</w:t>
            </w:r>
          </w:p>
        </w:tc>
      </w:tr>
      <w:tr w:rsidRPr="00025D4C" w:rsidR="003D5BD0" w:rsidTr="00CB43DF" w14:paraId="38435338" w14:textId="77777777">
        <w:trPr>
          <w:trHeight w:val="330"/>
        </w:trPr>
        <w:tc>
          <w:tcPr>
            <w:tcW w:w="3681" w:type="dxa"/>
            <w:shd w:val="clear" w:color="auto" w:fill="auto"/>
            <w:hideMark/>
          </w:tcPr>
          <w:p w:rsidRPr="00025D4C" w:rsidR="003D5BD0" w:rsidP="00CB43DF" w:rsidRDefault="003D5BD0" w14:paraId="2079F99F" w14:textId="77777777">
            <w:pPr>
              <w:rPr>
                <w:rFonts w:ascii="Calibri" w:hAnsi="Calibri" w:eastAsia="Times New Roman" w:cs="Calibri"/>
                <w:lang w:eastAsia="nl-NL"/>
              </w:rPr>
            </w:pPr>
            <w:r w:rsidRPr="00025D4C">
              <w:rPr>
                <w:rFonts w:ascii="Calibri" w:hAnsi="Calibri" w:eastAsia="Times New Roman" w:cs="Calibri"/>
                <w:lang w:eastAsia="nl-NL"/>
              </w:rPr>
              <w:t>Hoeksche Waard</w:t>
            </w:r>
          </w:p>
        </w:tc>
        <w:tc>
          <w:tcPr>
            <w:tcW w:w="3018" w:type="dxa"/>
            <w:shd w:val="clear" w:color="auto" w:fill="auto"/>
            <w:noWrap/>
            <w:hideMark/>
          </w:tcPr>
          <w:p w:rsidRPr="00025D4C" w:rsidR="003D5BD0" w:rsidP="00CB43DF" w:rsidRDefault="003D5BD0" w14:paraId="026A04B5"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500</w:t>
            </w:r>
          </w:p>
        </w:tc>
      </w:tr>
      <w:tr w:rsidRPr="00025D4C" w:rsidR="003D5BD0" w:rsidTr="00CB43DF" w14:paraId="0BE9507F" w14:textId="77777777">
        <w:trPr>
          <w:trHeight w:val="330"/>
        </w:trPr>
        <w:tc>
          <w:tcPr>
            <w:tcW w:w="3681" w:type="dxa"/>
            <w:shd w:val="clear" w:color="auto" w:fill="auto"/>
            <w:hideMark/>
          </w:tcPr>
          <w:p w:rsidRPr="00025D4C" w:rsidR="003D5BD0" w:rsidP="00CB43DF" w:rsidRDefault="003D5BD0" w14:paraId="09DC5F6B" w14:textId="77777777">
            <w:pPr>
              <w:rPr>
                <w:rFonts w:ascii="Calibri" w:hAnsi="Calibri" w:eastAsia="Times New Roman" w:cs="Calibri"/>
                <w:lang w:eastAsia="nl-NL"/>
              </w:rPr>
            </w:pPr>
            <w:r w:rsidRPr="00025D4C">
              <w:rPr>
                <w:rFonts w:ascii="Calibri" w:hAnsi="Calibri" w:eastAsia="Times New Roman" w:cs="Calibri"/>
                <w:lang w:eastAsia="nl-NL"/>
              </w:rPr>
              <w:t>Almelo</w:t>
            </w:r>
          </w:p>
        </w:tc>
        <w:tc>
          <w:tcPr>
            <w:tcW w:w="3018" w:type="dxa"/>
            <w:shd w:val="clear" w:color="auto" w:fill="auto"/>
            <w:noWrap/>
            <w:hideMark/>
          </w:tcPr>
          <w:p w:rsidRPr="00025D4C" w:rsidR="003D5BD0" w:rsidP="00CB43DF" w:rsidRDefault="003D5BD0" w14:paraId="66454EB5" w14:textId="77777777">
            <w:pPr>
              <w:ind w:firstLine="3120" w:firstLineChars="13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490</w:t>
            </w:r>
          </w:p>
        </w:tc>
      </w:tr>
      <w:tr w:rsidRPr="00025D4C" w:rsidR="003D5BD0" w:rsidTr="00CB43DF" w14:paraId="39C64C01" w14:textId="77777777">
        <w:trPr>
          <w:trHeight w:val="330"/>
        </w:trPr>
        <w:tc>
          <w:tcPr>
            <w:tcW w:w="3681" w:type="dxa"/>
            <w:shd w:val="clear" w:color="auto" w:fill="auto"/>
            <w:hideMark/>
          </w:tcPr>
          <w:p w:rsidRPr="00025D4C" w:rsidR="003D5BD0" w:rsidP="00CB43DF" w:rsidRDefault="003D5BD0" w14:paraId="10C1CA58" w14:textId="77777777">
            <w:pPr>
              <w:rPr>
                <w:rFonts w:ascii="Calibri" w:hAnsi="Calibri" w:eastAsia="Times New Roman" w:cs="Calibri"/>
                <w:lang w:eastAsia="nl-NL"/>
              </w:rPr>
            </w:pPr>
            <w:r w:rsidRPr="00025D4C">
              <w:rPr>
                <w:rFonts w:ascii="Calibri" w:hAnsi="Calibri" w:eastAsia="Times New Roman" w:cs="Calibri"/>
                <w:lang w:eastAsia="nl-NL"/>
              </w:rPr>
              <w:t>'s-Gravenhage</w:t>
            </w:r>
          </w:p>
        </w:tc>
        <w:tc>
          <w:tcPr>
            <w:tcW w:w="3018" w:type="dxa"/>
            <w:shd w:val="clear" w:color="auto" w:fill="auto"/>
            <w:noWrap/>
            <w:hideMark/>
          </w:tcPr>
          <w:p w:rsidRPr="00025D4C" w:rsidR="003D5BD0" w:rsidP="00CB43DF" w:rsidRDefault="003D5BD0" w14:paraId="757C39E7"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480</w:t>
            </w:r>
          </w:p>
        </w:tc>
      </w:tr>
      <w:tr w:rsidRPr="00025D4C" w:rsidR="003D5BD0" w:rsidTr="00CB43DF" w14:paraId="25384FF2" w14:textId="77777777">
        <w:trPr>
          <w:trHeight w:val="330"/>
        </w:trPr>
        <w:tc>
          <w:tcPr>
            <w:tcW w:w="3681" w:type="dxa"/>
            <w:shd w:val="clear" w:color="auto" w:fill="auto"/>
            <w:hideMark/>
          </w:tcPr>
          <w:p w:rsidRPr="00025D4C" w:rsidR="003D5BD0" w:rsidP="00CB43DF" w:rsidRDefault="003D5BD0" w14:paraId="075E8A39" w14:textId="77777777">
            <w:pPr>
              <w:rPr>
                <w:rFonts w:ascii="Calibri" w:hAnsi="Calibri" w:eastAsia="Times New Roman" w:cs="Calibri"/>
                <w:lang w:eastAsia="nl-NL"/>
              </w:rPr>
            </w:pPr>
            <w:r w:rsidRPr="00025D4C">
              <w:rPr>
                <w:rFonts w:ascii="Calibri" w:hAnsi="Calibri" w:eastAsia="Times New Roman" w:cs="Calibri"/>
                <w:lang w:eastAsia="nl-NL"/>
              </w:rPr>
              <w:t>'s-Hertogenbosch</w:t>
            </w:r>
          </w:p>
        </w:tc>
        <w:tc>
          <w:tcPr>
            <w:tcW w:w="3018" w:type="dxa"/>
            <w:shd w:val="clear" w:color="auto" w:fill="auto"/>
            <w:noWrap/>
            <w:hideMark/>
          </w:tcPr>
          <w:p w:rsidRPr="00025D4C" w:rsidR="003D5BD0" w:rsidP="00CB43DF" w:rsidRDefault="003D5BD0" w14:paraId="50E9679A"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470</w:t>
            </w:r>
          </w:p>
        </w:tc>
      </w:tr>
      <w:tr w:rsidRPr="00025D4C" w:rsidR="003D5BD0" w:rsidTr="00CB43DF" w14:paraId="2A2207AD" w14:textId="77777777">
        <w:trPr>
          <w:trHeight w:val="330"/>
        </w:trPr>
        <w:tc>
          <w:tcPr>
            <w:tcW w:w="3681" w:type="dxa"/>
            <w:shd w:val="clear" w:color="auto" w:fill="auto"/>
            <w:hideMark/>
          </w:tcPr>
          <w:p w:rsidRPr="00025D4C" w:rsidR="003D5BD0" w:rsidP="00CB43DF" w:rsidRDefault="003D5BD0" w14:paraId="7C5FB7F3" w14:textId="77777777">
            <w:pPr>
              <w:rPr>
                <w:rFonts w:ascii="Calibri" w:hAnsi="Calibri" w:eastAsia="Times New Roman" w:cs="Calibri"/>
                <w:lang w:eastAsia="nl-NL"/>
              </w:rPr>
            </w:pPr>
            <w:r w:rsidRPr="00025D4C">
              <w:rPr>
                <w:rFonts w:ascii="Calibri" w:hAnsi="Calibri" w:eastAsia="Times New Roman" w:cs="Calibri"/>
                <w:lang w:eastAsia="nl-NL"/>
              </w:rPr>
              <w:t>Enschede</w:t>
            </w:r>
          </w:p>
        </w:tc>
        <w:tc>
          <w:tcPr>
            <w:tcW w:w="3018" w:type="dxa"/>
            <w:shd w:val="clear" w:color="auto" w:fill="auto"/>
            <w:noWrap/>
            <w:hideMark/>
          </w:tcPr>
          <w:p w:rsidRPr="00025D4C" w:rsidR="003D5BD0" w:rsidP="00CB43DF" w:rsidRDefault="003D5BD0" w14:paraId="7F20D897"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460</w:t>
            </w:r>
          </w:p>
        </w:tc>
      </w:tr>
      <w:tr w:rsidRPr="00025D4C" w:rsidR="003D5BD0" w:rsidTr="00CB43DF" w14:paraId="18E62BE5" w14:textId="77777777">
        <w:trPr>
          <w:trHeight w:val="330"/>
        </w:trPr>
        <w:tc>
          <w:tcPr>
            <w:tcW w:w="3681" w:type="dxa"/>
            <w:shd w:val="clear" w:color="auto" w:fill="auto"/>
            <w:hideMark/>
          </w:tcPr>
          <w:p w:rsidRPr="00025D4C" w:rsidR="003D5BD0" w:rsidP="00CB43DF" w:rsidRDefault="003D5BD0" w14:paraId="768D4432" w14:textId="77777777">
            <w:pPr>
              <w:rPr>
                <w:rFonts w:ascii="Calibri" w:hAnsi="Calibri" w:eastAsia="Times New Roman" w:cs="Calibri"/>
                <w:lang w:eastAsia="nl-NL"/>
              </w:rPr>
            </w:pPr>
            <w:r w:rsidRPr="00025D4C">
              <w:rPr>
                <w:rFonts w:ascii="Calibri" w:hAnsi="Calibri" w:eastAsia="Times New Roman" w:cs="Calibri"/>
                <w:lang w:eastAsia="nl-NL"/>
              </w:rPr>
              <w:lastRenderedPageBreak/>
              <w:t>Goes</w:t>
            </w:r>
          </w:p>
        </w:tc>
        <w:tc>
          <w:tcPr>
            <w:tcW w:w="3018" w:type="dxa"/>
            <w:shd w:val="clear" w:color="auto" w:fill="auto"/>
            <w:noWrap/>
            <w:hideMark/>
          </w:tcPr>
          <w:p w:rsidRPr="00025D4C" w:rsidR="003D5BD0" w:rsidP="00CB43DF" w:rsidRDefault="003D5BD0" w14:paraId="247E35E4"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450</w:t>
            </w:r>
          </w:p>
        </w:tc>
      </w:tr>
      <w:tr w:rsidRPr="00025D4C" w:rsidR="003D5BD0" w:rsidTr="00CB43DF" w14:paraId="3A7F6A30" w14:textId="77777777">
        <w:trPr>
          <w:trHeight w:val="330"/>
        </w:trPr>
        <w:tc>
          <w:tcPr>
            <w:tcW w:w="3681" w:type="dxa"/>
            <w:shd w:val="clear" w:color="auto" w:fill="auto"/>
            <w:hideMark/>
          </w:tcPr>
          <w:p w:rsidRPr="00025D4C" w:rsidR="003D5BD0" w:rsidP="00CB43DF" w:rsidRDefault="003D5BD0" w14:paraId="512EAF48" w14:textId="77777777">
            <w:pPr>
              <w:rPr>
                <w:rFonts w:ascii="Calibri" w:hAnsi="Calibri" w:eastAsia="Times New Roman" w:cs="Calibri"/>
                <w:lang w:eastAsia="nl-NL"/>
              </w:rPr>
            </w:pPr>
            <w:r w:rsidRPr="00025D4C">
              <w:rPr>
                <w:rFonts w:ascii="Calibri" w:hAnsi="Calibri" w:eastAsia="Times New Roman" w:cs="Calibri"/>
                <w:lang w:eastAsia="nl-NL"/>
              </w:rPr>
              <w:t>Coevorden</w:t>
            </w:r>
          </w:p>
        </w:tc>
        <w:tc>
          <w:tcPr>
            <w:tcW w:w="3018" w:type="dxa"/>
            <w:shd w:val="clear" w:color="auto" w:fill="auto"/>
            <w:noWrap/>
            <w:hideMark/>
          </w:tcPr>
          <w:p w:rsidRPr="00025D4C" w:rsidR="003D5BD0" w:rsidP="00CB43DF" w:rsidRDefault="003D5BD0" w14:paraId="070734C0"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450</w:t>
            </w:r>
          </w:p>
        </w:tc>
      </w:tr>
      <w:tr w:rsidRPr="00025D4C" w:rsidR="003D5BD0" w:rsidTr="00CB43DF" w14:paraId="44DF90D0" w14:textId="77777777">
        <w:trPr>
          <w:trHeight w:val="330"/>
        </w:trPr>
        <w:tc>
          <w:tcPr>
            <w:tcW w:w="3681" w:type="dxa"/>
            <w:shd w:val="clear" w:color="auto" w:fill="auto"/>
            <w:hideMark/>
          </w:tcPr>
          <w:p w:rsidRPr="00025D4C" w:rsidR="003D5BD0" w:rsidP="00CB43DF" w:rsidRDefault="003D5BD0" w14:paraId="4519955E" w14:textId="77777777">
            <w:pPr>
              <w:rPr>
                <w:rFonts w:ascii="Calibri" w:hAnsi="Calibri" w:eastAsia="Times New Roman" w:cs="Calibri"/>
                <w:lang w:eastAsia="nl-NL"/>
              </w:rPr>
            </w:pPr>
            <w:r w:rsidRPr="00025D4C">
              <w:rPr>
                <w:rFonts w:ascii="Calibri" w:hAnsi="Calibri" w:eastAsia="Times New Roman" w:cs="Calibri"/>
                <w:lang w:eastAsia="nl-NL"/>
              </w:rPr>
              <w:t>Stadskanaal</w:t>
            </w:r>
          </w:p>
        </w:tc>
        <w:tc>
          <w:tcPr>
            <w:tcW w:w="3018" w:type="dxa"/>
            <w:shd w:val="clear" w:color="auto" w:fill="auto"/>
            <w:noWrap/>
            <w:hideMark/>
          </w:tcPr>
          <w:p w:rsidRPr="00025D4C" w:rsidR="003D5BD0" w:rsidP="00CB43DF" w:rsidRDefault="003D5BD0" w14:paraId="01842080"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450</w:t>
            </w:r>
          </w:p>
        </w:tc>
      </w:tr>
      <w:tr w:rsidRPr="00025D4C" w:rsidR="003D5BD0" w:rsidTr="00CB43DF" w14:paraId="33E1E9D8" w14:textId="77777777">
        <w:trPr>
          <w:trHeight w:val="330"/>
        </w:trPr>
        <w:tc>
          <w:tcPr>
            <w:tcW w:w="3681" w:type="dxa"/>
            <w:shd w:val="clear" w:color="auto" w:fill="auto"/>
            <w:hideMark/>
          </w:tcPr>
          <w:p w:rsidRPr="00025D4C" w:rsidR="003D5BD0" w:rsidP="00CB43DF" w:rsidRDefault="003D5BD0" w14:paraId="4FC34BE3" w14:textId="77777777">
            <w:pPr>
              <w:rPr>
                <w:rFonts w:ascii="Calibri" w:hAnsi="Calibri" w:eastAsia="Times New Roman" w:cs="Calibri"/>
                <w:lang w:eastAsia="nl-NL"/>
              </w:rPr>
            </w:pPr>
            <w:r w:rsidRPr="00025D4C">
              <w:rPr>
                <w:rFonts w:ascii="Calibri" w:hAnsi="Calibri" w:eastAsia="Times New Roman" w:cs="Calibri"/>
                <w:lang w:eastAsia="nl-NL"/>
              </w:rPr>
              <w:t>Velsen</w:t>
            </w:r>
          </w:p>
        </w:tc>
        <w:tc>
          <w:tcPr>
            <w:tcW w:w="3018" w:type="dxa"/>
            <w:shd w:val="clear" w:color="auto" w:fill="auto"/>
            <w:noWrap/>
            <w:hideMark/>
          </w:tcPr>
          <w:p w:rsidRPr="00025D4C" w:rsidR="003D5BD0" w:rsidP="00CB43DF" w:rsidRDefault="003D5BD0" w14:paraId="12431DFB"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440</w:t>
            </w:r>
          </w:p>
        </w:tc>
      </w:tr>
      <w:tr w:rsidRPr="00025D4C" w:rsidR="003D5BD0" w:rsidTr="00CB43DF" w14:paraId="66512FC5" w14:textId="77777777">
        <w:trPr>
          <w:trHeight w:val="330"/>
        </w:trPr>
        <w:tc>
          <w:tcPr>
            <w:tcW w:w="3681" w:type="dxa"/>
            <w:shd w:val="clear" w:color="auto" w:fill="auto"/>
            <w:hideMark/>
          </w:tcPr>
          <w:p w:rsidRPr="00025D4C" w:rsidR="003D5BD0" w:rsidP="00CB43DF" w:rsidRDefault="003D5BD0" w14:paraId="7CD4DE21" w14:textId="77777777">
            <w:pPr>
              <w:rPr>
                <w:rFonts w:ascii="Calibri" w:hAnsi="Calibri" w:eastAsia="Times New Roman" w:cs="Calibri"/>
                <w:lang w:eastAsia="nl-NL"/>
              </w:rPr>
            </w:pPr>
            <w:r w:rsidRPr="00025D4C">
              <w:rPr>
                <w:rFonts w:ascii="Calibri" w:hAnsi="Calibri" w:eastAsia="Times New Roman" w:cs="Calibri"/>
                <w:lang w:eastAsia="nl-NL"/>
              </w:rPr>
              <w:t>Leeuwarden</w:t>
            </w:r>
          </w:p>
        </w:tc>
        <w:tc>
          <w:tcPr>
            <w:tcW w:w="3018" w:type="dxa"/>
            <w:shd w:val="clear" w:color="auto" w:fill="auto"/>
            <w:noWrap/>
            <w:hideMark/>
          </w:tcPr>
          <w:p w:rsidRPr="00025D4C" w:rsidR="003D5BD0" w:rsidP="00CB43DF" w:rsidRDefault="003D5BD0" w14:paraId="0D5A8FF4"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430</w:t>
            </w:r>
          </w:p>
        </w:tc>
      </w:tr>
      <w:tr w:rsidRPr="00025D4C" w:rsidR="003D5BD0" w:rsidTr="00CB43DF" w14:paraId="5B560B50" w14:textId="77777777">
        <w:trPr>
          <w:trHeight w:val="330"/>
        </w:trPr>
        <w:tc>
          <w:tcPr>
            <w:tcW w:w="3681" w:type="dxa"/>
            <w:shd w:val="clear" w:color="auto" w:fill="auto"/>
            <w:hideMark/>
          </w:tcPr>
          <w:p w:rsidRPr="00025D4C" w:rsidR="003D5BD0" w:rsidP="00CB43DF" w:rsidRDefault="003D5BD0" w14:paraId="53A2983E" w14:textId="77777777">
            <w:pPr>
              <w:rPr>
                <w:rFonts w:ascii="Calibri" w:hAnsi="Calibri" w:eastAsia="Times New Roman" w:cs="Calibri"/>
                <w:lang w:eastAsia="nl-NL"/>
              </w:rPr>
            </w:pPr>
            <w:r w:rsidRPr="00025D4C">
              <w:rPr>
                <w:rFonts w:ascii="Calibri" w:hAnsi="Calibri" w:eastAsia="Times New Roman" w:cs="Calibri"/>
                <w:lang w:eastAsia="nl-NL"/>
              </w:rPr>
              <w:t>Alphen aan den Rijn</w:t>
            </w:r>
          </w:p>
        </w:tc>
        <w:tc>
          <w:tcPr>
            <w:tcW w:w="3018" w:type="dxa"/>
            <w:shd w:val="clear" w:color="auto" w:fill="auto"/>
            <w:noWrap/>
            <w:hideMark/>
          </w:tcPr>
          <w:p w:rsidRPr="00025D4C" w:rsidR="003D5BD0" w:rsidP="00CB43DF" w:rsidRDefault="003D5BD0" w14:paraId="1FB77025"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430</w:t>
            </w:r>
          </w:p>
        </w:tc>
      </w:tr>
      <w:tr w:rsidRPr="00025D4C" w:rsidR="003D5BD0" w:rsidTr="00CB43DF" w14:paraId="132E3B0B" w14:textId="77777777">
        <w:trPr>
          <w:trHeight w:val="330"/>
        </w:trPr>
        <w:tc>
          <w:tcPr>
            <w:tcW w:w="3681" w:type="dxa"/>
            <w:shd w:val="clear" w:color="auto" w:fill="auto"/>
            <w:hideMark/>
          </w:tcPr>
          <w:p w:rsidRPr="00025D4C" w:rsidR="003D5BD0" w:rsidP="00CB43DF" w:rsidRDefault="003D5BD0" w14:paraId="0EFCEE08" w14:textId="77777777">
            <w:pPr>
              <w:rPr>
                <w:rFonts w:ascii="Calibri" w:hAnsi="Calibri" w:eastAsia="Times New Roman" w:cs="Calibri"/>
                <w:lang w:eastAsia="nl-NL"/>
              </w:rPr>
            </w:pPr>
            <w:r w:rsidRPr="00025D4C">
              <w:rPr>
                <w:rFonts w:ascii="Calibri" w:hAnsi="Calibri" w:eastAsia="Times New Roman" w:cs="Calibri"/>
                <w:lang w:eastAsia="nl-NL"/>
              </w:rPr>
              <w:t>Heerlen</w:t>
            </w:r>
          </w:p>
        </w:tc>
        <w:tc>
          <w:tcPr>
            <w:tcW w:w="3018" w:type="dxa"/>
            <w:shd w:val="clear" w:color="auto" w:fill="auto"/>
            <w:noWrap/>
            <w:hideMark/>
          </w:tcPr>
          <w:p w:rsidRPr="00025D4C" w:rsidR="003D5BD0" w:rsidP="00CB43DF" w:rsidRDefault="003D5BD0" w14:paraId="184466F3"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430</w:t>
            </w:r>
          </w:p>
        </w:tc>
      </w:tr>
      <w:tr w:rsidRPr="00025D4C" w:rsidR="003D5BD0" w:rsidTr="00CB43DF" w14:paraId="0525C7D0" w14:textId="77777777">
        <w:trPr>
          <w:trHeight w:val="330"/>
        </w:trPr>
        <w:tc>
          <w:tcPr>
            <w:tcW w:w="3681" w:type="dxa"/>
            <w:shd w:val="clear" w:color="auto" w:fill="auto"/>
            <w:hideMark/>
          </w:tcPr>
          <w:p w:rsidRPr="00025D4C" w:rsidR="003D5BD0" w:rsidP="00CB43DF" w:rsidRDefault="003D5BD0" w14:paraId="6F9BC266" w14:textId="77777777">
            <w:pPr>
              <w:rPr>
                <w:rFonts w:ascii="Calibri" w:hAnsi="Calibri" w:eastAsia="Times New Roman" w:cs="Calibri"/>
                <w:lang w:eastAsia="nl-NL"/>
              </w:rPr>
            </w:pPr>
            <w:r w:rsidRPr="00025D4C">
              <w:rPr>
                <w:rFonts w:ascii="Calibri" w:hAnsi="Calibri" w:eastAsia="Times New Roman" w:cs="Calibri"/>
                <w:lang w:eastAsia="nl-NL"/>
              </w:rPr>
              <w:t>Zevenaar</w:t>
            </w:r>
          </w:p>
        </w:tc>
        <w:tc>
          <w:tcPr>
            <w:tcW w:w="3018" w:type="dxa"/>
            <w:shd w:val="clear" w:color="auto" w:fill="auto"/>
            <w:noWrap/>
            <w:hideMark/>
          </w:tcPr>
          <w:p w:rsidRPr="00025D4C" w:rsidR="003D5BD0" w:rsidP="00CB43DF" w:rsidRDefault="003D5BD0" w14:paraId="457DC61B"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430</w:t>
            </w:r>
          </w:p>
        </w:tc>
      </w:tr>
      <w:tr w:rsidRPr="00025D4C" w:rsidR="003D5BD0" w:rsidTr="00CB43DF" w14:paraId="2DFC8DCF" w14:textId="77777777">
        <w:trPr>
          <w:trHeight w:val="330"/>
        </w:trPr>
        <w:tc>
          <w:tcPr>
            <w:tcW w:w="3681" w:type="dxa"/>
            <w:shd w:val="clear" w:color="auto" w:fill="auto"/>
            <w:hideMark/>
          </w:tcPr>
          <w:p w:rsidRPr="00025D4C" w:rsidR="003D5BD0" w:rsidP="00CB43DF" w:rsidRDefault="003D5BD0" w14:paraId="156F2D6A" w14:textId="77777777">
            <w:pPr>
              <w:rPr>
                <w:rFonts w:ascii="Calibri" w:hAnsi="Calibri" w:eastAsia="Times New Roman" w:cs="Calibri"/>
                <w:lang w:eastAsia="nl-NL"/>
              </w:rPr>
            </w:pPr>
            <w:r w:rsidRPr="00025D4C">
              <w:rPr>
                <w:rFonts w:ascii="Calibri" w:hAnsi="Calibri" w:eastAsia="Times New Roman" w:cs="Calibri"/>
                <w:lang w:eastAsia="nl-NL"/>
              </w:rPr>
              <w:t>Oisterwijk</w:t>
            </w:r>
          </w:p>
        </w:tc>
        <w:tc>
          <w:tcPr>
            <w:tcW w:w="3018" w:type="dxa"/>
            <w:shd w:val="clear" w:color="auto" w:fill="auto"/>
            <w:noWrap/>
            <w:hideMark/>
          </w:tcPr>
          <w:p w:rsidRPr="00025D4C" w:rsidR="003D5BD0" w:rsidP="00CB43DF" w:rsidRDefault="003D5BD0" w14:paraId="652DED7C"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420</w:t>
            </w:r>
          </w:p>
        </w:tc>
      </w:tr>
      <w:tr w:rsidRPr="00025D4C" w:rsidR="003D5BD0" w:rsidTr="00CB43DF" w14:paraId="2EEAFB0E" w14:textId="77777777">
        <w:trPr>
          <w:trHeight w:val="330"/>
        </w:trPr>
        <w:tc>
          <w:tcPr>
            <w:tcW w:w="3681" w:type="dxa"/>
            <w:shd w:val="clear" w:color="auto" w:fill="auto"/>
            <w:hideMark/>
          </w:tcPr>
          <w:p w:rsidRPr="00025D4C" w:rsidR="003D5BD0" w:rsidP="00CB43DF" w:rsidRDefault="003D5BD0" w14:paraId="4CD8F6EB" w14:textId="77777777">
            <w:pPr>
              <w:rPr>
                <w:rFonts w:ascii="Calibri" w:hAnsi="Calibri" w:eastAsia="Times New Roman" w:cs="Calibri"/>
                <w:lang w:eastAsia="nl-NL"/>
              </w:rPr>
            </w:pPr>
            <w:r w:rsidRPr="00025D4C">
              <w:rPr>
                <w:rFonts w:ascii="Calibri" w:hAnsi="Calibri" w:eastAsia="Times New Roman" w:cs="Calibri"/>
                <w:lang w:eastAsia="nl-NL"/>
              </w:rPr>
              <w:t>Winterswijk</w:t>
            </w:r>
          </w:p>
        </w:tc>
        <w:tc>
          <w:tcPr>
            <w:tcW w:w="3018" w:type="dxa"/>
            <w:shd w:val="clear" w:color="auto" w:fill="auto"/>
            <w:noWrap/>
            <w:hideMark/>
          </w:tcPr>
          <w:p w:rsidRPr="00025D4C" w:rsidR="003D5BD0" w:rsidP="00CB43DF" w:rsidRDefault="003D5BD0" w14:paraId="3A858278"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420</w:t>
            </w:r>
          </w:p>
        </w:tc>
      </w:tr>
      <w:tr w:rsidRPr="00025D4C" w:rsidR="003D5BD0" w:rsidTr="00CB43DF" w14:paraId="503B099D" w14:textId="77777777">
        <w:trPr>
          <w:trHeight w:val="330"/>
        </w:trPr>
        <w:tc>
          <w:tcPr>
            <w:tcW w:w="3681" w:type="dxa"/>
            <w:shd w:val="clear" w:color="auto" w:fill="auto"/>
            <w:hideMark/>
          </w:tcPr>
          <w:p w:rsidRPr="00025D4C" w:rsidR="003D5BD0" w:rsidP="00CB43DF" w:rsidRDefault="003D5BD0" w14:paraId="07AE0A2D" w14:textId="77777777">
            <w:pPr>
              <w:rPr>
                <w:rFonts w:ascii="Calibri" w:hAnsi="Calibri" w:eastAsia="Times New Roman" w:cs="Calibri"/>
                <w:lang w:eastAsia="nl-NL"/>
              </w:rPr>
            </w:pPr>
            <w:r w:rsidRPr="00025D4C">
              <w:rPr>
                <w:rFonts w:ascii="Calibri" w:hAnsi="Calibri" w:eastAsia="Times New Roman" w:cs="Calibri"/>
                <w:lang w:eastAsia="nl-NL"/>
              </w:rPr>
              <w:t>Echt-Susteren</w:t>
            </w:r>
          </w:p>
        </w:tc>
        <w:tc>
          <w:tcPr>
            <w:tcW w:w="3018" w:type="dxa"/>
            <w:shd w:val="clear" w:color="auto" w:fill="auto"/>
            <w:noWrap/>
            <w:hideMark/>
          </w:tcPr>
          <w:p w:rsidRPr="00025D4C" w:rsidR="003D5BD0" w:rsidP="00CB43DF" w:rsidRDefault="003D5BD0" w14:paraId="3AC91BC4"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420</w:t>
            </w:r>
          </w:p>
        </w:tc>
      </w:tr>
      <w:tr w:rsidRPr="00025D4C" w:rsidR="003D5BD0" w:rsidTr="00CB43DF" w14:paraId="6FF09012" w14:textId="77777777">
        <w:trPr>
          <w:trHeight w:val="330"/>
        </w:trPr>
        <w:tc>
          <w:tcPr>
            <w:tcW w:w="3681" w:type="dxa"/>
            <w:shd w:val="clear" w:color="auto" w:fill="auto"/>
            <w:hideMark/>
          </w:tcPr>
          <w:p w:rsidRPr="00025D4C" w:rsidR="003D5BD0" w:rsidP="00CB43DF" w:rsidRDefault="003D5BD0" w14:paraId="03ECBCF5" w14:textId="77777777">
            <w:pPr>
              <w:rPr>
                <w:rFonts w:ascii="Calibri" w:hAnsi="Calibri" w:eastAsia="Times New Roman" w:cs="Calibri"/>
                <w:lang w:eastAsia="nl-NL"/>
              </w:rPr>
            </w:pPr>
            <w:r w:rsidRPr="00025D4C">
              <w:rPr>
                <w:rFonts w:ascii="Calibri" w:hAnsi="Calibri" w:eastAsia="Times New Roman" w:cs="Calibri"/>
                <w:lang w:eastAsia="nl-NL"/>
              </w:rPr>
              <w:t>Zeist</w:t>
            </w:r>
          </w:p>
        </w:tc>
        <w:tc>
          <w:tcPr>
            <w:tcW w:w="3018" w:type="dxa"/>
            <w:shd w:val="clear" w:color="auto" w:fill="auto"/>
            <w:noWrap/>
            <w:hideMark/>
          </w:tcPr>
          <w:p w:rsidRPr="00025D4C" w:rsidR="003D5BD0" w:rsidP="00CB43DF" w:rsidRDefault="003D5BD0" w14:paraId="2C19AC37"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410</w:t>
            </w:r>
          </w:p>
        </w:tc>
      </w:tr>
      <w:tr w:rsidRPr="00025D4C" w:rsidR="003D5BD0" w:rsidTr="00CB43DF" w14:paraId="028A84A4" w14:textId="77777777">
        <w:trPr>
          <w:trHeight w:val="330"/>
        </w:trPr>
        <w:tc>
          <w:tcPr>
            <w:tcW w:w="3681" w:type="dxa"/>
            <w:shd w:val="clear" w:color="auto" w:fill="auto"/>
            <w:hideMark/>
          </w:tcPr>
          <w:p w:rsidRPr="00025D4C" w:rsidR="003D5BD0" w:rsidP="00CB43DF" w:rsidRDefault="003D5BD0" w14:paraId="7AD3F76D" w14:textId="77777777">
            <w:pPr>
              <w:rPr>
                <w:rFonts w:ascii="Calibri" w:hAnsi="Calibri" w:eastAsia="Times New Roman" w:cs="Calibri"/>
                <w:lang w:eastAsia="nl-NL"/>
              </w:rPr>
            </w:pPr>
            <w:proofErr w:type="spellStart"/>
            <w:r w:rsidRPr="00025D4C">
              <w:rPr>
                <w:rFonts w:ascii="Calibri" w:hAnsi="Calibri" w:eastAsia="Times New Roman" w:cs="Calibri"/>
                <w:lang w:eastAsia="nl-NL"/>
              </w:rPr>
              <w:t>Waadhoeke</w:t>
            </w:r>
            <w:proofErr w:type="spellEnd"/>
          </w:p>
        </w:tc>
        <w:tc>
          <w:tcPr>
            <w:tcW w:w="3018" w:type="dxa"/>
            <w:shd w:val="clear" w:color="auto" w:fill="auto"/>
            <w:noWrap/>
            <w:hideMark/>
          </w:tcPr>
          <w:p w:rsidRPr="00025D4C" w:rsidR="003D5BD0" w:rsidP="00CB43DF" w:rsidRDefault="003D5BD0" w14:paraId="30C7F83A"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410</w:t>
            </w:r>
          </w:p>
        </w:tc>
      </w:tr>
      <w:tr w:rsidRPr="00025D4C" w:rsidR="003D5BD0" w:rsidTr="00CB43DF" w14:paraId="2FC4F73D" w14:textId="77777777">
        <w:trPr>
          <w:trHeight w:val="330"/>
        </w:trPr>
        <w:tc>
          <w:tcPr>
            <w:tcW w:w="3681" w:type="dxa"/>
            <w:shd w:val="clear" w:color="auto" w:fill="auto"/>
            <w:hideMark/>
          </w:tcPr>
          <w:p w:rsidRPr="00025D4C" w:rsidR="003D5BD0" w:rsidP="00CB43DF" w:rsidRDefault="003D5BD0" w14:paraId="170F4A91" w14:textId="77777777">
            <w:pPr>
              <w:rPr>
                <w:rFonts w:ascii="Calibri" w:hAnsi="Calibri" w:eastAsia="Times New Roman" w:cs="Calibri"/>
                <w:lang w:eastAsia="nl-NL"/>
              </w:rPr>
            </w:pPr>
            <w:r w:rsidRPr="00025D4C">
              <w:rPr>
                <w:rFonts w:ascii="Calibri" w:hAnsi="Calibri" w:eastAsia="Times New Roman" w:cs="Calibri"/>
                <w:lang w:eastAsia="nl-NL"/>
              </w:rPr>
              <w:t>Rheden</w:t>
            </w:r>
          </w:p>
        </w:tc>
        <w:tc>
          <w:tcPr>
            <w:tcW w:w="3018" w:type="dxa"/>
            <w:shd w:val="clear" w:color="auto" w:fill="auto"/>
            <w:noWrap/>
            <w:hideMark/>
          </w:tcPr>
          <w:p w:rsidRPr="00025D4C" w:rsidR="003D5BD0" w:rsidP="00CB43DF" w:rsidRDefault="003D5BD0" w14:paraId="40AC5EFD"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400</w:t>
            </w:r>
          </w:p>
        </w:tc>
      </w:tr>
      <w:tr w:rsidRPr="00025D4C" w:rsidR="003D5BD0" w:rsidTr="00CB43DF" w14:paraId="168C30DA" w14:textId="77777777">
        <w:trPr>
          <w:trHeight w:val="330"/>
        </w:trPr>
        <w:tc>
          <w:tcPr>
            <w:tcW w:w="3681" w:type="dxa"/>
            <w:shd w:val="clear" w:color="auto" w:fill="auto"/>
            <w:hideMark/>
          </w:tcPr>
          <w:p w:rsidRPr="00025D4C" w:rsidR="003D5BD0" w:rsidP="00CB43DF" w:rsidRDefault="003D5BD0" w14:paraId="324DA525" w14:textId="77777777">
            <w:pPr>
              <w:rPr>
                <w:rFonts w:ascii="Calibri" w:hAnsi="Calibri" w:eastAsia="Times New Roman" w:cs="Calibri"/>
                <w:lang w:eastAsia="nl-NL"/>
              </w:rPr>
            </w:pPr>
            <w:r w:rsidRPr="00025D4C">
              <w:rPr>
                <w:rFonts w:ascii="Calibri" w:hAnsi="Calibri" w:eastAsia="Times New Roman" w:cs="Calibri"/>
                <w:lang w:eastAsia="nl-NL"/>
              </w:rPr>
              <w:t>Gouda</w:t>
            </w:r>
          </w:p>
        </w:tc>
        <w:tc>
          <w:tcPr>
            <w:tcW w:w="3018" w:type="dxa"/>
            <w:shd w:val="clear" w:color="auto" w:fill="auto"/>
            <w:noWrap/>
            <w:hideMark/>
          </w:tcPr>
          <w:p w:rsidRPr="00025D4C" w:rsidR="003D5BD0" w:rsidP="00CB43DF" w:rsidRDefault="003D5BD0" w14:paraId="67C548F1"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390</w:t>
            </w:r>
          </w:p>
        </w:tc>
      </w:tr>
      <w:tr w:rsidRPr="00025D4C" w:rsidR="003D5BD0" w:rsidTr="00CB43DF" w14:paraId="4F50F7CC" w14:textId="77777777">
        <w:trPr>
          <w:trHeight w:val="330"/>
        </w:trPr>
        <w:tc>
          <w:tcPr>
            <w:tcW w:w="3681" w:type="dxa"/>
            <w:shd w:val="clear" w:color="auto" w:fill="auto"/>
            <w:hideMark/>
          </w:tcPr>
          <w:p w:rsidRPr="00025D4C" w:rsidR="003D5BD0" w:rsidP="00CB43DF" w:rsidRDefault="003D5BD0" w14:paraId="1B3AD2DF" w14:textId="77777777">
            <w:pPr>
              <w:rPr>
                <w:rFonts w:ascii="Calibri" w:hAnsi="Calibri" w:eastAsia="Times New Roman" w:cs="Calibri"/>
                <w:lang w:eastAsia="nl-NL"/>
              </w:rPr>
            </w:pPr>
            <w:r w:rsidRPr="00025D4C">
              <w:rPr>
                <w:rFonts w:ascii="Calibri" w:hAnsi="Calibri" w:eastAsia="Times New Roman" w:cs="Calibri"/>
                <w:lang w:eastAsia="nl-NL"/>
              </w:rPr>
              <w:t>Rijswijk</w:t>
            </w:r>
          </w:p>
        </w:tc>
        <w:tc>
          <w:tcPr>
            <w:tcW w:w="3018" w:type="dxa"/>
            <w:shd w:val="clear" w:color="auto" w:fill="auto"/>
            <w:noWrap/>
            <w:hideMark/>
          </w:tcPr>
          <w:p w:rsidRPr="00025D4C" w:rsidR="003D5BD0" w:rsidP="00CB43DF" w:rsidRDefault="003D5BD0" w14:paraId="3AB866EA"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380</w:t>
            </w:r>
          </w:p>
        </w:tc>
      </w:tr>
      <w:tr w:rsidRPr="00025D4C" w:rsidR="003D5BD0" w:rsidTr="00CB43DF" w14:paraId="3DDA3D13" w14:textId="77777777">
        <w:trPr>
          <w:trHeight w:val="330"/>
        </w:trPr>
        <w:tc>
          <w:tcPr>
            <w:tcW w:w="3681" w:type="dxa"/>
            <w:shd w:val="clear" w:color="auto" w:fill="auto"/>
            <w:hideMark/>
          </w:tcPr>
          <w:p w:rsidRPr="00025D4C" w:rsidR="003D5BD0" w:rsidP="00CB43DF" w:rsidRDefault="003D5BD0" w14:paraId="703F3050" w14:textId="77777777">
            <w:pPr>
              <w:rPr>
                <w:rFonts w:ascii="Calibri" w:hAnsi="Calibri" w:eastAsia="Times New Roman" w:cs="Calibri"/>
                <w:lang w:eastAsia="nl-NL"/>
              </w:rPr>
            </w:pPr>
            <w:r w:rsidRPr="00025D4C">
              <w:rPr>
                <w:rFonts w:ascii="Calibri" w:hAnsi="Calibri" w:eastAsia="Times New Roman" w:cs="Calibri"/>
                <w:lang w:eastAsia="nl-NL"/>
              </w:rPr>
              <w:t>Amstelveen</w:t>
            </w:r>
          </w:p>
        </w:tc>
        <w:tc>
          <w:tcPr>
            <w:tcW w:w="3018" w:type="dxa"/>
            <w:shd w:val="clear" w:color="auto" w:fill="auto"/>
            <w:noWrap/>
            <w:hideMark/>
          </w:tcPr>
          <w:p w:rsidRPr="00025D4C" w:rsidR="003D5BD0" w:rsidP="00CB43DF" w:rsidRDefault="003D5BD0" w14:paraId="432D59C9"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380</w:t>
            </w:r>
          </w:p>
        </w:tc>
      </w:tr>
      <w:tr w:rsidRPr="00025D4C" w:rsidR="003D5BD0" w:rsidTr="00CB43DF" w14:paraId="31D2738E" w14:textId="77777777">
        <w:trPr>
          <w:trHeight w:val="330"/>
        </w:trPr>
        <w:tc>
          <w:tcPr>
            <w:tcW w:w="3681" w:type="dxa"/>
            <w:shd w:val="clear" w:color="auto" w:fill="auto"/>
            <w:hideMark/>
          </w:tcPr>
          <w:p w:rsidRPr="00025D4C" w:rsidR="003D5BD0" w:rsidP="00CB43DF" w:rsidRDefault="003D5BD0" w14:paraId="7865DF8F" w14:textId="77777777">
            <w:pPr>
              <w:rPr>
                <w:rFonts w:ascii="Calibri" w:hAnsi="Calibri" w:eastAsia="Times New Roman" w:cs="Calibri"/>
                <w:lang w:eastAsia="nl-NL"/>
              </w:rPr>
            </w:pPr>
            <w:r w:rsidRPr="00025D4C">
              <w:rPr>
                <w:rFonts w:ascii="Calibri" w:hAnsi="Calibri" w:eastAsia="Times New Roman" w:cs="Calibri"/>
                <w:lang w:eastAsia="nl-NL"/>
              </w:rPr>
              <w:t>Delft</w:t>
            </w:r>
          </w:p>
        </w:tc>
        <w:tc>
          <w:tcPr>
            <w:tcW w:w="3018" w:type="dxa"/>
            <w:shd w:val="clear" w:color="auto" w:fill="auto"/>
            <w:noWrap/>
            <w:hideMark/>
          </w:tcPr>
          <w:p w:rsidRPr="00025D4C" w:rsidR="003D5BD0" w:rsidP="00CB43DF" w:rsidRDefault="003D5BD0" w14:paraId="773E7319"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370</w:t>
            </w:r>
          </w:p>
        </w:tc>
      </w:tr>
      <w:tr w:rsidRPr="00025D4C" w:rsidR="003D5BD0" w:rsidTr="00CB43DF" w14:paraId="181DFA3A" w14:textId="77777777">
        <w:trPr>
          <w:trHeight w:val="330"/>
        </w:trPr>
        <w:tc>
          <w:tcPr>
            <w:tcW w:w="3681" w:type="dxa"/>
            <w:shd w:val="clear" w:color="auto" w:fill="auto"/>
            <w:hideMark/>
          </w:tcPr>
          <w:p w:rsidRPr="00025D4C" w:rsidR="003D5BD0" w:rsidP="00CB43DF" w:rsidRDefault="003D5BD0" w14:paraId="71A7D098" w14:textId="77777777">
            <w:pPr>
              <w:rPr>
                <w:rFonts w:ascii="Calibri" w:hAnsi="Calibri" w:eastAsia="Times New Roman" w:cs="Calibri"/>
                <w:lang w:eastAsia="nl-NL"/>
              </w:rPr>
            </w:pPr>
            <w:r w:rsidRPr="00025D4C">
              <w:rPr>
                <w:rFonts w:ascii="Calibri" w:hAnsi="Calibri" w:eastAsia="Times New Roman" w:cs="Calibri"/>
                <w:lang w:eastAsia="nl-NL"/>
              </w:rPr>
              <w:t>Veldhoven</w:t>
            </w:r>
          </w:p>
        </w:tc>
        <w:tc>
          <w:tcPr>
            <w:tcW w:w="3018" w:type="dxa"/>
            <w:shd w:val="clear" w:color="auto" w:fill="auto"/>
            <w:noWrap/>
            <w:hideMark/>
          </w:tcPr>
          <w:p w:rsidRPr="00025D4C" w:rsidR="003D5BD0" w:rsidP="00CB43DF" w:rsidRDefault="003D5BD0" w14:paraId="4DFA5865"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370</w:t>
            </w:r>
          </w:p>
        </w:tc>
      </w:tr>
      <w:tr w:rsidRPr="00025D4C" w:rsidR="003D5BD0" w:rsidTr="00CB43DF" w14:paraId="1C8D11AB" w14:textId="77777777">
        <w:trPr>
          <w:trHeight w:val="330"/>
        </w:trPr>
        <w:tc>
          <w:tcPr>
            <w:tcW w:w="3681" w:type="dxa"/>
            <w:shd w:val="clear" w:color="auto" w:fill="auto"/>
            <w:hideMark/>
          </w:tcPr>
          <w:p w:rsidRPr="00025D4C" w:rsidR="003D5BD0" w:rsidP="00CB43DF" w:rsidRDefault="003D5BD0" w14:paraId="51154D40" w14:textId="77777777">
            <w:pPr>
              <w:rPr>
                <w:rFonts w:ascii="Calibri" w:hAnsi="Calibri" w:eastAsia="Times New Roman" w:cs="Calibri"/>
                <w:lang w:eastAsia="nl-NL"/>
              </w:rPr>
            </w:pPr>
            <w:r w:rsidRPr="00025D4C">
              <w:rPr>
                <w:rFonts w:ascii="Calibri" w:hAnsi="Calibri" w:eastAsia="Times New Roman" w:cs="Calibri"/>
                <w:lang w:eastAsia="nl-NL"/>
              </w:rPr>
              <w:t>Venray</w:t>
            </w:r>
          </w:p>
        </w:tc>
        <w:tc>
          <w:tcPr>
            <w:tcW w:w="3018" w:type="dxa"/>
            <w:shd w:val="clear" w:color="auto" w:fill="auto"/>
            <w:noWrap/>
            <w:hideMark/>
          </w:tcPr>
          <w:p w:rsidRPr="00025D4C" w:rsidR="003D5BD0" w:rsidP="00CB43DF" w:rsidRDefault="003D5BD0" w14:paraId="39416359"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350</w:t>
            </w:r>
          </w:p>
        </w:tc>
      </w:tr>
      <w:tr w:rsidRPr="00025D4C" w:rsidR="003D5BD0" w:rsidTr="00CB43DF" w14:paraId="523F756A" w14:textId="77777777">
        <w:trPr>
          <w:trHeight w:val="330"/>
        </w:trPr>
        <w:tc>
          <w:tcPr>
            <w:tcW w:w="3681" w:type="dxa"/>
            <w:shd w:val="clear" w:color="auto" w:fill="auto"/>
            <w:hideMark/>
          </w:tcPr>
          <w:p w:rsidRPr="00025D4C" w:rsidR="003D5BD0" w:rsidP="00CB43DF" w:rsidRDefault="003D5BD0" w14:paraId="6AEB99C5" w14:textId="77777777">
            <w:pPr>
              <w:rPr>
                <w:rFonts w:ascii="Calibri" w:hAnsi="Calibri" w:eastAsia="Times New Roman" w:cs="Calibri"/>
                <w:lang w:eastAsia="nl-NL"/>
              </w:rPr>
            </w:pPr>
            <w:r w:rsidRPr="00025D4C">
              <w:rPr>
                <w:rFonts w:ascii="Calibri" w:hAnsi="Calibri" w:eastAsia="Times New Roman" w:cs="Calibri"/>
                <w:lang w:eastAsia="nl-NL"/>
              </w:rPr>
              <w:t>Simpelveld</w:t>
            </w:r>
          </w:p>
        </w:tc>
        <w:tc>
          <w:tcPr>
            <w:tcW w:w="3018" w:type="dxa"/>
            <w:shd w:val="clear" w:color="auto" w:fill="auto"/>
            <w:noWrap/>
            <w:hideMark/>
          </w:tcPr>
          <w:p w:rsidRPr="00025D4C" w:rsidR="003D5BD0" w:rsidP="00CB43DF" w:rsidRDefault="003D5BD0" w14:paraId="6B7713CC"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350</w:t>
            </w:r>
          </w:p>
        </w:tc>
      </w:tr>
      <w:tr w:rsidRPr="00025D4C" w:rsidR="003D5BD0" w:rsidTr="00CB43DF" w14:paraId="07E73983" w14:textId="77777777">
        <w:trPr>
          <w:trHeight w:val="330"/>
        </w:trPr>
        <w:tc>
          <w:tcPr>
            <w:tcW w:w="3681" w:type="dxa"/>
            <w:shd w:val="clear" w:color="auto" w:fill="auto"/>
            <w:hideMark/>
          </w:tcPr>
          <w:p w:rsidRPr="00025D4C" w:rsidR="003D5BD0" w:rsidP="00CB43DF" w:rsidRDefault="003D5BD0" w14:paraId="67884A88" w14:textId="77777777">
            <w:pPr>
              <w:rPr>
                <w:rFonts w:ascii="Calibri" w:hAnsi="Calibri" w:eastAsia="Times New Roman" w:cs="Calibri"/>
                <w:lang w:eastAsia="nl-NL"/>
              </w:rPr>
            </w:pPr>
            <w:r w:rsidRPr="00025D4C">
              <w:rPr>
                <w:rFonts w:ascii="Calibri" w:hAnsi="Calibri" w:eastAsia="Times New Roman" w:cs="Calibri"/>
                <w:lang w:eastAsia="nl-NL"/>
              </w:rPr>
              <w:t>Zwolle</w:t>
            </w:r>
          </w:p>
        </w:tc>
        <w:tc>
          <w:tcPr>
            <w:tcW w:w="3018" w:type="dxa"/>
            <w:shd w:val="clear" w:color="auto" w:fill="auto"/>
            <w:noWrap/>
            <w:hideMark/>
          </w:tcPr>
          <w:p w:rsidRPr="00025D4C" w:rsidR="003D5BD0" w:rsidP="00CB43DF" w:rsidRDefault="003D5BD0" w14:paraId="72A03A3D"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330</w:t>
            </w:r>
          </w:p>
        </w:tc>
      </w:tr>
      <w:tr w:rsidRPr="00025D4C" w:rsidR="003D5BD0" w:rsidTr="00CB43DF" w14:paraId="439C85D3" w14:textId="77777777">
        <w:trPr>
          <w:trHeight w:val="330"/>
        </w:trPr>
        <w:tc>
          <w:tcPr>
            <w:tcW w:w="3681" w:type="dxa"/>
            <w:shd w:val="clear" w:color="auto" w:fill="auto"/>
            <w:hideMark/>
          </w:tcPr>
          <w:p w:rsidRPr="00025D4C" w:rsidR="003D5BD0" w:rsidP="00CB43DF" w:rsidRDefault="003D5BD0" w14:paraId="4C961A1A" w14:textId="77777777">
            <w:pPr>
              <w:rPr>
                <w:rFonts w:ascii="Calibri" w:hAnsi="Calibri" w:eastAsia="Times New Roman" w:cs="Calibri"/>
                <w:lang w:eastAsia="nl-NL"/>
              </w:rPr>
            </w:pPr>
            <w:r w:rsidRPr="00025D4C">
              <w:rPr>
                <w:rFonts w:ascii="Calibri" w:hAnsi="Calibri" w:eastAsia="Times New Roman" w:cs="Calibri"/>
                <w:lang w:eastAsia="nl-NL"/>
              </w:rPr>
              <w:t>Ede</w:t>
            </w:r>
          </w:p>
        </w:tc>
        <w:tc>
          <w:tcPr>
            <w:tcW w:w="3018" w:type="dxa"/>
            <w:shd w:val="clear" w:color="auto" w:fill="auto"/>
            <w:noWrap/>
            <w:hideMark/>
          </w:tcPr>
          <w:p w:rsidRPr="00025D4C" w:rsidR="003D5BD0" w:rsidP="00CB43DF" w:rsidRDefault="003D5BD0" w14:paraId="3574242C"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330</w:t>
            </w:r>
          </w:p>
        </w:tc>
      </w:tr>
      <w:tr w:rsidRPr="00025D4C" w:rsidR="003D5BD0" w:rsidTr="00CB43DF" w14:paraId="21B1B0B9" w14:textId="77777777">
        <w:trPr>
          <w:trHeight w:val="330"/>
        </w:trPr>
        <w:tc>
          <w:tcPr>
            <w:tcW w:w="3681" w:type="dxa"/>
            <w:shd w:val="clear" w:color="auto" w:fill="auto"/>
            <w:hideMark/>
          </w:tcPr>
          <w:p w:rsidRPr="00025D4C" w:rsidR="003D5BD0" w:rsidP="00CB43DF" w:rsidRDefault="003D5BD0" w14:paraId="66C6C152" w14:textId="77777777">
            <w:pPr>
              <w:rPr>
                <w:rFonts w:ascii="Calibri" w:hAnsi="Calibri" w:eastAsia="Times New Roman" w:cs="Calibri"/>
                <w:lang w:eastAsia="nl-NL"/>
              </w:rPr>
            </w:pPr>
            <w:r w:rsidRPr="00025D4C">
              <w:rPr>
                <w:rFonts w:ascii="Calibri" w:hAnsi="Calibri" w:eastAsia="Times New Roman" w:cs="Calibri"/>
                <w:lang w:eastAsia="nl-NL"/>
              </w:rPr>
              <w:t>Zwijndrecht</w:t>
            </w:r>
          </w:p>
        </w:tc>
        <w:tc>
          <w:tcPr>
            <w:tcW w:w="3018" w:type="dxa"/>
            <w:shd w:val="clear" w:color="auto" w:fill="auto"/>
            <w:noWrap/>
            <w:hideMark/>
          </w:tcPr>
          <w:p w:rsidRPr="00025D4C" w:rsidR="003D5BD0" w:rsidP="00CB43DF" w:rsidRDefault="003D5BD0" w14:paraId="71F3668A"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330</w:t>
            </w:r>
          </w:p>
        </w:tc>
      </w:tr>
      <w:tr w:rsidRPr="00025D4C" w:rsidR="003D5BD0" w:rsidTr="00CB43DF" w14:paraId="1D7689DA" w14:textId="77777777">
        <w:trPr>
          <w:trHeight w:val="330"/>
        </w:trPr>
        <w:tc>
          <w:tcPr>
            <w:tcW w:w="3681" w:type="dxa"/>
            <w:shd w:val="clear" w:color="auto" w:fill="auto"/>
            <w:hideMark/>
          </w:tcPr>
          <w:p w:rsidRPr="00025D4C" w:rsidR="003D5BD0" w:rsidP="00CB43DF" w:rsidRDefault="003D5BD0" w14:paraId="38D574F6" w14:textId="77777777">
            <w:pPr>
              <w:rPr>
                <w:rFonts w:ascii="Calibri" w:hAnsi="Calibri" w:eastAsia="Times New Roman" w:cs="Calibri"/>
                <w:lang w:eastAsia="nl-NL"/>
              </w:rPr>
            </w:pPr>
            <w:r w:rsidRPr="00025D4C">
              <w:rPr>
                <w:rFonts w:ascii="Calibri" w:hAnsi="Calibri" w:eastAsia="Times New Roman" w:cs="Calibri"/>
                <w:lang w:eastAsia="nl-NL"/>
              </w:rPr>
              <w:t>Lansingerland</w:t>
            </w:r>
          </w:p>
        </w:tc>
        <w:tc>
          <w:tcPr>
            <w:tcW w:w="3018" w:type="dxa"/>
            <w:shd w:val="clear" w:color="auto" w:fill="auto"/>
            <w:noWrap/>
            <w:hideMark/>
          </w:tcPr>
          <w:p w:rsidRPr="00025D4C" w:rsidR="003D5BD0" w:rsidP="00CB43DF" w:rsidRDefault="003D5BD0" w14:paraId="6FF4CD58"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320</w:t>
            </w:r>
          </w:p>
        </w:tc>
      </w:tr>
      <w:tr w:rsidRPr="00025D4C" w:rsidR="003D5BD0" w:rsidTr="00CB43DF" w14:paraId="28985E98" w14:textId="77777777">
        <w:trPr>
          <w:trHeight w:val="330"/>
        </w:trPr>
        <w:tc>
          <w:tcPr>
            <w:tcW w:w="3681" w:type="dxa"/>
            <w:shd w:val="clear" w:color="auto" w:fill="auto"/>
            <w:hideMark/>
          </w:tcPr>
          <w:p w:rsidRPr="00025D4C" w:rsidR="003D5BD0" w:rsidP="00CB43DF" w:rsidRDefault="003D5BD0" w14:paraId="679344CA" w14:textId="77777777">
            <w:pPr>
              <w:rPr>
                <w:rFonts w:ascii="Calibri" w:hAnsi="Calibri" w:eastAsia="Times New Roman" w:cs="Calibri"/>
                <w:lang w:eastAsia="nl-NL"/>
              </w:rPr>
            </w:pPr>
            <w:r w:rsidRPr="00025D4C">
              <w:rPr>
                <w:rFonts w:ascii="Calibri" w:hAnsi="Calibri" w:eastAsia="Times New Roman" w:cs="Calibri"/>
                <w:lang w:eastAsia="nl-NL"/>
              </w:rPr>
              <w:t>Peel en Maas</w:t>
            </w:r>
          </w:p>
        </w:tc>
        <w:tc>
          <w:tcPr>
            <w:tcW w:w="3018" w:type="dxa"/>
            <w:shd w:val="clear" w:color="auto" w:fill="auto"/>
            <w:noWrap/>
            <w:hideMark/>
          </w:tcPr>
          <w:p w:rsidRPr="00025D4C" w:rsidR="003D5BD0" w:rsidP="00CB43DF" w:rsidRDefault="003D5BD0" w14:paraId="17C2D5FF"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310</w:t>
            </w:r>
          </w:p>
        </w:tc>
      </w:tr>
      <w:tr w:rsidRPr="00025D4C" w:rsidR="003D5BD0" w:rsidTr="00CB43DF" w14:paraId="3A3DCFF6" w14:textId="77777777">
        <w:trPr>
          <w:trHeight w:val="330"/>
        </w:trPr>
        <w:tc>
          <w:tcPr>
            <w:tcW w:w="3681" w:type="dxa"/>
            <w:shd w:val="clear" w:color="auto" w:fill="auto"/>
            <w:hideMark/>
          </w:tcPr>
          <w:p w:rsidRPr="00025D4C" w:rsidR="003D5BD0" w:rsidP="00CB43DF" w:rsidRDefault="003D5BD0" w14:paraId="7871C794" w14:textId="77777777">
            <w:pPr>
              <w:rPr>
                <w:rFonts w:ascii="Calibri" w:hAnsi="Calibri" w:eastAsia="Times New Roman" w:cs="Calibri"/>
                <w:lang w:eastAsia="nl-NL"/>
              </w:rPr>
            </w:pPr>
            <w:r w:rsidRPr="00025D4C">
              <w:rPr>
                <w:rFonts w:ascii="Calibri" w:hAnsi="Calibri" w:eastAsia="Times New Roman" w:cs="Calibri"/>
                <w:lang w:eastAsia="nl-NL"/>
              </w:rPr>
              <w:t>Epe</w:t>
            </w:r>
          </w:p>
        </w:tc>
        <w:tc>
          <w:tcPr>
            <w:tcW w:w="3018" w:type="dxa"/>
            <w:shd w:val="clear" w:color="auto" w:fill="auto"/>
            <w:noWrap/>
            <w:hideMark/>
          </w:tcPr>
          <w:p w:rsidRPr="00025D4C" w:rsidR="003D5BD0" w:rsidP="00CB43DF" w:rsidRDefault="003D5BD0" w14:paraId="40027B37"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310</w:t>
            </w:r>
          </w:p>
        </w:tc>
      </w:tr>
      <w:tr w:rsidRPr="00025D4C" w:rsidR="003D5BD0" w:rsidTr="00CB43DF" w14:paraId="062A6685" w14:textId="77777777">
        <w:trPr>
          <w:trHeight w:val="330"/>
        </w:trPr>
        <w:tc>
          <w:tcPr>
            <w:tcW w:w="3681" w:type="dxa"/>
            <w:shd w:val="clear" w:color="auto" w:fill="auto"/>
            <w:hideMark/>
          </w:tcPr>
          <w:p w:rsidRPr="00025D4C" w:rsidR="003D5BD0" w:rsidP="00CB43DF" w:rsidRDefault="003D5BD0" w14:paraId="705FE82E" w14:textId="77777777">
            <w:pPr>
              <w:rPr>
                <w:rFonts w:ascii="Calibri" w:hAnsi="Calibri" w:eastAsia="Times New Roman" w:cs="Calibri"/>
                <w:lang w:eastAsia="nl-NL"/>
              </w:rPr>
            </w:pPr>
            <w:r w:rsidRPr="00025D4C">
              <w:rPr>
                <w:rFonts w:ascii="Calibri" w:hAnsi="Calibri" w:eastAsia="Times New Roman" w:cs="Calibri"/>
                <w:lang w:eastAsia="nl-NL"/>
              </w:rPr>
              <w:t>Goeree-Overflakkee</w:t>
            </w:r>
          </w:p>
        </w:tc>
        <w:tc>
          <w:tcPr>
            <w:tcW w:w="3018" w:type="dxa"/>
            <w:shd w:val="clear" w:color="auto" w:fill="auto"/>
            <w:noWrap/>
            <w:hideMark/>
          </w:tcPr>
          <w:p w:rsidRPr="00025D4C" w:rsidR="003D5BD0" w:rsidP="00CB43DF" w:rsidRDefault="003D5BD0" w14:paraId="2A5B286B"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300</w:t>
            </w:r>
          </w:p>
        </w:tc>
      </w:tr>
      <w:tr w:rsidRPr="00025D4C" w:rsidR="003D5BD0" w:rsidTr="00CB43DF" w14:paraId="5BAFF5CC" w14:textId="77777777">
        <w:trPr>
          <w:trHeight w:val="330"/>
        </w:trPr>
        <w:tc>
          <w:tcPr>
            <w:tcW w:w="3681" w:type="dxa"/>
            <w:shd w:val="clear" w:color="auto" w:fill="auto"/>
            <w:hideMark/>
          </w:tcPr>
          <w:p w:rsidRPr="00025D4C" w:rsidR="003D5BD0" w:rsidP="00CB43DF" w:rsidRDefault="003D5BD0" w14:paraId="23ABA109" w14:textId="77777777">
            <w:pPr>
              <w:rPr>
                <w:rFonts w:ascii="Calibri" w:hAnsi="Calibri" w:eastAsia="Times New Roman" w:cs="Calibri"/>
                <w:lang w:eastAsia="nl-NL"/>
              </w:rPr>
            </w:pPr>
            <w:r w:rsidRPr="00025D4C">
              <w:rPr>
                <w:rFonts w:ascii="Calibri" w:hAnsi="Calibri" w:eastAsia="Times New Roman" w:cs="Calibri"/>
                <w:lang w:eastAsia="nl-NL"/>
              </w:rPr>
              <w:t>Capelle aan den IJssel</w:t>
            </w:r>
          </w:p>
        </w:tc>
        <w:tc>
          <w:tcPr>
            <w:tcW w:w="3018" w:type="dxa"/>
            <w:shd w:val="clear" w:color="auto" w:fill="auto"/>
            <w:noWrap/>
            <w:hideMark/>
          </w:tcPr>
          <w:p w:rsidRPr="00025D4C" w:rsidR="003D5BD0" w:rsidP="00CB43DF" w:rsidRDefault="003D5BD0" w14:paraId="0A4D89E6"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300</w:t>
            </w:r>
          </w:p>
        </w:tc>
      </w:tr>
      <w:tr w:rsidRPr="00025D4C" w:rsidR="003D5BD0" w:rsidTr="00CB43DF" w14:paraId="48AF4B5F" w14:textId="77777777">
        <w:trPr>
          <w:trHeight w:val="330"/>
        </w:trPr>
        <w:tc>
          <w:tcPr>
            <w:tcW w:w="3681" w:type="dxa"/>
            <w:shd w:val="clear" w:color="auto" w:fill="auto"/>
            <w:hideMark/>
          </w:tcPr>
          <w:p w:rsidRPr="00025D4C" w:rsidR="003D5BD0" w:rsidP="00CB43DF" w:rsidRDefault="003D5BD0" w14:paraId="08758AA0" w14:textId="77777777">
            <w:pPr>
              <w:rPr>
                <w:rFonts w:ascii="Calibri" w:hAnsi="Calibri" w:eastAsia="Times New Roman" w:cs="Calibri"/>
                <w:lang w:eastAsia="nl-NL"/>
              </w:rPr>
            </w:pPr>
            <w:r w:rsidRPr="00025D4C">
              <w:rPr>
                <w:rFonts w:ascii="Calibri" w:hAnsi="Calibri" w:eastAsia="Times New Roman" w:cs="Calibri"/>
                <w:lang w:eastAsia="nl-NL"/>
              </w:rPr>
              <w:t xml:space="preserve">De </w:t>
            </w:r>
            <w:proofErr w:type="spellStart"/>
            <w:r w:rsidRPr="00025D4C">
              <w:rPr>
                <w:rFonts w:ascii="Calibri" w:hAnsi="Calibri" w:eastAsia="Times New Roman" w:cs="Calibri"/>
                <w:lang w:eastAsia="nl-NL"/>
              </w:rPr>
              <w:t>Fryske</w:t>
            </w:r>
            <w:proofErr w:type="spellEnd"/>
            <w:r w:rsidRPr="00025D4C">
              <w:rPr>
                <w:rFonts w:ascii="Calibri" w:hAnsi="Calibri" w:eastAsia="Times New Roman" w:cs="Calibri"/>
                <w:lang w:eastAsia="nl-NL"/>
              </w:rPr>
              <w:t xml:space="preserve"> Marren</w:t>
            </w:r>
          </w:p>
        </w:tc>
        <w:tc>
          <w:tcPr>
            <w:tcW w:w="3018" w:type="dxa"/>
            <w:shd w:val="clear" w:color="auto" w:fill="auto"/>
            <w:noWrap/>
            <w:hideMark/>
          </w:tcPr>
          <w:p w:rsidRPr="00025D4C" w:rsidR="003D5BD0" w:rsidP="00CB43DF" w:rsidRDefault="003D5BD0" w14:paraId="2053C4BD"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300</w:t>
            </w:r>
          </w:p>
        </w:tc>
      </w:tr>
      <w:tr w:rsidRPr="00025D4C" w:rsidR="003D5BD0" w:rsidTr="00CB43DF" w14:paraId="2C6DC4EC" w14:textId="77777777">
        <w:trPr>
          <w:trHeight w:val="330"/>
        </w:trPr>
        <w:tc>
          <w:tcPr>
            <w:tcW w:w="3681" w:type="dxa"/>
            <w:shd w:val="clear" w:color="auto" w:fill="auto"/>
            <w:hideMark/>
          </w:tcPr>
          <w:p w:rsidRPr="00025D4C" w:rsidR="003D5BD0" w:rsidP="00CB43DF" w:rsidRDefault="003D5BD0" w14:paraId="07EB44A5" w14:textId="77777777">
            <w:pPr>
              <w:rPr>
                <w:rFonts w:ascii="Calibri" w:hAnsi="Calibri" w:eastAsia="Times New Roman" w:cs="Calibri"/>
                <w:lang w:eastAsia="nl-NL"/>
              </w:rPr>
            </w:pPr>
            <w:r w:rsidRPr="00025D4C">
              <w:rPr>
                <w:rFonts w:ascii="Calibri" w:hAnsi="Calibri" w:eastAsia="Times New Roman" w:cs="Calibri"/>
                <w:lang w:eastAsia="nl-NL"/>
              </w:rPr>
              <w:t>Maashorst</w:t>
            </w:r>
          </w:p>
        </w:tc>
        <w:tc>
          <w:tcPr>
            <w:tcW w:w="3018" w:type="dxa"/>
            <w:shd w:val="clear" w:color="auto" w:fill="auto"/>
            <w:noWrap/>
            <w:hideMark/>
          </w:tcPr>
          <w:p w:rsidRPr="00025D4C" w:rsidR="003D5BD0" w:rsidP="00CB43DF" w:rsidRDefault="003D5BD0" w14:paraId="67B52C34"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290</w:t>
            </w:r>
          </w:p>
        </w:tc>
      </w:tr>
      <w:tr w:rsidRPr="00025D4C" w:rsidR="003D5BD0" w:rsidTr="00CB43DF" w14:paraId="50FFC930" w14:textId="77777777">
        <w:trPr>
          <w:trHeight w:val="330"/>
        </w:trPr>
        <w:tc>
          <w:tcPr>
            <w:tcW w:w="3681" w:type="dxa"/>
            <w:shd w:val="clear" w:color="auto" w:fill="auto"/>
            <w:hideMark/>
          </w:tcPr>
          <w:p w:rsidRPr="00025D4C" w:rsidR="003D5BD0" w:rsidP="00CB43DF" w:rsidRDefault="003D5BD0" w14:paraId="0A285925" w14:textId="77777777">
            <w:pPr>
              <w:rPr>
                <w:rFonts w:ascii="Calibri" w:hAnsi="Calibri" w:eastAsia="Times New Roman" w:cs="Calibri"/>
                <w:lang w:eastAsia="nl-NL"/>
              </w:rPr>
            </w:pPr>
            <w:r w:rsidRPr="00025D4C">
              <w:rPr>
                <w:rFonts w:ascii="Calibri" w:hAnsi="Calibri" w:eastAsia="Times New Roman" w:cs="Calibri"/>
                <w:lang w:eastAsia="nl-NL"/>
              </w:rPr>
              <w:t>Meierijstad</w:t>
            </w:r>
          </w:p>
        </w:tc>
        <w:tc>
          <w:tcPr>
            <w:tcW w:w="3018" w:type="dxa"/>
            <w:shd w:val="clear" w:color="auto" w:fill="auto"/>
            <w:noWrap/>
            <w:hideMark/>
          </w:tcPr>
          <w:p w:rsidRPr="00025D4C" w:rsidR="003D5BD0" w:rsidP="00CB43DF" w:rsidRDefault="003D5BD0" w14:paraId="48F097E3"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290</w:t>
            </w:r>
          </w:p>
        </w:tc>
      </w:tr>
      <w:tr w:rsidRPr="00025D4C" w:rsidR="003D5BD0" w:rsidTr="00CB43DF" w14:paraId="526D352F" w14:textId="77777777">
        <w:trPr>
          <w:trHeight w:val="330"/>
        </w:trPr>
        <w:tc>
          <w:tcPr>
            <w:tcW w:w="3681" w:type="dxa"/>
            <w:shd w:val="clear" w:color="auto" w:fill="auto"/>
            <w:hideMark/>
          </w:tcPr>
          <w:p w:rsidRPr="00025D4C" w:rsidR="003D5BD0" w:rsidP="00CB43DF" w:rsidRDefault="003D5BD0" w14:paraId="7FD61B96" w14:textId="77777777">
            <w:pPr>
              <w:rPr>
                <w:rFonts w:ascii="Calibri" w:hAnsi="Calibri" w:eastAsia="Times New Roman" w:cs="Calibri"/>
                <w:lang w:eastAsia="nl-NL"/>
              </w:rPr>
            </w:pPr>
            <w:r w:rsidRPr="00025D4C">
              <w:rPr>
                <w:rFonts w:ascii="Calibri" w:hAnsi="Calibri" w:eastAsia="Times New Roman" w:cs="Calibri"/>
                <w:lang w:eastAsia="nl-NL"/>
              </w:rPr>
              <w:t>Westerveld</w:t>
            </w:r>
          </w:p>
        </w:tc>
        <w:tc>
          <w:tcPr>
            <w:tcW w:w="3018" w:type="dxa"/>
            <w:shd w:val="clear" w:color="auto" w:fill="auto"/>
            <w:noWrap/>
            <w:hideMark/>
          </w:tcPr>
          <w:p w:rsidRPr="00025D4C" w:rsidR="003D5BD0" w:rsidP="00CB43DF" w:rsidRDefault="003D5BD0" w14:paraId="53ED51F0"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290</w:t>
            </w:r>
          </w:p>
        </w:tc>
      </w:tr>
      <w:tr w:rsidRPr="00025D4C" w:rsidR="003D5BD0" w:rsidTr="00CB43DF" w14:paraId="395CF1D0" w14:textId="77777777">
        <w:trPr>
          <w:trHeight w:val="330"/>
        </w:trPr>
        <w:tc>
          <w:tcPr>
            <w:tcW w:w="3681" w:type="dxa"/>
            <w:shd w:val="clear" w:color="auto" w:fill="auto"/>
            <w:hideMark/>
          </w:tcPr>
          <w:p w:rsidRPr="00025D4C" w:rsidR="003D5BD0" w:rsidP="00CB43DF" w:rsidRDefault="003D5BD0" w14:paraId="429E337A" w14:textId="77777777">
            <w:pPr>
              <w:rPr>
                <w:rFonts w:ascii="Calibri" w:hAnsi="Calibri" w:eastAsia="Times New Roman" w:cs="Calibri"/>
                <w:lang w:eastAsia="nl-NL"/>
              </w:rPr>
            </w:pPr>
            <w:r w:rsidRPr="00025D4C">
              <w:rPr>
                <w:rFonts w:ascii="Calibri" w:hAnsi="Calibri" w:eastAsia="Times New Roman" w:cs="Calibri"/>
                <w:lang w:eastAsia="nl-NL"/>
              </w:rPr>
              <w:t>Oss</w:t>
            </w:r>
          </w:p>
        </w:tc>
        <w:tc>
          <w:tcPr>
            <w:tcW w:w="3018" w:type="dxa"/>
            <w:shd w:val="clear" w:color="auto" w:fill="auto"/>
            <w:noWrap/>
            <w:hideMark/>
          </w:tcPr>
          <w:p w:rsidRPr="00025D4C" w:rsidR="003D5BD0" w:rsidP="00CB43DF" w:rsidRDefault="003D5BD0" w14:paraId="4A299C45"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290</w:t>
            </w:r>
          </w:p>
        </w:tc>
      </w:tr>
      <w:tr w:rsidRPr="00025D4C" w:rsidR="003D5BD0" w:rsidTr="00CB43DF" w14:paraId="0CF634B5" w14:textId="77777777">
        <w:trPr>
          <w:trHeight w:val="330"/>
        </w:trPr>
        <w:tc>
          <w:tcPr>
            <w:tcW w:w="3681" w:type="dxa"/>
            <w:shd w:val="clear" w:color="auto" w:fill="auto"/>
            <w:hideMark/>
          </w:tcPr>
          <w:p w:rsidRPr="00025D4C" w:rsidR="003D5BD0" w:rsidP="00CB43DF" w:rsidRDefault="003D5BD0" w14:paraId="3DB57DDF" w14:textId="77777777">
            <w:pPr>
              <w:rPr>
                <w:rFonts w:ascii="Calibri" w:hAnsi="Calibri" w:eastAsia="Times New Roman" w:cs="Calibri"/>
                <w:lang w:eastAsia="nl-NL"/>
              </w:rPr>
            </w:pPr>
            <w:r w:rsidRPr="00025D4C">
              <w:rPr>
                <w:rFonts w:ascii="Calibri" w:hAnsi="Calibri" w:eastAsia="Times New Roman" w:cs="Calibri"/>
                <w:lang w:eastAsia="nl-NL"/>
              </w:rPr>
              <w:t>Leidschendam-Voorburg</w:t>
            </w:r>
          </w:p>
        </w:tc>
        <w:tc>
          <w:tcPr>
            <w:tcW w:w="3018" w:type="dxa"/>
            <w:shd w:val="clear" w:color="auto" w:fill="auto"/>
            <w:noWrap/>
            <w:hideMark/>
          </w:tcPr>
          <w:p w:rsidRPr="00025D4C" w:rsidR="003D5BD0" w:rsidP="00CB43DF" w:rsidRDefault="003D5BD0" w14:paraId="76AAAE86"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280</w:t>
            </w:r>
          </w:p>
        </w:tc>
      </w:tr>
      <w:tr w:rsidRPr="00025D4C" w:rsidR="003D5BD0" w:rsidTr="00CB43DF" w14:paraId="6FCCEFE2" w14:textId="77777777">
        <w:trPr>
          <w:trHeight w:val="330"/>
        </w:trPr>
        <w:tc>
          <w:tcPr>
            <w:tcW w:w="3681" w:type="dxa"/>
            <w:shd w:val="clear" w:color="auto" w:fill="auto"/>
            <w:hideMark/>
          </w:tcPr>
          <w:p w:rsidRPr="00025D4C" w:rsidR="003D5BD0" w:rsidP="00CB43DF" w:rsidRDefault="003D5BD0" w14:paraId="5C50B821" w14:textId="77777777">
            <w:pPr>
              <w:rPr>
                <w:rFonts w:ascii="Calibri" w:hAnsi="Calibri" w:eastAsia="Times New Roman" w:cs="Calibri"/>
                <w:lang w:eastAsia="nl-NL"/>
              </w:rPr>
            </w:pPr>
            <w:r w:rsidRPr="00025D4C">
              <w:rPr>
                <w:rFonts w:ascii="Calibri" w:hAnsi="Calibri" w:eastAsia="Times New Roman" w:cs="Calibri"/>
                <w:lang w:eastAsia="nl-NL"/>
              </w:rPr>
              <w:t>Renkum</w:t>
            </w:r>
          </w:p>
        </w:tc>
        <w:tc>
          <w:tcPr>
            <w:tcW w:w="3018" w:type="dxa"/>
            <w:shd w:val="clear" w:color="auto" w:fill="auto"/>
            <w:noWrap/>
            <w:hideMark/>
          </w:tcPr>
          <w:p w:rsidRPr="00025D4C" w:rsidR="003D5BD0" w:rsidP="00CB43DF" w:rsidRDefault="003D5BD0" w14:paraId="1FB4A28E"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270</w:t>
            </w:r>
          </w:p>
        </w:tc>
      </w:tr>
      <w:tr w:rsidRPr="00025D4C" w:rsidR="003D5BD0" w:rsidTr="00CB43DF" w14:paraId="048A0D82" w14:textId="77777777">
        <w:trPr>
          <w:trHeight w:val="330"/>
        </w:trPr>
        <w:tc>
          <w:tcPr>
            <w:tcW w:w="3681" w:type="dxa"/>
            <w:shd w:val="clear" w:color="auto" w:fill="auto"/>
            <w:hideMark/>
          </w:tcPr>
          <w:p w:rsidRPr="00025D4C" w:rsidR="003D5BD0" w:rsidP="00CB43DF" w:rsidRDefault="003D5BD0" w14:paraId="241BAA30" w14:textId="77777777">
            <w:pPr>
              <w:rPr>
                <w:rFonts w:ascii="Calibri" w:hAnsi="Calibri" w:eastAsia="Times New Roman" w:cs="Calibri"/>
                <w:lang w:eastAsia="nl-NL"/>
              </w:rPr>
            </w:pPr>
            <w:r w:rsidRPr="00025D4C">
              <w:rPr>
                <w:rFonts w:ascii="Calibri" w:hAnsi="Calibri" w:eastAsia="Times New Roman" w:cs="Calibri"/>
                <w:lang w:eastAsia="nl-NL"/>
              </w:rPr>
              <w:t>Schagen</w:t>
            </w:r>
          </w:p>
        </w:tc>
        <w:tc>
          <w:tcPr>
            <w:tcW w:w="3018" w:type="dxa"/>
            <w:shd w:val="clear" w:color="auto" w:fill="auto"/>
            <w:noWrap/>
            <w:hideMark/>
          </w:tcPr>
          <w:p w:rsidRPr="00025D4C" w:rsidR="003D5BD0" w:rsidP="00CB43DF" w:rsidRDefault="003D5BD0" w14:paraId="545CBB4B"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250</w:t>
            </w:r>
          </w:p>
        </w:tc>
      </w:tr>
      <w:tr w:rsidRPr="00025D4C" w:rsidR="003D5BD0" w:rsidTr="00CB43DF" w14:paraId="14458E1B" w14:textId="77777777">
        <w:trPr>
          <w:trHeight w:val="330"/>
        </w:trPr>
        <w:tc>
          <w:tcPr>
            <w:tcW w:w="3681" w:type="dxa"/>
            <w:shd w:val="clear" w:color="auto" w:fill="auto"/>
            <w:hideMark/>
          </w:tcPr>
          <w:p w:rsidRPr="00025D4C" w:rsidR="003D5BD0" w:rsidP="00CB43DF" w:rsidRDefault="003D5BD0" w14:paraId="3F34DEDC" w14:textId="77777777">
            <w:pPr>
              <w:rPr>
                <w:rFonts w:ascii="Calibri" w:hAnsi="Calibri" w:eastAsia="Times New Roman" w:cs="Calibri"/>
                <w:lang w:eastAsia="nl-NL"/>
              </w:rPr>
            </w:pPr>
            <w:r w:rsidRPr="00025D4C">
              <w:rPr>
                <w:rFonts w:ascii="Calibri" w:hAnsi="Calibri" w:eastAsia="Times New Roman" w:cs="Calibri"/>
                <w:lang w:eastAsia="nl-NL"/>
              </w:rPr>
              <w:t>Veenendaal</w:t>
            </w:r>
          </w:p>
        </w:tc>
        <w:tc>
          <w:tcPr>
            <w:tcW w:w="3018" w:type="dxa"/>
            <w:shd w:val="clear" w:color="auto" w:fill="auto"/>
            <w:noWrap/>
            <w:hideMark/>
          </w:tcPr>
          <w:p w:rsidRPr="00025D4C" w:rsidR="003D5BD0" w:rsidP="00CB43DF" w:rsidRDefault="003D5BD0" w14:paraId="6A568552"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240</w:t>
            </w:r>
          </w:p>
        </w:tc>
      </w:tr>
      <w:tr w:rsidRPr="00025D4C" w:rsidR="003D5BD0" w:rsidTr="00CB43DF" w14:paraId="0CB3CFB0" w14:textId="77777777">
        <w:trPr>
          <w:trHeight w:val="330"/>
        </w:trPr>
        <w:tc>
          <w:tcPr>
            <w:tcW w:w="3681" w:type="dxa"/>
            <w:shd w:val="clear" w:color="auto" w:fill="auto"/>
            <w:hideMark/>
          </w:tcPr>
          <w:p w:rsidRPr="00025D4C" w:rsidR="003D5BD0" w:rsidP="00CB43DF" w:rsidRDefault="003D5BD0" w14:paraId="4B696A30" w14:textId="77777777">
            <w:pPr>
              <w:rPr>
                <w:rFonts w:ascii="Calibri" w:hAnsi="Calibri" w:eastAsia="Times New Roman" w:cs="Calibri"/>
                <w:lang w:eastAsia="nl-NL"/>
              </w:rPr>
            </w:pPr>
            <w:proofErr w:type="spellStart"/>
            <w:r w:rsidRPr="00025D4C">
              <w:rPr>
                <w:rFonts w:ascii="Calibri" w:hAnsi="Calibri" w:eastAsia="Times New Roman" w:cs="Calibri"/>
                <w:lang w:eastAsia="nl-NL"/>
              </w:rPr>
              <w:lastRenderedPageBreak/>
              <w:t>Beekdaelen</w:t>
            </w:r>
            <w:proofErr w:type="spellEnd"/>
          </w:p>
        </w:tc>
        <w:tc>
          <w:tcPr>
            <w:tcW w:w="3018" w:type="dxa"/>
            <w:shd w:val="clear" w:color="auto" w:fill="auto"/>
            <w:noWrap/>
            <w:hideMark/>
          </w:tcPr>
          <w:p w:rsidRPr="00025D4C" w:rsidR="003D5BD0" w:rsidP="00CB43DF" w:rsidRDefault="003D5BD0" w14:paraId="261B9F1D"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240</w:t>
            </w:r>
          </w:p>
        </w:tc>
      </w:tr>
      <w:tr w:rsidRPr="00025D4C" w:rsidR="003D5BD0" w:rsidTr="00CB43DF" w14:paraId="7092707B" w14:textId="77777777">
        <w:trPr>
          <w:trHeight w:val="330"/>
        </w:trPr>
        <w:tc>
          <w:tcPr>
            <w:tcW w:w="3681" w:type="dxa"/>
            <w:shd w:val="clear" w:color="auto" w:fill="auto"/>
            <w:hideMark/>
          </w:tcPr>
          <w:p w:rsidRPr="00025D4C" w:rsidR="003D5BD0" w:rsidP="00CB43DF" w:rsidRDefault="003D5BD0" w14:paraId="69335698" w14:textId="77777777">
            <w:pPr>
              <w:rPr>
                <w:rFonts w:ascii="Calibri" w:hAnsi="Calibri" w:eastAsia="Times New Roman" w:cs="Calibri"/>
                <w:lang w:eastAsia="nl-NL"/>
              </w:rPr>
            </w:pPr>
            <w:r w:rsidRPr="00025D4C">
              <w:rPr>
                <w:rFonts w:ascii="Calibri" w:hAnsi="Calibri" w:eastAsia="Times New Roman" w:cs="Calibri"/>
                <w:lang w:eastAsia="nl-NL"/>
              </w:rPr>
              <w:t>Etten-Leur</w:t>
            </w:r>
          </w:p>
        </w:tc>
        <w:tc>
          <w:tcPr>
            <w:tcW w:w="3018" w:type="dxa"/>
            <w:shd w:val="clear" w:color="auto" w:fill="auto"/>
            <w:noWrap/>
            <w:hideMark/>
          </w:tcPr>
          <w:p w:rsidRPr="00025D4C" w:rsidR="003D5BD0" w:rsidP="00CB43DF" w:rsidRDefault="003D5BD0" w14:paraId="718E063E"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240</w:t>
            </w:r>
          </w:p>
        </w:tc>
      </w:tr>
      <w:tr w:rsidRPr="00025D4C" w:rsidR="003D5BD0" w:rsidTr="00CB43DF" w14:paraId="3427BAB1" w14:textId="77777777">
        <w:trPr>
          <w:trHeight w:val="330"/>
        </w:trPr>
        <w:tc>
          <w:tcPr>
            <w:tcW w:w="3681" w:type="dxa"/>
            <w:shd w:val="clear" w:color="auto" w:fill="auto"/>
            <w:hideMark/>
          </w:tcPr>
          <w:p w:rsidRPr="00025D4C" w:rsidR="003D5BD0" w:rsidP="00CB43DF" w:rsidRDefault="003D5BD0" w14:paraId="3CF2178B" w14:textId="77777777">
            <w:pPr>
              <w:rPr>
                <w:rFonts w:ascii="Calibri" w:hAnsi="Calibri" w:eastAsia="Times New Roman" w:cs="Calibri"/>
                <w:lang w:eastAsia="nl-NL"/>
              </w:rPr>
            </w:pPr>
            <w:r w:rsidRPr="00025D4C">
              <w:rPr>
                <w:rFonts w:ascii="Calibri" w:hAnsi="Calibri" w:eastAsia="Times New Roman" w:cs="Calibri"/>
                <w:lang w:eastAsia="nl-NL"/>
              </w:rPr>
              <w:t>Vaals</w:t>
            </w:r>
          </w:p>
        </w:tc>
        <w:tc>
          <w:tcPr>
            <w:tcW w:w="3018" w:type="dxa"/>
            <w:shd w:val="clear" w:color="auto" w:fill="auto"/>
            <w:noWrap/>
            <w:hideMark/>
          </w:tcPr>
          <w:p w:rsidRPr="00025D4C" w:rsidR="003D5BD0" w:rsidP="00CB43DF" w:rsidRDefault="003D5BD0" w14:paraId="2E7E08E3"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220</w:t>
            </w:r>
          </w:p>
        </w:tc>
      </w:tr>
      <w:tr w:rsidRPr="00025D4C" w:rsidR="003D5BD0" w:rsidTr="00CB43DF" w14:paraId="08F67BD9" w14:textId="77777777">
        <w:trPr>
          <w:trHeight w:val="330"/>
        </w:trPr>
        <w:tc>
          <w:tcPr>
            <w:tcW w:w="3681" w:type="dxa"/>
            <w:shd w:val="clear" w:color="auto" w:fill="auto"/>
            <w:hideMark/>
          </w:tcPr>
          <w:p w:rsidRPr="00025D4C" w:rsidR="003D5BD0" w:rsidP="00CB43DF" w:rsidRDefault="003D5BD0" w14:paraId="7331E40D" w14:textId="77777777">
            <w:pPr>
              <w:rPr>
                <w:rFonts w:ascii="Calibri" w:hAnsi="Calibri" w:eastAsia="Times New Roman" w:cs="Calibri"/>
                <w:lang w:eastAsia="nl-NL"/>
              </w:rPr>
            </w:pPr>
            <w:r w:rsidRPr="00025D4C">
              <w:rPr>
                <w:rFonts w:ascii="Calibri" w:hAnsi="Calibri" w:eastAsia="Times New Roman" w:cs="Calibri"/>
                <w:lang w:eastAsia="nl-NL"/>
              </w:rPr>
              <w:t>Rijssen-Holten</w:t>
            </w:r>
          </w:p>
        </w:tc>
        <w:tc>
          <w:tcPr>
            <w:tcW w:w="3018" w:type="dxa"/>
            <w:shd w:val="clear" w:color="auto" w:fill="auto"/>
            <w:noWrap/>
            <w:hideMark/>
          </w:tcPr>
          <w:p w:rsidRPr="00025D4C" w:rsidR="003D5BD0" w:rsidP="00CB43DF" w:rsidRDefault="003D5BD0" w14:paraId="5C06B910"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220</w:t>
            </w:r>
          </w:p>
        </w:tc>
      </w:tr>
      <w:tr w:rsidRPr="00025D4C" w:rsidR="003D5BD0" w:rsidTr="00CB43DF" w14:paraId="44630E67" w14:textId="77777777">
        <w:trPr>
          <w:trHeight w:val="330"/>
        </w:trPr>
        <w:tc>
          <w:tcPr>
            <w:tcW w:w="3681" w:type="dxa"/>
            <w:shd w:val="clear" w:color="auto" w:fill="auto"/>
            <w:hideMark/>
          </w:tcPr>
          <w:p w:rsidRPr="00025D4C" w:rsidR="003D5BD0" w:rsidP="00CB43DF" w:rsidRDefault="003D5BD0" w14:paraId="72F9EFEC" w14:textId="77777777">
            <w:pPr>
              <w:rPr>
                <w:rFonts w:ascii="Calibri" w:hAnsi="Calibri" w:eastAsia="Times New Roman" w:cs="Calibri"/>
                <w:lang w:eastAsia="nl-NL"/>
              </w:rPr>
            </w:pPr>
            <w:r w:rsidRPr="00025D4C">
              <w:rPr>
                <w:rFonts w:ascii="Calibri" w:hAnsi="Calibri" w:eastAsia="Times New Roman" w:cs="Calibri"/>
                <w:lang w:eastAsia="nl-NL"/>
              </w:rPr>
              <w:t>Waterland</w:t>
            </w:r>
          </w:p>
        </w:tc>
        <w:tc>
          <w:tcPr>
            <w:tcW w:w="3018" w:type="dxa"/>
            <w:shd w:val="clear" w:color="auto" w:fill="auto"/>
            <w:noWrap/>
            <w:hideMark/>
          </w:tcPr>
          <w:p w:rsidRPr="00025D4C" w:rsidR="003D5BD0" w:rsidP="00CB43DF" w:rsidRDefault="003D5BD0" w14:paraId="7976247F"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220</w:t>
            </w:r>
          </w:p>
        </w:tc>
      </w:tr>
      <w:tr w:rsidRPr="00025D4C" w:rsidR="003D5BD0" w:rsidTr="00CB43DF" w14:paraId="12C9E57B" w14:textId="77777777">
        <w:trPr>
          <w:trHeight w:val="330"/>
        </w:trPr>
        <w:tc>
          <w:tcPr>
            <w:tcW w:w="3681" w:type="dxa"/>
            <w:shd w:val="clear" w:color="auto" w:fill="auto"/>
            <w:hideMark/>
          </w:tcPr>
          <w:p w:rsidRPr="00025D4C" w:rsidR="003D5BD0" w:rsidP="00CB43DF" w:rsidRDefault="003D5BD0" w14:paraId="272C5F69" w14:textId="77777777">
            <w:pPr>
              <w:rPr>
                <w:rFonts w:ascii="Calibri" w:hAnsi="Calibri" w:eastAsia="Times New Roman" w:cs="Calibri"/>
                <w:lang w:eastAsia="nl-NL"/>
              </w:rPr>
            </w:pPr>
            <w:r w:rsidRPr="00025D4C">
              <w:rPr>
                <w:rFonts w:ascii="Calibri" w:hAnsi="Calibri" w:eastAsia="Times New Roman" w:cs="Calibri"/>
                <w:lang w:eastAsia="nl-NL"/>
              </w:rPr>
              <w:t>Nieuwegein</w:t>
            </w:r>
          </w:p>
        </w:tc>
        <w:tc>
          <w:tcPr>
            <w:tcW w:w="3018" w:type="dxa"/>
            <w:shd w:val="clear" w:color="auto" w:fill="auto"/>
            <w:noWrap/>
            <w:hideMark/>
          </w:tcPr>
          <w:p w:rsidRPr="00025D4C" w:rsidR="003D5BD0" w:rsidP="00CB43DF" w:rsidRDefault="003D5BD0" w14:paraId="6C54F863"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210</w:t>
            </w:r>
          </w:p>
        </w:tc>
      </w:tr>
      <w:tr w:rsidRPr="00025D4C" w:rsidR="003D5BD0" w:rsidTr="00CB43DF" w14:paraId="37538CD0" w14:textId="77777777">
        <w:trPr>
          <w:trHeight w:val="330"/>
        </w:trPr>
        <w:tc>
          <w:tcPr>
            <w:tcW w:w="3681" w:type="dxa"/>
            <w:shd w:val="clear" w:color="auto" w:fill="auto"/>
            <w:hideMark/>
          </w:tcPr>
          <w:p w:rsidRPr="00025D4C" w:rsidR="003D5BD0" w:rsidP="00CB43DF" w:rsidRDefault="003D5BD0" w14:paraId="6675485E" w14:textId="77777777">
            <w:pPr>
              <w:rPr>
                <w:rFonts w:ascii="Calibri" w:hAnsi="Calibri" w:eastAsia="Times New Roman" w:cs="Calibri"/>
                <w:lang w:eastAsia="nl-NL"/>
              </w:rPr>
            </w:pPr>
            <w:r w:rsidRPr="00025D4C">
              <w:rPr>
                <w:rFonts w:ascii="Calibri" w:hAnsi="Calibri" w:eastAsia="Times New Roman" w:cs="Calibri"/>
                <w:lang w:eastAsia="nl-NL"/>
              </w:rPr>
              <w:t>Horst aan de Maas</w:t>
            </w:r>
          </w:p>
        </w:tc>
        <w:tc>
          <w:tcPr>
            <w:tcW w:w="3018" w:type="dxa"/>
            <w:shd w:val="clear" w:color="auto" w:fill="auto"/>
            <w:noWrap/>
            <w:hideMark/>
          </w:tcPr>
          <w:p w:rsidRPr="00025D4C" w:rsidR="003D5BD0" w:rsidP="00CB43DF" w:rsidRDefault="003D5BD0" w14:paraId="3C663031"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210</w:t>
            </w:r>
          </w:p>
        </w:tc>
      </w:tr>
      <w:tr w:rsidRPr="00025D4C" w:rsidR="003D5BD0" w:rsidTr="00CB43DF" w14:paraId="16646B70" w14:textId="77777777">
        <w:trPr>
          <w:trHeight w:val="330"/>
        </w:trPr>
        <w:tc>
          <w:tcPr>
            <w:tcW w:w="3681" w:type="dxa"/>
            <w:shd w:val="clear" w:color="auto" w:fill="auto"/>
            <w:hideMark/>
          </w:tcPr>
          <w:p w:rsidRPr="00025D4C" w:rsidR="003D5BD0" w:rsidP="00CB43DF" w:rsidRDefault="003D5BD0" w14:paraId="1B4DC635" w14:textId="77777777">
            <w:pPr>
              <w:rPr>
                <w:rFonts w:ascii="Calibri" w:hAnsi="Calibri" w:eastAsia="Times New Roman" w:cs="Calibri"/>
                <w:lang w:eastAsia="nl-NL"/>
              </w:rPr>
            </w:pPr>
            <w:r w:rsidRPr="00025D4C">
              <w:rPr>
                <w:rFonts w:ascii="Calibri" w:hAnsi="Calibri" w:eastAsia="Times New Roman" w:cs="Calibri"/>
                <w:lang w:eastAsia="nl-NL"/>
              </w:rPr>
              <w:t>Hendrik-Ido-Ambacht</w:t>
            </w:r>
          </w:p>
        </w:tc>
        <w:tc>
          <w:tcPr>
            <w:tcW w:w="3018" w:type="dxa"/>
            <w:shd w:val="clear" w:color="auto" w:fill="auto"/>
            <w:noWrap/>
            <w:hideMark/>
          </w:tcPr>
          <w:p w:rsidRPr="00025D4C" w:rsidR="003D5BD0" w:rsidP="00CB43DF" w:rsidRDefault="003D5BD0" w14:paraId="11B98D0A"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210</w:t>
            </w:r>
          </w:p>
        </w:tc>
      </w:tr>
      <w:tr w:rsidRPr="00025D4C" w:rsidR="003D5BD0" w:rsidTr="00CB43DF" w14:paraId="07FE6653" w14:textId="77777777">
        <w:trPr>
          <w:trHeight w:val="330"/>
        </w:trPr>
        <w:tc>
          <w:tcPr>
            <w:tcW w:w="3681" w:type="dxa"/>
            <w:shd w:val="clear" w:color="auto" w:fill="auto"/>
            <w:hideMark/>
          </w:tcPr>
          <w:p w:rsidRPr="00025D4C" w:rsidR="003D5BD0" w:rsidP="00CB43DF" w:rsidRDefault="003D5BD0" w14:paraId="257A6102" w14:textId="77777777">
            <w:pPr>
              <w:rPr>
                <w:rFonts w:ascii="Calibri" w:hAnsi="Calibri" w:eastAsia="Times New Roman" w:cs="Calibri"/>
                <w:lang w:eastAsia="nl-NL"/>
              </w:rPr>
            </w:pPr>
            <w:r w:rsidRPr="00025D4C">
              <w:rPr>
                <w:rFonts w:ascii="Calibri" w:hAnsi="Calibri" w:eastAsia="Times New Roman" w:cs="Calibri"/>
                <w:lang w:eastAsia="nl-NL"/>
              </w:rPr>
              <w:t>Blaricum</w:t>
            </w:r>
          </w:p>
        </w:tc>
        <w:tc>
          <w:tcPr>
            <w:tcW w:w="3018" w:type="dxa"/>
            <w:shd w:val="clear" w:color="auto" w:fill="auto"/>
            <w:noWrap/>
            <w:hideMark/>
          </w:tcPr>
          <w:p w:rsidRPr="00025D4C" w:rsidR="003D5BD0" w:rsidP="00CB43DF" w:rsidRDefault="003D5BD0" w14:paraId="62E861D7"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210</w:t>
            </w:r>
          </w:p>
        </w:tc>
      </w:tr>
      <w:tr w:rsidRPr="00025D4C" w:rsidR="003D5BD0" w:rsidTr="00CB43DF" w14:paraId="1A499598" w14:textId="77777777">
        <w:trPr>
          <w:trHeight w:val="330"/>
        </w:trPr>
        <w:tc>
          <w:tcPr>
            <w:tcW w:w="3681" w:type="dxa"/>
            <w:shd w:val="clear" w:color="auto" w:fill="auto"/>
            <w:hideMark/>
          </w:tcPr>
          <w:p w:rsidRPr="00025D4C" w:rsidR="003D5BD0" w:rsidP="00CB43DF" w:rsidRDefault="003D5BD0" w14:paraId="45A8433C" w14:textId="77777777">
            <w:pPr>
              <w:rPr>
                <w:rFonts w:ascii="Calibri" w:hAnsi="Calibri" w:eastAsia="Times New Roman" w:cs="Calibri"/>
                <w:lang w:eastAsia="nl-NL"/>
              </w:rPr>
            </w:pPr>
            <w:r w:rsidRPr="00025D4C">
              <w:rPr>
                <w:rFonts w:ascii="Calibri" w:hAnsi="Calibri" w:eastAsia="Times New Roman" w:cs="Calibri"/>
                <w:lang w:eastAsia="nl-NL"/>
              </w:rPr>
              <w:t>Meppel</w:t>
            </w:r>
          </w:p>
        </w:tc>
        <w:tc>
          <w:tcPr>
            <w:tcW w:w="3018" w:type="dxa"/>
            <w:shd w:val="clear" w:color="auto" w:fill="auto"/>
            <w:noWrap/>
            <w:hideMark/>
          </w:tcPr>
          <w:p w:rsidRPr="00025D4C" w:rsidR="003D5BD0" w:rsidP="00CB43DF" w:rsidRDefault="003D5BD0" w14:paraId="632840C4"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210</w:t>
            </w:r>
          </w:p>
        </w:tc>
      </w:tr>
      <w:tr w:rsidRPr="00025D4C" w:rsidR="003D5BD0" w:rsidTr="00CB43DF" w14:paraId="70D18E11" w14:textId="77777777">
        <w:trPr>
          <w:trHeight w:val="330"/>
        </w:trPr>
        <w:tc>
          <w:tcPr>
            <w:tcW w:w="3681" w:type="dxa"/>
            <w:shd w:val="clear" w:color="auto" w:fill="auto"/>
            <w:hideMark/>
          </w:tcPr>
          <w:p w:rsidRPr="00025D4C" w:rsidR="003D5BD0" w:rsidP="00CB43DF" w:rsidRDefault="003D5BD0" w14:paraId="13FC9B66" w14:textId="77777777">
            <w:pPr>
              <w:rPr>
                <w:rFonts w:ascii="Calibri" w:hAnsi="Calibri" w:eastAsia="Times New Roman" w:cs="Calibri"/>
                <w:lang w:eastAsia="nl-NL"/>
              </w:rPr>
            </w:pPr>
            <w:r w:rsidRPr="00025D4C">
              <w:rPr>
                <w:rFonts w:ascii="Calibri" w:hAnsi="Calibri" w:eastAsia="Times New Roman" w:cs="Calibri"/>
                <w:lang w:eastAsia="nl-NL"/>
              </w:rPr>
              <w:t>Woerden</w:t>
            </w:r>
          </w:p>
        </w:tc>
        <w:tc>
          <w:tcPr>
            <w:tcW w:w="3018" w:type="dxa"/>
            <w:shd w:val="clear" w:color="auto" w:fill="auto"/>
            <w:noWrap/>
            <w:hideMark/>
          </w:tcPr>
          <w:p w:rsidRPr="00025D4C" w:rsidR="003D5BD0" w:rsidP="00CB43DF" w:rsidRDefault="003D5BD0" w14:paraId="5CE24DDA"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210</w:t>
            </w:r>
          </w:p>
        </w:tc>
      </w:tr>
      <w:tr w:rsidRPr="00025D4C" w:rsidR="003D5BD0" w:rsidTr="00CB43DF" w14:paraId="43F1C52B" w14:textId="77777777">
        <w:trPr>
          <w:trHeight w:val="330"/>
        </w:trPr>
        <w:tc>
          <w:tcPr>
            <w:tcW w:w="3681" w:type="dxa"/>
            <w:shd w:val="clear" w:color="auto" w:fill="auto"/>
            <w:hideMark/>
          </w:tcPr>
          <w:p w:rsidRPr="00025D4C" w:rsidR="003D5BD0" w:rsidP="00CB43DF" w:rsidRDefault="003D5BD0" w14:paraId="32441544" w14:textId="77777777">
            <w:pPr>
              <w:rPr>
                <w:rFonts w:ascii="Calibri" w:hAnsi="Calibri" w:eastAsia="Times New Roman" w:cs="Calibri"/>
                <w:lang w:eastAsia="nl-NL"/>
              </w:rPr>
            </w:pPr>
            <w:r w:rsidRPr="00025D4C">
              <w:rPr>
                <w:rFonts w:ascii="Calibri" w:hAnsi="Calibri" w:eastAsia="Times New Roman" w:cs="Calibri"/>
                <w:lang w:eastAsia="nl-NL"/>
              </w:rPr>
              <w:t>Leusden</w:t>
            </w:r>
          </w:p>
        </w:tc>
        <w:tc>
          <w:tcPr>
            <w:tcW w:w="3018" w:type="dxa"/>
            <w:shd w:val="clear" w:color="auto" w:fill="auto"/>
            <w:noWrap/>
            <w:hideMark/>
          </w:tcPr>
          <w:p w:rsidRPr="00025D4C" w:rsidR="003D5BD0" w:rsidP="00CB43DF" w:rsidRDefault="003D5BD0" w14:paraId="78F0AB8A"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200</w:t>
            </w:r>
          </w:p>
        </w:tc>
      </w:tr>
      <w:tr w:rsidRPr="00025D4C" w:rsidR="003D5BD0" w:rsidTr="00CB43DF" w14:paraId="4D421BF6" w14:textId="77777777">
        <w:trPr>
          <w:trHeight w:val="330"/>
        </w:trPr>
        <w:tc>
          <w:tcPr>
            <w:tcW w:w="3681" w:type="dxa"/>
            <w:shd w:val="clear" w:color="auto" w:fill="auto"/>
            <w:hideMark/>
          </w:tcPr>
          <w:p w:rsidRPr="00025D4C" w:rsidR="003D5BD0" w:rsidP="00CB43DF" w:rsidRDefault="003D5BD0" w14:paraId="2D25DC29" w14:textId="77777777">
            <w:pPr>
              <w:rPr>
                <w:rFonts w:ascii="Calibri" w:hAnsi="Calibri" w:eastAsia="Times New Roman" w:cs="Calibri"/>
                <w:lang w:eastAsia="nl-NL"/>
              </w:rPr>
            </w:pPr>
            <w:r w:rsidRPr="00025D4C">
              <w:rPr>
                <w:rFonts w:ascii="Calibri" w:hAnsi="Calibri" w:eastAsia="Times New Roman" w:cs="Calibri"/>
                <w:lang w:eastAsia="nl-NL"/>
              </w:rPr>
              <w:t>Huizen</w:t>
            </w:r>
          </w:p>
        </w:tc>
        <w:tc>
          <w:tcPr>
            <w:tcW w:w="3018" w:type="dxa"/>
            <w:shd w:val="clear" w:color="auto" w:fill="auto"/>
            <w:noWrap/>
            <w:hideMark/>
          </w:tcPr>
          <w:p w:rsidRPr="00025D4C" w:rsidR="003D5BD0" w:rsidP="00CB43DF" w:rsidRDefault="003D5BD0" w14:paraId="207BED0F"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200</w:t>
            </w:r>
          </w:p>
        </w:tc>
      </w:tr>
      <w:tr w:rsidRPr="00025D4C" w:rsidR="003D5BD0" w:rsidTr="00CB43DF" w14:paraId="23EAAAB3" w14:textId="77777777">
        <w:trPr>
          <w:trHeight w:val="330"/>
        </w:trPr>
        <w:tc>
          <w:tcPr>
            <w:tcW w:w="3681" w:type="dxa"/>
            <w:shd w:val="clear" w:color="auto" w:fill="auto"/>
            <w:hideMark/>
          </w:tcPr>
          <w:p w:rsidRPr="00025D4C" w:rsidR="003D5BD0" w:rsidP="00CB43DF" w:rsidRDefault="003D5BD0" w14:paraId="7C377917" w14:textId="77777777">
            <w:pPr>
              <w:rPr>
                <w:rFonts w:ascii="Calibri" w:hAnsi="Calibri" w:eastAsia="Times New Roman" w:cs="Calibri"/>
                <w:lang w:eastAsia="nl-NL"/>
              </w:rPr>
            </w:pPr>
            <w:r w:rsidRPr="00025D4C">
              <w:rPr>
                <w:rFonts w:ascii="Calibri" w:hAnsi="Calibri" w:eastAsia="Times New Roman" w:cs="Calibri"/>
                <w:lang w:eastAsia="nl-NL"/>
              </w:rPr>
              <w:t>Dalfsen</w:t>
            </w:r>
          </w:p>
        </w:tc>
        <w:tc>
          <w:tcPr>
            <w:tcW w:w="3018" w:type="dxa"/>
            <w:shd w:val="clear" w:color="auto" w:fill="auto"/>
            <w:noWrap/>
            <w:hideMark/>
          </w:tcPr>
          <w:p w:rsidRPr="00025D4C" w:rsidR="003D5BD0" w:rsidP="00CB43DF" w:rsidRDefault="003D5BD0" w14:paraId="772D678E"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190</w:t>
            </w:r>
          </w:p>
        </w:tc>
      </w:tr>
      <w:tr w:rsidRPr="00025D4C" w:rsidR="003D5BD0" w:rsidTr="00CB43DF" w14:paraId="44031DB0" w14:textId="77777777">
        <w:trPr>
          <w:trHeight w:val="330"/>
        </w:trPr>
        <w:tc>
          <w:tcPr>
            <w:tcW w:w="3681" w:type="dxa"/>
            <w:shd w:val="clear" w:color="auto" w:fill="auto"/>
            <w:hideMark/>
          </w:tcPr>
          <w:p w:rsidRPr="00025D4C" w:rsidR="003D5BD0" w:rsidP="00CB43DF" w:rsidRDefault="003D5BD0" w14:paraId="7CA34F18" w14:textId="77777777">
            <w:pPr>
              <w:rPr>
                <w:rFonts w:ascii="Calibri" w:hAnsi="Calibri" w:eastAsia="Times New Roman" w:cs="Calibri"/>
                <w:lang w:eastAsia="nl-NL"/>
              </w:rPr>
            </w:pPr>
            <w:r w:rsidRPr="00025D4C">
              <w:rPr>
                <w:rFonts w:ascii="Calibri" w:hAnsi="Calibri" w:eastAsia="Times New Roman" w:cs="Calibri"/>
                <w:lang w:eastAsia="nl-NL"/>
              </w:rPr>
              <w:t>Ooststellingwerf</w:t>
            </w:r>
          </w:p>
        </w:tc>
        <w:tc>
          <w:tcPr>
            <w:tcW w:w="3018" w:type="dxa"/>
            <w:shd w:val="clear" w:color="auto" w:fill="auto"/>
            <w:noWrap/>
            <w:hideMark/>
          </w:tcPr>
          <w:p w:rsidRPr="00025D4C" w:rsidR="003D5BD0" w:rsidP="00CB43DF" w:rsidRDefault="003D5BD0" w14:paraId="201E4328"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190</w:t>
            </w:r>
          </w:p>
        </w:tc>
      </w:tr>
      <w:tr w:rsidRPr="00025D4C" w:rsidR="003D5BD0" w:rsidTr="00CB43DF" w14:paraId="1C32709B" w14:textId="77777777">
        <w:trPr>
          <w:trHeight w:val="330"/>
        </w:trPr>
        <w:tc>
          <w:tcPr>
            <w:tcW w:w="3681" w:type="dxa"/>
            <w:shd w:val="clear" w:color="auto" w:fill="auto"/>
            <w:hideMark/>
          </w:tcPr>
          <w:p w:rsidRPr="00025D4C" w:rsidR="003D5BD0" w:rsidP="00CB43DF" w:rsidRDefault="003D5BD0" w14:paraId="4696BFB4" w14:textId="77777777">
            <w:pPr>
              <w:rPr>
                <w:rFonts w:ascii="Calibri" w:hAnsi="Calibri" w:eastAsia="Times New Roman" w:cs="Calibri"/>
                <w:lang w:eastAsia="nl-NL"/>
              </w:rPr>
            </w:pPr>
            <w:r w:rsidRPr="00025D4C">
              <w:rPr>
                <w:rFonts w:ascii="Calibri" w:hAnsi="Calibri" w:eastAsia="Times New Roman" w:cs="Calibri"/>
                <w:lang w:eastAsia="nl-NL"/>
              </w:rPr>
              <w:t>Hilversum</w:t>
            </w:r>
          </w:p>
        </w:tc>
        <w:tc>
          <w:tcPr>
            <w:tcW w:w="3018" w:type="dxa"/>
            <w:shd w:val="clear" w:color="auto" w:fill="auto"/>
            <w:noWrap/>
            <w:hideMark/>
          </w:tcPr>
          <w:p w:rsidRPr="00025D4C" w:rsidR="003D5BD0" w:rsidP="00CB43DF" w:rsidRDefault="003D5BD0" w14:paraId="20454345"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180</w:t>
            </w:r>
          </w:p>
        </w:tc>
      </w:tr>
      <w:tr w:rsidRPr="00025D4C" w:rsidR="003D5BD0" w:rsidTr="00CB43DF" w14:paraId="3FD9B412" w14:textId="77777777">
        <w:trPr>
          <w:trHeight w:val="330"/>
        </w:trPr>
        <w:tc>
          <w:tcPr>
            <w:tcW w:w="3681" w:type="dxa"/>
            <w:shd w:val="clear" w:color="auto" w:fill="auto"/>
            <w:hideMark/>
          </w:tcPr>
          <w:p w:rsidRPr="00025D4C" w:rsidR="003D5BD0" w:rsidP="00CB43DF" w:rsidRDefault="003D5BD0" w14:paraId="5616A92C" w14:textId="77777777">
            <w:pPr>
              <w:rPr>
                <w:rFonts w:ascii="Calibri" w:hAnsi="Calibri" w:eastAsia="Times New Roman" w:cs="Calibri"/>
                <w:lang w:eastAsia="nl-NL"/>
              </w:rPr>
            </w:pPr>
            <w:r w:rsidRPr="00025D4C">
              <w:rPr>
                <w:rFonts w:ascii="Calibri" w:hAnsi="Calibri" w:eastAsia="Times New Roman" w:cs="Calibri"/>
                <w:lang w:eastAsia="nl-NL"/>
              </w:rPr>
              <w:t>Tilburg</w:t>
            </w:r>
          </w:p>
        </w:tc>
        <w:tc>
          <w:tcPr>
            <w:tcW w:w="3018" w:type="dxa"/>
            <w:shd w:val="clear" w:color="auto" w:fill="auto"/>
            <w:noWrap/>
            <w:hideMark/>
          </w:tcPr>
          <w:p w:rsidRPr="00025D4C" w:rsidR="003D5BD0" w:rsidP="00CB43DF" w:rsidRDefault="003D5BD0" w14:paraId="3E64E609"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180</w:t>
            </w:r>
          </w:p>
        </w:tc>
      </w:tr>
      <w:tr w:rsidRPr="00025D4C" w:rsidR="003D5BD0" w:rsidTr="00CB43DF" w14:paraId="70815DDD" w14:textId="77777777">
        <w:trPr>
          <w:trHeight w:val="330"/>
        </w:trPr>
        <w:tc>
          <w:tcPr>
            <w:tcW w:w="3681" w:type="dxa"/>
            <w:shd w:val="clear" w:color="auto" w:fill="auto"/>
            <w:hideMark/>
          </w:tcPr>
          <w:p w:rsidRPr="00025D4C" w:rsidR="003D5BD0" w:rsidP="00CB43DF" w:rsidRDefault="003D5BD0" w14:paraId="1DDDF759" w14:textId="77777777">
            <w:pPr>
              <w:rPr>
                <w:rFonts w:ascii="Calibri" w:hAnsi="Calibri" w:eastAsia="Times New Roman" w:cs="Calibri"/>
                <w:lang w:eastAsia="nl-NL"/>
              </w:rPr>
            </w:pPr>
            <w:r w:rsidRPr="00025D4C">
              <w:rPr>
                <w:rFonts w:ascii="Calibri" w:hAnsi="Calibri" w:eastAsia="Times New Roman" w:cs="Calibri"/>
                <w:lang w:eastAsia="nl-NL"/>
              </w:rPr>
              <w:t>Zundert</w:t>
            </w:r>
          </w:p>
        </w:tc>
        <w:tc>
          <w:tcPr>
            <w:tcW w:w="3018" w:type="dxa"/>
            <w:shd w:val="clear" w:color="auto" w:fill="auto"/>
            <w:noWrap/>
            <w:hideMark/>
          </w:tcPr>
          <w:p w:rsidRPr="00025D4C" w:rsidR="003D5BD0" w:rsidP="00CB43DF" w:rsidRDefault="003D5BD0" w14:paraId="6766DEE1"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180</w:t>
            </w:r>
          </w:p>
        </w:tc>
      </w:tr>
      <w:tr w:rsidRPr="00025D4C" w:rsidR="003D5BD0" w:rsidTr="00CB43DF" w14:paraId="5071E8F9" w14:textId="77777777">
        <w:trPr>
          <w:trHeight w:val="330"/>
        </w:trPr>
        <w:tc>
          <w:tcPr>
            <w:tcW w:w="3681" w:type="dxa"/>
            <w:shd w:val="clear" w:color="auto" w:fill="auto"/>
            <w:hideMark/>
          </w:tcPr>
          <w:p w:rsidRPr="00025D4C" w:rsidR="003D5BD0" w:rsidP="00CB43DF" w:rsidRDefault="003D5BD0" w14:paraId="2DFAD85A" w14:textId="77777777">
            <w:pPr>
              <w:rPr>
                <w:rFonts w:ascii="Calibri" w:hAnsi="Calibri" w:eastAsia="Times New Roman" w:cs="Calibri"/>
                <w:lang w:eastAsia="nl-NL"/>
              </w:rPr>
            </w:pPr>
            <w:r w:rsidRPr="00025D4C">
              <w:rPr>
                <w:rFonts w:ascii="Calibri" w:hAnsi="Calibri" w:eastAsia="Times New Roman" w:cs="Calibri"/>
                <w:lang w:eastAsia="nl-NL"/>
              </w:rPr>
              <w:t>Oegstgeest</w:t>
            </w:r>
          </w:p>
        </w:tc>
        <w:tc>
          <w:tcPr>
            <w:tcW w:w="3018" w:type="dxa"/>
            <w:shd w:val="clear" w:color="auto" w:fill="auto"/>
            <w:noWrap/>
            <w:hideMark/>
          </w:tcPr>
          <w:p w:rsidRPr="00025D4C" w:rsidR="003D5BD0" w:rsidP="00CB43DF" w:rsidRDefault="003D5BD0" w14:paraId="0B4AD249"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180</w:t>
            </w:r>
          </w:p>
        </w:tc>
      </w:tr>
      <w:tr w:rsidRPr="00025D4C" w:rsidR="003D5BD0" w:rsidTr="00CB43DF" w14:paraId="2A8A1BFF" w14:textId="77777777">
        <w:trPr>
          <w:trHeight w:val="330"/>
        </w:trPr>
        <w:tc>
          <w:tcPr>
            <w:tcW w:w="3681" w:type="dxa"/>
            <w:shd w:val="clear" w:color="auto" w:fill="auto"/>
            <w:hideMark/>
          </w:tcPr>
          <w:p w:rsidRPr="00025D4C" w:rsidR="003D5BD0" w:rsidP="00CB43DF" w:rsidRDefault="003D5BD0" w14:paraId="3D0389F9" w14:textId="77777777">
            <w:pPr>
              <w:rPr>
                <w:rFonts w:ascii="Calibri" w:hAnsi="Calibri" w:eastAsia="Times New Roman" w:cs="Calibri"/>
                <w:lang w:eastAsia="nl-NL"/>
              </w:rPr>
            </w:pPr>
            <w:r w:rsidRPr="00025D4C">
              <w:rPr>
                <w:rFonts w:ascii="Calibri" w:hAnsi="Calibri" w:eastAsia="Times New Roman" w:cs="Calibri"/>
                <w:lang w:eastAsia="nl-NL"/>
              </w:rPr>
              <w:t>Oldambt</w:t>
            </w:r>
          </w:p>
        </w:tc>
        <w:tc>
          <w:tcPr>
            <w:tcW w:w="3018" w:type="dxa"/>
            <w:shd w:val="clear" w:color="auto" w:fill="auto"/>
            <w:noWrap/>
            <w:hideMark/>
          </w:tcPr>
          <w:p w:rsidRPr="00025D4C" w:rsidR="003D5BD0" w:rsidP="00CB43DF" w:rsidRDefault="003D5BD0" w14:paraId="4BD0F66A"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180</w:t>
            </w:r>
          </w:p>
        </w:tc>
      </w:tr>
      <w:tr w:rsidRPr="00025D4C" w:rsidR="003D5BD0" w:rsidTr="00CB43DF" w14:paraId="3B5F2BCD" w14:textId="77777777">
        <w:trPr>
          <w:trHeight w:val="330"/>
        </w:trPr>
        <w:tc>
          <w:tcPr>
            <w:tcW w:w="3681" w:type="dxa"/>
            <w:shd w:val="clear" w:color="auto" w:fill="auto"/>
            <w:hideMark/>
          </w:tcPr>
          <w:p w:rsidRPr="00025D4C" w:rsidR="003D5BD0" w:rsidP="00CB43DF" w:rsidRDefault="003D5BD0" w14:paraId="0F60D729" w14:textId="77777777">
            <w:pPr>
              <w:rPr>
                <w:rFonts w:ascii="Calibri" w:hAnsi="Calibri" w:eastAsia="Times New Roman" w:cs="Calibri"/>
                <w:lang w:eastAsia="nl-NL"/>
              </w:rPr>
            </w:pPr>
            <w:r w:rsidRPr="00025D4C">
              <w:rPr>
                <w:rFonts w:ascii="Calibri" w:hAnsi="Calibri" w:eastAsia="Times New Roman" w:cs="Calibri"/>
                <w:lang w:eastAsia="nl-NL"/>
              </w:rPr>
              <w:t>Tynaarlo</w:t>
            </w:r>
          </w:p>
        </w:tc>
        <w:tc>
          <w:tcPr>
            <w:tcW w:w="3018" w:type="dxa"/>
            <w:shd w:val="clear" w:color="auto" w:fill="auto"/>
            <w:noWrap/>
            <w:hideMark/>
          </w:tcPr>
          <w:p w:rsidRPr="00025D4C" w:rsidR="003D5BD0" w:rsidP="00CB43DF" w:rsidRDefault="003D5BD0" w14:paraId="112B0B5A"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180</w:t>
            </w:r>
          </w:p>
        </w:tc>
      </w:tr>
      <w:tr w:rsidRPr="00025D4C" w:rsidR="003D5BD0" w:rsidTr="00CB43DF" w14:paraId="38BD6E56" w14:textId="77777777">
        <w:trPr>
          <w:trHeight w:val="330"/>
        </w:trPr>
        <w:tc>
          <w:tcPr>
            <w:tcW w:w="3681" w:type="dxa"/>
            <w:shd w:val="clear" w:color="auto" w:fill="auto"/>
            <w:hideMark/>
          </w:tcPr>
          <w:p w:rsidRPr="00025D4C" w:rsidR="003D5BD0" w:rsidP="00CB43DF" w:rsidRDefault="003D5BD0" w14:paraId="4D20227A" w14:textId="77777777">
            <w:pPr>
              <w:rPr>
                <w:rFonts w:ascii="Calibri" w:hAnsi="Calibri" w:eastAsia="Times New Roman" w:cs="Calibri"/>
                <w:lang w:eastAsia="nl-NL"/>
              </w:rPr>
            </w:pPr>
            <w:r w:rsidRPr="00025D4C">
              <w:rPr>
                <w:rFonts w:ascii="Calibri" w:hAnsi="Calibri" w:eastAsia="Times New Roman" w:cs="Calibri"/>
                <w:lang w:eastAsia="nl-NL"/>
              </w:rPr>
              <w:t>Moerdijk</w:t>
            </w:r>
          </w:p>
        </w:tc>
        <w:tc>
          <w:tcPr>
            <w:tcW w:w="3018" w:type="dxa"/>
            <w:shd w:val="clear" w:color="auto" w:fill="auto"/>
            <w:noWrap/>
            <w:hideMark/>
          </w:tcPr>
          <w:p w:rsidRPr="00025D4C" w:rsidR="003D5BD0" w:rsidP="00CB43DF" w:rsidRDefault="003D5BD0" w14:paraId="64D77557"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180</w:t>
            </w:r>
          </w:p>
        </w:tc>
      </w:tr>
      <w:tr w:rsidRPr="00025D4C" w:rsidR="003D5BD0" w:rsidTr="00CB43DF" w14:paraId="3DA89C98" w14:textId="77777777">
        <w:trPr>
          <w:trHeight w:val="330"/>
        </w:trPr>
        <w:tc>
          <w:tcPr>
            <w:tcW w:w="3681" w:type="dxa"/>
            <w:shd w:val="clear" w:color="auto" w:fill="auto"/>
            <w:hideMark/>
          </w:tcPr>
          <w:p w:rsidRPr="00025D4C" w:rsidR="003D5BD0" w:rsidP="00CB43DF" w:rsidRDefault="003D5BD0" w14:paraId="563EAA04" w14:textId="77777777">
            <w:pPr>
              <w:rPr>
                <w:rFonts w:ascii="Calibri" w:hAnsi="Calibri" w:eastAsia="Times New Roman" w:cs="Calibri"/>
                <w:lang w:eastAsia="nl-NL"/>
              </w:rPr>
            </w:pPr>
            <w:r w:rsidRPr="00025D4C">
              <w:rPr>
                <w:rFonts w:ascii="Calibri" w:hAnsi="Calibri" w:eastAsia="Times New Roman" w:cs="Calibri"/>
                <w:lang w:eastAsia="nl-NL"/>
              </w:rPr>
              <w:t>Schiedam</w:t>
            </w:r>
          </w:p>
        </w:tc>
        <w:tc>
          <w:tcPr>
            <w:tcW w:w="3018" w:type="dxa"/>
            <w:shd w:val="clear" w:color="auto" w:fill="auto"/>
            <w:noWrap/>
            <w:hideMark/>
          </w:tcPr>
          <w:p w:rsidRPr="00025D4C" w:rsidR="003D5BD0" w:rsidP="00CB43DF" w:rsidRDefault="003D5BD0" w14:paraId="3D0D2DF3"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180</w:t>
            </w:r>
          </w:p>
        </w:tc>
      </w:tr>
      <w:tr w:rsidRPr="00025D4C" w:rsidR="003D5BD0" w:rsidTr="00CB43DF" w14:paraId="15DB8BC5" w14:textId="77777777">
        <w:trPr>
          <w:trHeight w:val="330"/>
        </w:trPr>
        <w:tc>
          <w:tcPr>
            <w:tcW w:w="3681" w:type="dxa"/>
            <w:shd w:val="clear" w:color="auto" w:fill="auto"/>
            <w:hideMark/>
          </w:tcPr>
          <w:p w:rsidRPr="00025D4C" w:rsidR="003D5BD0" w:rsidP="00CB43DF" w:rsidRDefault="003D5BD0" w14:paraId="088C3A7B" w14:textId="77777777">
            <w:pPr>
              <w:rPr>
                <w:rFonts w:ascii="Calibri" w:hAnsi="Calibri" w:eastAsia="Times New Roman" w:cs="Calibri"/>
                <w:lang w:eastAsia="nl-NL"/>
              </w:rPr>
            </w:pPr>
            <w:r w:rsidRPr="00025D4C">
              <w:rPr>
                <w:rFonts w:ascii="Calibri" w:hAnsi="Calibri" w:eastAsia="Times New Roman" w:cs="Calibri"/>
                <w:lang w:eastAsia="nl-NL"/>
              </w:rPr>
              <w:t>Dongen</w:t>
            </w:r>
          </w:p>
        </w:tc>
        <w:tc>
          <w:tcPr>
            <w:tcW w:w="3018" w:type="dxa"/>
            <w:shd w:val="clear" w:color="auto" w:fill="auto"/>
            <w:noWrap/>
            <w:hideMark/>
          </w:tcPr>
          <w:p w:rsidRPr="00025D4C" w:rsidR="003D5BD0" w:rsidP="00CB43DF" w:rsidRDefault="003D5BD0" w14:paraId="06AC2A33"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170</w:t>
            </w:r>
          </w:p>
        </w:tc>
      </w:tr>
      <w:tr w:rsidRPr="00025D4C" w:rsidR="003D5BD0" w:rsidTr="00CB43DF" w14:paraId="5BF77F18" w14:textId="77777777">
        <w:trPr>
          <w:trHeight w:val="330"/>
        </w:trPr>
        <w:tc>
          <w:tcPr>
            <w:tcW w:w="3681" w:type="dxa"/>
            <w:shd w:val="clear" w:color="auto" w:fill="auto"/>
            <w:hideMark/>
          </w:tcPr>
          <w:p w:rsidRPr="00025D4C" w:rsidR="003D5BD0" w:rsidP="00CB43DF" w:rsidRDefault="003D5BD0" w14:paraId="228DC29C" w14:textId="77777777">
            <w:pPr>
              <w:rPr>
                <w:rFonts w:ascii="Calibri" w:hAnsi="Calibri" w:eastAsia="Times New Roman" w:cs="Calibri"/>
                <w:lang w:eastAsia="nl-NL"/>
              </w:rPr>
            </w:pPr>
            <w:r w:rsidRPr="00025D4C">
              <w:rPr>
                <w:rFonts w:ascii="Calibri" w:hAnsi="Calibri" w:eastAsia="Times New Roman" w:cs="Calibri"/>
                <w:lang w:eastAsia="nl-NL"/>
              </w:rPr>
              <w:t>Harlingen</w:t>
            </w:r>
          </w:p>
        </w:tc>
        <w:tc>
          <w:tcPr>
            <w:tcW w:w="3018" w:type="dxa"/>
            <w:shd w:val="clear" w:color="auto" w:fill="auto"/>
            <w:noWrap/>
            <w:hideMark/>
          </w:tcPr>
          <w:p w:rsidRPr="00025D4C" w:rsidR="003D5BD0" w:rsidP="00CB43DF" w:rsidRDefault="003D5BD0" w14:paraId="336F9D6F"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170</w:t>
            </w:r>
          </w:p>
        </w:tc>
      </w:tr>
      <w:tr w:rsidRPr="00025D4C" w:rsidR="003D5BD0" w:rsidTr="00CB43DF" w14:paraId="308444FF" w14:textId="77777777">
        <w:trPr>
          <w:trHeight w:val="330"/>
        </w:trPr>
        <w:tc>
          <w:tcPr>
            <w:tcW w:w="3681" w:type="dxa"/>
            <w:shd w:val="clear" w:color="auto" w:fill="auto"/>
            <w:hideMark/>
          </w:tcPr>
          <w:p w:rsidRPr="00025D4C" w:rsidR="003D5BD0" w:rsidP="00CB43DF" w:rsidRDefault="003D5BD0" w14:paraId="40D39868" w14:textId="77777777">
            <w:pPr>
              <w:rPr>
                <w:rFonts w:ascii="Calibri" w:hAnsi="Calibri" w:eastAsia="Times New Roman" w:cs="Calibri"/>
                <w:lang w:eastAsia="nl-NL"/>
              </w:rPr>
            </w:pPr>
            <w:r w:rsidRPr="00025D4C">
              <w:rPr>
                <w:rFonts w:ascii="Calibri" w:hAnsi="Calibri" w:eastAsia="Times New Roman" w:cs="Calibri"/>
                <w:lang w:eastAsia="nl-NL"/>
              </w:rPr>
              <w:t>Leiderdorp</w:t>
            </w:r>
          </w:p>
        </w:tc>
        <w:tc>
          <w:tcPr>
            <w:tcW w:w="3018" w:type="dxa"/>
            <w:shd w:val="clear" w:color="auto" w:fill="auto"/>
            <w:noWrap/>
            <w:hideMark/>
          </w:tcPr>
          <w:p w:rsidRPr="00025D4C" w:rsidR="003D5BD0" w:rsidP="00CB43DF" w:rsidRDefault="003D5BD0" w14:paraId="108A9BB6"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170</w:t>
            </w:r>
          </w:p>
        </w:tc>
      </w:tr>
      <w:tr w:rsidRPr="00025D4C" w:rsidR="003D5BD0" w:rsidTr="00CB43DF" w14:paraId="78725CD5" w14:textId="77777777">
        <w:trPr>
          <w:trHeight w:val="330"/>
        </w:trPr>
        <w:tc>
          <w:tcPr>
            <w:tcW w:w="3681" w:type="dxa"/>
            <w:shd w:val="clear" w:color="auto" w:fill="auto"/>
            <w:hideMark/>
          </w:tcPr>
          <w:p w:rsidRPr="00025D4C" w:rsidR="003D5BD0" w:rsidP="00CB43DF" w:rsidRDefault="003D5BD0" w14:paraId="5D57C719" w14:textId="77777777">
            <w:pPr>
              <w:rPr>
                <w:rFonts w:ascii="Calibri" w:hAnsi="Calibri" w:eastAsia="Times New Roman" w:cs="Calibri"/>
                <w:lang w:eastAsia="nl-NL"/>
              </w:rPr>
            </w:pPr>
            <w:r w:rsidRPr="00025D4C">
              <w:rPr>
                <w:rFonts w:ascii="Calibri" w:hAnsi="Calibri" w:eastAsia="Times New Roman" w:cs="Calibri"/>
                <w:lang w:eastAsia="nl-NL"/>
              </w:rPr>
              <w:t>Voorschoten</w:t>
            </w:r>
          </w:p>
        </w:tc>
        <w:tc>
          <w:tcPr>
            <w:tcW w:w="3018" w:type="dxa"/>
            <w:shd w:val="clear" w:color="auto" w:fill="auto"/>
            <w:noWrap/>
            <w:hideMark/>
          </w:tcPr>
          <w:p w:rsidRPr="00025D4C" w:rsidR="003D5BD0" w:rsidP="00CB43DF" w:rsidRDefault="003D5BD0" w14:paraId="0B7DE978"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160</w:t>
            </w:r>
          </w:p>
        </w:tc>
      </w:tr>
      <w:tr w:rsidRPr="00025D4C" w:rsidR="003D5BD0" w:rsidTr="00CB43DF" w14:paraId="26D0778C" w14:textId="77777777">
        <w:trPr>
          <w:trHeight w:val="330"/>
        </w:trPr>
        <w:tc>
          <w:tcPr>
            <w:tcW w:w="3681" w:type="dxa"/>
            <w:shd w:val="clear" w:color="auto" w:fill="auto"/>
            <w:hideMark/>
          </w:tcPr>
          <w:p w:rsidRPr="00025D4C" w:rsidR="003D5BD0" w:rsidP="00CB43DF" w:rsidRDefault="003D5BD0" w14:paraId="56605914" w14:textId="77777777">
            <w:pPr>
              <w:rPr>
                <w:rFonts w:ascii="Calibri" w:hAnsi="Calibri" w:eastAsia="Times New Roman" w:cs="Calibri"/>
                <w:lang w:eastAsia="nl-NL"/>
              </w:rPr>
            </w:pPr>
            <w:r w:rsidRPr="00025D4C">
              <w:rPr>
                <w:rFonts w:ascii="Calibri" w:hAnsi="Calibri" w:eastAsia="Times New Roman" w:cs="Calibri"/>
                <w:lang w:eastAsia="nl-NL"/>
              </w:rPr>
              <w:t>Someren</w:t>
            </w:r>
          </w:p>
        </w:tc>
        <w:tc>
          <w:tcPr>
            <w:tcW w:w="3018" w:type="dxa"/>
            <w:shd w:val="clear" w:color="auto" w:fill="auto"/>
            <w:noWrap/>
            <w:hideMark/>
          </w:tcPr>
          <w:p w:rsidRPr="00025D4C" w:rsidR="003D5BD0" w:rsidP="00CB43DF" w:rsidRDefault="003D5BD0" w14:paraId="49463E4A"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160</w:t>
            </w:r>
          </w:p>
        </w:tc>
      </w:tr>
      <w:tr w:rsidRPr="00025D4C" w:rsidR="003D5BD0" w:rsidTr="00CB43DF" w14:paraId="1FC28772" w14:textId="77777777">
        <w:trPr>
          <w:trHeight w:val="330"/>
        </w:trPr>
        <w:tc>
          <w:tcPr>
            <w:tcW w:w="3681" w:type="dxa"/>
            <w:shd w:val="clear" w:color="auto" w:fill="auto"/>
            <w:hideMark/>
          </w:tcPr>
          <w:p w:rsidRPr="00025D4C" w:rsidR="003D5BD0" w:rsidP="00CB43DF" w:rsidRDefault="003D5BD0" w14:paraId="26870775" w14:textId="77777777">
            <w:pPr>
              <w:rPr>
                <w:rFonts w:ascii="Calibri" w:hAnsi="Calibri" w:eastAsia="Times New Roman" w:cs="Calibri"/>
                <w:lang w:eastAsia="nl-NL"/>
              </w:rPr>
            </w:pPr>
            <w:r w:rsidRPr="00025D4C">
              <w:rPr>
                <w:rFonts w:ascii="Calibri" w:hAnsi="Calibri" w:eastAsia="Times New Roman" w:cs="Calibri"/>
                <w:lang w:eastAsia="nl-NL"/>
              </w:rPr>
              <w:t>Maassluis</w:t>
            </w:r>
          </w:p>
        </w:tc>
        <w:tc>
          <w:tcPr>
            <w:tcW w:w="3018" w:type="dxa"/>
            <w:shd w:val="clear" w:color="auto" w:fill="auto"/>
            <w:noWrap/>
            <w:hideMark/>
          </w:tcPr>
          <w:p w:rsidRPr="00025D4C" w:rsidR="003D5BD0" w:rsidP="00CB43DF" w:rsidRDefault="003D5BD0" w14:paraId="2535E5ED"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150</w:t>
            </w:r>
          </w:p>
        </w:tc>
      </w:tr>
      <w:tr w:rsidRPr="00025D4C" w:rsidR="003D5BD0" w:rsidTr="00CB43DF" w14:paraId="3AA63203" w14:textId="77777777">
        <w:trPr>
          <w:trHeight w:val="330"/>
        </w:trPr>
        <w:tc>
          <w:tcPr>
            <w:tcW w:w="3681" w:type="dxa"/>
            <w:shd w:val="clear" w:color="auto" w:fill="auto"/>
            <w:hideMark/>
          </w:tcPr>
          <w:p w:rsidRPr="00025D4C" w:rsidR="003D5BD0" w:rsidP="00CB43DF" w:rsidRDefault="003D5BD0" w14:paraId="04D2EBCC" w14:textId="77777777">
            <w:pPr>
              <w:rPr>
                <w:rFonts w:ascii="Calibri" w:hAnsi="Calibri" w:eastAsia="Times New Roman" w:cs="Calibri"/>
                <w:lang w:eastAsia="nl-NL"/>
              </w:rPr>
            </w:pPr>
            <w:r w:rsidRPr="00025D4C">
              <w:rPr>
                <w:rFonts w:ascii="Calibri" w:hAnsi="Calibri" w:eastAsia="Times New Roman" w:cs="Calibri"/>
                <w:lang w:eastAsia="nl-NL"/>
              </w:rPr>
              <w:t>Krimpen aan den IJssel</w:t>
            </w:r>
          </w:p>
        </w:tc>
        <w:tc>
          <w:tcPr>
            <w:tcW w:w="3018" w:type="dxa"/>
            <w:shd w:val="clear" w:color="auto" w:fill="auto"/>
            <w:noWrap/>
            <w:hideMark/>
          </w:tcPr>
          <w:p w:rsidRPr="00025D4C" w:rsidR="003D5BD0" w:rsidP="00CB43DF" w:rsidRDefault="003D5BD0" w14:paraId="2AAC9A3F"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150</w:t>
            </w:r>
          </w:p>
        </w:tc>
      </w:tr>
      <w:tr w:rsidRPr="00025D4C" w:rsidR="003D5BD0" w:rsidTr="00CB43DF" w14:paraId="488AEE3D" w14:textId="77777777">
        <w:trPr>
          <w:trHeight w:val="330"/>
        </w:trPr>
        <w:tc>
          <w:tcPr>
            <w:tcW w:w="3681" w:type="dxa"/>
            <w:shd w:val="clear" w:color="auto" w:fill="auto"/>
            <w:hideMark/>
          </w:tcPr>
          <w:p w:rsidRPr="00025D4C" w:rsidR="003D5BD0" w:rsidP="00CB43DF" w:rsidRDefault="003D5BD0" w14:paraId="14D96FBD" w14:textId="77777777">
            <w:pPr>
              <w:rPr>
                <w:rFonts w:ascii="Calibri" w:hAnsi="Calibri" w:eastAsia="Times New Roman" w:cs="Calibri"/>
                <w:lang w:eastAsia="nl-NL"/>
              </w:rPr>
            </w:pPr>
            <w:r w:rsidRPr="00025D4C">
              <w:rPr>
                <w:rFonts w:ascii="Calibri" w:hAnsi="Calibri" w:eastAsia="Times New Roman" w:cs="Calibri"/>
                <w:lang w:eastAsia="nl-NL"/>
              </w:rPr>
              <w:t>Tubbergen</w:t>
            </w:r>
          </w:p>
        </w:tc>
        <w:tc>
          <w:tcPr>
            <w:tcW w:w="3018" w:type="dxa"/>
            <w:shd w:val="clear" w:color="auto" w:fill="auto"/>
            <w:noWrap/>
            <w:hideMark/>
          </w:tcPr>
          <w:p w:rsidRPr="00025D4C" w:rsidR="003D5BD0" w:rsidP="00CB43DF" w:rsidRDefault="003D5BD0" w14:paraId="74A0668C"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150</w:t>
            </w:r>
          </w:p>
        </w:tc>
      </w:tr>
      <w:tr w:rsidRPr="00025D4C" w:rsidR="003D5BD0" w:rsidTr="00CB43DF" w14:paraId="69B72A36" w14:textId="77777777">
        <w:trPr>
          <w:trHeight w:val="330"/>
        </w:trPr>
        <w:tc>
          <w:tcPr>
            <w:tcW w:w="3681" w:type="dxa"/>
            <w:shd w:val="clear" w:color="auto" w:fill="auto"/>
            <w:hideMark/>
          </w:tcPr>
          <w:p w:rsidRPr="00025D4C" w:rsidR="003D5BD0" w:rsidP="00CB43DF" w:rsidRDefault="003D5BD0" w14:paraId="14E26ADC" w14:textId="77777777">
            <w:pPr>
              <w:rPr>
                <w:rFonts w:ascii="Calibri" w:hAnsi="Calibri" w:eastAsia="Times New Roman" w:cs="Calibri"/>
                <w:lang w:eastAsia="nl-NL"/>
              </w:rPr>
            </w:pPr>
            <w:r w:rsidRPr="00025D4C">
              <w:rPr>
                <w:rFonts w:ascii="Calibri" w:hAnsi="Calibri" w:eastAsia="Times New Roman" w:cs="Calibri"/>
                <w:lang w:eastAsia="nl-NL"/>
              </w:rPr>
              <w:t>Baarn</w:t>
            </w:r>
          </w:p>
        </w:tc>
        <w:tc>
          <w:tcPr>
            <w:tcW w:w="3018" w:type="dxa"/>
            <w:shd w:val="clear" w:color="auto" w:fill="auto"/>
            <w:noWrap/>
            <w:hideMark/>
          </w:tcPr>
          <w:p w:rsidRPr="00025D4C" w:rsidR="003D5BD0" w:rsidP="00CB43DF" w:rsidRDefault="003D5BD0" w14:paraId="4D2A4573"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150</w:t>
            </w:r>
          </w:p>
        </w:tc>
      </w:tr>
      <w:tr w:rsidRPr="00025D4C" w:rsidR="003D5BD0" w:rsidTr="00CB43DF" w14:paraId="5775766B" w14:textId="77777777">
        <w:trPr>
          <w:trHeight w:val="330"/>
        </w:trPr>
        <w:tc>
          <w:tcPr>
            <w:tcW w:w="3681" w:type="dxa"/>
            <w:shd w:val="clear" w:color="auto" w:fill="auto"/>
            <w:hideMark/>
          </w:tcPr>
          <w:p w:rsidRPr="00025D4C" w:rsidR="003D5BD0" w:rsidP="00CB43DF" w:rsidRDefault="003D5BD0" w14:paraId="32DB46DD" w14:textId="77777777">
            <w:pPr>
              <w:rPr>
                <w:rFonts w:ascii="Calibri" w:hAnsi="Calibri" w:eastAsia="Times New Roman" w:cs="Calibri"/>
                <w:lang w:eastAsia="nl-NL"/>
              </w:rPr>
            </w:pPr>
            <w:r w:rsidRPr="00025D4C">
              <w:rPr>
                <w:rFonts w:ascii="Calibri" w:hAnsi="Calibri" w:eastAsia="Times New Roman" w:cs="Calibri"/>
                <w:lang w:eastAsia="nl-NL"/>
              </w:rPr>
              <w:t>Alkmaar</w:t>
            </w:r>
          </w:p>
        </w:tc>
        <w:tc>
          <w:tcPr>
            <w:tcW w:w="3018" w:type="dxa"/>
            <w:shd w:val="clear" w:color="auto" w:fill="auto"/>
            <w:noWrap/>
            <w:hideMark/>
          </w:tcPr>
          <w:p w:rsidRPr="00025D4C" w:rsidR="003D5BD0" w:rsidP="00CB43DF" w:rsidRDefault="003D5BD0" w14:paraId="213A5FAF"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150</w:t>
            </w:r>
          </w:p>
        </w:tc>
      </w:tr>
      <w:tr w:rsidRPr="00025D4C" w:rsidR="003D5BD0" w:rsidTr="00CB43DF" w14:paraId="5A103517" w14:textId="77777777">
        <w:trPr>
          <w:trHeight w:val="330"/>
        </w:trPr>
        <w:tc>
          <w:tcPr>
            <w:tcW w:w="3681" w:type="dxa"/>
            <w:shd w:val="clear" w:color="auto" w:fill="auto"/>
            <w:hideMark/>
          </w:tcPr>
          <w:p w:rsidRPr="00025D4C" w:rsidR="003D5BD0" w:rsidP="00CB43DF" w:rsidRDefault="003D5BD0" w14:paraId="504CC967" w14:textId="77777777">
            <w:pPr>
              <w:rPr>
                <w:rFonts w:ascii="Calibri" w:hAnsi="Calibri" w:eastAsia="Times New Roman" w:cs="Calibri"/>
                <w:lang w:eastAsia="nl-NL"/>
              </w:rPr>
            </w:pPr>
            <w:r w:rsidRPr="00025D4C">
              <w:rPr>
                <w:rFonts w:ascii="Calibri" w:hAnsi="Calibri" w:eastAsia="Times New Roman" w:cs="Calibri"/>
                <w:lang w:eastAsia="nl-NL"/>
              </w:rPr>
              <w:t>Gorinchem</w:t>
            </w:r>
          </w:p>
        </w:tc>
        <w:tc>
          <w:tcPr>
            <w:tcW w:w="3018" w:type="dxa"/>
            <w:shd w:val="clear" w:color="auto" w:fill="auto"/>
            <w:noWrap/>
            <w:hideMark/>
          </w:tcPr>
          <w:p w:rsidRPr="00025D4C" w:rsidR="003D5BD0" w:rsidP="00CB43DF" w:rsidRDefault="003D5BD0" w14:paraId="2CD748CA"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150</w:t>
            </w:r>
          </w:p>
        </w:tc>
      </w:tr>
      <w:tr w:rsidRPr="00025D4C" w:rsidR="003D5BD0" w:rsidTr="00CB43DF" w14:paraId="11FA56A6" w14:textId="77777777">
        <w:trPr>
          <w:trHeight w:val="330"/>
        </w:trPr>
        <w:tc>
          <w:tcPr>
            <w:tcW w:w="3681" w:type="dxa"/>
            <w:shd w:val="clear" w:color="auto" w:fill="auto"/>
            <w:hideMark/>
          </w:tcPr>
          <w:p w:rsidRPr="00025D4C" w:rsidR="003D5BD0" w:rsidP="00CB43DF" w:rsidRDefault="003D5BD0" w14:paraId="3AD186AD" w14:textId="77777777">
            <w:pPr>
              <w:rPr>
                <w:rFonts w:ascii="Calibri" w:hAnsi="Calibri" w:eastAsia="Times New Roman" w:cs="Calibri"/>
                <w:lang w:eastAsia="nl-NL"/>
              </w:rPr>
            </w:pPr>
            <w:r w:rsidRPr="00025D4C">
              <w:rPr>
                <w:rFonts w:ascii="Calibri" w:hAnsi="Calibri" w:eastAsia="Times New Roman" w:cs="Calibri"/>
                <w:lang w:eastAsia="nl-NL"/>
              </w:rPr>
              <w:t>Terneuzen</w:t>
            </w:r>
          </w:p>
        </w:tc>
        <w:tc>
          <w:tcPr>
            <w:tcW w:w="3018" w:type="dxa"/>
            <w:shd w:val="clear" w:color="auto" w:fill="auto"/>
            <w:noWrap/>
            <w:hideMark/>
          </w:tcPr>
          <w:p w:rsidRPr="00025D4C" w:rsidR="003D5BD0" w:rsidP="00CB43DF" w:rsidRDefault="003D5BD0" w14:paraId="13287417"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140</w:t>
            </w:r>
          </w:p>
        </w:tc>
      </w:tr>
      <w:tr w:rsidRPr="00025D4C" w:rsidR="003D5BD0" w:rsidTr="00CB43DF" w14:paraId="4447A76F" w14:textId="77777777">
        <w:trPr>
          <w:trHeight w:val="330"/>
        </w:trPr>
        <w:tc>
          <w:tcPr>
            <w:tcW w:w="3681" w:type="dxa"/>
            <w:shd w:val="clear" w:color="auto" w:fill="auto"/>
            <w:hideMark/>
          </w:tcPr>
          <w:p w:rsidRPr="00025D4C" w:rsidR="003D5BD0" w:rsidP="00CB43DF" w:rsidRDefault="003D5BD0" w14:paraId="4BDACBF0" w14:textId="77777777">
            <w:pPr>
              <w:rPr>
                <w:rFonts w:ascii="Calibri" w:hAnsi="Calibri" w:eastAsia="Times New Roman" w:cs="Calibri"/>
                <w:lang w:eastAsia="nl-NL"/>
              </w:rPr>
            </w:pPr>
            <w:r w:rsidRPr="00025D4C">
              <w:rPr>
                <w:rFonts w:ascii="Calibri" w:hAnsi="Calibri" w:eastAsia="Times New Roman" w:cs="Calibri"/>
                <w:lang w:eastAsia="nl-NL"/>
              </w:rPr>
              <w:t>Voorne aan Zee</w:t>
            </w:r>
          </w:p>
        </w:tc>
        <w:tc>
          <w:tcPr>
            <w:tcW w:w="3018" w:type="dxa"/>
            <w:shd w:val="clear" w:color="auto" w:fill="auto"/>
            <w:noWrap/>
            <w:hideMark/>
          </w:tcPr>
          <w:p w:rsidRPr="00025D4C" w:rsidR="003D5BD0" w:rsidP="00CB43DF" w:rsidRDefault="003D5BD0" w14:paraId="23CE816B"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140</w:t>
            </w:r>
          </w:p>
        </w:tc>
      </w:tr>
      <w:tr w:rsidRPr="00025D4C" w:rsidR="003D5BD0" w:rsidTr="00CB43DF" w14:paraId="17C6A876" w14:textId="77777777">
        <w:trPr>
          <w:trHeight w:val="330"/>
        </w:trPr>
        <w:tc>
          <w:tcPr>
            <w:tcW w:w="3681" w:type="dxa"/>
            <w:shd w:val="clear" w:color="auto" w:fill="auto"/>
            <w:hideMark/>
          </w:tcPr>
          <w:p w:rsidRPr="00025D4C" w:rsidR="003D5BD0" w:rsidP="00CB43DF" w:rsidRDefault="003D5BD0" w14:paraId="0BEF24B2" w14:textId="77777777">
            <w:pPr>
              <w:rPr>
                <w:rFonts w:ascii="Calibri" w:hAnsi="Calibri" w:eastAsia="Times New Roman" w:cs="Calibri"/>
                <w:lang w:eastAsia="nl-NL"/>
              </w:rPr>
            </w:pPr>
            <w:proofErr w:type="gramStart"/>
            <w:r w:rsidRPr="00025D4C">
              <w:rPr>
                <w:rFonts w:ascii="Calibri" w:hAnsi="Calibri" w:eastAsia="Times New Roman" w:cs="Calibri"/>
                <w:lang w:eastAsia="nl-NL"/>
              </w:rPr>
              <w:t>Oost Gelre</w:t>
            </w:r>
            <w:proofErr w:type="gramEnd"/>
          </w:p>
        </w:tc>
        <w:tc>
          <w:tcPr>
            <w:tcW w:w="3018" w:type="dxa"/>
            <w:shd w:val="clear" w:color="auto" w:fill="auto"/>
            <w:noWrap/>
            <w:hideMark/>
          </w:tcPr>
          <w:p w:rsidRPr="00025D4C" w:rsidR="003D5BD0" w:rsidP="00CB43DF" w:rsidRDefault="003D5BD0" w14:paraId="705F6C32"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140</w:t>
            </w:r>
          </w:p>
        </w:tc>
      </w:tr>
      <w:tr w:rsidRPr="00025D4C" w:rsidR="003D5BD0" w:rsidTr="00CB43DF" w14:paraId="7DE36EF9" w14:textId="77777777">
        <w:trPr>
          <w:trHeight w:val="330"/>
        </w:trPr>
        <w:tc>
          <w:tcPr>
            <w:tcW w:w="3681" w:type="dxa"/>
            <w:shd w:val="clear" w:color="auto" w:fill="auto"/>
            <w:hideMark/>
          </w:tcPr>
          <w:p w:rsidRPr="00025D4C" w:rsidR="003D5BD0" w:rsidP="00CB43DF" w:rsidRDefault="003D5BD0" w14:paraId="3B3978BB" w14:textId="77777777">
            <w:pPr>
              <w:rPr>
                <w:rFonts w:ascii="Calibri" w:hAnsi="Calibri" w:eastAsia="Times New Roman" w:cs="Calibri"/>
                <w:lang w:eastAsia="nl-NL"/>
              </w:rPr>
            </w:pPr>
            <w:r w:rsidRPr="00025D4C">
              <w:rPr>
                <w:rFonts w:ascii="Calibri" w:hAnsi="Calibri" w:eastAsia="Times New Roman" w:cs="Calibri"/>
                <w:lang w:eastAsia="nl-NL"/>
              </w:rPr>
              <w:t>Oosterhout</w:t>
            </w:r>
          </w:p>
        </w:tc>
        <w:tc>
          <w:tcPr>
            <w:tcW w:w="3018" w:type="dxa"/>
            <w:shd w:val="clear" w:color="auto" w:fill="auto"/>
            <w:noWrap/>
            <w:hideMark/>
          </w:tcPr>
          <w:p w:rsidRPr="00025D4C" w:rsidR="003D5BD0" w:rsidP="00CB43DF" w:rsidRDefault="003D5BD0" w14:paraId="26D96AD0"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130</w:t>
            </w:r>
          </w:p>
        </w:tc>
      </w:tr>
      <w:tr w:rsidRPr="00025D4C" w:rsidR="003D5BD0" w:rsidTr="00CB43DF" w14:paraId="481E3683" w14:textId="77777777">
        <w:trPr>
          <w:trHeight w:val="330"/>
        </w:trPr>
        <w:tc>
          <w:tcPr>
            <w:tcW w:w="3681" w:type="dxa"/>
            <w:shd w:val="clear" w:color="auto" w:fill="auto"/>
            <w:hideMark/>
          </w:tcPr>
          <w:p w:rsidRPr="00025D4C" w:rsidR="003D5BD0" w:rsidP="00CB43DF" w:rsidRDefault="003D5BD0" w14:paraId="19253641" w14:textId="77777777">
            <w:pPr>
              <w:rPr>
                <w:rFonts w:ascii="Calibri" w:hAnsi="Calibri" w:eastAsia="Times New Roman" w:cs="Calibri"/>
                <w:lang w:eastAsia="nl-NL"/>
              </w:rPr>
            </w:pPr>
            <w:r w:rsidRPr="00025D4C">
              <w:rPr>
                <w:rFonts w:ascii="Calibri" w:hAnsi="Calibri" w:eastAsia="Times New Roman" w:cs="Calibri"/>
                <w:lang w:eastAsia="nl-NL"/>
              </w:rPr>
              <w:lastRenderedPageBreak/>
              <w:t>Eijsden-Margraten</w:t>
            </w:r>
          </w:p>
        </w:tc>
        <w:tc>
          <w:tcPr>
            <w:tcW w:w="3018" w:type="dxa"/>
            <w:shd w:val="clear" w:color="auto" w:fill="auto"/>
            <w:noWrap/>
            <w:hideMark/>
          </w:tcPr>
          <w:p w:rsidRPr="00025D4C" w:rsidR="003D5BD0" w:rsidP="00CB43DF" w:rsidRDefault="003D5BD0" w14:paraId="439F0F64"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130</w:t>
            </w:r>
          </w:p>
        </w:tc>
      </w:tr>
      <w:tr w:rsidRPr="00025D4C" w:rsidR="003D5BD0" w:rsidTr="00CB43DF" w14:paraId="05253EF4" w14:textId="77777777">
        <w:trPr>
          <w:trHeight w:val="330"/>
        </w:trPr>
        <w:tc>
          <w:tcPr>
            <w:tcW w:w="3681" w:type="dxa"/>
            <w:shd w:val="clear" w:color="auto" w:fill="auto"/>
            <w:hideMark/>
          </w:tcPr>
          <w:p w:rsidRPr="00025D4C" w:rsidR="003D5BD0" w:rsidP="00CB43DF" w:rsidRDefault="003D5BD0" w14:paraId="4A1E087F" w14:textId="77777777">
            <w:pPr>
              <w:rPr>
                <w:rFonts w:ascii="Calibri" w:hAnsi="Calibri" w:eastAsia="Times New Roman" w:cs="Calibri"/>
                <w:lang w:eastAsia="nl-NL"/>
              </w:rPr>
            </w:pPr>
            <w:r w:rsidRPr="00025D4C">
              <w:rPr>
                <w:rFonts w:ascii="Calibri" w:hAnsi="Calibri" w:eastAsia="Times New Roman" w:cs="Calibri"/>
                <w:lang w:eastAsia="nl-NL"/>
              </w:rPr>
              <w:t>Oirschot</w:t>
            </w:r>
          </w:p>
        </w:tc>
        <w:tc>
          <w:tcPr>
            <w:tcW w:w="3018" w:type="dxa"/>
            <w:shd w:val="clear" w:color="auto" w:fill="auto"/>
            <w:noWrap/>
            <w:hideMark/>
          </w:tcPr>
          <w:p w:rsidRPr="00025D4C" w:rsidR="003D5BD0" w:rsidP="00CB43DF" w:rsidRDefault="003D5BD0" w14:paraId="7D38BFDB"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130</w:t>
            </w:r>
          </w:p>
        </w:tc>
      </w:tr>
      <w:tr w:rsidRPr="00025D4C" w:rsidR="003D5BD0" w:rsidTr="00CB43DF" w14:paraId="50A9A0E0" w14:textId="77777777">
        <w:trPr>
          <w:trHeight w:val="330"/>
        </w:trPr>
        <w:tc>
          <w:tcPr>
            <w:tcW w:w="3681" w:type="dxa"/>
            <w:shd w:val="clear" w:color="auto" w:fill="auto"/>
            <w:hideMark/>
          </w:tcPr>
          <w:p w:rsidRPr="00025D4C" w:rsidR="003D5BD0" w:rsidP="00CB43DF" w:rsidRDefault="003D5BD0" w14:paraId="00ECDD01" w14:textId="77777777">
            <w:pPr>
              <w:rPr>
                <w:rFonts w:ascii="Calibri" w:hAnsi="Calibri" w:eastAsia="Times New Roman" w:cs="Calibri"/>
                <w:lang w:eastAsia="nl-NL"/>
              </w:rPr>
            </w:pPr>
            <w:r w:rsidRPr="00025D4C">
              <w:rPr>
                <w:rFonts w:ascii="Calibri" w:hAnsi="Calibri" w:eastAsia="Times New Roman" w:cs="Calibri"/>
                <w:lang w:eastAsia="nl-NL"/>
              </w:rPr>
              <w:t>Bodegraven-Reeuwijk</w:t>
            </w:r>
          </w:p>
        </w:tc>
        <w:tc>
          <w:tcPr>
            <w:tcW w:w="3018" w:type="dxa"/>
            <w:shd w:val="clear" w:color="auto" w:fill="auto"/>
            <w:noWrap/>
            <w:hideMark/>
          </w:tcPr>
          <w:p w:rsidRPr="00025D4C" w:rsidR="003D5BD0" w:rsidP="00CB43DF" w:rsidRDefault="003D5BD0" w14:paraId="19E711FC"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130</w:t>
            </w:r>
          </w:p>
        </w:tc>
      </w:tr>
      <w:tr w:rsidRPr="00025D4C" w:rsidR="003D5BD0" w:rsidTr="00CB43DF" w14:paraId="7F46057B" w14:textId="77777777">
        <w:trPr>
          <w:trHeight w:val="330"/>
        </w:trPr>
        <w:tc>
          <w:tcPr>
            <w:tcW w:w="3681" w:type="dxa"/>
            <w:shd w:val="clear" w:color="auto" w:fill="auto"/>
            <w:hideMark/>
          </w:tcPr>
          <w:p w:rsidRPr="00025D4C" w:rsidR="003D5BD0" w:rsidP="00CB43DF" w:rsidRDefault="003D5BD0" w14:paraId="168D9CCA" w14:textId="77777777">
            <w:pPr>
              <w:rPr>
                <w:rFonts w:ascii="Calibri" w:hAnsi="Calibri" w:eastAsia="Times New Roman" w:cs="Calibri"/>
                <w:lang w:eastAsia="nl-NL"/>
              </w:rPr>
            </w:pPr>
            <w:r w:rsidRPr="00025D4C">
              <w:rPr>
                <w:rFonts w:ascii="Calibri" w:hAnsi="Calibri" w:eastAsia="Times New Roman" w:cs="Calibri"/>
                <w:lang w:eastAsia="nl-NL"/>
              </w:rPr>
              <w:t>Lochem</w:t>
            </w:r>
          </w:p>
        </w:tc>
        <w:tc>
          <w:tcPr>
            <w:tcW w:w="3018" w:type="dxa"/>
            <w:shd w:val="clear" w:color="auto" w:fill="auto"/>
            <w:noWrap/>
            <w:hideMark/>
          </w:tcPr>
          <w:p w:rsidRPr="00025D4C" w:rsidR="003D5BD0" w:rsidP="00CB43DF" w:rsidRDefault="003D5BD0" w14:paraId="51C4A04A"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130</w:t>
            </w:r>
          </w:p>
        </w:tc>
      </w:tr>
      <w:tr w:rsidRPr="00025D4C" w:rsidR="003D5BD0" w:rsidTr="00CB43DF" w14:paraId="156018CD" w14:textId="77777777">
        <w:trPr>
          <w:trHeight w:val="330"/>
        </w:trPr>
        <w:tc>
          <w:tcPr>
            <w:tcW w:w="3681" w:type="dxa"/>
            <w:shd w:val="clear" w:color="auto" w:fill="auto"/>
            <w:hideMark/>
          </w:tcPr>
          <w:p w:rsidRPr="00025D4C" w:rsidR="003D5BD0" w:rsidP="00CB43DF" w:rsidRDefault="003D5BD0" w14:paraId="3C4D2E47" w14:textId="77777777">
            <w:pPr>
              <w:rPr>
                <w:rFonts w:ascii="Calibri" w:hAnsi="Calibri" w:eastAsia="Times New Roman" w:cs="Calibri"/>
                <w:lang w:eastAsia="nl-NL"/>
              </w:rPr>
            </w:pPr>
            <w:r w:rsidRPr="00025D4C">
              <w:rPr>
                <w:rFonts w:ascii="Calibri" w:hAnsi="Calibri" w:eastAsia="Times New Roman" w:cs="Calibri"/>
                <w:lang w:eastAsia="nl-NL"/>
              </w:rPr>
              <w:t>Hof van Twente</w:t>
            </w:r>
          </w:p>
        </w:tc>
        <w:tc>
          <w:tcPr>
            <w:tcW w:w="3018" w:type="dxa"/>
            <w:shd w:val="clear" w:color="auto" w:fill="auto"/>
            <w:noWrap/>
            <w:hideMark/>
          </w:tcPr>
          <w:p w:rsidRPr="00025D4C" w:rsidR="003D5BD0" w:rsidP="00CB43DF" w:rsidRDefault="003D5BD0" w14:paraId="77F53786"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120</w:t>
            </w:r>
          </w:p>
        </w:tc>
      </w:tr>
      <w:tr w:rsidRPr="00025D4C" w:rsidR="003D5BD0" w:rsidTr="00CB43DF" w14:paraId="61C236EC" w14:textId="77777777">
        <w:trPr>
          <w:trHeight w:val="330"/>
        </w:trPr>
        <w:tc>
          <w:tcPr>
            <w:tcW w:w="3681" w:type="dxa"/>
            <w:shd w:val="clear" w:color="auto" w:fill="auto"/>
            <w:hideMark/>
          </w:tcPr>
          <w:p w:rsidRPr="00025D4C" w:rsidR="003D5BD0" w:rsidP="00CB43DF" w:rsidRDefault="003D5BD0" w14:paraId="22A43389" w14:textId="77777777">
            <w:pPr>
              <w:rPr>
                <w:rFonts w:ascii="Calibri" w:hAnsi="Calibri" w:eastAsia="Times New Roman" w:cs="Calibri"/>
                <w:lang w:eastAsia="nl-NL"/>
              </w:rPr>
            </w:pPr>
            <w:r w:rsidRPr="00025D4C">
              <w:rPr>
                <w:rFonts w:ascii="Calibri" w:hAnsi="Calibri" w:eastAsia="Times New Roman" w:cs="Calibri"/>
                <w:lang w:eastAsia="nl-NL"/>
              </w:rPr>
              <w:t>Opmeer</w:t>
            </w:r>
          </w:p>
        </w:tc>
        <w:tc>
          <w:tcPr>
            <w:tcW w:w="3018" w:type="dxa"/>
            <w:shd w:val="clear" w:color="auto" w:fill="auto"/>
            <w:noWrap/>
            <w:hideMark/>
          </w:tcPr>
          <w:p w:rsidRPr="00025D4C" w:rsidR="003D5BD0" w:rsidP="00CB43DF" w:rsidRDefault="003D5BD0" w14:paraId="1059D80D"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120</w:t>
            </w:r>
          </w:p>
        </w:tc>
      </w:tr>
      <w:tr w:rsidRPr="00025D4C" w:rsidR="003D5BD0" w:rsidTr="00CB43DF" w14:paraId="6EF80D95" w14:textId="77777777">
        <w:trPr>
          <w:trHeight w:val="330"/>
        </w:trPr>
        <w:tc>
          <w:tcPr>
            <w:tcW w:w="3681" w:type="dxa"/>
            <w:shd w:val="clear" w:color="auto" w:fill="auto"/>
            <w:hideMark/>
          </w:tcPr>
          <w:p w:rsidRPr="00025D4C" w:rsidR="003D5BD0" w:rsidP="00CB43DF" w:rsidRDefault="003D5BD0" w14:paraId="72C1F185" w14:textId="77777777">
            <w:pPr>
              <w:rPr>
                <w:rFonts w:ascii="Calibri" w:hAnsi="Calibri" w:eastAsia="Times New Roman" w:cs="Calibri"/>
                <w:lang w:eastAsia="nl-NL"/>
              </w:rPr>
            </w:pPr>
            <w:r w:rsidRPr="00025D4C">
              <w:rPr>
                <w:rFonts w:ascii="Calibri" w:hAnsi="Calibri" w:eastAsia="Times New Roman" w:cs="Calibri"/>
                <w:lang w:eastAsia="nl-NL"/>
              </w:rPr>
              <w:t>Woensdrecht</w:t>
            </w:r>
          </w:p>
        </w:tc>
        <w:tc>
          <w:tcPr>
            <w:tcW w:w="3018" w:type="dxa"/>
            <w:shd w:val="clear" w:color="auto" w:fill="auto"/>
            <w:noWrap/>
            <w:hideMark/>
          </w:tcPr>
          <w:p w:rsidRPr="00025D4C" w:rsidR="003D5BD0" w:rsidP="00CB43DF" w:rsidRDefault="003D5BD0" w14:paraId="155B69D7"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120</w:t>
            </w:r>
          </w:p>
        </w:tc>
      </w:tr>
      <w:tr w:rsidRPr="00025D4C" w:rsidR="003D5BD0" w:rsidTr="00CB43DF" w14:paraId="70E22E23" w14:textId="77777777">
        <w:trPr>
          <w:trHeight w:val="330"/>
        </w:trPr>
        <w:tc>
          <w:tcPr>
            <w:tcW w:w="3681" w:type="dxa"/>
            <w:shd w:val="clear" w:color="auto" w:fill="auto"/>
            <w:hideMark/>
          </w:tcPr>
          <w:p w:rsidRPr="00025D4C" w:rsidR="003D5BD0" w:rsidP="00CB43DF" w:rsidRDefault="003D5BD0" w14:paraId="3D2DFAF9" w14:textId="77777777">
            <w:pPr>
              <w:rPr>
                <w:rFonts w:ascii="Calibri" w:hAnsi="Calibri" w:eastAsia="Times New Roman" w:cs="Calibri"/>
                <w:lang w:eastAsia="nl-NL"/>
              </w:rPr>
            </w:pPr>
            <w:r w:rsidRPr="00025D4C">
              <w:rPr>
                <w:rFonts w:ascii="Calibri" w:hAnsi="Calibri" w:eastAsia="Times New Roman" w:cs="Calibri"/>
                <w:lang w:eastAsia="nl-NL"/>
              </w:rPr>
              <w:t>Pijnacker-Nootdorp</w:t>
            </w:r>
          </w:p>
        </w:tc>
        <w:tc>
          <w:tcPr>
            <w:tcW w:w="3018" w:type="dxa"/>
            <w:shd w:val="clear" w:color="auto" w:fill="auto"/>
            <w:noWrap/>
            <w:hideMark/>
          </w:tcPr>
          <w:p w:rsidRPr="00025D4C" w:rsidR="003D5BD0" w:rsidP="00CB43DF" w:rsidRDefault="003D5BD0" w14:paraId="28020763"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120</w:t>
            </w:r>
          </w:p>
        </w:tc>
      </w:tr>
      <w:tr w:rsidRPr="00025D4C" w:rsidR="003D5BD0" w:rsidTr="00CB43DF" w14:paraId="3AF53F3A" w14:textId="77777777">
        <w:trPr>
          <w:trHeight w:val="330"/>
        </w:trPr>
        <w:tc>
          <w:tcPr>
            <w:tcW w:w="3681" w:type="dxa"/>
            <w:shd w:val="clear" w:color="auto" w:fill="auto"/>
            <w:hideMark/>
          </w:tcPr>
          <w:p w:rsidRPr="00025D4C" w:rsidR="003D5BD0" w:rsidP="00CB43DF" w:rsidRDefault="003D5BD0" w14:paraId="3010F85D" w14:textId="77777777">
            <w:pPr>
              <w:rPr>
                <w:rFonts w:ascii="Calibri" w:hAnsi="Calibri" w:eastAsia="Times New Roman" w:cs="Calibri"/>
                <w:lang w:eastAsia="nl-NL"/>
              </w:rPr>
            </w:pPr>
            <w:r w:rsidRPr="00025D4C">
              <w:rPr>
                <w:rFonts w:ascii="Calibri" w:hAnsi="Calibri" w:eastAsia="Times New Roman" w:cs="Calibri"/>
                <w:lang w:eastAsia="nl-NL"/>
              </w:rPr>
              <w:t>Tiel</w:t>
            </w:r>
          </w:p>
        </w:tc>
        <w:tc>
          <w:tcPr>
            <w:tcW w:w="3018" w:type="dxa"/>
            <w:shd w:val="clear" w:color="auto" w:fill="auto"/>
            <w:noWrap/>
            <w:hideMark/>
          </w:tcPr>
          <w:p w:rsidRPr="00025D4C" w:rsidR="003D5BD0" w:rsidP="00CB43DF" w:rsidRDefault="003D5BD0" w14:paraId="1614E72C"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110</w:t>
            </w:r>
          </w:p>
        </w:tc>
      </w:tr>
      <w:tr w:rsidRPr="00025D4C" w:rsidR="003D5BD0" w:rsidTr="00CB43DF" w14:paraId="7CA623C6" w14:textId="77777777">
        <w:trPr>
          <w:trHeight w:val="330"/>
        </w:trPr>
        <w:tc>
          <w:tcPr>
            <w:tcW w:w="3681" w:type="dxa"/>
            <w:shd w:val="clear" w:color="auto" w:fill="auto"/>
            <w:hideMark/>
          </w:tcPr>
          <w:p w:rsidRPr="00025D4C" w:rsidR="003D5BD0" w:rsidP="00CB43DF" w:rsidRDefault="003D5BD0" w14:paraId="6D876F68" w14:textId="77777777">
            <w:pPr>
              <w:rPr>
                <w:rFonts w:ascii="Calibri" w:hAnsi="Calibri" w:eastAsia="Times New Roman" w:cs="Calibri"/>
                <w:lang w:eastAsia="nl-NL"/>
              </w:rPr>
            </w:pPr>
            <w:r w:rsidRPr="00025D4C">
              <w:rPr>
                <w:rFonts w:ascii="Calibri" w:hAnsi="Calibri" w:eastAsia="Times New Roman" w:cs="Calibri"/>
                <w:lang w:eastAsia="nl-NL"/>
              </w:rPr>
              <w:t>Veendam</w:t>
            </w:r>
          </w:p>
        </w:tc>
        <w:tc>
          <w:tcPr>
            <w:tcW w:w="3018" w:type="dxa"/>
            <w:shd w:val="clear" w:color="auto" w:fill="auto"/>
            <w:noWrap/>
            <w:hideMark/>
          </w:tcPr>
          <w:p w:rsidRPr="00025D4C" w:rsidR="003D5BD0" w:rsidP="00CB43DF" w:rsidRDefault="003D5BD0" w14:paraId="7FC9D2BA"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110</w:t>
            </w:r>
          </w:p>
        </w:tc>
      </w:tr>
      <w:tr w:rsidRPr="00025D4C" w:rsidR="003D5BD0" w:rsidTr="00CB43DF" w14:paraId="32B0F602" w14:textId="77777777">
        <w:trPr>
          <w:trHeight w:val="330"/>
        </w:trPr>
        <w:tc>
          <w:tcPr>
            <w:tcW w:w="3681" w:type="dxa"/>
            <w:shd w:val="clear" w:color="auto" w:fill="auto"/>
            <w:hideMark/>
          </w:tcPr>
          <w:p w:rsidRPr="00025D4C" w:rsidR="003D5BD0" w:rsidP="00CB43DF" w:rsidRDefault="003D5BD0" w14:paraId="0CB76D07" w14:textId="77777777">
            <w:pPr>
              <w:rPr>
                <w:rFonts w:ascii="Calibri" w:hAnsi="Calibri" w:eastAsia="Times New Roman" w:cs="Calibri"/>
                <w:lang w:eastAsia="nl-NL"/>
              </w:rPr>
            </w:pPr>
            <w:r w:rsidRPr="00025D4C">
              <w:rPr>
                <w:rFonts w:ascii="Calibri" w:hAnsi="Calibri" w:eastAsia="Times New Roman" w:cs="Calibri"/>
                <w:lang w:eastAsia="nl-NL"/>
              </w:rPr>
              <w:t>Berg en Dal</w:t>
            </w:r>
          </w:p>
        </w:tc>
        <w:tc>
          <w:tcPr>
            <w:tcW w:w="3018" w:type="dxa"/>
            <w:shd w:val="clear" w:color="auto" w:fill="auto"/>
            <w:noWrap/>
            <w:hideMark/>
          </w:tcPr>
          <w:p w:rsidRPr="00025D4C" w:rsidR="003D5BD0" w:rsidP="00CB43DF" w:rsidRDefault="003D5BD0" w14:paraId="73DE5006"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110</w:t>
            </w:r>
          </w:p>
        </w:tc>
      </w:tr>
      <w:tr w:rsidRPr="00025D4C" w:rsidR="003D5BD0" w:rsidTr="00CB43DF" w14:paraId="0AF3DE49" w14:textId="77777777">
        <w:trPr>
          <w:trHeight w:val="330"/>
        </w:trPr>
        <w:tc>
          <w:tcPr>
            <w:tcW w:w="3681" w:type="dxa"/>
            <w:shd w:val="clear" w:color="auto" w:fill="auto"/>
            <w:hideMark/>
          </w:tcPr>
          <w:p w:rsidRPr="00025D4C" w:rsidR="003D5BD0" w:rsidP="00CB43DF" w:rsidRDefault="003D5BD0" w14:paraId="49DA8012" w14:textId="77777777">
            <w:pPr>
              <w:rPr>
                <w:rFonts w:ascii="Calibri" w:hAnsi="Calibri" w:eastAsia="Times New Roman" w:cs="Calibri"/>
                <w:lang w:eastAsia="nl-NL"/>
              </w:rPr>
            </w:pPr>
            <w:r w:rsidRPr="00025D4C">
              <w:rPr>
                <w:rFonts w:ascii="Calibri" w:hAnsi="Calibri" w:eastAsia="Times New Roman" w:cs="Calibri"/>
                <w:lang w:eastAsia="nl-NL"/>
              </w:rPr>
              <w:t>Druten</w:t>
            </w:r>
          </w:p>
        </w:tc>
        <w:tc>
          <w:tcPr>
            <w:tcW w:w="3018" w:type="dxa"/>
            <w:shd w:val="clear" w:color="auto" w:fill="auto"/>
            <w:noWrap/>
            <w:hideMark/>
          </w:tcPr>
          <w:p w:rsidRPr="00025D4C" w:rsidR="003D5BD0" w:rsidP="00CB43DF" w:rsidRDefault="003D5BD0" w14:paraId="5E70081B"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110</w:t>
            </w:r>
          </w:p>
        </w:tc>
      </w:tr>
      <w:tr w:rsidRPr="00025D4C" w:rsidR="003D5BD0" w:rsidTr="00CB43DF" w14:paraId="29997CDC" w14:textId="77777777">
        <w:trPr>
          <w:trHeight w:val="330"/>
        </w:trPr>
        <w:tc>
          <w:tcPr>
            <w:tcW w:w="3681" w:type="dxa"/>
            <w:shd w:val="clear" w:color="auto" w:fill="auto"/>
            <w:hideMark/>
          </w:tcPr>
          <w:p w:rsidRPr="00025D4C" w:rsidR="003D5BD0" w:rsidP="00CB43DF" w:rsidRDefault="003D5BD0" w14:paraId="48A34E44" w14:textId="77777777">
            <w:pPr>
              <w:rPr>
                <w:rFonts w:ascii="Calibri" w:hAnsi="Calibri" w:eastAsia="Times New Roman" w:cs="Calibri"/>
                <w:lang w:eastAsia="nl-NL"/>
              </w:rPr>
            </w:pPr>
            <w:r w:rsidRPr="00025D4C">
              <w:rPr>
                <w:rFonts w:ascii="Calibri" w:hAnsi="Calibri" w:eastAsia="Times New Roman" w:cs="Calibri"/>
                <w:lang w:eastAsia="nl-NL"/>
              </w:rPr>
              <w:t>Nijkerk</w:t>
            </w:r>
          </w:p>
        </w:tc>
        <w:tc>
          <w:tcPr>
            <w:tcW w:w="3018" w:type="dxa"/>
            <w:shd w:val="clear" w:color="auto" w:fill="auto"/>
            <w:noWrap/>
            <w:hideMark/>
          </w:tcPr>
          <w:p w:rsidRPr="00025D4C" w:rsidR="003D5BD0" w:rsidP="00CB43DF" w:rsidRDefault="003D5BD0" w14:paraId="3BFE65F0"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110</w:t>
            </w:r>
          </w:p>
        </w:tc>
      </w:tr>
      <w:tr w:rsidRPr="00025D4C" w:rsidR="003D5BD0" w:rsidTr="00CB43DF" w14:paraId="2FF59FC0" w14:textId="77777777">
        <w:trPr>
          <w:trHeight w:val="330"/>
        </w:trPr>
        <w:tc>
          <w:tcPr>
            <w:tcW w:w="3681" w:type="dxa"/>
            <w:shd w:val="clear" w:color="auto" w:fill="auto"/>
            <w:hideMark/>
          </w:tcPr>
          <w:p w:rsidRPr="00025D4C" w:rsidR="003D5BD0" w:rsidP="00CB43DF" w:rsidRDefault="003D5BD0" w14:paraId="0057C124" w14:textId="77777777">
            <w:pPr>
              <w:rPr>
                <w:rFonts w:ascii="Calibri" w:hAnsi="Calibri" w:eastAsia="Times New Roman" w:cs="Calibri"/>
                <w:lang w:eastAsia="nl-NL"/>
              </w:rPr>
            </w:pPr>
            <w:r w:rsidRPr="00025D4C">
              <w:rPr>
                <w:rFonts w:ascii="Calibri" w:hAnsi="Calibri" w:eastAsia="Times New Roman" w:cs="Calibri"/>
                <w:lang w:eastAsia="nl-NL"/>
              </w:rPr>
              <w:t>Kampen</w:t>
            </w:r>
          </w:p>
        </w:tc>
        <w:tc>
          <w:tcPr>
            <w:tcW w:w="3018" w:type="dxa"/>
            <w:shd w:val="clear" w:color="auto" w:fill="auto"/>
            <w:noWrap/>
            <w:hideMark/>
          </w:tcPr>
          <w:p w:rsidRPr="00025D4C" w:rsidR="003D5BD0" w:rsidP="00CB43DF" w:rsidRDefault="003D5BD0" w14:paraId="419944EA"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110</w:t>
            </w:r>
          </w:p>
        </w:tc>
      </w:tr>
      <w:tr w:rsidRPr="00025D4C" w:rsidR="003D5BD0" w:rsidTr="00CB43DF" w14:paraId="1F510B5B" w14:textId="77777777">
        <w:trPr>
          <w:trHeight w:val="330"/>
        </w:trPr>
        <w:tc>
          <w:tcPr>
            <w:tcW w:w="3681" w:type="dxa"/>
            <w:shd w:val="clear" w:color="auto" w:fill="auto"/>
            <w:hideMark/>
          </w:tcPr>
          <w:p w:rsidRPr="00025D4C" w:rsidR="003D5BD0" w:rsidP="00CB43DF" w:rsidRDefault="003D5BD0" w14:paraId="7CFE4956" w14:textId="77777777">
            <w:pPr>
              <w:rPr>
                <w:rFonts w:ascii="Calibri" w:hAnsi="Calibri" w:eastAsia="Times New Roman" w:cs="Calibri"/>
                <w:lang w:eastAsia="nl-NL"/>
              </w:rPr>
            </w:pPr>
            <w:r w:rsidRPr="00025D4C">
              <w:rPr>
                <w:rFonts w:ascii="Calibri" w:hAnsi="Calibri" w:eastAsia="Times New Roman" w:cs="Calibri"/>
                <w:lang w:eastAsia="nl-NL"/>
              </w:rPr>
              <w:t>Stichtse Vecht</w:t>
            </w:r>
          </w:p>
        </w:tc>
        <w:tc>
          <w:tcPr>
            <w:tcW w:w="3018" w:type="dxa"/>
            <w:shd w:val="clear" w:color="auto" w:fill="auto"/>
            <w:noWrap/>
            <w:hideMark/>
          </w:tcPr>
          <w:p w:rsidRPr="00025D4C" w:rsidR="003D5BD0" w:rsidP="00CB43DF" w:rsidRDefault="003D5BD0" w14:paraId="4250581C"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110</w:t>
            </w:r>
          </w:p>
        </w:tc>
      </w:tr>
      <w:tr w:rsidRPr="00025D4C" w:rsidR="003D5BD0" w:rsidTr="00CB43DF" w14:paraId="73945B88" w14:textId="77777777">
        <w:trPr>
          <w:trHeight w:val="330"/>
        </w:trPr>
        <w:tc>
          <w:tcPr>
            <w:tcW w:w="3681" w:type="dxa"/>
            <w:shd w:val="clear" w:color="auto" w:fill="auto"/>
            <w:hideMark/>
          </w:tcPr>
          <w:p w:rsidRPr="00025D4C" w:rsidR="003D5BD0" w:rsidP="00CB43DF" w:rsidRDefault="003D5BD0" w14:paraId="032D6C17" w14:textId="77777777">
            <w:pPr>
              <w:rPr>
                <w:rFonts w:ascii="Calibri" w:hAnsi="Calibri" w:eastAsia="Times New Roman" w:cs="Calibri"/>
                <w:lang w:eastAsia="nl-NL"/>
              </w:rPr>
            </w:pPr>
            <w:r w:rsidRPr="00025D4C">
              <w:rPr>
                <w:rFonts w:ascii="Calibri" w:hAnsi="Calibri" w:eastAsia="Times New Roman" w:cs="Calibri"/>
                <w:lang w:eastAsia="nl-NL"/>
              </w:rPr>
              <w:t>Gooise Meren</w:t>
            </w:r>
          </w:p>
        </w:tc>
        <w:tc>
          <w:tcPr>
            <w:tcW w:w="3018" w:type="dxa"/>
            <w:shd w:val="clear" w:color="auto" w:fill="auto"/>
            <w:noWrap/>
            <w:hideMark/>
          </w:tcPr>
          <w:p w:rsidRPr="00025D4C" w:rsidR="003D5BD0" w:rsidP="00CB43DF" w:rsidRDefault="003D5BD0" w14:paraId="00987385"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100</w:t>
            </w:r>
          </w:p>
        </w:tc>
      </w:tr>
      <w:tr w:rsidRPr="00025D4C" w:rsidR="003D5BD0" w:rsidTr="00CB43DF" w14:paraId="5B568B2C" w14:textId="77777777">
        <w:trPr>
          <w:trHeight w:val="330"/>
        </w:trPr>
        <w:tc>
          <w:tcPr>
            <w:tcW w:w="3681" w:type="dxa"/>
            <w:shd w:val="clear" w:color="auto" w:fill="auto"/>
            <w:hideMark/>
          </w:tcPr>
          <w:p w:rsidRPr="00025D4C" w:rsidR="003D5BD0" w:rsidP="00CB43DF" w:rsidRDefault="003D5BD0" w14:paraId="1D88534F" w14:textId="77777777">
            <w:pPr>
              <w:rPr>
                <w:rFonts w:ascii="Calibri" w:hAnsi="Calibri" w:eastAsia="Times New Roman" w:cs="Calibri"/>
                <w:lang w:eastAsia="nl-NL"/>
              </w:rPr>
            </w:pPr>
            <w:r w:rsidRPr="00025D4C">
              <w:rPr>
                <w:rFonts w:ascii="Calibri" w:hAnsi="Calibri" w:eastAsia="Times New Roman" w:cs="Calibri"/>
                <w:lang w:eastAsia="nl-NL"/>
              </w:rPr>
              <w:t>Vijfheerenlanden</w:t>
            </w:r>
          </w:p>
        </w:tc>
        <w:tc>
          <w:tcPr>
            <w:tcW w:w="3018" w:type="dxa"/>
            <w:shd w:val="clear" w:color="auto" w:fill="auto"/>
            <w:noWrap/>
            <w:hideMark/>
          </w:tcPr>
          <w:p w:rsidRPr="00025D4C" w:rsidR="003D5BD0" w:rsidP="00CB43DF" w:rsidRDefault="003D5BD0" w14:paraId="11F0BB85"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100</w:t>
            </w:r>
          </w:p>
        </w:tc>
      </w:tr>
      <w:tr w:rsidRPr="00025D4C" w:rsidR="003D5BD0" w:rsidTr="00CB43DF" w14:paraId="23F2285C" w14:textId="77777777">
        <w:trPr>
          <w:trHeight w:val="330"/>
        </w:trPr>
        <w:tc>
          <w:tcPr>
            <w:tcW w:w="3681" w:type="dxa"/>
            <w:shd w:val="clear" w:color="auto" w:fill="auto"/>
            <w:hideMark/>
          </w:tcPr>
          <w:p w:rsidRPr="00025D4C" w:rsidR="003D5BD0" w:rsidP="00CB43DF" w:rsidRDefault="003D5BD0" w14:paraId="2225F71F" w14:textId="77777777">
            <w:pPr>
              <w:rPr>
                <w:rFonts w:ascii="Calibri" w:hAnsi="Calibri" w:eastAsia="Times New Roman" w:cs="Calibri"/>
                <w:lang w:eastAsia="nl-NL"/>
              </w:rPr>
            </w:pPr>
            <w:r w:rsidRPr="00025D4C">
              <w:rPr>
                <w:rFonts w:ascii="Calibri" w:hAnsi="Calibri" w:eastAsia="Times New Roman" w:cs="Calibri"/>
                <w:lang w:eastAsia="nl-NL"/>
              </w:rPr>
              <w:t>Nunspeet</w:t>
            </w:r>
          </w:p>
        </w:tc>
        <w:tc>
          <w:tcPr>
            <w:tcW w:w="3018" w:type="dxa"/>
            <w:shd w:val="clear" w:color="auto" w:fill="auto"/>
            <w:noWrap/>
            <w:hideMark/>
          </w:tcPr>
          <w:p w:rsidRPr="00025D4C" w:rsidR="003D5BD0" w:rsidP="00CB43DF" w:rsidRDefault="003D5BD0" w14:paraId="25861576"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100</w:t>
            </w:r>
          </w:p>
        </w:tc>
      </w:tr>
      <w:tr w:rsidRPr="00025D4C" w:rsidR="003D5BD0" w:rsidTr="00CB43DF" w14:paraId="5B4ED07C" w14:textId="77777777">
        <w:trPr>
          <w:trHeight w:val="330"/>
        </w:trPr>
        <w:tc>
          <w:tcPr>
            <w:tcW w:w="3681" w:type="dxa"/>
            <w:shd w:val="clear" w:color="auto" w:fill="auto"/>
            <w:hideMark/>
          </w:tcPr>
          <w:p w:rsidRPr="00025D4C" w:rsidR="003D5BD0" w:rsidP="00CB43DF" w:rsidRDefault="003D5BD0" w14:paraId="1C0318C2" w14:textId="77777777">
            <w:pPr>
              <w:rPr>
                <w:rFonts w:ascii="Calibri" w:hAnsi="Calibri" w:eastAsia="Times New Roman" w:cs="Calibri"/>
                <w:lang w:eastAsia="nl-NL"/>
              </w:rPr>
            </w:pPr>
            <w:r w:rsidRPr="00025D4C">
              <w:rPr>
                <w:rFonts w:ascii="Calibri" w:hAnsi="Calibri" w:eastAsia="Times New Roman" w:cs="Calibri"/>
                <w:lang w:eastAsia="nl-NL"/>
              </w:rPr>
              <w:t>Roermond</w:t>
            </w:r>
          </w:p>
        </w:tc>
        <w:tc>
          <w:tcPr>
            <w:tcW w:w="3018" w:type="dxa"/>
            <w:shd w:val="clear" w:color="auto" w:fill="auto"/>
            <w:noWrap/>
            <w:hideMark/>
          </w:tcPr>
          <w:p w:rsidRPr="00025D4C" w:rsidR="003D5BD0" w:rsidP="00CB43DF" w:rsidRDefault="003D5BD0" w14:paraId="3DD97AF5"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100</w:t>
            </w:r>
          </w:p>
        </w:tc>
      </w:tr>
      <w:tr w:rsidRPr="00025D4C" w:rsidR="003D5BD0" w:rsidTr="00CB43DF" w14:paraId="2FEFA824" w14:textId="77777777">
        <w:trPr>
          <w:trHeight w:val="330"/>
        </w:trPr>
        <w:tc>
          <w:tcPr>
            <w:tcW w:w="3681" w:type="dxa"/>
            <w:shd w:val="clear" w:color="auto" w:fill="auto"/>
            <w:hideMark/>
          </w:tcPr>
          <w:p w:rsidRPr="00025D4C" w:rsidR="003D5BD0" w:rsidP="00CB43DF" w:rsidRDefault="003D5BD0" w14:paraId="79A109D2" w14:textId="77777777">
            <w:pPr>
              <w:rPr>
                <w:rFonts w:ascii="Calibri" w:hAnsi="Calibri" w:eastAsia="Times New Roman" w:cs="Calibri"/>
                <w:lang w:eastAsia="nl-NL"/>
              </w:rPr>
            </w:pPr>
            <w:r w:rsidRPr="00025D4C">
              <w:rPr>
                <w:rFonts w:ascii="Calibri" w:hAnsi="Calibri" w:eastAsia="Times New Roman" w:cs="Calibri"/>
                <w:lang w:eastAsia="nl-NL"/>
              </w:rPr>
              <w:t>Goirle</w:t>
            </w:r>
          </w:p>
        </w:tc>
        <w:tc>
          <w:tcPr>
            <w:tcW w:w="3018" w:type="dxa"/>
            <w:shd w:val="clear" w:color="auto" w:fill="auto"/>
            <w:noWrap/>
            <w:hideMark/>
          </w:tcPr>
          <w:p w:rsidRPr="00025D4C" w:rsidR="003D5BD0" w:rsidP="00CB43DF" w:rsidRDefault="003D5BD0" w14:paraId="3202C942"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100</w:t>
            </w:r>
          </w:p>
        </w:tc>
      </w:tr>
      <w:tr w:rsidRPr="00025D4C" w:rsidR="003D5BD0" w:rsidTr="00CB43DF" w14:paraId="5E32C97F" w14:textId="77777777">
        <w:trPr>
          <w:trHeight w:val="330"/>
        </w:trPr>
        <w:tc>
          <w:tcPr>
            <w:tcW w:w="3681" w:type="dxa"/>
            <w:shd w:val="clear" w:color="auto" w:fill="auto"/>
            <w:hideMark/>
          </w:tcPr>
          <w:p w:rsidRPr="00025D4C" w:rsidR="003D5BD0" w:rsidP="00CB43DF" w:rsidRDefault="003D5BD0" w14:paraId="18124BA4" w14:textId="77777777">
            <w:pPr>
              <w:rPr>
                <w:rFonts w:ascii="Calibri" w:hAnsi="Calibri" w:eastAsia="Times New Roman" w:cs="Calibri"/>
                <w:lang w:eastAsia="nl-NL"/>
              </w:rPr>
            </w:pPr>
            <w:r w:rsidRPr="00025D4C">
              <w:rPr>
                <w:rFonts w:ascii="Calibri" w:hAnsi="Calibri" w:eastAsia="Times New Roman" w:cs="Calibri"/>
                <w:lang w:eastAsia="nl-NL"/>
              </w:rPr>
              <w:t>Losser</w:t>
            </w:r>
          </w:p>
        </w:tc>
        <w:tc>
          <w:tcPr>
            <w:tcW w:w="3018" w:type="dxa"/>
            <w:shd w:val="clear" w:color="auto" w:fill="auto"/>
            <w:noWrap/>
            <w:hideMark/>
          </w:tcPr>
          <w:p w:rsidRPr="00025D4C" w:rsidR="003D5BD0" w:rsidP="00CB43DF" w:rsidRDefault="003D5BD0" w14:paraId="10EC8EE6"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90</w:t>
            </w:r>
          </w:p>
        </w:tc>
      </w:tr>
      <w:tr w:rsidRPr="00025D4C" w:rsidR="003D5BD0" w:rsidTr="00CB43DF" w14:paraId="4240A7AB" w14:textId="77777777">
        <w:trPr>
          <w:trHeight w:val="330"/>
        </w:trPr>
        <w:tc>
          <w:tcPr>
            <w:tcW w:w="3681" w:type="dxa"/>
            <w:shd w:val="clear" w:color="auto" w:fill="auto"/>
            <w:hideMark/>
          </w:tcPr>
          <w:p w:rsidRPr="00025D4C" w:rsidR="003D5BD0" w:rsidP="00CB43DF" w:rsidRDefault="003D5BD0" w14:paraId="5D68F2F6" w14:textId="77777777">
            <w:pPr>
              <w:rPr>
                <w:rFonts w:ascii="Calibri" w:hAnsi="Calibri" w:eastAsia="Times New Roman" w:cs="Calibri"/>
                <w:lang w:eastAsia="nl-NL"/>
              </w:rPr>
            </w:pPr>
            <w:r w:rsidRPr="00025D4C">
              <w:rPr>
                <w:rFonts w:ascii="Calibri" w:hAnsi="Calibri" w:eastAsia="Times New Roman" w:cs="Calibri"/>
                <w:lang w:eastAsia="nl-NL"/>
              </w:rPr>
              <w:t>Ridderkerk</w:t>
            </w:r>
          </w:p>
        </w:tc>
        <w:tc>
          <w:tcPr>
            <w:tcW w:w="3018" w:type="dxa"/>
            <w:shd w:val="clear" w:color="auto" w:fill="auto"/>
            <w:noWrap/>
            <w:hideMark/>
          </w:tcPr>
          <w:p w:rsidRPr="00025D4C" w:rsidR="003D5BD0" w:rsidP="00CB43DF" w:rsidRDefault="003D5BD0" w14:paraId="1E3DC1CD"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90</w:t>
            </w:r>
          </w:p>
        </w:tc>
      </w:tr>
      <w:tr w:rsidRPr="00025D4C" w:rsidR="003D5BD0" w:rsidTr="00CB43DF" w14:paraId="18EF337C" w14:textId="77777777">
        <w:trPr>
          <w:trHeight w:val="330"/>
        </w:trPr>
        <w:tc>
          <w:tcPr>
            <w:tcW w:w="3681" w:type="dxa"/>
            <w:shd w:val="clear" w:color="auto" w:fill="auto"/>
            <w:hideMark/>
          </w:tcPr>
          <w:p w:rsidRPr="00025D4C" w:rsidR="003D5BD0" w:rsidP="00CB43DF" w:rsidRDefault="003D5BD0" w14:paraId="456D2EED" w14:textId="77777777">
            <w:pPr>
              <w:rPr>
                <w:rFonts w:ascii="Calibri" w:hAnsi="Calibri" w:eastAsia="Times New Roman" w:cs="Calibri"/>
                <w:lang w:eastAsia="nl-NL"/>
              </w:rPr>
            </w:pPr>
            <w:r w:rsidRPr="00025D4C">
              <w:rPr>
                <w:rFonts w:ascii="Calibri" w:hAnsi="Calibri" w:eastAsia="Times New Roman" w:cs="Calibri"/>
                <w:lang w:eastAsia="nl-NL"/>
              </w:rPr>
              <w:t>Laarbeek</w:t>
            </w:r>
          </w:p>
        </w:tc>
        <w:tc>
          <w:tcPr>
            <w:tcW w:w="3018" w:type="dxa"/>
            <w:shd w:val="clear" w:color="auto" w:fill="auto"/>
            <w:noWrap/>
            <w:hideMark/>
          </w:tcPr>
          <w:p w:rsidRPr="00025D4C" w:rsidR="003D5BD0" w:rsidP="00CB43DF" w:rsidRDefault="003D5BD0" w14:paraId="08AE11D8"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90</w:t>
            </w:r>
          </w:p>
        </w:tc>
      </w:tr>
      <w:tr w:rsidRPr="00025D4C" w:rsidR="003D5BD0" w:rsidTr="00CB43DF" w14:paraId="7CE0974D" w14:textId="77777777">
        <w:trPr>
          <w:trHeight w:val="330"/>
        </w:trPr>
        <w:tc>
          <w:tcPr>
            <w:tcW w:w="3681" w:type="dxa"/>
            <w:shd w:val="clear" w:color="auto" w:fill="auto"/>
            <w:hideMark/>
          </w:tcPr>
          <w:p w:rsidRPr="00025D4C" w:rsidR="003D5BD0" w:rsidP="00CB43DF" w:rsidRDefault="003D5BD0" w14:paraId="2B96CF60" w14:textId="77777777">
            <w:pPr>
              <w:rPr>
                <w:rFonts w:ascii="Calibri" w:hAnsi="Calibri" w:eastAsia="Times New Roman" w:cs="Calibri"/>
                <w:lang w:eastAsia="nl-NL"/>
              </w:rPr>
            </w:pPr>
            <w:r w:rsidRPr="00025D4C">
              <w:rPr>
                <w:rFonts w:ascii="Calibri" w:hAnsi="Calibri" w:eastAsia="Times New Roman" w:cs="Calibri"/>
                <w:lang w:eastAsia="nl-NL"/>
              </w:rPr>
              <w:t>Heeze-Leende</w:t>
            </w:r>
          </w:p>
        </w:tc>
        <w:tc>
          <w:tcPr>
            <w:tcW w:w="3018" w:type="dxa"/>
            <w:shd w:val="clear" w:color="auto" w:fill="auto"/>
            <w:noWrap/>
            <w:hideMark/>
          </w:tcPr>
          <w:p w:rsidRPr="00025D4C" w:rsidR="003D5BD0" w:rsidP="00CB43DF" w:rsidRDefault="003D5BD0" w14:paraId="539E599C"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90</w:t>
            </w:r>
          </w:p>
        </w:tc>
      </w:tr>
      <w:tr w:rsidRPr="00025D4C" w:rsidR="003D5BD0" w:rsidTr="00CB43DF" w14:paraId="7AADB5FC" w14:textId="77777777">
        <w:trPr>
          <w:trHeight w:val="330"/>
        </w:trPr>
        <w:tc>
          <w:tcPr>
            <w:tcW w:w="3681" w:type="dxa"/>
            <w:shd w:val="clear" w:color="auto" w:fill="auto"/>
            <w:hideMark/>
          </w:tcPr>
          <w:p w:rsidRPr="00025D4C" w:rsidR="003D5BD0" w:rsidP="00CB43DF" w:rsidRDefault="003D5BD0" w14:paraId="4F1958D0" w14:textId="77777777">
            <w:pPr>
              <w:rPr>
                <w:rFonts w:ascii="Calibri" w:hAnsi="Calibri" w:eastAsia="Times New Roman" w:cs="Calibri"/>
                <w:lang w:eastAsia="nl-NL"/>
              </w:rPr>
            </w:pPr>
            <w:r w:rsidRPr="00025D4C">
              <w:rPr>
                <w:rFonts w:ascii="Calibri" w:hAnsi="Calibri" w:eastAsia="Times New Roman" w:cs="Calibri"/>
                <w:lang w:eastAsia="nl-NL"/>
              </w:rPr>
              <w:t>Stein</w:t>
            </w:r>
          </w:p>
        </w:tc>
        <w:tc>
          <w:tcPr>
            <w:tcW w:w="3018" w:type="dxa"/>
            <w:shd w:val="clear" w:color="auto" w:fill="auto"/>
            <w:noWrap/>
            <w:hideMark/>
          </w:tcPr>
          <w:p w:rsidRPr="00025D4C" w:rsidR="003D5BD0" w:rsidP="00CB43DF" w:rsidRDefault="003D5BD0" w14:paraId="1A70F683"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90</w:t>
            </w:r>
          </w:p>
        </w:tc>
      </w:tr>
      <w:tr w:rsidRPr="00025D4C" w:rsidR="003D5BD0" w:rsidTr="00CB43DF" w14:paraId="531D1AC9" w14:textId="77777777">
        <w:trPr>
          <w:trHeight w:val="330"/>
        </w:trPr>
        <w:tc>
          <w:tcPr>
            <w:tcW w:w="3681" w:type="dxa"/>
            <w:shd w:val="clear" w:color="auto" w:fill="auto"/>
            <w:hideMark/>
          </w:tcPr>
          <w:p w:rsidRPr="00025D4C" w:rsidR="003D5BD0" w:rsidP="00CB43DF" w:rsidRDefault="003D5BD0" w14:paraId="752B7FCD" w14:textId="77777777">
            <w:pPr>
              <w:rPr>
                <w:rFonts w:ascii="Calibri" w:hAnsi="Calibri" w:eastAsia="Times New Roman" w:cs="Calibri"/>
                <w:lang w:eastAsia="nl-NL"/>
              </w:rPr>
            </w:pPr>
            <w:r w:rsidRPr="00025D4C">
              <w:rPr>
                <w:rFonts w:ascii="Calibri" w:hAnsi="Calibri" w:eastAsia="Times New Roman" w:cs="Calibri"/>
                <w:lang w:eastAsia="nl-NL"/>
              </w:rPr>
              <w:t>Nissewaard</w:t>
            </w:r>
          </w:p>
        </w:tc>
        <w:tc>
          <w:tcPr>
            <w:tcW w:w="3018" w:type="dxa"/>
            <w:shd w:val="clear" w:color="auto" w:fill="auto"/>
            <w:noWrap/>
            <w:hideMark/>
          </w:tcPr>
          <w:p w:rsidRPr="00025D4C" w:rsidR="003D5BD0" w:rsidP="00CB43DF" w:rsidRDefault="003D5BD0" w14:paraId="20D2D409"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80</w:t>
            </w:r>
          </w:p>
        </w:tc>
      </w:tr>
      <w:tr w:rsidRPr="00025D4C" w:rsidR="003D5BD0" w:rsidTr="00CB43DF" w14:paraId="2632C281" w14:textId="77777777">
        <w:trPr>
          <w:trHeight w:val="330"/>
        </w:trPr>
        <w:tc>
          <w:tcPr>
            <w:tcW w:w="3681" w:type="dxa"/>
            <w:shd w:val="clear" w:color="auto" w:fill="auto"/>
            <w:hideMark/>
          </w:tcPr>
          <w:p w:rsidRPr="00025D4C" w:rsidR="003D5BD0" w:rsidP="00CB43DF" w:rsidRDefault="003D5BD0" w14:paraId="1E996FBB" w14:textId="77777777">
            <w:pPr>
              <w:rPr>
                <w:rFonts w:ascii="Calibri" w:hAnsi="Calibri" w:eastAsia="Times New Roman" w:cs="Calibri"/>
                <w:lang w:eastAsia="nl-NL"/>
              </w:rPr>
            </w:pPr>
            <w:r w:rsidRPr="00025D4C">
              <w:rPr>
                <w:rFonts w:ascii="Calibri" w:hAnsi="Calibri" w:eastAsia="Times New Roman" w:cs="Calibri"/>
                <w:lang w:eastAsia="nl-NL"/>
              </w:rPr>
              <w:t>Hollands Kroon</w:t>
            </w:r>
          </w:p>
        </w:tc>
        <w:tc>
          <w:tcPr>
            <w:tcW w:w="3018" w:type="dxa"/>
            <w:shd w:val="clear" w:color="auto" w:fill="auto"/>
            <w:noWrap/>
            <w:hideMark/>
          </w:tcPr>
          <w:p w:rsidRPr="00025D4C" w:rsidR="003D5BD0" w:rsidP="00CB43DF" w:rsidRDefault="003D5BD0" w14:paraId="7F60232F"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80</w:t>
            </w:r>
          </w:p>
        </w:tc>
      </w:tr>
      <w:tr w:rsidRPr="00025D4C" w:rsidR="003D5BD0" w:rsidTr="00CB43DF" w14:paraId="17E94361" w14:textId="77777777">
        <w:trPr>
          <w:trHeight w:val="330"/>
        </w:trPr>
        <w:tc>
          <w:tcPr>
            <w:tcW w:w="3681" w:type="dxa"/>
            <w:shd w:val="clear" w:color="auto" w:fill="auto"/>
            <w:hideMark/>
          </w:tcPr>
          <w:p w:rsidRPr="00025D4C" w:rsidR="003D5BD0" w:rsidP="00CB43DF" w:rsidRDefault="003D5BD0" w14:paraId="045C8F3B" w14:textId="77777777">
            <w:pPr>
              <w:rPr>
                <w:rFonts w:ascii="Calibri" w:hAnsi="Calibri" w:eastAsia="Times New Roman" w:cs="Calibri"/>
                <w:lang w:eastAsia="nl-NL"/>
              </w:rPr>
            </w:pPr>
            <w:r w:rsidRPr="00025D4C">
              <w:rPr>
                <w:rFonts w:ascii="Calibri" w:hAnsi="Calibri" w:eastAsia="Times New Roman" w:cs="Calibri"/>
                <w:lang w:eastAsia="nl-NL"/>
              </w:rPr>
              <w:t>Helmond</w:t>
            </w:r>
          </w:p>
        </w:tc>
        <w:tc>
          <w:tcPr>
            <w:tcW w:w="3018" w:type="dxa"/>
            <w:shd w:val="clear" w:color="auto" w:fill="auto"/>
            <w:noWrap/>
            <w:hideMark/>
          </w:tcPr>
          <w:p w:rsidRPr="00025D4C" w:rsidR="003D5BD0" w:rsidP="00CB43DF" w:rsidRDefault="003D5BD0" w14:paraId="6DEF7F08"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80</w:t>
            </w:r>
          </w:p>
        </w:tc>
      </w:tr>
      <w:tr w:rsidRPr="00025D4C" w:rsidR="003D5BD0" w:rsidTr="00CB43DF" w14:paraId="17D5E159" w14:textId="77777777">
        <w:trPr>
          <w:trHeight w:val="330"/>
        </w:trPr>
        <w:tc>
          <w:tcPr>
            <w:tcW w:w="3681" w:type="dxa"/>
            <w:shd w:val="clear" w:color="auto" w:fill="auto"/>
            <w:hideMark/>
          </w:tcPr>
          <w:p w:rsidRPr="00025D4C" w:rsidR="003D5BD0" w:rsidP="00CB43DF" w:rsidRDefault="003D5BD0" w14:paraId="6ACAA23F" w14:textId="77777777">
            <w:pPr>
              <w:rPr>
                <w:rFonts w:ascii="Calibri" w:hAnsi="Calibri" w:eastAsia="Times New Roman" w:cs="Calibri"/>
                <w:lang w:eastAsia="nl-NL"/>
              </w:rPr>
            </w:pPr>
            <w:r w:rsidRPr="00025D4C">
              <w:rPr>
                <w:rFonts w:ascii="Calibri" w:hAnsi="Calibri" w:eastAsia="Times New Roman" w:cs="Calibri"/>
                <w:lang w:eastAsia="nl-NL"/>
              </w:rPr>
              <w:t>Molenlanden</w:t>
            </w:r>
          </w:p>
        </w:tc>
        <w:tc>
          <w:tcPr>
            <w:tcW w:w="3018" w:type="dxa"/>
            <w:shd w:val="clear" w:color="auto" w:fill="auto"/>
            <w:noWrap/>
            <w:hideMark/>
          </w:tcPr>
          <w:p w:rsidRPr="00025D4C" w:rsidR="003D5BD0" w:rsidP="00CB43DF" w:rsidRDefault="003D5BD0" w14:paraId="7ABF4C0F"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80</w:t>
            </w:r>
          </w:p>
        </w:tc>
      </w:tr>
      <w:tr w:rsidRPr="00025D4C" w:rsidR="003D5BD0" w:rsidTr="00CB43DF" w14:paraId="2888372B" w14:textId="77777777">
        <w:trPr>
          <w:trHeight w:val="330"/>
        </w:trPr>
        <w:tc>
          <w:tcPr>
            <w:tcW w:w="3681" w:type="dxa"/>
            <w:shd w:val="clear" w:color="auto" w:fill="auto"/>
            <w:hideMark/>
          </w:tcPr>
          <w:p w:rsidRPr="00025D4C" w:rsidR="003D5BD0" w:rsidP="00CB43DF" w:rsidRDefault="003D5BD0" w14:paraId="0332DD97" w14:textId="77777777">
            <w:pPr>
              <w:rPr>
                <w:rFonts w:ascii="Calibri" w:hAnsi="Calibri" w:eastAsia="Times New Roman" w:cs="Calibri"/>
                <w:lang w:eastAsia="nl-NL"/>
              </w:rPr>
            </w:pPr>
            <w:r w:rsidRPr="00025D4C">
              <w:rPr>
                <w:rFonts w:ascii="Calibri" w:hAnsi="Calibri" w:eastAsia="Times New Roman" w:cs="Calibri"/>
                <w:lang w:eastAsia="nl-NL"/>
              </w:rPr>
              <w:t>Aa en Hunze</w:t>
            </w:r>
          </w:p>
        </w:tc>
        <w:tc>
          <w:tcPr>
            <w:tcW w:w="3018" w:type="dxa"/>
            <w:shd w:val="clear" w:color="auto" w:fill="auto"/>
            <w:noWrap/>
            <w:hideMark/>
          </w:tcPr>
          <w:p w:rsidRPr="00025D4C" w:rsidR="003D5BD0" w:rsidP="00CB43DF" w:rsidRDefault="003D5BD0" w14:paraId="516B9D8E"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80</w:t>
            </w:r>
          </w:p>
        </w:tc>
      </w:tr>
      <w:tr w:rsidRPr="00025D4C" w:rsidR="003D5BD0" w:rsidTr="00CB43DF" w14:paraId="04F076A3" w14:textId="77777777">
        <w:trPr>
          <w:trHeight w:val="330"/>
        </w:trPr>
        <w:tc>
          <w:tcPr>
            <w:tcW w:w="3681" w:type="dxa"/>
            <w:shd w:val="clear" w:color="auto" w:fill="auto"/>
            <w:hideMark/>
          </w:tcPr>
          <w:p w:rsidRPr="00025D4C" w:rsidR="003D5BD0" w:rsidP="00CB43DF" w:rsidRDefault="003D5BD0" w14:paraId="0CB92A4A" w14:textId="77777777">
            <w:pPr>
              <w:rPr>
                <w:rFonts w:ascii="Calibri" w:hAnsi="Calibri" w:eastAsia="Times New Roman" w:cs="Calibri"/>
                <w:lang w:eastAsia="nl-NL"/>
              </w:rPr>
            </w:pPr>
            <w:r w:rsidRPr="00025D4C">
              <w:rPr>
                <w:rFonts w:ascii="Calibri" w:hAnsi="Calibri" w:eastAsia="Times New Roman" w:cs="Calibri"/>
                <w:lang w:eastAsia="nl-NL"/>
              </w:rPr>
              <w:t>Krimpenerwaard</w:t>
            </w:r>
          </w:p>
        </w:tc>
        <w:tc>
          <w:tcPr>
            <w:tcW w:w="3018" w:type="dxa"/>
            <w:shd w:val="clear" w:color="auto" w:fill="auto"/>
            <w:noWrap/>
            <w:hideMark/>
          </w:tcPr>
          <w:p w:rsidRPr="00025D4C" w:rsidR="003D5BD0" w:rsidP="00CB43DF" w:rsidRDefault="003D5BD0" w14:paraId="36981F2B"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80</w:t>
            </w:r>
          </w:p>
        </w:tc>
      </w:tr>
      <w:tr w:rsidRPr="00025D4C" w:rsidR="003D5BD0" w:rsidTr="00CB43DF" w14:paraId="38A2936D" w14:textId="77777777">
        <w:trPr>
          <w:trHeight w:val="330"/>
        </w:trPr>
        <w:tc>
          <w:tcPr>
            <w:tcW w:w="3681" w:type="dxa"/>
            <w:shd w:val="clear" w:color="auto" w:fill="auto"/>
            <w:hideMark/>
          </w:tcPr>
          <w:p w:rsidRPr="00025D4C" w:rsidR="003D5BD0" w:rsidP="00CB43DF" w:rsidRDefault="003D5BD0" w14:paraId="1803FFAB" w14:textId="77777777">
            <w:pPr>
              <w:rPr>
                <w:rFonts w:ascii="Calibri" w:hAnsi="Calibri" w:eastAsia="Times New Roman" w:cs="Calibri"/>
                <w:lang w:eastAsia="nl-NL"/>
              </w:rPr>
            </w:pPr>
            <w:r w:rsidRPr="00025D4C">
              <w:rPr>
                <w:rFonts w:ascii="Calibri" w:hAnsi="Calibri" w:eastAsia="Times New Roman" w:cs="Calibri"/>
                <w:lang w:eastAsia="nl-NL"/>
              </w:rPr>
              <w:t>Heiloo</w:t>
            </w:r>
          </w:p>
        </w:tc>
        <w:tc>
          <w:tcPr>
            <w:tcW w:w="3018" w:type="dxa"/>
            <w:shd w:val="clear" w:color="auto" w:fill="auto"/>
            <w:noWrap/>
            <w:hideMark/>
          </w:tcPr>
          <w:p w:rsidRPr="00025D4C" w:rsidR="003D5BD0" w:rsidP="00CB43DF" w:rsidRDefault="003D5BD0" w14:paraId="6C73FC4A"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80</w:t>
            </w:r>
          </w:p>
        </w:tc>
      </w:tr>
      <w:tr w:rsidRPr="00025D4C" w:rsidR="003D5BD0" w:rsidTr="00CB43DF" w14:paraId="1F24F46F" w14:textId="77777777">
        <w:trPr>
          <w:trHeight w:val="330"/>
        </w:trPr>
        <w:tc>
          <w:tcPr>
            <w:tcW w:w="3681" w:type="dxa"/>
            <w:shd w:val="clear" w:color="auto" w:fill="auto"/>
            <w:hideMark/>
          </w:tcPr>
          <w:p w:rsidRPr="00025D4C" w:rsidR="003D5BD0" w:rsidP="00CB43DF" w:rsidRDefault="003D5BD0" w14:paraId="4FFE8FD8" w14:textId="77777777">
            <w:pPr>
              <w:rPr>
                <w:rFonts w:ascii="Calibri" w:hAnsi="Calibri" w:eastAsia="Times New Roman" w:cs="Calibri"/>
                <w:lang w:eastAsia="nl-NL"/>
              </w:rPr>
            </w:pPr>
            <w:r w:rsidRPr="00025D4C">
              <w:rPr>
                <w:rFonts w:ascii="Calibri" w:hAnsi="Calibri" w:eastAsia="Times New Roman" w:cs="Calibri"/>
                <w:lang w:eastAsia="nl-NL"/>
              </w:rPr>
              <w:t>Castricum</w:t>
            </w:r>
          </w:p>
        </w:tc>
        <w:tc>
          <w:tcPr>
            <w:tcW w:w="3018" w:type="dxa"/>
            <w:shd w:val="clear" w:color="auto" w:fill="auto"/>
            <w:noWrap/>
            <w:hideMark/>
          </w:tcPr>
          <w:p w:rsidRPr="00025D4C" w:rsidR="003D5BD0" w:rsidP="00CB43DF" w:rsidRDefault="003D5BD0" w14:paraId="73E123BD"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80</w:t>
            </w:r>
          </w:p>
        </w:tc>
      </w:tr>
      <w:tr w:rsidRPr="00025D4C" w:rsidR="003D5BD0" w:rsidTr="00CB43DF" w14:paraId="1DC6E4D2" w14:textId="77777777">
        <w:trPr>
          <w:trHeight w:val="330"/>
        </w:trPr>
        <w:tc>
          <w:tcPr>
            <w:tcW w:w="3681" w:type="dxa"/>
            <w:shd w:val="clear" w:color="auto" w:fill="auto"/>
            <w:hideMark/>
          </w:tcPr>
          <w:p w:rsidRPr="00025D4C" w:rsidR="003D5BD0" w:rsidP="00CB43DF" w:rsidRDefault="003D5BD0" w14:paraId="67C21A04" w14:textId="77777777">
            <w:pPr>
              <w:rPr>
                <w:rFonts w:ascii="Calibri" w:hAnsi="Calibri" w:eastAsia="Times New Roman" w:cs="Calibri"/>
                <w:lang w:eastAsia="nl-NL"/>
              </w:rPr>
            </w:pPr>
            <w:r w:rsidRPr="00025D4C">
              <w:rPr>
                <w:rFonts w:ascii="Calibri" w:hAnsi="Calibri" w:eastAsia="Times New Roman" w:cs="Calibri"/>
                <w:lang w:eastAsia="nl-NL"/>
              </w:rPr>
              <w:t>Drimmelen</w:t>
            </w:r>
          </w:p>
        </w:tc>
        <w:tc>
          <w:tcPr>
            <w:tcW w:w="3018" w:type="dxa"/>
            <w:shd w:val="clear" w:color="auto" w:fill="auto"/>
            <w:noWrap/>
            <w:hideMark/>
          </w:tcPr>
          <w:p w:rsidRPr="00025D4C" w:rsidR="003D5BD0" w:rsidP="00CB43DF" w:rsidRDefault="003D5BD0" w14:paraId="1C6D0789"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70</w:t>
            </w:r>
          </w:p>
        </w:tc>
      </w:tr>
      <w:tr w:rsidRPr="00025D4C" w:rsidR="003D5BD0" w:rsidTr="00CB43DF" w14:paraId="517D25A2" w14:textId="77777777">
        <w:trPr>
          <w:trHeight w:val="330"/>
        </w:trPr>
        <w:tc>
          <w:tcPr>
            <w:tcW w:w="3681" w:type="dxa"/>
            <w:shd w:val="clear" w:color="auto" w:fill="auto"/>
            <w:hideMark/>
          </w:tcPr>
          <w:p w:rsidRPr="00025D4C" w:rsidR="003D5BD0" w:rsidP="00CB43DF" w:rsidRDefault="003D5BD0" w14:paraId="7244FBCA" w14:textId="77777777">
            <w:pPr>
              <w:rPr>
                <w:rFonts w:ascii="Calibri" w:hAnsi="Calibri" w:eastAsia="Times New Roman" w:cs="Calibri"/>
                <w:lang w:eastAsia="nl-NL"/>
              </w:rPr>
            </w:pPr>
            <w:r w:rsidRPr="00025D4C">
              <w:rPr>
                <w:rFonts w:ascii="Calibri" w:hAnsi="Calibri" w:eastAsia="Times New Roman" w:cs="Calibri"/>
                <w:lang w:eastAsia="nl-NL"/>
              </w:rPr>
              <w:t>Purmerend</w:t>
            </w:r>
          </w:p>
        </w:tc>
        <w:tc>
          <w:tcPr>
            <w:tcW w:w="3018" w:type="dxa"/>
            <w:shd w:val="clear" w:color="auto" w:fill="auto"/>
            <w:noWrap/>
            <w:hideMark/>
          </w:tcPr>
          <w:p w:rsidRPr="00025D4C" w:rsidR="003D5BD0" w:rsidP="00CB43DF" w:rsidRDefault="003D5BD0" w14:paraId="5B7C7ABA"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70</w:t>
            </w:r>
          </w:p>
        </w:tc>
      </w:tr>
      <w:tr w:rsidRPr="00025D4C" w:rsidR="003D5BD0" w:rsidTr="00CB43DF" w14:paraId="7469239E" w14:textId="77777777">
        <w:trPr>
          <w:trHeight w:val="330"/>
        </w:trPr>
        <w:tc>
          <w:tcPr>
            <w:tcW w:w="3681" w:type="dxa"/>
            <w:shd w:val="clear" w:color="auto" w:fill="auto"/>
            <w:hideMark/>
          </w:tcPr>
          <w:p w:rsidRPr="00025D4C" w:rsidR="003D5BD0" w:rsidP="00CB43DF" w:rsidRDefault="003D5BD0" w14:paraId="49199F8D" w14:textId="77777777">
            <w:pPr>
              <w:rPr>
                <w:rFonts w:ascii="Calibri" w:hAnsi="Calibri" w:eastAsia="Times New Roman" w:cs="Calibri"/>
                <w:lang w:eastAsia="nl-NL"/>
              </w:rPr>
            </w:pPr>
            <w:r w:rsidRPr="00025D4C">
              <w:rPr>
                <w:rFonts w:ascii="Calibri" w:hAnsi="Calibri" w:eastAsia="Times New Roman" w:cs="Calibri"/>
                <w:lang w:eastAsia="nl-NL"/>
              </w:rPr>
              <w:t>Barendrecht</w:t>
            </w:r>
          </w:p>
        </w:tc>
        <w:tc>
          <w:tcPr>
            <w:tcW w:w="3018" w:type="dxa"/>
            <w:shd w:val="clear" w:color="auto" w:fill="auto"/>
            <w:noWrap/>
            <w:hideMark/>
          </w:tcPr>
          <w:p w:rsidRPr="00025D4C" w:rsidR="003D5BD0" w:rsidP="00CB43DF" w:rsidRDefault="003D5BD0" w14:paraId="770ACD0B"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70</w:t>
            </w:r>
          </w:p>
        </w:tc>
      </w:tr>
      <w:tr w:rsidRPr="00025D4C" w:rsidR="003D5BD0" w:rsidTr="00CB43DF" w14:paraId="76C9DF36" w14:textId="77777777">
        <w:trPr>
          <w:trHeight w:val="330"/>
        </w:trPr>
        <w:tc>
          <w:tcPr>
            <w:tcW w:w="3681" w:type="dxa"/>
            <w:shd w:val="clear" w:color="auto" w:fill="auto"/>
            <w:hideMark/>
          </w:tcPr>
          <w:p w:rsidRPr="00025D4C" w:rsidR="003D5BD0" w:rsidP="00CB43DF" w:rsidRDefault="003D5BD0" w14:paraId="008851B9" w14:textId="77777777">
            <w:pPr>
              <w:rPr>
                <w:rFonts w:ascii="Calibri" w:hAnsi="Calibri" w:eastAsia="Times New Roman" w:cs="Calibri"/>
                <w:lang w:eastAsia="nl-NL"/>
              </w:rPr>
            </w:pPr>
            <w:r w:rsidRPr="00025D4C">
              <w:rPr>
                <w:rFonts w:ascii="Calibri" w:hAnsi="Calibri" w:eastAsia="Times New Roman" w:cs="Calibri"/>
                <w:lang w:eastAsia="nl-NL"/>
              </w:rPr>
              <w:t>Wierden</w:t>
            </w:r>
          </w:p>
        </w:tc>
        <w:tc>
          <w:tcPr>
            <w:tcW w:w="3018" w:type="dxa"/>
            <w:shd w:val="clear" w:color="auto" w:fill="auto"/>
            <w:noWrap/>
            <w:hideMark/>
          </w:tcPr>
          <w:p w:rsidRPr="00025D4C" w:rsidR="003D5BD0" w:rsidP="00CB43DF" w:rsidRDefault="003D5BD0" w14:paraId="08B3DA49"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70</w:t>
            </w:r>
          </w:p>
        </w:tc>
      </w:tr>
      <w:tr w:rsidRPr="00025D4C" w:rsidR="003D5BD0" w:rsidTr="00CB43DF" w14:paraId="6161F88B" w14:textId="77777777">
        <w:trPr>
          <w:trHeight w:val="330"/>
        </w:trPr>
        <w:tc>
          <w:tcPr>
            <w:tcW w:w="3681" w:type="dxa"/>
            <w:shd w:val="clear" w:color="auto" w:fill="auto"/>
            <w:hideMark/>
          </w:tcPr>
          <w:p w:rsidRPr="00025D4C" w:rsidR="003D5BD0" w:rsidP="00CB43DF" w:rsidRDefault="003D5BD0" w14:paraId="398504E7" w14:textId="77777777">
            <w:pPr>
              <w:rPr>
                <w:rFonts w:ascii="Calibri" w:hAnsi="Calibri" w:eastAsia="Times New Roman" w:cs="Calibri"/>
                <w:lang w:eastAsia="nl-NL"/>
              </w:rPr>
            </w:pPr>
            <w:r w:rsidRPr="00025D4C">
              <w:rPr>
                <w:rFonts w:ascii="Calibri" w:hAnsi="Calibri" w:eastAsia="Times New Roman" w:cs="Calibri"/>
                <w:lang w:eastAsia="nl-NL"/>
              </w:rPr>
              <w:t>Valkenburg aan de Geul</w:t>
            </w:r>
          </w:p>
        </w:tc>
        <w:tc>
          <w:tcPr>
            <w:tcW w:w="3018" w:type="dxa"/>
            <w:shd w:val="clear" w:color="auto" w:fill="auto"/>
            <w:noWrap/>
            <w:hideMark/>
          </w:tcPr>
          <w:p w:rsidRPr="00025D4C" w:rsidR="003D5BD0" w:rsidP="00CB43DF" w:rsidRDefault="003D5BD0" w14:paraId="3F19F1E7"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60</w:t>
            </w:r>
          </w:p>
        </w:tc>
      </w:tr>
      <w:tr w:rsidRPr="00025D4C" w:rsidR="003D5BD0" w:rsidTr="00CB43DF" w14:paraId="3B1DD257" w14:textId="77777777">
        <w:trPr>
          <w:trHeight w:val="330"/>
        </w:trPr>
        <w:tc>
          <w:tcPr>
            <w:tcW w:w="3681" w:type="dxa"/>
            <w:shd w:val="clear" w:color="auto" w:fill="auto"/>
            <w:hideMark/>
          </w:tcPr>
          <w:p w:rsidRPr="00025D4C" w:rsidR="003D5BD0" w:rsidP="00CB43DF" w:rsidRDefault="003D5BD0" w14:paraId="0688CD3B" w14:textId="77777777">
            <w:pPr>
              <w:rPr>
                <w:rFonts w:ascii="Calibri" w:hAnsi="Calibri" w:eastAsia="Times New Roman" w:cs="Calibri"/>
                <w:lang w:eastAsia="nl-NL"/>
              </w:rPr>
            </w:pPr>
            <w:r w:rsidRPr="00025D4C">
              <w:rPr>
                <w:rFonts w:ascii="Calibri" w:hAnsi="Calibri" w:eastAsia="Times New Roman" w:cs="Calibri"/>
                <w:lang w:eastAsia="nl-NL"/>
              </w:rPr>
              <w:lastRenderedPageBreak/>
              <w:t>Ermelo</w:t>
            </w:r>
          </w:p>
        </w:tc>
        <w:tc>
          <w:tcPr>
            <w:tcW w:w="3018" w:type="dxa"/>
            <w:shd w:val="clear" w:color="auto" w:fill="auto"/>
            <w:noWrap/>
            <w:hideMark/>
          </w:tcPr>
          <w:p w:rsidRPr="00025D4C" w:rsidR="003D5BD0" w:rsidP="00CB43DF" w:rsidRDefault="003D5BD0" w14:paraId="49361704"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60</w:t>
            </w:r>
          </w:p>
        </w:tc>
      </w:tr>
      <w:tr w:rsidRPr="00025D4C" w:rsidR="003D5BD0" w:rsidTr="00CB43DF" w14:paraId="04D6C605" w14:textId="77777777">
        <w:trPr>
          <w:trHeight w:val="330"/>
        </w:trPr>
        <w:tc>
          <w:tcPr>
            <w:tcW w:w="3681" w:type="dxa"/>
            <w:shd w:val="clear" w:color="auto" w:fill="auto"/>
            <w:hideMark/>
          </w:tcPr>
          <w:p w:rsidRPr="00025D4C" w:rsidR="003D5BD0" w:rsidP="00CB43DF" w:rsidRDefault="003D5BD0" w14:paraId="021B1DF0" w14:textId="77777777">
            <w:pPr>
              <w:rPr>
                <w:rFonts w:ascii="Calibri" w:hAnsi="Calibri" w:eastAsia="Times New Roman" w:cs="Calibri"/>
                <w:lang w:eastAsia="nl-NL"/>
              </w:rPr>
            </w:pPr>
            <w:r w:rsidRPr="00025D4C">
              <w:rPr>
                <w:rFonts w:ascii="Calibri" w:hAnsi="Calibri" w:eastAsia="Times New Roman" w:cs="Calibri"/>
                <w:lang w:eastAsia="nl-NL"/>
              </w:rPr>
              <w:t>Berkelland</w:t>
            </w:r>
          </w:p>
        </w:tc>
        <w:tc>
          <w:tcPr>
            <w:tcW w:w="3018" w:type="dxa"/>
            <w:shd w:val="clear" w:color="auto" w:fill="auto"/>
            <w:noWrap/>
            <w:hideMark/>
          </w:tcPr>
          <w:p w:rsidRPr="00025D4C" w:rsidR="003D5BD0" w:rsidP="00CB43DF" w:rsidRDefault="003D5BD0" w14:paraId="65583ADB"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60</w:t>
            </w:r>
          </w:p>
        </w:tc>
      </w:tr>
      <w:tr w:rsidRPr="00025D4C" w:rsidR="003D5BD0" w:rsidTr="00CB43DF" w14:paraId="4F21A258" w14:textId="77777777">
        <w:trPr>
          <w:trHeight w:val="330"/>
        </w:trPr>
        <w:tc>
          <w:tcPr>
            <w:tcW w:w="3681" w:type="dxa"/>
            <w:shd w:val="clear" w:color="auto" w:fill="auto"/>
            <w:hideMark/>
          </w:tcPr>
          <w:p w:rsidRPr="00025D4C" w:rsidR="003D5BD0" w:rsidP="00CB43DF" w:rsidRDefault="003D5BD0" w14:paraId="3E776BDC" w14:textId="77777777">
            <w:pPr>
              <w:rPr>
                <w:rFonts w:ascii="Calibri" w:hAnsi="Calibri" w:eastAsia="Times New Roman" w:cs="Calibri"/>
                <w:lang w:eastAsia="nl-NL"/>
              </w:rPr>
            </w:pPr>
            <w:r w:rsidRPr="00025D4C">
              <w:rPr>
                <w:rFonts w:ascii="Calibri" w:hAnsi="Calibri" w:eastAsia="Times New Roman" w:cs="Calibri"/>
                <w:lang w:eastAsia="nl-NL"/>
              </w:rPr>
              <w:t>Zuidplas</w:t>
            </w:r>
          </w:p>
        </w:tc>
        <w:tc>
          <w:tcPr>
            <w:tcW w:w="3018" w:type="dxa"/>
            <w:shd w:val="clear" w:color="auto" w:fill="auto"/>
            <w:noWrap/>
            <w:hideMark/>
          </w:tcPr>
          <w:p w:rsidRPr="00025D4C" w:rsidR="003D5BD0" w:rsidP="00CB43DF" w:rsidRDefault="003D5BD0" w14:paraId="067199B0"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60</w:t>
            </w:r>
          </w:p>
        </w:tc>
      </w:tr>
      <w:tr w:rsidRPr="00025D4C" w:rsidR="003D5BD0" w:rsidTr="00CB43DF" w14:paraId="69A0F53F" w14:textId="77777777">
        <w:trPr>
          <w:trHeight w:val="330"/>
        </w:trPr>
        <w:tc>
          <w:tcPr>
            <w:tcW w:w="3681" w:type="dxa"/>
            <w:shd w:val="clear" w:color="auto" w:fill="auto"/>
            <w:hideMark/>
          </w:tcPr>
          <w:p w:rsidRPr="00025D4C" w:rsidR="003D5BD0" w:rsidP="00CB43DF" w:rsidRDefault="003D5BD0" w14:paraId="585DE6A7" w14:textId="77777777">
            <w:pPr>
              <w:rPr>
                <w:rFonts w:ascii="Calibri" w:hAnsi="Calibri" w:eastAsia="Times New Roman" w:cs="Calibri"/>
                <w:lang w:eastAsia="nl-NL"/>
              </w:rPr>
            </w:pPr>
            <w:r w:rsidRPr="00025D4C">
              <w:rPr>
                <w:rFonts w:ascii="Calibri" w:hAnsi="Calibri" w:eastAsia="Times New Roman" w:cs="Calibri"/>
                <w:lang w:eastAsia="nl-NL"/>
              </w:rPr>
              <w:t>Venlo</w:t>
            </w:r>
          </w:p>
        </w:tc>
        <w:tc>
          <w:tcPr>
            <w:tcW w:w="3018" w:type="dxa"/>
            <w:shd w:val="clear" w:color="auto" w:fill="auto"/>
            <w:noWrap/>
            <w:hideMark/>
          </w:tcPr>
          <w:p w:rsidRPr="00025D4C" w:rsidR="003D5BD0" w:rsidP="00CB43DF" w:rsidRDefault="003D5BD0" w14:paraId="256688F5"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60</w:t>
            </w:r>
          </w:p>
        </w:tc>
      </w:tr>
      <w:tr w:rsidRPr="00025D4C" w:rsidR="003D5BD0" w:rsidTr="00CB43DF" w14:paraId="4473CE16" w14:textId="77777777">
        <w:trPr>
          <w:trHeight w:val="330"/>
        </w:trPr>
        <w:tc>
          <w:tcPr>
            <w:tcW w:w="3681" w:type="dxa"/>
            <w:shd w:val="clear" w:color="auto" w:fill="auto"/>
            <w:hideMark/>
          </w:tcPr>
          <w:p w:rsidRPr="00025D4C" w:rsidR="003D5BD0" w:rsidP="00CB43DF" w:rsidRDefault="003D5BD0" w14:paraId="5EED4E59" w14:textId="77777777">
            <w:pPr>
              <w:rPr>
                <w:rFonts w:ascii="Calibri" w:hAnsi="Calibri" w:eastAsia="Times New Roman" w:cs="Calibri"/>
                <w:lang w:eastAsia="nl-NL"/>
              </w:rPr>
            </w:pPr>
            <w:r w:rsidRPr="00025D4C">
              <w:rPr>
                <w:rFonts w:ascii="Calibri" w:hAnsi="Calibri" w:eastAsia="Times New Roman" w:cs="Calibri"/>
                <w:lang w:eastAsia="nl-NL"/>
              </w:rPr>
              <w:t>Tholen</w:t>
            </w:r>
          </w:p>
        </w:tc>
        <w:tc>
          <w:tcPr>
            <w:tcW w:w="3018" w:type="dxa"/>
            <w:shd w:val="clear" w:color="auto" w:fill="auto"/>
            <w:noWrap/>
            <w:hideMark/>
          </w:tcPr>
          <w:p w:rsidRPr="00025D4C" w:rsidR="003D5BD0" w:rsidP="00CB43DF" w:rsidRDefault="003D5BD0" w14:paraId="50E38BB7"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60</w:t>
            </w:r>
          </w:p>
        </w:tc>
      </w:tr>
      <w:tr w:rsidRPr="00025D4C" w:rsidR="003D5BD0" w:rsidTr="00CB43DF" w14:paraId="1B0ECDEE" w14:textId="77777777">
        <w:trPr>
          <w:trHeight w:val="330"/>
        </w:trPr>
        <w:tc>
          <w:tcPr>
            <w:tcW w:w="3681" w:type="dxa"/>
            <w:shd w:val="clear" w:color="auto" w:fill="auto"/>
            <w:hideMark/>
          </w:tcPr>
          <w:p w:rsidRPr="00025D4C" w:rsidR="003D5BD0" w:rsidP="00CB43DF" w:rsidRDefault="003D5BD0" w14:paraId="29B5FD55" w14:textId="77777777">
            <w:pPr>
              <w:rPr>
                <w:rFonts w:ascii="Calibri" w:hAnsi="Calibri" w:eastAsia="Times New Roman" w:cs="Calibri"/>
                <w:lang w:eastAsia="nl-NL"/>
              </w:rPr>
            </w:pPr>
            <w:r w:rsidRPr="00025D4C">
              <w:rPr>
                <w:rFonts w:ascii="Calibri" w:hAnsi="Calibri" w:eastAsia="Times New Roman" w:cs="Calibri"/>
                <w:lang w:eastAsia="nl-NL"/>
              </w:rPr>
              <w:t>Geldrop-Mierlo</w:t>
            </w:r>
          </w:p>
        </w:tc>
        <w:tc>
          <w:tcPr>
            <w:tcW w:w="3018" w:type="dxa"/>
            <w:shd w:val="clear" w:color="auto" w:fill="auto"/>
            <w:noWrap/>
            <w:hideMark/>
          </w:tcPr>
          <w:p w:rsidRPr="00025D4C" w:rsidR="003D5BD0" w:rsidP="00CB43DF" w:rsidRDefault="003D5BD0" w14:paraId="45C46977"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50</w:t>
            </w:r>
          </w:p>
        </w:tc>
      </w:tr>
      <w:tr w:rsidRPr="00025D4C" w:rsidR="003D5BD0" w:rsidTr="00CB43DF" w14:paraId="0789BF54" w14:textId="77777777">
        <w:trPr>
          <w:trHeight w:val="330"/>
        </w:trPr>
        <w:tc>
          <w:tcPr>
            <w:tcW w:w="3681" w:type="dxa"/>
            <w:shd w:val="clear" w:color="auto" w:fill="auto"/>
            <w:hideMark/>
          </w:tcPr>
          <w:p w:rsidRPr="00025D4C" w:rsidR="003D5BD0" w:rsidP="00CB43DF" w:rsidRDefault="003D5BD0" w14:paraId="21FED2D1" w14:textId="77777777">
            <w:pPr>
              <w:rPr>
                <w:rFonts w:ascii="Calibri" w:hAnsi="Calibri" w:eastAsia="Times New Roman" w:cs="Calibri"/>
                <w:lang w:eastAsia="nl-NL"/>
              </w:rPr>
            </w:pPr>
            <w:r w:rsidRPr="00025D4C">
              <w:rPr>
                <w:rFonts w:ascii="Calibri" w:hAnsi="Calibri" w:eastAsia="Times New Roman" w:cs="Calibri"/>
                <w:lang w:eastAsia="nl-NL"/>
              </w:rPr>
              <w:t>Noordenveld</w:t>
            </w:r>
          </w:p>
        </w:tc>
        <w:tc>
          <w:tcPr>
            <w:tcW w:w="3018" w:type="dxa"/>
            <w:shd w:val="clear" w:color="auto" w:fill="auto"/>
            <w:noWrap/>
            <w:hideMark/>
          </w:tcPr>
          <w:p w:rsidRPr="00025D4C" w:rsidR="003D5BD0" w:rsidP="00CB43DF" w:rsidRDefault="003D5BD0" w14:paraId="47EA6DF9"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50</w:t>
            </w:r>
          </w:p>
        </w:tc>
      </w:tr>
      <w:tr w:rsidRPr="00025D4C" w:rsidR="003D5BD0" w:rsidTr="00CB43DF" w14:paraId="7548D156" w14:textId="77777777">
        <w:trPr>
          <w:trHeight w:val="330"/>
        </w:trPr>
        <w:tc>
          <w:tcPr>
            <w:tcW w:w="3681" w:type="dxa"/>
            <w:shd w:val="clear" w:color="auto" w:fill="auto"/>
            <w:hideMark/>
          </w:tcPr>
          <w:p w:rsidRPr="00025D4C" w:rsidR="003D5BD0" w:rsidP="00CB43DF" w:rsidRDefault="003D5BD0" w14:paraId="4A7DB323" w14:textId="77777777">
            <w:pPr>
              <w:rPr>
                <w:rFonts w:ascii="Calibri" w:hAnsi="Calibri" w:eastAsia="Times New Roman" w:cs="Calibri"/>
                <w:lang w:eastAsia="nl-NL"/>
              </w:rPr>
            </w:pPr>
            <w:r w:rsidRPr="00025D4C">
              <w:rPr>
                <w:rFonts w:ascii="Calibri" w:hAnsi="Calibri" w:eastAsia="Times New Roman" w:cs="Calibri"/>
                <w:lang w:eastAsia="nl-NL"/>
              </w:rPr>
              <w:t>Hilvarenbeek</w:t>
            </w:r>
          </w:p>
        </w:tc>
        <w:tc>
          <w:tcPr>
            <w:tcW w:w="3018" w:type="dxa"/>
            <w:shd w:val="clear" w:color="auto" w:fill="auto"/>
            <w:noWrap/>
            <w:hideMark/>
          </w:tcPr>
          <w:p w:rsidRPr="00025D4C" w:rsidR="003D5BD0" w:rsidP="00CB43DF" w:rsidRDefault="003D5BD0" w14:paraId="534E1357"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50</w:t>
            </w:r>
          </w:p>
        </w:tc>
      </w:tr>
      <w:tr w:rsidRPr="00025D4C" w:rsidR="003D5BD0" w:rsidTr="00CB43DF" w14:paraId="622AD239" w14:textId="77777777">
        <w:trPr>
          <w:trHeight w:val="330"/>
        </w:trPr>
        <w:tc>
          <w:tcPr>
            <w:tcW w:w="3681" w:type="dxa"/>
            <w:shd w:val="clear" w:color="auto" w:fill="auto"/>
            <w:hideMark/>
          </w:tcPr>
          <w:p w:rsidRPr="00025D4C" w:rsidR="003D5BD0" w:rsidP="00CB43DF" w:rsidRDefault="003D5BD0" w14:paraId="0593BD31" w14:textId="77777777">
            <w:pPr>
              <w:rPr>
                <w:rFonts w:ascii="Calibri" w:hAnsi="Calibri" w:eastAsia="Times New Roman" w:cs="Calibri"/>
                <w:lang w:eastAsia="nl-NL"/>
              </w:rPr>
            </w:pPr>
            <w:r w:rsidRPr="00025D4C">
              <w:rPr>
                <w:rFonts w:ascii="Calibri" w:hAnsi="Calibri" w:eastAsia="Times New Roman" w:cs="Calibri"/>
                <w:lang w:eastAsia="nl-NL"/>
              </w:rPr>
              <w:t>Geertruidenberg</w:t>
            </w:r>
          </w:p>
        </w:tc>
        <w:tc>
          <w:tcPr>
            <w:tcW w:w="3018" w:type="dxa"/>
            <w:shd w:val="clear" w:color="auto" w:fill="auto"/>
            <w:noWrap/>
            <w:hideMark/>
          </w:tcPr>
          <w:p w:rsidRPr="00025D4C" w:rsidR="003D5BD0" w:rsidP="00CB43DF" w:rsidRDefault="003D5BD0" w14:paraId="0FCDB87A"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50</w:t>
            </w:r>
          </w:p>
        </w:tc>
      </w:tr>
      <w:tr w:rsidRPr="00025D4C" w:rsidR="003D5BD0" w:rsidTr="00CB43DF" w14:paraId="125C2A54" w14:textId="77777777">
        <w:trPr>
          <w:trHeight w:val="330"/>
        </w:trPr>
        <w:tc>
          <w:tcPr>
            <w:tcW w:w="3681" w:type="dxa"/>
            <w:shd w:val="clear" w:color="auto" w:fill="auto"/>
            <w:hideMark/>
          </w:tcPr>
          <w:p w:rsidRPr="00025D4C" w:rsidR="003D5BD0" w:rsidP="00CB43DF" w:rsidRDefault="003D5BD0" w14:paraId="1FCFAD80" w14:textId="77777777">
            <w:pPr>
              <w:rPr>
                <w:rFonts w:ascii="Calibri" w:hAnsi="Calibri" w:eastAsia="Times New Roman" w:cs="Calibri"/>
                <w:lang w:eastAsia="nl-NL"/>
              </w:rPr>
            </w:pPr>
            <w:r w:rsidRPr="00025D4C">
              <w:rPr>
                <w:rFonts w:ascii="Calibri" w:hAnsi="Calibri" w:eastAsia="Times New Roman" w:cs="Calibri"/>
                <w:lang w:eastAsia="nl-NL"/>
              </w:rPr>
              <w:t>Papendrecht</w:t>
            </w:r>
          </w:p>
        </w:tc>
        <w:tc>
          <w:tcPr>
            <w:tcW w:w="3018" w:type="dxa"/>
            <w:shd w:val="clear" w:color="auto" w:fill="auto"/>
            <w:noWrap/>
            <w:hideMark/>
          </w:tcPr>
          <w:p w:rsidRPr="00025D4C" w:rsidR="003D5BD0" w:rsidP="00CB43DF" w:rsidRDefault="003D5BD0" w14:paraId="7D3FC457"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50</w:t>
            </w:r>
          </w:p>
        </w:tc>
      </w:tr>
      <w:tr w:rsidRPr="00025D4C" w:rsidR="003D5BD0" w:rsidTr="00CB43DF" w14:paraId="7CA61DF6" w14:textId="77777777">
        <w:trPr>
          <w:trHeight w:val="330"/>
        </w:trPr>
        <w:tc>
          <w:tcPr>
            <w:tcW w:w="3681" w:type="dxa"/>
            <w:shd w:val="clear" w:color="auto" w:fill="auto"/>
            <w:hideMark/>
          </w:tcPr>
          <w:p w:rsidRPr="00025D4C" w:rsidR="003D5BD0" w:rsidP="00CB43DF" w:rsidRDefault="003D5BD0" w14:paraId="74D0A191" w14:textId="77777777">
            <w:pPr>
              <w:rPr>
                <w:rFonts w:ascii="Calibri" w:hAnsi="Calibri" w:eastAsia="Times New Roman" w:cs="Calibri"/>
                <w:lang w:eastAsia="nl-NL"/>
              </w:rPr>
            </w:pPr>
            <w:r w:rsidRPr="00025D4C">
              <w:rPr>
                <w:rFonts w:ascii="Calibri" w:hAnsi="Calibri" w:eastAsia="Times New Roman" w:cs="Calibri"/>
                <w:lang w:eastAsia="nl-NL"/>
              </w:rPr>
              <w:t>Vlaardingen</w:t>
            </w:r>
          </w:p>
        </w:tc>
        <w:tc>
          <w:tcPr>
            <w:tcW w:w="3018" w:type="dxa"/>
            <w:shd w:val="clear" w:color="auto" w:fill="auto"/>
            <w:noWrap/>
            <w:hideMark/>
          </w:tcPr>
          <w:p w:rsidRPr="00025D4C" w:rsidR="003D5BD0" w:rsidP="00CB43DF" w:rsidRDefault="003D5BD0" w14:paraId="02D33BB4"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50</w:t>
            </w:r>
          </w:p>
        </w:tc>
      </w:tr>
      <w:tr w:rsidRPr="00025D4C" w:rsidR="003D5BD0" w:rsidTr="00CB43DF" w14:paraId="4AF954C8" w14:textId="77777777">
        <w:trPr>
          <w:trHeight w:val="330"/>
        </w:trPr>
        <w:tc>
          <w:tcPr>
            <w:tcW w:w="3681" w:type="dxa"/>
            <w:shd w:val="clear" w:color="auto" w:fill="auto"/>
            <w:hideMark/>
          </w:tcPr>
          <w:p w:rsidRPr="00025D4C" w:rsidR="003D5BD0" w:rsidP="00CB43DF" w:rsidRDefault="003D5BD0" w14:paraId="0BD861B4" w14:textId="77777777">
            <w:pPr>
              <w:rPr>
                <w:rFonts w:ascii="Calibri" w:hAnsi="Calibri" w:eastAsia="Times New Roman" w:cs="Calibri"/>
                <w:lang w:eastAsia="nl-NL"/>
              </w:rPr>
            </w:pPr>
            <w:r w:rsidRPr="00025D4C">
              <w:rPr>
                <w:rFonts w:ascii="Calibri" w:hAnsi="Calibri" w:eastAsia="Times New Roman" w:cs="Calibri"/>
                <w:lang w:eastAsia="nl-NL"/>
              </w:rPr>
              <w:t>Zandvoort</w:t>
            </w:r>
          </w:p>
        </w:tc>
        <w:tc>
          <w:tcPr>
            <w:tcW w:w="3018" w:type="dxa"/>
            <w:shd w:val="clear" w:color="auto" w:fill="auto"/>
            <w:noWrap/>
            <w:hideMark/>
          </w:tcPr>
          <w:p w:rsidRPr="00025D4C" w:rsidR="003D5BD0" w:rsidP="00CB43DF" w:rsidRDefault="003D5BD0" w14:paraId="07290033"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50</w:t>
            </w:r>
          </w:p>
        </w:tc>
      </w:tr>
      <w:tr w:rsidRPr="00025D4C" w:rsidR="003D5BD0" w:rsidTr="00CB43DF" w14:paraId="20CE42E7" w14:textId="77777777">
        <w:trPr>
          <w:trHeight w:val="330"/>
        </w:trPr>
        <w:tc>
          <w:tcPr>
            <w:tcW w:w="3681" w:type="dxa"/>
            <w:shd w:val="clear" w:color="auto" w:fill="auto"/>
            <w:hideMark/>
          </w:tcPr>
          <w:p w:rsidRPr="00025D4C" w:rsidR="003D5BD0" w:rsidP="00CB43DF" w:rsidRDefault="003D5BD0" w14:paraId="5A365598" w14:textId="77777777">
            <w:pPr>
              <w:rPr>
                <w:rFonts w:ascii="Calibri" w:hAnsi="Calibri" w:eastAsia="Times New Roman" w:cs="Calibri"/>
                <w:lang w:eastAsia="nl-NL"/>
              </w:rPr>
            </w:pPr>
            <w:r w:rsidRPr="00025D4C">
              <w:rPr>
                <w:rFonts w:ascii="Calibri" w:hAnsi="Calibri" w:eastAsia="Times New Roman" w:cs="Calibri"/>
                <w:lang w:eastAsia="nl-NL"/>
              </w:rPr>
              <w:t>Dordrecht</w:t>
            </w:r>
          </w:p>
        </w:tc>
        <w:tc>
          <w:tcPr>
            <w:tcW w:w="3018" w:type="dxa"/>
            <w:shd w:val="clear" w:color="auto" w:fill="auto"/>
            <w:noWrap/>
            <w:hideMark/>
          </w:tcPr>
          <w:p w:rsidRPr="00025D4C" w:rsidR="003D5BD0" w:rsidP="00CB43DF" w:rsidRDefault="003D5BD0" w14:paraId="717E995C"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50</w:t>
            </w:r>
          </w:p>
        </w:tc>
      </w:tr>
      <w:tr w:rsidRPr="00025D4C" w:rsidR="003D5BD0" w:rsidTr="00CB43DF" w14:paraId="5BFC9397" w14:textId="77777777">
        <w:trPr>
          <w:trHeight w:val="330"/>
        </w:trPr>
        <w:tc>
          <w:tcPr>
            <w:tcW w:w="3681" w:type="dxa"/>
            <w:shd w:val="clear" w:color="auto" w:fill="auto"/>
            <w:hideMark/>
          </w:tcPr>
          <w:p w:rsidRPr="00025D4C" w:rsidR="003D5BD0" w:rsidP="00CB43DF" w:rsidRDefault="003D5BD0" w14:paraId="23E961B9" w14:textId="77777777">
            <w:pPr>
              <w:rPr>
                <w:rFonts w:ascii="Calibri" w:hAnsi="Calibri" w:eastAsia="Times New Roman" w:cs="Calibri"/>
                <w:lang w:eastAsia="nl-NL"/>
              </w:rPr>
            </w:pPr>
            <w:r w:rsidRPr="00025D4C">
              <w:rPr>
                <w:rFonts w:ascii="Calibri" w:hAnsi="Calibri" w:eastAsia="Times New Roman" w:cs="Calibri"/>
                <w:lang w:eastAsia="nl-NL"/>
              </w:rPr>
              <w:t>Sliedrecht</w:t>
            </w:r>
          </w:p>
        </w:tc>
        <w:tc>
          <w:tcPr>
            <w:tcW w:w="3018" w:type="dxa"/>
            <w:shd w:val="clear" w:color="auto" w:fill="auto"/>
            <w:noWrap/>
            <w:hideMark/>
          </w:tcPr>
          <w:p w:rsidRPr="00025D4C" w:rsidR="003D5BD0" w:rsidP="00CB43DF" w:rsidRDefault="003D5BD0" w14:paraId="4B56CCD3"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50</w:t>
            </w:r>
          </w:p>
        </w:tc>
      </w:tr>
      <w:tr w:rsidRPr="00025D4C" w:rsidR="003D5BD0" w:rsidTr="00CB43DF" w14:paraId="1A64CFA1" w14:textId="77777777">
        <w:trPr>
          <w:trHeight w:val="330"/>
        </w:trPr>
        <w:tc>
          <w:tcPr>
            <w:tcW w:w="3681" w:type="dxa"/>
            <w:shd w:val="clear" w:color="auto" w:fill="auto"/>
            <w:hideMark/>
          </w:tcPr>
          <w:p w:rsidRPr="00025D4C" w:rsidR="003D5BD0" w:rsidP="00CB43DF" w:rsidRDefault="003D5BD0" w14:paraId="03B6F900" w14:textId="77777777">
            <w:pPr>
              <w:rPr>
                <w:rFonts w:ascii="Calibri" w:hAnsi="Calibri" w:eastAsia="Times New Roman" w:cs="Calibri"/>
                <w:lang w:eastAsia="nl-NL"/>
              </w:rPr>
            </w:pPr>
            <w:r w:rsidRPr="00025D4C">
              <w:rPr>
                <w:rFonts w:ascii="Calibri" w:hAnsi="Calibri" w:eastAsia="Times New Roman" w:cs="Calibri"/>
                <w:lang w:eastAsia="nl-NL"/>
              </w:rPr>
              <w:t>Dinkelland</w:t>
            </w:r>
          </w:p>
        </w:tc>
        <w:tc>
          <w:tcPr>
            <w:tcW w:w="3018" w:type="dxa"/>
            <w:shd w:val="clear" w:color="auto" w:fill="auto"/>
            <w:noWrap/>
            <w:hideMark/>
          </w:tcPr>
          <w:p w:rsidRPr="00025D4C" w:rsidR="003D5BD0" w:rsidP="00CB43DF" w:rsidRDefault="003D5BD0" w14:paraId="1D7B331E"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40</w:t>
            </w:r>
          </w:p>
        </w:tc>
      </w:tr>
      <w:tr w:rsidRPr="00025D4C" w:rsidR="003D5BD0" w:rsidTr="00CB43DF" w14:paraId="28A0E6B3" w14:textId="77777777">
        <w:trPr>
          <w:trHeight w:val="330"/>
        </w:trPr>
        <w:tc>
          <w:tcPr>
            <w:tcW w:w="3681" w:type="dxa"/>
            <w:shd w:val="clear" w:color="auto" w:fill="auto"/>
            <w:hideMark/>
          </w:tcPr>
          <w:p w:rsidRPr="00025D4C" w:rsidR="003D5BD0" w:rsidP="00CB43DF" w:rsidRDefault="003D5BD0" w14:paraId="287E2324" w14:textId="77777777">
            <w:pPr>
              <w:rPr>
                <w:rFonts w:ascii="Calibri" w:hAnsi="Calibri" w:eastAsia="Times New Roman" w:cs="Calibri"/>
                <w:lang w:eastAsia="nl-NL"/>
              </w:rPr>
            </w:pPr>
            <w:r w:rsidRPr="00025D4C">
              <w:rPr>
                <w:rFonts w:ascii="Calibri" w:hAnsi="Calibri" w:eastAsia="Times New Roman" w:cs="Calibri"/>
                <w:lang w:eastAsia="nl-NL"/>
              </w:rPr>
              <w:t>De Wolden</w:t>
            </w:r>
          </w:p>
        </w:tc>
        <w:tc>
          <w:tcPr>
            <w:tcW w:w="3018" w:type="dxa"/>
            <w:shd w:val="clear" w:color="auto" w:fill="auto"/>
            <w:noWrap/>
            <w:hideMark/>
          </w:tcPr>
          <w:p w:rsidRPr="00025D4C" w:rsidR="003D5BD0" w:rsidP="00CB43DF" w:rsidRDefault="003D5BD0" w14:paraId="0A16D2C8"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40</w:t>
            </w:r>
          </w:p>
        </w:tc>
      </w:tr>
      <w:tr w:rsidRPr="00025D4C" w:rsidR="003D5BD0" w:rsidTr="00CB43DF" w14:paraId="303A107F" w14:textId="77777777">
        <w:trPr>
          <w:trHeight w:val="330"/>
        </w:trPr>
        <w:tc>
          <w:tcPr>
            <w:tcW w:w="3681" w:type="dxa"/>
            <w:shd w:val="clear" w:color="auto" w:fill="auto"/>
            <w:hideMark/>
          </w:tcPr>
          <w:p w:rsidRPr="00025D4C" w:rsidR="003D5BD0" w:rsidP="00CB43DF" w:rsidRDefault="003D5BD0" w14:paraId="3FBF22AA" w14:textId="77777777">
            <w:pPr>
              <w:rPr>
                <w:rFonts w:ascii="Calibri" w:hAnsi="Calibri" w:eastAsia="Times New Roman" w:cs="Calibri"/>
                <w:lang w:eastAsia="nl-NL"/>
              </w:rPr>
            </w:pPr>
            <w:r w:rsidRPr="00025D4C">
              <w:rPr>
                <w:rFonts w:ascii="Calibri" w:hAnsi="Calibri" w:eastAsia="Times New Roman" w:cs="Calibri"/>
                <w:lang w:eastAsia="nl-NL"/>
              </w:rPr>
              <w:t>Nederweert</w:t>
            </w:r>
          </w:p>
        </w:tc>
        <w:tc>
          <w:tcPr>
            <w:tcW w:w="3018" w:type="dxa"/>
            <w:shd w:val="clear" w:color="auto" w:fill="auto"/>
            <w:noWrap/>
            <w:hideMark/>
          </w:tcPr>
          <w:p w:rsidRPr="00025D4C" w:rsidR="003D5BD0" w:rsidP="00CB43DF" w:rsidRDefault="003D5BD0" w14:paraId="22A1B218"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40</w:t>
            </w:r>
          </w:p>
        </w:tc>
      </w:tr>
      <w:tr w:rsidRPr="00025D4C" w:rsidR="003D5BD0" w:rsidTr="00CB43DF" w14:paraId="587E11BF" w14:textId="77777777">
        <w:trPr>
          <w:trHeight w:val="330"/>
        </w:trPr>
        <w:tc>
          <w:tcPr>
            <w:tcW w:w="3681" w:type="dxa"/>
            <w:shd w:val="clear" w:color="auto" w:fill="auto"/>
            <w:hideMark/>
          </w:tcPr>
          <w:p w:rsidRPr="00025D4C" w:rsidR="003D5BD0" w:rsidP="00CB43DF" w:rsidRDefault="003D5BD0" w14:paraId="3E97A071" w14:textId="77777777">
            <w:pPr>
              <w:rPr>
                <w:rFonts w:ascii="Calibri" w:hAnsi="Calibri" w:eastAsia="Times New Roman" w:cs="Calibri"/>
                <w:lang w:eastAsia="nl-NL"/>
              </w:rPr>
            </w:pPr>
            <w:r w:rsidRPr="00025D4C">
              <w:rPr>
                <w:rFonts w:ascii="Calibri" w:hAnsi="Calibri" w:eastAsia="Times New Roman" w:cs="Calibri"/>
                <w:lang w:eastAsia="nl-NL"/>
              </w:rPr>
              <w:t>Asten</w:t>
            </w:r>
          </w:p>
        </w:tc>
        <w:tc>
          <w:tcPr>
            <w:tcW w:w="3018" w:type="dxa"/>
            <w:shd w:val="clear" w:color="auto" w:fill="auto"/>
            <w:noWrap/>
            <w:hideMark/>
          </w:tcPr>
          <w:p w:rsidRPr="00025D4C" w:rsidR="003D5BD0" w:rsidP="00CB43DF" w:rsidRDefault="003D5BD0" w14:paraId="59F2F3C1"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40</w:t>
            </w:r>
          </w:p>
        </w:tc>
      </w:tr>
      <w:tr w:rsidRPr="00025D4C" w:rsidR="003D5BD0" w:rsidTr="00CB43DF" w14:paraId="7AF2296A" w14:textId="77777777">
        <w:trPr>
          <w:trHeight w:val="330"/>
        </w:trPr>
        <w:tc>
          <w:tcPr>
            <w:tcW w:w="3681" w:type="dxa"/>
            <w:shd w:val="clear" w:color="auto" w:fill="auto"/>
            <w:hideMark/>
          </w:tcPr>
          <w:p w:rsidRPr="00025D4C" w:rsidR="003D5BD0" w:rsidP="00CB43DF" w:rsidRDefault="003D5BD0" w14:paraId="777BB608" w14:textId="77777777">
            <w:pPr>
              <w:rPr>
                <w:rFonts w:ascii="Calibri" w:hAnsi="Calibri" w:eastAsia="Times New Roman" w:cs="Calibri"/>
                <w:lang w:eastAsia="nl-NL"/>
              </w:rPr>
            </w:pPr>
            <w:r w:rsidRPr="00025D4C">
              <w:rPr>
                <w:rFonts w:ascii="Calibri" w:hAnsi="Calibri" w:eastAsia="Times New Roman" w:cs="Calibri"/>
                <w:lang w:eastAsia="nl-NL"/>
              </w:rPr>
              <w:t>Haaksbergen</w:t>
            </w:r>
          </w:p>
        </w:tc>
        <w:tc>
          <w:tcPr>
            <w:tcW w:w="3018" w:type="dxa"/>
            <w:shd w:val="clear" w:color="auto" w:fill="auto"/>
            <w:noWrap/>
            <w:hideMark/>
          </w:tcPr>
          <w:p w:rsidRPr="00025D4C" w:rsidR="003D5BD0" w:rsidP="00CB43DF" w:rsidRDefault="003D5BD0" w14:paraId="60035574"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30</w:t>
            </w:r>
          </w:p>
        </w:tc>
      </w:tr>
      <w:tr w:rsidRPr="00025D4C" w:rsidR="003D5BD0" w:rsidTr="00CB43DF" w14:paraId="2DE8E62A" w14:textId="77777777">
        <w:trPr>
          <w:trHeight w:val="330"/>
        </w:trPr>
        <w:tc>
          <w:tcPr>
            <w:tcW w:w="3681" w:type="dxa"/>
            <w:shd w:val="clear" w:color="auto" w:fill="auto"/>
            <w:hideMark/>
          </w:tcPr>
          <w:p w:rsidRPr="00025D4C" w:rsidR="003D5BD0" w:rsidP="00CB43DF" w:rsidRDefault="003D5BD0" w14:paraId="372BC563" w14:textId="77777777">
            <w:pPr>
              <w:rPr>
                <w:rFonts w:ascii="Calibri" w:hAnsi="Calibri" w:eastAsia="Times New Roman" w:cs="Calibri"/>
                <w:lang w:eastAsia="nl-NL"/>
              </w:rPr>
            </w:pPr>
            <w:r w:rsidRPr="00025D4C">
              <w:rPr>
                <w:rFonts w:ascii="Calibri" w:hAnsi="Calibri" w:eastAsia="Times New Roman" w:cs="Calibri"/>
                <w:lang w:eastAsia="nl-NL"/>
              </w:rPr>
              <w:t>Bergen (NH)</w:t>
            </w:r>
          </w:p>
        </w:tc>
        <w:tc>
          <w:tcPr>
            <w:tcW w:w="3018" w:type="dxa"/>
            <w:shd w:val="clear" w:color="auto" w:fill="auto"/>
            <w:noWrap/>
            <w:hideMark/>
          </w:tcPr>
          <w:p w:rsidRPr="00025D4C" w:rsidR="003D5BD0" w:rsidP="00CB43DF" w:rsidRDefault="003D5BD0" w14:paraId="254046CD"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30</w:t>
            </w:r>
          </w:p>
        </w:tc>
      </w:tr>
      <w:tr w:rsidRPr="00025D4C" w:rsidR="003D5BD0" w:rsidTr="00CB43DF" w14:paraId="46DF6666" w14:textId="77777777">
        <w:trPr>
          <w:trHeight w:val="330"/>
        </w:trPr>
        <w:tc>
          <w:tcPr>
            <w:tcW w:w="3681" w:type="dxa"/>
            <w:shd w:val="clear" w:color="auto" w:fill="auto"/>
            <w:hideMark/>
          </w:tcPr>
          <w:p w:rsidRPr="00025D4C" w:rsidR="003D5BD0" w:rsidP="00CB43DF" w:rsidRDefault="003D5BD0" w14:paraId="5AD29BDE" w14:textId="77777777">
            <w:pPr>
              <w:rPr>
                <w:rFonts w:ascii="Calibri" w:hAnsi="Calibri" w:eastAsia="Times New Roman" w:cs="Calibri"/>
                <w:lang w:eastAsia="nl-NL"/>
              </w:rPr>
            </w:pPr>
            <w:r w:rsidRPr="00025D4C">
              <w:rPr>
                <w:rFonts w:ascii="Calibri" w:hAnsi="Calibri" w:eastAsia="Times New Roman" w:cs="Calibri"/>
                <w:lang w:eastAsia="nl-NL"/>
              </w:rPr>
              <w:t>Eemnes</w:t>
            </w:r>
          </w:p>
        </w:tc>
        <w:tc>
          <w:tcPr>
            <w:tcW w:w="3018" w:type="dxa"/>
            <w:shd w:val="clear" w:color="auto" w:fill="auto"/>
            <w:noWrap/>
            <w:hideMark/>
          </w:tcPr>
          <w:p w:rsidRPr="00025D4C" w:rsidR="003D5BD0" w:rsidP="00CB43DF" w:rsidRDefault="003D5BD0" w14:paraId="5CB27FD8"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30</w:t>
            </w:r>
          </w:p>
        </w:tc>
      </w:tr>
      <w:tr w:rsidRPr="00025D4C" w:rsidR="003D5BD0" w:rsidTr="00CB43DF" w14:paraId="161B1A28" w14:textId="77777777">
        <w:trPr>
          <w:trHeight w:val="330"/>
        </w:trPr>
        <w:tc>
          <w:tcPr>
            <w:tcW w:w="3681" w:type="dxa"/>
            <w:shd w:val="clear" w:color="auto" w:fill="auto"/>
            <w:hideMark/>
          </w:tcPr>
          <w:p w:rsidRPr="00025D4C" w:rsidR="003D5BD0" w:rsidP="00CB43DF" w:rsidRDefault="003D5BD0" w14:paraId="0368243C" w14:textId="77777777">
            <w:pPr>
              <w:rPr>
                <w:rFonts w:ascii="Calibri" w:hAnsi="Calibri" w:eastAsia="Times New Roman" w:cs="Calibri"/>
                <w:lang w:eastAsia="nl-NL"/>
              </w:rPr>
            </w:pPr>
            <w:r w:rsidRPr="00025D4C">
              <w:rPr>
                <w:rFonts w:ascii="Calibri" w:hAnsi="Calibri" w:eastAsia="Times New Roman" w:cs="Calibri"/>
                <w:lang w:eastAsia="nl-NL"/>
              </w:rPr>
              <w:t>Deurne</w:t>
            </w:r>
          </w:p>
        </w:tc>
        <w:tc>
          <w:tcPr>
            <w:tcW w:w="3018" w:type="dxa"/>
            <w:shd w:val="clear" w:color="auto" w:fill="auto"/>
            <w:noWrap/>
            <w:hideMark/>
          </w:tcPr>
          <w:p w:rsidRPr="00025D4C" w:rsidR="003D5BD0" w:rsidP="00CB43DF" w:rsidRDefault="003D5BD0" w14:paraId="4D42C8B8"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30</w:t>
            </w:r>
          </w:p>
        </w:tc>
      </w:tr>
      <w:tr w:rsidRPr="00025D4C" w:rsidR="003D5BD0" w:rsidTr="00CB43DF" w14:paraId="1DDD39D3" w14:textId="77777777">
        <w:trPr>
          <w:trHeight w:val="330"/>
        </w:trPr>
        <w:tc>
          <w:tcPr>
            <w:tcW w:w="3681" w:type="dxa"/>
            <w:shd w:val="clear" w:color="auto" w:fill="auto"/>
            <w:hideMark/>
          </w:tcPr>
          <w:p w:rsidRPr="00025D4C" w:rsidR="003D5BD0" w:rsidP="00CB43DF" w:rsidRDefault="003D5BD0" w14:paraId="28C725CF" w14:textId="77777777">
            <w:pPr>
              <w:rPr>
                <w:rFonts w:ascii="Calibri" w:hAnsi="Calibri" w:eastAsia="Times New Roman" w:cs="Calibri"/>
                <w:lang w:eastAsia="nl-NL"/>
              </w:rPr>
            </w:pPr>
            <w:r w:rsidRPr="00025D4C">
              <w:rPr>
                <w:rFonts w:ascii="Calibri" w:hAnsi="Calibri" w:eastAsia="Times New Roman" w:cs="Calibri"/>
                <w:lang w:eastAsia="nl-NL"/>
              </w:rPr>
              <w:t>Weststellingwerf</w:t>
            </w:r>
          </w:p>
        </w:tc>
        <w:tc>
          <w:tcPr>
            <w:tcW w:w="3018" w:type="dxa"/>
            <w:shd w:val="clear" w:color="auto" w:fill="auto"/>
            <w:noWrap/>
            <w:hideMark/>
          </w:tcPr>
          <w:p w:rsidRPr="00025D4C" w:rsidR="003D5BD0" w:rsidP="00CB43DF" w:rsidRDefault="003D5BD0" w14:paraId="7B022F4B"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30</w:t>
            </w:r>
          </w:p>
        </w:tc>
      </w:tr>
      <w:tr w:rsidRPr="00025D4C" w:rsidR="003D5BD0" w:rsidTr="00CB43DF" w14:paraId="0F627281" w14:textId="77777777">
        <w:trPr>
          <w:trHeight w:val="330"/>
        </w:trPr>
        <w:tc>
          <w:tcPr>
            <w:tcW w:w="3681" w:type="dxa"/>
            <w:shd w:val="clear" w:color="auto" w:fill="auto"/>
            <w:hideMark/>
          </w:tcPr>
          <w:p w:rsidRPr="00025D4C" w:rsidR="003D5BD0" w:rsidP="00CB43DF" w:rsidRDefault="003D5BD0" w14:paraId="4B000495" w14:textId="77777777">
            <w:pPr>
              <w:rPr>
                <w:rFonts w:ascii="Calibri" w:hAnsi="Calibri" w:eastAsia="Times New Roman" w:cs="Calibri"/>
                <w:lang w:eastAsia="nl-NL"/>
              </w:rPr>
            </w:pPr>
            <w:r w:rsidRPr="00025D4C">
              <w:rPr>
                <w:rFonts w:ascii="Calibri" w:hAnsi="Calibri" w:eastAsia="Times New Roman" w:cs="Calibri"/>
                <w:lang w:eastAsia="nl-NL"/>
              </w:rPr>
              <w:t>Veere</w:t>
            </w:r>
          </w:p>
        </w:tc>
        <w:tc>
          <w:tcPr>
            <w:tcW w:w="3018" w:type="dxa"/>
            <w:shd w:val="clear" w:color="auto" w:fill="auto"/>
            <w:noWrap/>
            <w:hideMark/>
          </w:tcPr>
          <w:p w:rsidRPr="00025D4C" w:rsidR="003D5BD0" w:rsidP="00CB43DF" w:rsidRDefault="003D5BD0" w14:paraId="5ABC930E"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30</w:t>
            </w:r>
          </w:p>
        </w:tc>
      </w:tr>
      <w:tr w:rsidRPr="00025D4C" w:rsidR="003D5BD0" w:rsidTr="00CB43DF" w14:paraId="6D77E7BC" w14:textId="77777777">
        <w:trPr>
          <w:trHeight w:val="330"/>
        </w:trPr>
        <w:tc>
          <w:tcPr>
            <w:tcW w:w="3681" w:type="dxa"/>
            <w:shd w:val="clear" w:color="auto" w:fill="auto"/>
            <w:hideMark/>
          </w:tcPr>
          <w:p w:rsidRPr="00025D4C" w:rsidR="003D5BD0" w:rsidP="00CB43DF" w:rsidRDefault="003D5BD0" w14:paraId="4ECF805A" w14:textId="77777777">
            <w:pPr>
              <w:rPr>
                <w:rFonts w:ascii="Calibri" w:hAnsi="Calibri" w:eastAsia="Times New Roman" w:cs="Calibri"/>
                <w:lang w:eastAsia="nl-NL"/>
              </w:rPr>
            </w:pPr>
            <w:r w:rsidRPr="00025D4C">
              <w:rPr>
                <w:rFonts w:ascii="Calibri" w:hAnsi="Calibri" w:eastAsia="Times New Roman" w:cs="Calibri"/>
                <w:lang w:eastAsia="nl-NL"/>
              </w:rPr>
              <w:t>Sittard-Geleen</w:t>
            </w:r>
          </w:p>
        </w:tc>
        <w:tc>
          <w:tcPr>
            <w:tcW w:w="3018" w:type="dxa"/>
            <w:shd w:val="clear" w:color="auto" w:fill="auto"/>
            <w:noWrap/>
            <w:hideMark/>
          </w:tcPr>
          <w:p w:rsidRPr="00025D4C" w:rsidR="003D5BD0" w:rsidP="00CB43DF" w:rsidRDefault="003D5BD0" w14:paraId="097BCD19"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30</w:t>
            </w:r>
          </w:p>
        </w:tc>
      </w:tr>
      <w:tr w:rsidRPr="00025D4C" w:rsidR="003D5BD0" w:rsidTr="00CB43DF" w14:paraId="5C3872EC" w14:textId="77777777">
        <w:trPr>
          <w:trHeight w:val="330"/>
        </w:trPr>
        <w:tc>
          <w:tcPr>
            <w:tcW w:w="3681" w:type="dxa"/>
            <w:shd w:val="clear" w:color="auto" w:fill="auto"/>
            <w:hideMark/>
          </w:tcPr>
          <w:p w:rsidRPr="00025D4C" w:rsidR="003D5BD0" w:rsidP="00CB43DF" w:rsidRDefault="003D5BD0" w14:paraId="2C020538" w14:textId="77777777">
            <w:pPr>
              <w:rPr>
                <w:rFonts w:ascii="Calibri" w:hAnsi="Calibri" w:eastAsia="Times New Roman" w:cs="Calibri"/>
                <w:lang w:eastAsia="nl-NL"/>
              </w:rPr>
            </w:pPr>
            <w:r w:rsidRPr="00025D4C">
              <w:rPr>
                <w:rFonts w:ascii="Calibri" w:hAnsi="Calibri" w:eastAsia="Times New Roman" w:cs="Calibri"/>
                <w:lang w:eastAsia="nl-NL"/>
              </w:rPr>
              <w:t>Ouder-Amstel</w:t>
            </w:r>
          </w:p>
        </w:tc>
        <w:tc>
          <w:tcPr>
            <w:tcW w:w="3018" w:type="dxa"/>
            <w:shd w:val="clear" w:color="auto" w:fill="auto"/>
            <w:noWrap/>
            <w:hideMark/>
          </w:tcPr>
          <w:p w:rsidRPr="00025D4C" w:rsidR="003D5BD0" w:rsidP="00CB43DF" w:rsidRDefault="003D5BD0" w14:paraId="648EFACD"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30</w:t>
            </w:r>
          </w:p>
        </w:tc>
      </w:tr>
      <w:tr w:rsidRPr="00025D4C" w:rsidR="003D5BD0" w:rsidTr="00CB43DF" w14:paraId="22B6C8B4" w14:textId="77777777">
        <w:trPr>
          <w:trHeight w:val="330"/>
        </w:trPr>
        <w:tc>
          <w:tcPr>
            <w:tcW w:w="3681" w:type="dxa"/>
            <w:shd w:val="clear" w:color="auto" w:fill="auto"/>
            <w:hideMark/>
          </w:tcPr>
          <w:p w:rsidRPr="00025D4C" w:rsidR="003D5BD0" w:rsidP="00CB43DF" w:rsidRDefault="003D5BD0" w14:paraId="7C9DA983" w14:textId="77777777">
            <w:pPr>
              <w:rPr>
                <w:rFonts w:ascii="Calibri" w:hAnsi="Calibri" w:eastAsia="Times New Roman" w:cs="Calibri"/>
                <w:lang w:eastAsia="nl-NL"/>
              </w:rPr>
            </w:pPr>
            <w:r w:rsidRPr="00025D4C">
              <w:rPr>
                <w:rFonts w:ascii="Calibri" w:hAnsi="Calibri" w:eastAsia="Times New Roman" w:cs="Calibri"/>
                <w:lang w:eastAsia="nl-NL"/>
              </w:rPr>
              <w:t>Noordwijk</w:t>
            </w:r>
          </w:p>
        </w:tc>
        <w:tc>
          <w:tcPr>
            <w:tcW w:w="3018" w:type="dxa"/>
            <w:shd w:val="clear" w:color="auto" w:fill="auto"/>
            <w:noWrap/>
            <w:hideMark/>
          </w:tcPr>
          <w:p w:rsidRPr="00025D4C" w:rsidR="003D5BD0" w:rsidP="00CB43DF" w:rsidRDefault="003D5BD0" w14:paraId="477D085E"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20</w:t>
            </w:r>
          </w:p>
        </w:tc>
      </w:tr>
      <w:tr w:rsidRPr="00025D4C" w:rsidR="003D5BD0" w:rsidTr="00CB43DF" w14:paraId="1D34322E" w14:textId="77777777">
        <w:trPr>
          <w:trHeight w:val="330"/>
        </w:trPr>
        <w:tc>
          <w:tcPr>
            <w:tcW w:w="3681" w:type="dxa"/>
            <w:shd w:val="clear" w:color="auto" w:fill="auto"/>
            <w:hideMark/>
          </w:tcPr>
          <w:p w:rsidRPr="00025D4C" w:rsidR="003D5BD0" w:rsidP="00CB43DF" w:rsidRDefault="003D5BD0" w14:paraId="593E70F7" w14:textId="77777777">
            <w:pPr>
              <w:rPr>
                <w:rFonts w:ascii="Calibri" w:hAnsi="Calibri" w:eastAsia="Times New Roman" w:cs="Calibri"/>
                <w:lang w:eastAsia="nl-NL"/>
              </w:rPr>
            </w:pPr>
            <w:r w:rsidRPr="00025D4C">
              <w:rPr>
                <w:rFonts w:ascii="Calibri" w:hAnsi="Calibri" w:eastAsia="Times New Roman" w:cs="Calibri"/>
                <w:lang w:eastAsia="nl-NL"/>
              </w:rPr>
              <w:t>Ommen</w:t>
            </w:r>
          </w:p>
        </w:tc>
        <w:tc>
          <w:tcPr>
            <w:tcW w:w="3018" w:type="dxa"/>
            <w:shd w:val="clear" w:color="auto" w:fill="auto"/>
            <w:noWrap/>
            <w:hideMark/>
          </w:tcPr>
          <w:p w:rsidRPr="00025D4C" w:rsidR="003D5BD0" w:rsidP="00CB43DF" w:rsidRDefault="003D5BD0" w14:paraId="4B8089D3"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20</w:t>
            </w:r>
          </w:p>
        </w:tc>
      </w:tr>
      <w:tr w:rsidRPr="00025D4C" w:rsidR="003D5BD0" w:rsidTr="00CB43DF" w14:paraId="5D139097" w14:textId="77777777">
        <w:trPr>
          <w:trHeight w:val="330"/>
        </w:trPr>
        <w:tc>
          <w:tcPr>
            <w:tcW w:w="3681" w:type="dxa"/>
            <w:shd w:val="clear" w:color="auto" w:fill="auto"/>
            <w:hideMark/>
          </w:tcPr>
          <w:p w:rsidRPr="00025D4C" w:rsidR="003D5BD0" w:rsidP="00CB43DF" w:rsidRDefault="003D5BD0" w14:paraId="7675CFF8" w14:textId="77777777">
            <w:pPr>
              <w:rPr>
                <w:rFonts w:ascii="Calibri" w:hAnsi="Calibri" w:eastAsia="Times New Roman" w:cs="Calibri"/>
                <w:lang w:eastAsia="nl-NL"/>
              </w:rPr>
            </w:pPr>
            <w:r w:rsidRPr="00025D4C">
              <w:rPr>
                <w:rFonts w:ascii="Calibri" w:hAnsi="Calibri" w:eastAsia="Times New Roman" w:cs="Calibri"/>
                <w:lang w:eastAsia="nl-NL"/>
              </w:rPr>
              <w:t>Opsterland</w:t>
            </w:r>
          </w:p>
        </w:tc>
        <w:tc>
          <w:tcPr>
            <w:tcW w:w="3018" w:type="dxa"/>
            <w:shd w:val="clear" w:color="auto" w:fill="auto"/>
            <w:noWrap/>
            <w:hideMark/>
          </w:tcPr>
          <w:p w:rsidRPr="00025D4C" w:rsidR="003D5BD0" w:rsidP="00CB43DF" w:rsidRDefault="003D5BD0" w14:paraId="20B86551"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20</w:t>
            </w:r>
          </w:p>
        </w:tc>
      </w:tr>
      <w:tr w:rsidRPr="00025D4C" w:rsidR="003D5BD0" w:rsidTr="00CB43DF" w14:paraId="3FB4B2A2" w14:textId="77777777">
        <w:trPr>
          <w:trHeight w:val="330"/>
        </w:trPr>
        <w:tc>
          <w:tcPr>
            <w:tcW w:w="3681" w:type="dxa"/>
            <w:shd w:val="clear" w:color="auto" w:fill="auto"/>
            <w:hideMark/>
          </w:tcPr>
          <w:p w:rsidRPr="00025D4C" w:rsidR="003D5BD0" w:rsidP="00CB43DF" w:rsidRDefault="003D5BD0" w14:paraId="529EEB96" w14:textId="77777777">
            <w:pPr>
              <w:rPr>
                <w:rFonts w:ascii="Calibri" w:hAnsi="Calibri" w:eastAsia="Times New Roman" w:cs="Calibri"/>
                <w:lang w:eastAsia="nl-NL"/>
              </w:rPr>
            </w:pPr>
            <w:r w:rsidRPr="00025D4C">
              <w:rPr>
                <w:rFonts w:ascii="Calibri" w:hAnsi="Calibri" w:eastAsia="Times New Roman" w:cs="Calibri"/>
                <w:lang w:eastAsia="nl-NL"/>
              </w:rPr>
              <w:t>Bronckhorst</w:t>
            </w:r>
          </w:p>
        </w:tc>
        <w:tc>
          <w:tcPr>
            <w:tcW w:w="3018" w:type="dxa"/>
            <w:shd w:val="clear" w:color="auto" w:fill="auto"/>
            <w:noWrap/>
            <w:hideMark/>
          </w:tcPr>
          <w:p w:rsidRPr="00025D4C" w:rsidR="003D5BD0" w:rsidP="00CB43DF" w:rsidRDefault="003D5BD0" w14:paraId="35C0C790"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20</w:t>
            </w:r>
          </w:p>
        </w:tc>
      </w:tr>
      <w:tr w:rsidRPr="00025D4C" w:rsidR="003D5BD0" w:rsidTr="00CB43DF" w14:paraId="15910FB9" w14:textId="77777777">
        <w:trPr>
          <w:trHeight w:val="330"/>
        </w:trPr>
        <w:tc>
          <w:tcPr>
            <w:tcW w:w="3681" w:type="dxa"/>
            <w:shd w:val="clear" w:color="auto" w:fill="auto"/>
            <w:hideMark/>
          </w:tcPr>
          <w:p w:rsidRPr="00025D4C" w:rsidR="003D5BD0" w:rsidP="00CB43DF" w:rsidRDefault="003D5BD0" w14:paraId="1235CA18" w14:textId="77777777">
            <w:pPr>
              <w:rPr>
                <w:rFonts w:ascii="Calibri" w:hAnsi="Calibri" w:eastAsia="Times New Roman" w:cs="Calibri"/>
                <w:lang w:eastAsia="nl-NL"/>
              </w:rPr>
            </w:pPr>
            <w:r w:rsidRPr="00025D4C">
              <w:rPr>
                <w:rFonts w:ascii="Calibri" w:hAnsi="Calibri" w:eastAsia="Times New Roman" w:cs="Calibri"/>
                <w:lang w:eastAsia="nl-NL"/>
              </w:rPr>
              <w:t>Bloemendaal</w:t>
            </w:r>
          </w:p>
        </w:tc>
        <w:tc>
          <w:tcPr>
            <w:tcW w:w="3018" w:type="dxa"/>
            <w:shd w:val="clear" w:color="auto" w:fill="auto"/>
            <w:noWrap/>
            <w:hideMark/>
          </w:tcPr>
          <w:p w:rsidRPr="00025D4C" w:rsidR="003D5BD0" w:rsidP="00CB43DF" w:rsidRDefault="003D5BD0" w14:paraId="3496BB02"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20</w:t>
            </w:r>
          </w:p>
        </w:tc>
      </w:tr>
      <w:tr w:rsidRPr="00025D4C" w:rsidR="003D5BD0" w:rsidTr="00CB43DF" w14:paraId="2C1E7FB1" w14:textId="77777777">
        <w:trPr>
          <w:trHeight w:val="330"/>
        </w:trPr>
        <w:tc>
          <w:tcPr>
            <w:tcW w:w="3681" w:type="dxa"/>
            <w:shd w:val="clear" w:color="auto" w:fill="auto"/>
            <w:hideMark/>
          </w:tcPr>
          <w:p w:rsidRPr="00025D4C" w:rsidR="003D5BD0" w:rsidP="00CB43DF" w:rsidRDefault="003D5BD0" w14:paraId="7914F76F" w14:textId="77777777">
            <w:pPr>
              <w:rPr>
                <w:rFonts w:ascii="Calibri" w:hAnsi="Calibri" w:eastAsia="Times New Roman" w:cs="Calibri"/>
                <w:lang w:eastAsia="nl-NL"/>
              </w:rPr>
            </w:pPr>
            <w:r w:rsidRPr="00025D4C">
              <w:rPr>
                <w:rFonts w:ascii="Calibri" w:hAnsi="Calibri" w:eastAsia="Times New Roman" w:cs="Calibri"/>
                <w:lang w:eastAsia="nl-NL"/>
              </w:rPr>
              <w:t>Borger-Odoorn</w:t>
            </w:r>
          </w:p>
        </w:tc>
        <w:tc>
          <w:tcPr>
            <w:tcW w:w="3018" w:type="dxa"/>
            <w:shd w:val="clear" w:color="auto" w:fill="auto"/>
            <w:noWrap/>
            <w:hideMark/>
          </w:tcPr>
          <w:p w:rsidRPr="00025D4C" w:rsidR="003D5BD0" w:rsidP="00CB43DF" w:rsidRDefault="003D5BD0" w14:paraId="34654540"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20</w:t>
            </w:r>
          </w:p>
        </w:tc>
      </w:tr>
      <w:tr w:rsidRPr="00025D4C" w:rsidR="003D5BD0" w:rsidTr="00CB43DF" w14:paraId="6BD2B78F" w14:textId="77777777">
        <w:trPr>
          <w:trHeight w:val="330"/>
        </w:trPr>
        <w:tc>
          <w:tcPr>
            <w:tcW w:w="3681" w:type="dxa"/>
            <w:shd w:val="clear" w:color="auto" w:fill="auto"/>
            <w:hideMark/>
          </w:tcPr>
          <w:p w:rsidRPr="00025D4C" w:rsidR="003D5BD0" w:rsidP="00CB43DF" w:rsidRDefault="003D5BD0" w14:paraId="2915822B" w14:textId="77777777">
            <w:pPr>
              <w:rPr>
                <w:rFonts w:ascii="Calibri" w:hAnsi="Calibri" w:eastAsia="Times New Roman" w:cs="Calibri"/>
                <w:lang w:eastAsia="nl-NL"/>
              </w:rPr>
            </w:pPr>
            <w:r w:rsidRPr="00025D4C">
              <w:rPr>
                <w:rFonts w:ascii="Calibri" w:hAnsi="Calibri" w:eastAsia="Times New Roman" w:cs="Calibri"/>
                <w:lang w:eastAsia="nl-NL"/>
              </w:rPr>
              <w:t>Heemstede</w:t>
            </w:r>
          </w:p>
        </w:tc>
        <w:tc>
          <w:tcPr>
            <w:tcW w:w="3018" w:type="dxa"/>
            <w:shd w:val="clear" w:color="auto" w:fill="auto"/>
            <w:noWrap/>
            <w:hideMark/>
          </w:tcPr>
          <w:p w:rsidRPr="00025D4C" w:rsidR="003D5BD0" w:rsidP="00CB43DF" w:rsidRDefault="003D5BD0" w14:paraId="392F6F6F"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20</w:t>
            </w:r>
          </w:p>
        </w:tc>
      </w:tr>
      <w:tr w:rsidRPr="00025D4C" w:rsidR="003D5BD0" w:rsidTr="00CB43DF" w14:paraId="4BDE476B" w14:textId="77777777">
        <w:trPr>
          <w:trHeight w:val="330"/>
        </w:trPr>
        <w:tc>
          <w:tcPr>
            <w:tcW w:w="3681" w:type="dxa"/>
            <w:shd w:val="clear" w:color="auto" w:fill="auto"/>
            <w:hideMark/>
          </w:tcPr>
          <w:p w:rsidRPr="00025D4C" w:rsidR="003D5BD0" w:rsidP="00CB43DF" w:rsidRDefault="003D5BD0" w14:paraId="0DD8D8AC" w14:textId="77777777">
            <w:pPr>
              <w:rPr>
                <w:rFonts w:ascii="Calibri" w:hAnsi="Calibri" w:eastAsia="Times New Roman" w:cs="Calibri"/>
                <w:lang w:eastAsia="nl-NL"/>
              </w:rPr>
            </w:pPr>
            <w:r w:rsidRPr="00025D4C">
              <w:rPr>
                <w:rFonts w:ascii="Calibri" w:hAnsi="Calibri" w:eastAsia="Times New Roman" w:cs="Calibri"/>
                <w:lang w:eastAsia="nl-NL"/>
              </w:rPr>
              <w:t>Borsele</w:t>
            </w:r>
          </w:p>
        </w:tc>
        <w:tc>
          <w:tcPr>
            <w:tcW w:w="3018" w:type="dxa"/>
            <w:shd w:val="clear" w:color="auto" w:fill="auto"/>
            <w:noWrap/>
            <w:hideMark/>
          </w:tcPr>
          <w:p w:rsidRPr="00025D4C" w:rsidR="003D5BD0" w:rsidP="00CB43DF" w:rsidRDefault="003D5BD0" w14:paraId="52FCEB5E"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20</w:t>
            </w:r>
          </w:p>
        </w:tc>
      </w:tr>
      <w:tr w:rsidRPr="00025D4C" w:rsidR="003D5BD0" w:rsidTr="00CB43DF" w14:paraId="28A5CA10" w14:textId="77777777">
        <w:trPr>
          <w:trHeight w:val="330"/>
        </w:trPr>
        <w:tc>
          <w:tcPr>
            <w:tcW w:w="3681" w:type="dxa"/>
            <w:shd w:val="clear" w:color="auto" w:fill="auto"/>
            <w:hideMark/>
          </w:tcPr>
          <w:p w:rsidRPr="00025D4C" w:rsidR="003D5BD0" w:rsidP="00CB43DF" w:rsidRDefault="003D5BD0" w14:paraId="2966BEA5" w14:textId="77777777">
            <w:pPr>
              <w:rPr>
                <w:rFonts w:ascii="Calibri" w:hAnsi="Calibri" w:eastAsia="Times New Roman" w:cs="Calibri"/>
                <w:lang w:eastAsia="nl-NL"/>
              </w:rPr>
            </w:pPr>
            <w:r w:rsidRPr="00025D4C">
              <w:rPr>
                <w:rFonts w:ascii="Calibri" w:hAnsi="Calibri" w:eastAsia="Times New Roman" w:cs="Calibri"/>
                <w:lang w:eastAsia="nl-NL"/>
              </w:rPr>
              <w:t>Waddinxveen</w:t>
            </w:r>
          </w:p>
        </w:tc>
        <w:tc>
          <w:tcPr>
            <w:tcW w:w="3018" w:type="dxa"/>
            <w:shd w:val="clear" w:color="auto" w:fill="auto"/>
            <w:noWrap/>
            <w:hideMark/>
          </w:tcPr>
          <w:p w:rsidRPr="00025D4C" w:rsidR="003D5BD0" w:rsidP="00CB43DF" w:rsidRDefault="003D5BD0" w14:paraId="65AC938F" w14:textId="77777777">
            <w:pPr>
              <w:ind w:firstLine="1680" w:firstLineChars="700"/>
              <w:jc w:val="right"/>
              <w:rPr>
                <w:rFonts w:ascii="Calibri" w:hAnsi="Calibri" w:eastAsia="Times New Roman" w:cs="Calibri"/>
                <w:color w:val="000000"/>
                <w:lang w:eastAsia="nl-NL"/>
              </w:rPr>
            </w:pPr>
            <w:r w:rsidRPr="00025D4C">
              <w:rPr>
                <w:rFonts w:ascii="Calibri" w:hAnsi="Calibri" w:eastAsia="Times New Roman" w:cs="Calibri"/>
                <w:color w:val="000000"/>
                <w:lang w:eastAsia="nl-NL"/>
              </w:rPr>
              <w:t>10</w:t>
            </w:r>
          </w:p>
        </w:tc>
      </w:tr>
      <w:tr w:rsidRPr="00025D4C" w:rsidR="003D5BD0" w:rsidTr="00CB43DF" w14:paraId="4AF77F6D" w14:textId="77777777">
        <w:trPr>
          <w:trHeight w:val="330"/>
        </w:trPr>
        <w:tc>
          <w:tcPr>
            <w:tcW w:w="3681" w:type="dxa"/>
            <w:shd w:val="clear" w:color="auto" w:fill="auto"/>
            <w:hideMark/>
          </w:tcPr>
          <w:p w:rsidRPr="00025D4C" w:rsidR="003D5BD0" w:rsidP="00CB43DF" w:rsidRDefault="003D5BD0" w14:paraId="7B459DFA" w14:textId="77777777">
            <w:pPr>
              <w:rPr>
                <w:rFonts w:ascii="Calibri" w:hAnsi="Calibri" w:eastAsia="Times New Roman" w:cs="Calibri"/>
                <w:b/>
                <w:bCs/>
                <w:lang w:eastAsia="nl-NL"/>
              </w:rPr>
            </w:pPr>
            <w:r w:rsidRPr="00025D4C">
              <w:rPr>
                <w:rFonts w:ascii="Calibri" w:hAnsi="Calibri" w:eastAsia="Times New Roman" w:cs="Calibri"/>
                <w:b/>
                <w:bCs/>
                <w:lang w:eastAsia="nl-NL"/>
              </w:rPr>
              <w:t>Totaal</w:t>
            </w:r>
          </w:p>
        </w:tc>
        <w:tc>
          <w:tcPr>
            <w:tcW w:w="3018" w:type="dxa"/>
            <w:shd w:val="clear" w:color="auto" w:fill="auto"/>
            <w:noWrap/>
            <w:hideMark/>
          </w:tcPr>
          <w:p w:rsidRPr="00025D4C" w:rsidR="003D5BD0" w:rsidP="00CB43DF" w:rsidRDefault="003D5BD0" w14:paraId="38CA7BAD" w14:textId="77777777">
            <w:pPr>
              <w:ind w:firstLine="1687" w:firstLineChars="700"/>
              <w:jc w:val="right"/>
              <w:rPr>
                <w:rFonts w:ascii="Calibri" w:hAnsi="Calibri" w:eastAsia="Times New Roman" w:cs="Calibri"/>
                <w:b/>
                <w:bCs/>
                <w:color w:val="000000"/>
                <w:lang w:eastAsia="nl-NL"/>
              </w:rPr>
            </w:pPr>
            <w:r w:rsidRPr="00025D4C">
              <w:rPr>
                <w:rFonts w:ascii="Calibri" w:hAnsi="Calibri" w:eastAsia="Times New Roman" w:cs="Calibri"/>
                <w:b/>
                <w:bCs/>
                <w:color w:val="000000"/>
                <w:lang w:eastAsia="nl-NL"/>
              </w:rPr>
              <w:t>76.310</w:t>
            </w:r>
          </w:p>
        </w:tc>
      </w:tr>
    </w:tbl>
    <w:p w:rsidRPr="00025D4C" w:rsidR="003D5BD0" w:rsidP="003D5BD0" w:rsidRDefault="003D5BD0" w14:paraId="13E061CD" w14:textId="77777777">
      <w:pPr>
        <w:pStyle w:val="broodtekst"/>
      </w:pPr>
    </w:p>
    <w:p w:rsidRPr="00025D4C" w:rsidR="003D5BD0" w:rsidRDefault="003D5BD0" w14:paraId="2DD70202" w14:textId="77777777">
      <w:pPr>
        <w:spacing w:after="240"/>
        <w:rPr>
          <w:rFonts w:ascii="Verdana" w:hAnsi="Verdana" w:eastAsia="Times New Roman"/>
          <w:sz w:val="18"/>
          <w:szCs w:val="18"/>
        </w:rPr>
      </w:pPr>
    </w:p>
    <w:p w:rsidRPr="00025D4C" w:rsidR="00FA7A8E" w:rsidRDefault="00C450C8" w14:paraId="7B6503F9" w14:textId="65C53190">
      <w:pPr>
        <w:spacing w:after="240"/>
        <w:rPr>
          <w:rFonts w:ascii="Verdana" w:hAnsi="Verdana" w:eastAsia="Times New Roman"/>
          <w:sz w:val="18"/>
          <w:szCs w:val="18"/>
        </w:rPr>
      </w:pPr>
      <w:r w:rsidRPr="00025D4C">
        <w:rPr>
          <w:rFonts w:ascii="Verdana" w:hAnsi="Verdana" w:eastAsia="Times New Roman"/>
          <w:b/>
          <w:bCs/>
          <w:sz w:val="18"/>
          <w:szCs w:val="18"/>
        </w:rPr>
        <w:lastRenderedPageBreak/>
        <w:t>Vraag (11):</w:t>
      </w:r>
      <w:r w:rsidRPr="00025D4C">
        <w:rPr>
          <w:rFonts w:ascii="Verdana" w:hAnsi="Verdana" w:eastAsia="Times New Roman"/>
          <w:sz w:val="18"/>
          <w:szCs w:val="18"/>
        </w:rPr>
        <w:br/>
        <w:t>Kunt u in een tabel aangeven hoeveel uitzendbureaus voor arbeidsmigranten er in Nederland aanwezig waren in de periode van 2015 tot en met 2025, uitgesplitst per jaar?</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Pr>
          <w:rFonts w:ascii="Verdana" w:hAnsi="Verdana" w:eastAsia="Times New Roman"/>
          <w:sz w:val="18"/>
          <w:szCs w:val="18"/>
        </w:rPr>
        <w:br/>
        <w:t>Deze informatie is niet beschikbaar, omdat er geen onderscheid wordt gemaakt tussen uitzendbureaus die wel arbeidsmigranten inzetten en uitzendbureaus die geen arbeidsmigranten inzetten.</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Vraag (12):</w:t>
      </w:r>
      <w:r w:rsidRPr="00025D4C">
        <w:rPr>
          <w:rFonts w:ascii="Verdana" w:hAnsi="Verdana" w:eastAsia="Times New Roman"/>
          <w:sz w:val="18"/>
          <w:szCs w:val="18"/>
        </w:rPr>
        <w:br/>
        <w:t>Kunt u in een tabel weergeven hoeveel mensen er wereldwijd op de vlucht zijn geweest tussen 2015 en 2025, uitgesplitst per jaar?</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Pr>
          <w:rFonts w:ascii="Verdana" w:hAnsi="Verdana" w:eastAsia="Times New Roman"/>
          <w:sz w:val="18"/>
          <w:szCs w:val="18"/>
        </w:rPr>
        <w:br/>
      </w:r>
      <w:r w:rsidRPr="00025D4C" w:rsidR="00FA7A8E">
        <w:rPr>
          <w:rFonts w:ascii="Verdana" w:hAnsi="Verdana" w:eastAsia="Times New Roman"/>
          <w:sz w:val="18"/>
          <w:szCs w:val="18"/>
        </w:rPr>
        <w:t>In onderstaande tabel is aantal ontheemden wereldwijd opgenomen. Het actuele aantal wordt jaarlijks ook opgenomen in de Staat van Migratie.</w:t>
      </w:r>
    </w:p>
    <w:tbl>
      <w:tblPr>
        <w:tblStyle w:val="Tabelraster"/>
        <w:tblW w:w="9129" w:type="dxa"/>
        <w:tblLook w:val="04A0" w:firstRow="1" w:lastRow="0" w:firstColumn="1" w:lastColumn="0" w:noHBand="0" w:noVBand="1"/>
      </w:tblPr>
      <w:tblGrid>
        <w:gridCol w:w="705"/>
        <w:gridCol w:w="1562"/>
        <w:gridCol w:w="1503"/>
        <w:gridCol w:w="1392"/>
        <w:gridCol w:w="1381"/>
        <w:gridCol w:w="1349"/>
        <w:gridCol w:w="1237"/>
      </w:tblGrid>
      <w:tr w:rsidRPr="00025D4C" w:rsidR="00FA7A8E" w:rsidTr="00CB43DF" w14:paraId="4DB25FE5" w14:textId="77777777">
        <w:trPr>
          <w:trHeight w:val="288"/>
        </w:trPr>
        <w:tc>
          <w:tcPr>
            <w:tcW w:w="705" w:type="dxa"/>
            <w:noWrap/>
            <w:tcMar>
              <w:left w:w="57" w:type="dxa"/>
              <w:right w:w="57" w:type="dxa"/>
            </w:tcMar>
            <w:hideMark/>
          </w:tcPr>
          <w:p w:rsidRPr="00025D4C" w:rsidR="00FA7A8E" w:rsidP="00CB43DF" w:rsidRDefault="00FA7A8E" w14:paraId="6D566795" w14:textId="77777777">
            <w:pPr>
              <w:pStyle w:val="broodtekst"/>
              <w:rPr>
                <w:b/>
                <w:bCs/>
              </w:rPr>
            </w:pPr>
            <w:r w:rsidRPr="00025D4C">
              <w:rPr>
                <w:b/>
                <w:bCs/>
              </w:rPr>
              <w:t>Jaar</w:t>
            </w:r>
          </w:p>
        </w:tc>
        <w:tc>
          <w:tcPr>
            <w:tcW w:w="1562" w:type="dxa"/>
            <w:noWrap/>
            <w:tcMar>
              <w:left w:w="57" w:type="dxa"/>
              <w:right w:w="57" w:type="dxa"/>
            </w:tcMar>
            <w:hideMark/>
          </w:tcPr>
          <w:p w:rsidRPr="00025D4C" w:rsidR="00FA7A8E" w:rsidP="00CB43DF" w:rsidRDefault="00FA7A8E" w14:paraId="26D0B059" w14:textId="77777777">
            <w:pPr>
              <w:pStyle w:val="broodtekst"/>
              <w:rPr>
                <w:b/>
                <w:bCs/>
              </w:rPr>
            </w:pPr>
            <w:r w:rsidRPr="00025D4C">
              <w:rPr>
                <w:b/>
                <w:bCs/>
              </w:rPr>
              <w:t xml:space="preserve">Vluchtelingen </w:t>
            </w:r>
          </w:p>
          <w:p w:rsidRPr="00025D4C" w:rsidR="00FA7A8E" w:rsidP="00CB43DF" w:rsidRDefault="00FA7A8E" w14:paraId="2F0A0B7E" w14:textId="77777777">
            <w:pPr>
              <w:pStyle w:val="broodtekst"/>
              <w:rPr>
                <w:b/>
                <w:bCs/>
              </w:rPr>
            </w:pPr>
            <w:r w:rsidRPr="00025D4C">
              <w:rPr>
                <w:b/>
                <w:bCs/>
              </w:rPr>
              <w:t>(UNHCR)</w:t>
            </w:r>
          </w:p>
        </w:tc>
        <w:tc>
          <w:tcPr>
            <w:tcW w:w="1503" w:type="dxa"/>
            <w:noWrap/>
            <w:tcMar>
              <w:left w:w="57" w:type="dxa"/>
              <w:right w:w="57" w:type="dxa"/>
            </w:tcMar>
            <w:hideMark/>
          </w:tcPr>
          <w:p w:rsidRPr="00025D4C" w:rsidR="00FA7A8E" w:rsidP="00CB43DF" w:rsidRDefault="00FA7A8E" w14:paraId="2F67AD5A" w14:textId="77777777">
            <w:pPr>
              <w:pStyle w:val="broodtekst"/>
              <w:rPr>
                <w:b/>
                <w:bCs/>
              </w:rPr>
            </w:pPr>
            <w:r w:rsidRPr="00025D4C">
              <w:rPr>
                <w:b/>
                <w:bCs/>
              </w:rPr>
              <w:t xml:space="preserve">Vluchtelingen </w:t>
            </w:r>
          </w:p>
          <w:p w:rsidRPr="00025D4C" w:rsidR="00FA7A8E" w:rsidP="00CB43DF" w:rsidRDefault="00FA7A8E" w14:paraId="37722199" w14:textId="77777777">
            <w:pPr>
              <w:pStyle w:val="broodtekst"/>
              <w:rPr>
                <w:b/>
                <w:bCs/>
              </w:rPr>
            </w:pPr>
            <w:r w:rsidRPr="00025D4C">
              <w:rPr>
                <w:b/>
                <w:bCs/>
              </w:rPr>
              <w:t>(UNRWA)</w:t>
            </w:r>
          </w:p>
        </w:tc>
        <w:tc>
          <w:tcPr>
            <w:tcW w:w="1392" w:type="dxa"/>
            <w:noWrap/>
            <w:tcMar>
              <w:left w:w="57" w:type="dxa"/>
              <w:right w:w="57" w:type="dxa"/>
            </w:tcMar>
            <w:hideMark/>
          </w:tcPr>
          <w:p w:rsidRPr="00025D4C" w:rsidR="00FA7A8E" w:rsidP="00CB43DF" w:rsidRDefault="00FA7A8E" w14:paraId="307FC47F" w14:textId="77777777">
            <w:pPr>
              <w:pStyle w:val="broodtekst"/>
              <w:rPr>
                <w:b/>
                <w:bCs/>
              </w:rPr>
            </w:pPr>
            <w:r w:rsidRPr="00025D4C">
              <w:rPr>
                <w:b/>
                <w:bCs/>
              </w:rPr>
              <w:t>Asielzoekers</w:t>
            </w:r>
          </w:p>
        </w:tc>
        <w:tc>
          <w:tcPr>
            <w:tcW w:w="1381" w:type="dxa"/>
            <w:noWrap/>
            <w:tcMar>
              <w:left w:w="57" w:type="dxa"/>
              <w:right w:w="57" w:type="dxa"/>
            </w:tcMar>
            <w:hideMark/>
          </w:tcPr>
          <w:p w:rsidRPr="00025D4C" w:rsidR="00FA7A8E" w:rsidP="00CB43DF" w:rsidRDefault="00FA7A8E" w14:paraId="30A214C7" w14:textId="77777777">
            <w:pPr>
              <w:pStyle w:val="broodtekst"/>
              <w:rPr>
                <w:b/>
                <w:bCs/>
              </w:rPr>
            </w:pPr>
            <w:r w:rsidRPr="00025D4C">
              <w:rPr>
                <w:b/>
                <w:bCs/>
              </w:rPr>
              <w:t xml:space="preserve">Intern ontheemden </w:t>
            </w:r>
          </w:p>
          <w:p w:rsidRPr="00025D4C" w:rsidR="00FA7A8E" w:rsidP="00CB43DF" w:rsidRDefault="00FA7A8E" w14:paraId="5503EB8F" w14:textId="77777777">
            <w:pPr>
              <w:pStyle w:val="broodtekst"/>
              <w:rPr>
                <w:b/>
                <w:bCs/>
              </w:rPr>
            </w:pPr>
            <w:r w:rsidRPr="00025D4C">
              <w:rPr>
                <w:b/>
                <w:bCs/>
              </w:rPr>
              <w:t>(IDMC)</w:t>
            </w:r>
          </w:p>
        </w:tc>
        <w:tc>
          <w:tcPr>
            <w:tcW w:w="1349" w:type="dxa"/>
            <w:noWrap/>
            <w:tcMar>
              <w:left w:w="57" w:type="dxa"/>
              <w:right w:w="57" w:type="dxa"/>
            </w:tcMar>
            <w:hideMark/>
          </w:tcPr>
          <w:p w:rsidRPr="00025D4C" w:rsidR="00FA7A8E" w:rsidP="00CB43DF" w:rsidRDefault="00FA7A8E" w14:paraId="1270C1EA" w14:textId="77777777">
            <w:pPr>
              <w:pStyle w:val="broodtekst"/>
              <w:rPr>
                <w:b/>
                <w:bCs/>
              </w:rPr>
            </w:pPr>
            <w:r w:rsidRPr="00025D4C">
              <w:rPr>
                <w:b/>
                <w:bCs/>
              </w:rPr>
              <w:t>Anderen die beschermen behoeven</w:t>
            </w:r>
          </w:p>
        </w:tc>
        <w:tc>
          <w:tcPr>
            <w:tcW w:w="1237" w:type="dxa"/>
            <w:tcMar>
              <w:left w:w="57" w:type="dxa"/>
              <w:right w:w="57" w:type="dxa"/>
            </w:tcMar>
          </w:tcPr>
          <w:p w:rsidRPr="00025D4C" w:rsidR="00FA7A8E" w:rsidP="00CB43DF" w:rsidRDefault="00FA7A8E" w14:paraId="0ACBF63E" w14:textId="77777777">
            <w:pPr>
              <w:pStyle w:val="broodtekst"/>
              <w:rPr>
                <w:b/>
                <w:bCs/>
              </w:rPr>
            </w:pPr>
            <w:r w:rsidRPr="00025D4C">
              <w:rPr>
                <w:b/>
                <w:bCs/>
              </w:rPr>
              <w:t>Totaal</w:t>
            </w:r>
          </w:p>
        </w:tc>
      </w:tr>
      <w:tr w:rsidRPr="00025D4C" w:rsidR="00FA7A8E" w:rsidTr="00CB43DF" w14:paraId="37B54DEA" w14:textId="77777777">
        <w:trPr>
          <w:trHeight w:val="288"/>
        </w:trPr>
        <w:tc>
          <w:tcPr>
            <w:tcW w:w="705" w:type="dxa"/>
            <w:noWrap/>
            <w:tcMar>
              <w:left w:w="57" w:type="dxa"/>
              <w:right w:w="57" w:type="dxa"/>
            </w:tcMar>
            <w:hideMark/>
          </w:tcPr>
          <w:p w:rsidRPr="00025D4C" w:rsidR="00FA7A8E" w:rsidP="00CB43DF" w:rsidRDefault="00FA7A8E" w14:paraId="4F15B6F2" w14:textId="77777777">
            <w:pPr>
              <w:pStyle w:val="broodtekst"/>
            </w:pPr>
            <w:r w:rsidRPr="00025D4C">
              <w:t>2015</w:t>
            </w:r>
          </w:p>
        </w:tc>
        <w:tc>
          <w:tcPr>
            <w:tcW w:w="1562" w:type="dxa"/>
            <w:noWrap/>
            <w:tcMar>
              <w:left w:w="57" w:type="dxa"/>
              <w:right w:w="57" w:type="dxa"/>
            </w:tcMar>
            <w:hideMark/>
          </w:tcPr>
          <w:p w:rsidRPr="00025D4C" w:rsidR="00FA7A8E" w:rsidP="00CB43DF" w:rsidRDefault="00FA7A8E" w14:paraId="0F184B31" w14:textId="77777777">
            <w:pPr>
              <w:pStyle w:val="broodtekst"/>
              <w:jc w:val="right"/>
            </w:pPr>
            <w:r w:rsidRPr="00025D4C">
              <w:t xml:space="preserve">16.110.000 </w:t>
            </w:r>
          </w:p>
        </w:tc>
        <w:tc>
          <w:tcPr>
            <w:tcW w:w="1503" w:type="dxa"/>
            <w:noWrap/>
            <w:tcMar>
              <w:left w:w="57" w:type="dxa"/>
              <w:right w:w="57" w:type="dxa"/>
            </w:tcMar>
            <w:hideMark/>
          </w:tcPr>
          <w:p w:rsidRPr="00025D4C" w:rsidR="00FA7A8E" w:rsidP="00CB43DF" w:rsidRDefault="00FA7A8E" w14:paraId="32095225" w14:textId="77777777">
            <w:pPr>
              <w:pStyle w:val="broodtekst"/>
              <w:jc w:val="right"/>
            </w:pPr>
            <w:r w:rsidRPr="00025D4C">
              <w:t xml:space="preserve">5.241.000 </w:t>
            </w:r>
          </w:p>
        </w:tc>
        <w:tc>
          <w:tcPr>
            <w:tcW w:w="1392" w:type="dxa"/>
            <w:noWrap/>
            <w:tcMar>
              <w:left w:w="57" w:type="dxa"/>
              <w:right w:w="57" w:type="dxa"/>
            </w:tcMar>
            <w:hideMark/>
          </w:tcPr>
          <w:p w:rsidRPr="00025D4C" w:rsidR="00FA7A8E" w:rsidP="00CB43DF" w:rsidRDefault="00FA7A8E" w14:paraId="2AA129E3" w14:textId="77777777">
            <w:pPr>
              <w:pStyle w:val="broodtekst"/>
              <w:jc w:val="right"/>
            </w:pPr>
            <w:r w:rsidRPr="00025D4C">
              <w:t xml:space="preserve">3.223.000 </w:t>
            </w:r>
          </w:p>
        </w:tc>
        <w:tc>
          <w:tcPr>
            <w:tcW w:w="1381" w:type="dxa"/>
            <w:noWrap/>
            <w:tcMar>
              <w:left w:w="57" w:type="dxa"/>
              <w:right w:w="57" w:type="dxa"/>
            </w:tcMar>
            <w:hideMark/>
          </w:tcPr>
          <w:p w:rsidRPr="00025D4C" w:rsidR="00FA7A8E" w:rsidP="00CB43DF" w:rsidRDefault="00FA7A8E" w14:paraId="03D0B825" w14:textId="77777777">
            <w:pPr>
              <w:pStyle w:val="broodtekst"/>
              <w:jc w:val="right"/>
            </w:pPr>
            <w:r w:rsidRPr="00025D4C">
              <w:t xml:space="preserve">40.452.000 </w:t>
            </w:r>
          </w:p>
        </w:tc>
        <w:tc>
          <w:tcPr>
            <w:tcW w:w="1349" w:type="dxa"/>
            <w:noWrap/>
            <w:tcMar>
              <w:left w:w="57" w:type="dxa"/>
              <w:right w:w="57" w:type="dxa"/>
            </w:tcMar>
          </w:tcPr>
          <w:p w:rsidRPr="00025D4C" w:rsidR="00FA7A8E" w:rsidP="00CB43DF" w:rsidRDefault="00FA7A8E" w14:paraId="79350C46" w14:textId="77777777">
            <w:pPr>
              <w:pStyle w:val="broodtekst"/>
              <w:jc w:val="right"/>
            </w:pPr>
          </w:p>
        </w:tc>
        <w:tc>
          <w:tcPr>
            <w:tcW w:w="1237" w:type="dxa"/>
            <w:tcMar>
              <w:left w:w="57" w:type="dxa"/>
              <w:right w:w="57" w:type="dxa"/>
            </w:tcMar>
            <w:vAlign w:val="bottom"/>
          </w:tcPr>
          <w:p w:rsidRPr="00025D4C" w:rsidR="00FA7A8E" w:rsidP="00CB43DF" w:rsidRDefault="00FA7A8E" w14:paraId="0324D969" w14:textId="77777777">
            <w:pPr>
              <w:pStyle w:val="broodtekst"/>
              <w:jc w:val="right"/>
            </w:pPr>
            <w:r w:rsidRPr="00025D4C">
              <w:rPr>
                <w:rFonts w:ascii="Calibri" w:hAnsi="Calibri" w:cs="Calibri"/>
                <w:b/>
                <w:bCs/>
                <w:color w:val="000000"/>
                <w:sz w:val="22"/>
                <w:szCs w:val="22"/>
              </w:rPr>
              <w:t xml:space="preserve">65.027.000 </w:t>
            </w:r>
          </w:p>
        </w:tc>
      </w:tr>
      <w:tr w:rsidRPr="00025D4C" w:rsidR="00FA7A8E" w:rsidTr="00CB43DF" w14:paraId="6C19D2C4" w14:textId="77777777">
        <w:trPr>
          <w:trHeight w:val="288"/>
        </w:trPr>
        <w:tc>
          <w:tcPr>
            <w:tcW w:w="705" w:type="dxa"/>
            <w:noWrap/>
            <w:tcMar>
              <w:left w:w="57" w:type="dxa"/>
              <w:right w:w="57" w:type="dxa"/>
            </w:tcMar>
            <w:hideMark/>
          </w:tcPr>
          <w:p w:rsidRPr="00025D4C" w:rsidR="00FA7A8E" w:rsidP="00CB43DF" w:rsidRDefault="00FA7A8E" w14:paraId="417AC966" w14:textId="77777777">
            <w:pPr>
              <w:pStyle w:val="broodtekst"/>
            </w:pPr>
            <w:r w:rsidRPr="00025D4C">
              <w:t>2016</w:t>
            </w:r>
          </w:p>
        </w:tc>
        <w:tc>
          <w:tcPr>
            <w:tcW w:w="1562" w:type="dxa"/>
            <w:noWrap/>
            <w:tcMar>
              <w:left w:w="57" w:type="dxa"/>
              <w:right w:w="57" w:type="dxa"/>
            </w:tcMar>
            <w:hideMark/>
          </w:tcPr>
          <w:p w:rsidRPr="00025D4C" w:rsidR="00FA7A8E" w:rsidP="00CB43DF" w:rsidRDefault="00FA7A8E" w14:paraId="1E8D3229" w14:textId="77777777">
            <w:pPr>
              <w:pStyle w:val="broodtekst"/>
              <w:jc w:val="right"/>
            </w:pPr>
            <w:r w:rsidRPr="00025D4C">
              <w:t xml:space="preserve">17.184.000 </w:t>
            </w:r>
          </w:p>
        </w:tc>
        <w:tc>
          <w:tcPr>
            <w:tcW w:w="1503" w:type="dxa"/>
            <w:noWrap/>
            <w:tcMar>
              <w:left w:w="57" w:type="dxa"/>
              <w:right w:w="57" w:type="dxa"/>
            </w:tcMar>
            <w:hideMark/>
          </w:tcPr>
          <w:p w:rsidRPr="00025D4C" w:rsidR="00FA7A8E" w:rsidP="00CB43DF" w:rsidRDefault="00FA7A8E" w14:paraId="29CA1C26" w14:textId="77777777">
            <w:pPr>
              <w:pStyle w:val="broodtekst"/>
              <w:jc w:val="right"/>
            </w:pPr>
            <w:r w:rsidRPr="00025D4C">
              <w:t xml:space="preserve">5.340.000 </w:t>
            </w:r>
          </w:p>
        </w:tc>
        <w:tc>
          <w:tcPr>
            <w:tcW w:w="1392" w:type="dxa"/>
            <w:noWrap/>
            <w:tcMar>
              <w:left w:w="57" w:type="dxa"/>
              <w:right w:w="57" w:type="dxa"/>
            </w:tcMar>
            <w:hideMark/>
          </w:tcPr>
          <w:p w:rsidRPr="00025D4C" w:rsidR="00FA7A8E" w:rsidP="00CB43DF" w:rsidRDefault="00FA7A8E" w14:paraId="49A69BB2" w14:textId="77777777">
            <w:pPr>
              <w:pStyle w:val="broodtekst"/>
              <w:jc w:val="right"/>
            </w:pPr>
            <w:r w:rsidRPr="00025D4C">
              <w:t xml:space="preserve">2.730.000 </w:t>
            </w:r>
          </w:p>
        </w:tc>
        <w:tc>
          <w:tcPr>
            <w:tcW w:w="1381" w:type="dxa"/>
            <w:noWrap/>
            <w:tcMar>
              <w:left w:w="57" w:type="dxa"/>
              <w:right w:w="57" w:type="dxa"/>
            </w:tcMar>
            <w:hideMark/>
          </w:tcPr>
          <w:p w:rsidRPr="00025D4C" w:rsidR="00FA7A8E" w:rsidP="00CB43DF" w:rsidRDefault="00FA7A8E" w14:paraId="17AFD6DB" w14:textId="77777777">
            <w:pPr>
              <w:pStyle w:val="broodtekst"/>
              <w:jc w:val="right"/>
            </w:pPr>
            <w:r w:rsidRPr="00025D4C">
              <w:t xml:space="preserve">38.919.000 </w:t>
            </w:r>
          </w:p>
        </w:tc>
        <w:tc>
          <w:tcPr>
            <w:tcW w:w="1349" w:type="dxa"/>
            <w:noWrap/>
            <w:tcMar>
              <w:left w:w="57" w:type="dxa"/>
              <w:right w:w="57" w:type="dxa"/>
            </w:tcMar>
          </w:tcPr>
          <w:p w:rsidRPr="00025D4C" w:rsidR="00FA7A8E" w:rsidP="00CB43DF" w:rsidRDefault="00FA7A8E" w14:paraId="4FD24535" w14:textId="77777777">
            <w:pPr>
              <w:pStyle w:val="broodtekst"/>
              <w:jc w:val="right"/>
            </w:pPr>
          </w:p>
        </w:tc>
        <w:tc>
          <w:tcPr>
            <w:tcW w:w="1237" w:type="dxa"/>
            <w:tcMar>
              <w:left w:w="57" w:type="dxa"/>
              <w:right w:w="57" w:type="dxa"/>
            </w:tcMar>
            <w:vAlign w:val="bottom"/>
          </w:tcPr>
          <w:p w:rsidRPr="00025D4C" w:rsidR="00FA7A8E" w:rsidP="00CB43DF" w:rsidRDefault="00FA7A8E" w14:paraId="50B5DE31" w14:textId="77777777">
            <w:pPr>
              <w:pStyle w:val="broodtekst"/>
              <w:jc w:val="right"/>
            </w:pPr>
            <w:r w:rsidRPr="00025D4C">
              <w:rPr>
                <w:rFonts w:ascii="Calibri" w:hAnsi="Calibri" w:cs="Calibri"/>
                <w:b/>
                <w:bCs/>
                <w:color w:val="000000"/>
                <w:sz w:val="22"/>
                <w:szCs w:val="22"/>
              </w:rPr>
              <w:t xml:space="preserve">64.174.000 </w:t>
            </w:r>
          </w:p>
        </w:tc>
      </w:tr>
      <w:tr w:rsidRPr="00025D4C" w:rsidR="00FA7A8E" w:rsidTr="00CB43DF" w14:paraId="57C029DC" w14:textId="77777777">
        <w:trPr>
          <w:trHeight w:val="288"/>
        </w:trPr>
        <w:tc>
          <w:tcPr>
            <w:tcW w:w="705" w:type="dxa"/>
            <w:noWrap/>
            <w:tcMar>
              <w:left w:w="57" w:type="dxa"/>
              <w:right w:w="57" w:type="dxa"/>
            </w:tcMar>
            <w:hideMark/>
          </w:tcPr>
          <w:p w:rsidRPr="00025D4C" w:rsidR="00FA7A8E" w:rsidP="00CB43DF" w:rsidRDefault="00FA7A8E" w14:paraId="35B7A8A8" w14:textId="77777777">
            <w:pPr>
              <w:pStyle w:val="broodtekst"/>
            </w:pPr>
            <w:r w:rsidRPr="00025D4C">
              <w:t>2017</w:t>
            </w:r>
          </w:p>
        </w:tc>
        <w:tc>
          <w:tcPr>
            <w:tcW w:w="1562" w:type="dxa"/>
            <w:noWrap/>
            <w:tcMar>
              <w:left w:w="57" w:type="dxa"/>
              <w:right w:w="57" w:type="dxa"/>
            </w:tcMar>
            <w:hideMark/>
          </w:tcPr>
          <w:p w:rsidRPr="00025D4C" w:rsidR="00FA7A8E" w:rsidP="00CB43DF" w:rsidRDefault="00FA7A8E" w14:paraId="61CE0DD2" w14:textId="77777777">
            <w:pPr>
              <w:pStyle w:val="broodtekst"/>
              <w:jc w:val="right"/>
            </w:pPr>
            <w:r w:rsidRPr="00025D4C">
              <w:t xml:space="preserve">19.941.000 </w:t>
            </w:r>
          </w:p>
        </w:tc>
        <w:tc>
          <w:tcPr>
            <w:tcW w:w="1503" w:type="dxa"/>
            <w:noWrap/>
            <w:tcMar>
              <w:left w:w="57" w:type="dxa"/>
              <w:right w:w="57" w:type="dxa"/>
            </w:tcMar>
            <w:hideMark/>
          </w:tcPr>
          <w:p w:rsidRPr="00025D4C" w:rsidR="00FA7A8E" w:rsidP="00CB43DF" w:rsidRDefault="00FA7A8E" w14:paraId="38F5147F" w14:textId="77777777">
            <w:pPr>
              <w:pStyle w:val="broodtekst"/>
              <w:jc w:val="right"/>
            </w:pPr>
            <w:r w:rsidRPr="00025D4C">
              <w:t xml:space="preserve">5.443.000 </w:t>
            </w:r>
          </w:p>
        </w:tc>
        <w:tc>
          <w:tcPr>
            <w:tcW w:w="1392" w:type="dxa"/>
            <w:noWrap/>
            <w:tcMar>
              <w:left w:w="57" w:type="dxa"/>
              <w:right w:w="57" w:type="dxa"/>
            </w:tcMar>
            <w:hideMark/>
          </w:tcPr>
          <w:p w:rsidRPr="00025D4C" w:rsidR="00FA7A8E" w:rsidP="00CB43DF" w:rsidRDefault="00FA7A8E" w14:paraId="2D20127F" w14:textId="77777777">
            <w:pPr>
              <w:pStyle w:val="broodtekst"/>
              <w:jc w:val="right"/>
            </w:pPr>
            <w:r w:rsidRPr="00025D4C">
              <w:t xml:space="preserve">3.090.000 </w:t>
            </w:r>
          </w:p>
        </w:tc>
        <w:tc>
          <w:tcPr>
            <w:tcW w:w="1381" w:type="dxa"/>
            <w:noWrap/>
            <w:tcMar>
              <w:left w:w="57" w:type="dxa"/>
              <w:right w:w="57" w:type="dxa"/>
            </w:tcMar>
            <w:hideMark/>
          </w:tcPr>
          <w:p w:rsidRPr="00025D4C" w:rsidR="00FA7A8E" w:rsidP="00CB43DF" w:rsidRDefault="00FA7A8E" w14:paraId="42725B1E" w14:textId="77777777">
            <w:pPr>
              <w:pStyle w:val="broodtekst"/>
              <w:jc w:val="right"/>
            </w:pPr>
            <w:r w:rsidRPr="00025D4C">
              <w:t xml:space="preserve">39.425.000 </w:t>
            </w:r>
          </w:p>
        </w:tc>
        <w:tc>
          <w:tcPr>
            <w:tcW w:w="1349" w:type="dxa"/>
            <w:noWrap/>
            <w:tcMar>
              <w:left w:w="57" w:type="dxa"/>
              <w:right w:w="57" w:type="dxa"/>
            </w:tcMar>
          </w:tcPr>
          <w:p w:rsidRPr="00025D4C" w:rsidR="00FA7A8E" w:rsidP="00CB43DF" w:rsidRDefault="00FA7A8E" w14:paraId="381E6497" w14:textId="77777777">
            <w:pPr>
              <w:pStyle w:val="broodtekst"/>
              <w:jc w:val="right"/>
            </w:pPr>
          </w:p>
        </w:tc>
        <w:tc>
          <w:tcPr>
            <w:tcW w:w="1237" w:type="dxa"/>
            <w:tcMar>
              <w:left w:w="57" w:type="dxa"/>
              <w:right w:w="57" w:type="dxa"/>
            </w:tcMar>
            <w:vAlign w:val="bottom"/>
          </w:tcPr>
          <w:p w:rsidRPr="00025D4C" w:rsidR="00FA7A8E" w:rsidP="00CB43DF" w:rsidRDefault="00FA7A8E" w14:paraId="0105D4C5" w14:textId="77777777">
            <w:pPr>
              <w:pStyle w:val="broodtekst"/>
              <w:jc w:val="right"/>
            </w:pPr>
            <w:r w:rsidRPr="00025D4C">
              <w:rPr>
                <w:rFonts w:ascii="Calibri" w:hAnsi="Calibri" w:cs="Calibri"/>
                <w:b/>
                <w:bCs/>
                <w:color w:val="000000"/>
                <w:sz w:val="22"/>
                <w:szCs w:val="22"/>
              </w:rPr>
              <w:t xml:space="preserve">67.898.000 </w:t>
            </w:r>
          </w:p>
        </w:tc>
      </w:tr>
      <w:tr w:rsidRPr="00025D4C" w:rsidR="00FA7A8E" w:rsidTr="00CB43DF" w14:paraId="04A8C204" w14:textId="77777777">
        <w:trPr>
          <w:trHeight w:val="288"/>
        </w:trPr>
        <w:tc>
          <w:tcPr>
            <w:tcW w:w="705" w:type="dxa"/>
            <w:noWrap/>
            <w:tcMar>
              <w:left w:w="57" w:type="dxa"/>
              <w:right w:w="57" w:type="dxa"/>
            </w:tcMar>
            <w:hideMark/>
          </w:tcPr>
          <w:p w:rsidRPr="00025D4C" w:rsidR="00FA7A8E" w:rsidP="00CB43DF" w:rsidRDefault="00FA7A8E" w14:paraId="0212C1C8" w14:textId="77777777">
            <w:pPr>
              <w:pStyle w:val="broodtekst"/>
            </w:pPr>
            <w:r w:rsidRPr="00025D4C">
              <w:t>2018</w:t>
            </w:r>
          </w:p>
        </w:tc>
        <w:tc>
          <w:tcPr>
            <w:tcW w:w="1562" w:type="dxa"/>
            <w:noWrap/>
            <w:tcMar>
              <w:left w:w="57" w:type="dxa"/>
              <w:right w:w="57" w:type="dxa"/>
            </w:tcMar>
            <w:hideMark/>
          </w:tcPr>
          <w:p w:rsidRPr="00025D4C" w:rsidR="00FA7A8E" w:rsidP="00CB43DF" w:rsidRDefault="00FA7A8E" w14:paraId="24A0C0F8" w14:textId="77777777">
            <w:pPr>
              <w:pStyle w:val="broodtekst"/>
              <w:jc w:val="right"/>
            </w:pPr>
            <w:r w:rsidRPr="00025D4C">
              <w:t xml:space="preserve">20.360.000 </w:t>
            </w:r>
          </w:p>
        </w:tc>
        <w:tc>
          <w:tcPr>
            <w:tcW w:w="1503" w:type="dxa"/>
            <w:noWrap/>
            <w:tcMar>
              <w:left w:w="57" w:type="dxa"/>
              <w:right w:w="57" w:type="dxa"/>
            </w:tcMar>
            <w:hideMark/>
          </w:tcPr>
          <w:p w:rsidRPr="00025D4C" w:rsidR="00FA7A8E" w:rsidP="00CB43DF" w:rsidRDefault="00FA7A8E" w14:paraId="46179D1F" w14:textId="77777777">
            <w:pPr>
              <w:pStyle w:val="broodtekst"/>
              <w:jc w:val="right"/>
            </w:pPr>
            <w:r w:rsidRPr="00025D4C">
              <w:t xml:space="preserve">5.546.000 </w:t>
            </w:r>
          </w:p>
        </w:tc>
        <w:tc>
          <w:tcPr>
            <w:tcW w:w="1392" w:type="dxa"/>
            <w:noWrap/>
            <w:tcMar>
              <w:left w:w="57" w:type="dxa"/>
              <w:right w:w="57" w:type="dxa"/>
            </w:tcMar>
            <w:hideMark/>
          </w:tcPr>
          <w:p w:rsidRPr="00025D4C" w:rsidR="00FA7A8E" w:rsidP="00CB43DF" w:rsidRDefault="00FA7A8E" w14:paraId="12F3937E" w14:textId="77777777">
            <w:pPr>
              <w:pStyle w:val="broodtekst"/>
              <w:jc w:val="right"/>
            </w:pPr>
            <w:r w:rsidRPr="00025D4C">
              <w:t xml:space="preserve">3.502.000 </w:t>
            </w:r>
          </w:p>
        </w:tc>
        <w:tc>
          <w:tcPr>
            <w:tcW w:w="1381" w:type="dxa"/>
            <w:noWrap/>
            <w:tcMar>
              <w:left w:w="57" w:type="dxa"/>
              <w:right w:w="57" w:type="dxa"/>
            </w:tcMar>
            <w:hideMark/>
          </w:tcPr>
          <w:p w:rsidRPr="00025D4C" w:rsidR="00FA7A8E" w:rsidP="00CB43DF" w:rsidRDefault="00FA7A8E" w14:paraId="256E0B76" w14:textId="77777777">
            <w:pPr>
              <w:pStyle w:val="broodtekst"/>
              <w:jc w:val="right"/>
            </w:pPr>
            <w:r w:rsidRPr="00025D4C">
              <w:t xml:space="preserve">40.557.000 </w:t>
            </w:r>
          </w:p>
        </w:tc>
        <w:tc>
          <w:tcPr>
            <w:tcW w:w="1349" w:type="dxa"/>
            <w:noWrap/>
            <w:tcMar>
              <w:left w:w="57" w:type="dxa"/>
              <w:right w:w="57" w:type="dxa"/>
            </w:tcMar>
            <w:hideMark/>
          </w:tcPr>
          <w:p w:rsidRPr="00025D4C" w:rsidR="00FA7A8E" w:rsidP="00CB43DF" w:rsidRDefault="00FA7A8E" w14:paraId="09BA7AAC" w14:textId="77777777">
            <w:pPr>
              <w:pStyle w:val="broodtekst"/>
              <w:jc w:val="right"/>
            </w:pPr>
            <w:r w:rsidRPr="00025D4C">
              <w:t xml:space="preserve">2.593.000 </w:t>
            </w:r>
          </w:p>
        </w:tc>
        <w:tc>
          <w:tcPr>
            <w:tcW w:w="1237" w:type="dxa"/>
            <w:tcMar>
              <w:left w:w="57" w:type="dxa"/>
              <w:right w:w="57" w:type="dxa"/>
            </w:tcMar>
            <w:vAlign w:val="bottom"/>
          </w:tcPr>
          <w:p w:rsidRPr="00025D4C" w:rsidR="00FA7A8E" w:rsidP="00CB43DF" w:rsidRDefault="00FA7A8E" w14:paraId="5200D2ED" w14:textId="77777777">
            <w:pPr>
              <w:pStyle w:val="broodtekst"/>
              <w:jc w:val="right"/>
            </w:pPr>
            <w:r w:rsidRPr="00025D4C">
              <w:rPr>
                <w:rFonts w:ascii="Calibri" w:hAnsi="Calibri" w:cs="Calibri"/>
                <w:b/>
                <w:bCs/>
                <w:color w:val="000000"/>
                <w:sz w:val="22"/>
                <w:szCs w:val="22"/>
              </w:rPr>
              <w:t xml:space="preserve">72.557.000 </w:t>
            </w:r>
          </w:p>
        </w:tc>
      </w:tr>
      <w:tr w:rsidRPr="00025D4C" w:rsidR="00FA7A8E" w:rsidTr="00CB43DF" w14:paraId="3A874402" w14:textId="77777777">
        <w:trPr>
          <w:trHeight w:val="288"/>
        </w:trPr>
        <w:tc>
          <w:tcPr>
            <w:tcW w:w="705" w:type="dxa"/>
            <w:noWrap/>
            <w:tcMar>
              <w:left w:w="57" w:type="dxa"/>
              <w:right w:w="57" w:type="dxa"/>
            </w:tcMar>
            <w:hideMark/>
          </w:tcPr>
          <w:p w:rsidRPr="00025D4C" w:rsidR="00FA7A8E" w:rsidP="00CB43DF" w:rsidRDefault="00FA7A8E" w14:paraId="5927C6DA" w14:textId="77777777">
            <w:pPr>
              <w:pStyle w:val="broodtekst"/>
            </w:pPr>
            <w:r w:rsidRPr="00025D4C">
              <w:t>2019</w:t>
            </w:r>
          </w:p>
        </w:tc>
        <w:tc>
          <w:tcPr>
            <w:tcW w:w="1562" w:type="dxa"/>
            <w:noWrap/>
            <w:tcMar>
              <w:left w:w="57" w:type="dxa"/>
              <w:right w:w="57" w:type="dxa"/>
            </w:tcMar>
            <w:hideMark/>
          </w:tcPr>
          <w:p w:rsidRPr="00025D4C" w:rsidR="00FA7A8E" w:rsidP="00CB43DF" w:rsidRDefault="00FA7A8E" w14:paraId="66048A43" w14:textId="77777777">
            <w:pPr>
              <w:pStyle w:val="broodtekst"/>
              <w:jc w:val="right"/>
            </w:pPr>
            <w:r w:rsidRPr="00025D4C">
              <w:t xml:space="preserve">20.415.000 </w:t>
            </w:r>
          </w:p>
        </w:tc>
        <w:tc>
          <w:tcPr>
            <w:tcW w:w="1503" w:type="dxa"/>
            <w:noWrap/>
            <w:tcMar>
              <w:left w:w="57" w:type="dxa"/>
              <w:right w:w="57" w:type="dxa"/>
            </w:tcMar>
            <w:hideMark/>
          </w:tcPr>
          <w:p w:rsidRPr="00025D4C" w:rsidR="00FA7A8E" w:rsidP="00CB43DF" w:rsidRDefault="00FA7A8E" w14:paraId="573909D9" w14:textId="77777777">
            <w:pPr>
              <w:pStyle w:val="broodtekst"/>
              <w:jc w:val="right"/>
            </w:pPr>
            <w:r w:rsidRPr="00025D4C">
              <w:t xml:space="preserve">5.630.000 </w:t>
            </w:r>
          </w:p>
        </w:tc>
        <w:tc>
          <w:tcPr>
            <w:tcW w:w="1392" w:type="dxa"/>
            <w:noWrap/>
            <w:tcMar>
              <w:left w:w="57" w:type="dxa"/>
              <w:right w:w="57" w:type="dxa"/>
            </w:tcMar>
            <w:hideMark/>
          </w:tcPr>
          <w:p w:rsidRPr="00025D4C" w:rsidR="00FA7A8E" w:rsidP="00CB43DF" w:rsidRDefault="00FA7A8E" w14:paraId="423BBE0C" w14:textId="77777777">
            <w:pPr>
              <w:pStyle w:val="broodtekst"/>
              <w:jc w:val="right"/>
            </w:pPr>
            <w:r w:rsidRPr="00025D4C">
              <w:t xml:space="preserve">4.148.000 </w:t>
            </w:r>
          </w:p>
        </w:tc>
        <w:tc>
          <w:tcPr>
            <w:tcW w:w="1381" w:type="dxa"/>
            <w:noWrap/>
            <w:tcMar>
              <w:left w:w="57" w:type="dxa"/>
              <w:right w:w="57" w:type="dxa"/>
            </w:tcMar>
            <w:hideMark/>
          </w:tcPr>
          <w:p w:rsidRPr="00025D4C" w:rsidR="00FA7A8E" w:rsidP="00CB43DF" w:rsidRDefault="00FA7A8E" w14:paraId="08F6A1A3" w14:textId="77777777">
            <w:pPr>
              <w:pStyle w:val="broodtekst"/>
              <w:jc w:val="right"/>
            </w:pPr>
            <w:r w:rsidRPr="00025D4C">
              <w:t xml:space="preserve">44.602.000 </w:t>
            </w:r>
          </w:p>
        </w:tc>
        <w:tc>
          <w:tcPr>
            <w:tcW w:w="1349" w:type="dxa"/>
            <w:noWrap/>
            <w:tcMar>
              <w:left w:w="57" w:type="dxa"/>
              <w:right w:w="57" w:type="dxa"/>
            </w:tcMar>
            <w:hideMark/>
          </w:tcPr>
          <w:p w:rsidRPr="00025D4C" w:rsidR="00FA7A8E" w:rsidP="00CB43DF" w:rsidRDefault="00FA7A8E" w14:paraId="78A3A46E" w14:textId="77777777">
            <w:pPr>
              <w:pStyle w:val="broodtekst"/>
              <w:jc w:val="right"/>
            </w:pPr>
            <w:r w:rsidRPr="00025D4C">
              <w:t xml:space="preserve">3.582.000 </w:t>
            </w:r>
          </w:p>
        </w:tc>
        <w:tc>
          <w:tcPr>
            <w:tcW w:w="1237" w:type="dxa"/>
            <w:tcMar>
              <w:left w:w="57" w:type="dxa"/>
              <w:right w:w="57" w:type="dxa"/>
            </w:tcMar>
            <w:vAlign w:val="bottom"/>
          </w:tcPr>
          <w:p w:rsidRPr="00025D4C" w:rsidR="00FA7A8E" w:rsidP="00CB43DF" w:rsidRDefault="00FA7A8E" w14:paraId="38E81556" w14:textId="77777777">
            <w:pPr>
              <w:pStyle w:val="broodtekst"/>
              <w:jc w:val="right"/>
            </w:pPr>
            <w:r w:rsidRPr="00025D4C">
              <w:rPr>
                <w:rFonts w:ascii="Calibri" w:hAnsi="Calibri" w:cs="Calibri"/>
                <w:b/>
                <w:bCs/>
                <w:color w:val="000000"/>
                <w:sz w:val="22"/>
                <w:szCs w:val="22"/>
              </w:rPr>
              <w:t xml:space="preserve">78.377.000 </w:t>
            </w:r>
          </w:p>
        </w:tc>
      </w:tr>
      <w:tr w:rsidRPr="00025D4C" w:rsidR="00FA7A8E" w:rsidTr="00CB43DF" w14:paraId="659A6043" w14:textId="77777777">
        <w:trPr>
          <w:trHeight w:val="288"/>
        </w:trPr>
        <w:tc>
          <w:tcPr>
            <w:tcW w:w="705" w:type="dxa"/>
            <w:noWrap/>
            <w:tcMar>
              <w:left w:w="57" w:type="dxa"/>
              <w:right w:w="57" w:type="dxa"/>
            </w:tcMar>
            <w:hideMark/>
          </w:tcPr>
          <w:p w:rsidRPr="00025D4C" w:rsidR="00FA7A8E" w:rsidP="00CB43DF" w:rsidRDefault="00FA7A8E" w14:paraId="7248CA4E" w14:textId="77777777">
            <w:pPr>
              <w:pStyle w:val="broodtekst"/>
            </w:pPr>
            <w:r w:rsidRPr="00025D4C">
              <w:t>2020</w:t>
            </w:r>
          </w:p>
        </w:tc>
        <w:tc>
          <w:tcPr>
            <w:tcW w:w="1562" w:type="dxa"/>
            <w:noWrap/>
            <w:tcMar>
              <w:left w:w="57" w:type="dxa"/>
              <w:right w:w="57" w:type="dxa"/>
            </w:tcMar>
            <w:hideMark/>
          </w:tcPr>
          <w:p w:rsidRPr="00025D4C" w:rsidR="00FA7A8E" w:rsidP="00CB43DF" w:rsidRDefault="00FA7A8E" w14:paraId="6D85FA69" w14:textId="77777777">
            <w:pPr>
              <w:pStyle w:val="broodtekst"/>
              <w:jc w:val="right"/>
            </w:pPr>
            <w:r w:rsidRPr="00025D4C">
              <w:t xml:space="preserve">20.662.000 </w:t>
            </w:r>
          </w:p>
        </w:tc>
        <w:tc>
          <w:tcPr>
            <w:tcW w:w="1503" w:type="dxa"/>
            <w:noWrap/>
            <w:tcMar>
              <w:left w:w="57" w:type="dxa"/>
              <w:right w:w="57" w:type="dxa"/>
            </w:tcMar>
            <w:hideMark/>
          </w:tcPr>
          <w:p w:rsidRPr="00025D4C" w:rsidR="00FA7A8E" w:rsidP="00CB43DF" w:rsidRDefault="00FA7A8E" w14:paraId="47E47386" w14:textId="77777777">
            <w:pPr>
              <w:pStyle w:val="broodtekst"/>
              <w:jc w:val="right"/>
            </w:pPr>
            <w:r w:rsidRPr="00025D4C">
              <w:t xml:space="preserve">5.704.000 </w:t>
            </w:r>
          </w:p>
        </w:tc>
        <w:tc>
          <w:tcPr>
            <w:tcW w:w="1392" w:type="dxa"/>
            <w:noWrap/>
            <w:tcMar>
              <w:left w:w="57" w:type="dxa"/>
              <w:right w:w="57" w:type="dxa"/>
            </w:tcMar>
            <w:hideMark/>
          </w:tcPr>
          <w:p w:rsidRPr="00025D4C" w:rsidR="00FA7A8E" w:rsidP="00CB43DF" w:rsidRDefault="00FA7A8E" w14:paraId="2230AC61" w14:textId="77777777">
            <w:pPr>
              <w:pStyle w:val="broodtekst"/>
              <w:jc w:val="right"/>
            </w:pPr>
            <w:r w:rsidRPr="00025D4C">
              <w:t xml:space="preserve">4.185.000 </w:t>
            </w:r>
          </w:p>
        </w:tc>
        <w:tc>
          <w:tcPr>
            <w:tcW w:w="1381" w:type="dxa"/>
            <w:noWrap/>
            <w:tcMar>
              <w:left w:w="57" w:type="dxa"/>
              <w:right w:w="57" w:type="dxa"/>
            </w:tcMar>
            <w:hideMark/>
          </w:tcPr>
          <w:p w:rsidRPr="00025D4C" w:rsidR="00FA7A8E" w:rsidP="00CB43DF" w:rsidRDefault="00FA7A8E" w14:paraId="4051D0C4" w14:textId="77777777">
            <w:pPr>
              <w:pStyle w:val="broodtekst"/>
              <w:jc w:val="right"/>
            </w:pPr>
            <w:r w:rsidRPr="00025D4C">
              <w:t xml:space="preserve">47.077.000 </w:t>
            </w:r>
          </w:p>
        </w:tc>
        <w:tc>
          <w:tcPr>
            <w:tcW w:w="1349" w:type="dxa"/>
            <w:noWrap/>
            <w:tcMar>
              <w:left w:w="57" w:type="dxa"/>
              <w:right w:w="57" w:type="dxa"/>
            </w:tcMar>
            <w:hideMark/>
          </w:tcPr>
          <w:p w:rsidRPr="00025D4C" w:rsidR="00FA7A8E" w:rsidP="00CB43DF" w:rsidRDefault="00FA7A8E" w14:paraId="1DC2CCA4" w14:textId="77777777">
            <w:pPr>
              <w:pStyle w:val="broodtekst"/>
              <w:jc w:val="right"/>
            </w:pPr>
            <w:r w:rsidRPr="00025D4C">
              <w:t xml:space="preserve">3.862.000 </w:t>
            </w:r>
          </w:p>
        </w:tc>
        <w:tc>
          <w:tcPr>
            <w:tcW w:w="1237" w:type="dxa"/>
            <w:tcMar>
              <w:left w:w="57" w:type="dxa"/>
              <w:right w:w="57" w:type="dxa"/>
            </w:tcMar>
            <w:vAlign w:val="bottom"/>
          </w:tcPr>
          <w:p w:rsidRPr="00025D4C" w:rsidR="00FA7A8E" w:rsidP="00CB43DF" w:rsidRDefault="00FA7A8E" w14:paraId="55317676" w14:textId="77777777">
            <w:pPr>
              <w:pStyle w:val="broodtekst"/>
              <w:jc w:val="right"/>
            </w:pPr>
            <w:r w:rsidRPr="00025D4C">
              <w:rPr>
                <w:rFonts w:ascii="Calibri" w:hAnsi="Calibri" w:cs="Calibri"/>
                <w:b/>
                <w:bCs/>
                <w:color w:val="000000"/>
                <w:sz w:val="22"/>
                <w:szCs w:val="22"/>
              </w:rPr>
              <w:t xml:space="preserve">81.489.000 </w:t>
            </w:r>
          </w:p>
        </w:tc>
      </w:tr>
      <w:tr w:rsidRPr="00025D4C" w:rsidR="00FA7A8E" w:rsidTr="00CB43DF" w14:paraId="5A84C4F4" w14:textId="77777777">
        <w:trPr>
          <w:trHeight w:val="288"/>
        </w:trPr>
        <w:tc>
          <w:tcPr>
            <w:tcW w:w="705" w:type="dxa"/>
            <w:noWrap/>
            <w:tcMar>
              <w:left w:w="57" w:type="dxa"/>
              <w:right w:w="57" w:type="dxa"/>
            </w:tcMar>
            <w:hideMark/>
          </w:tcPr>
          <w:p w:rsidRPr="00025D4C" w:rsidR="00FA7A8E" w:rsidP="00CB43DF" w:rsidRDefault="00FA7A8E" w14:paraId="6E6BCA8C" w14:textId="77777777">
            <w:pPr>
              <w:pStyle w:val="broodtekst"/>
            </w:pPr>
            <w:r w:rsidRPr="00025D4C">
              <w:t>2021</w:t>
            </w:r>
          </w:p>
        </w:tc>
        <w:tc>
          <w:tcPr>
            <w:tcW w:w="1562" w:type="dxa"/>
            <w:noWrap/>
            <w:tcMar>
              <w:left w:w="57" w:type="dxa"/>
              <w:right w:w="57" w:type="dxa"/>
            </w:tcMar>
            <w:hideMark/>
          </w:tcPr>
          <w:p w:rsidRPr="00025D4C" w:rsidR="00FA7A8E" w:rsidP="00CB43DF" w:rsidRDefault="00FA7A8E" w14:paraId="38463F64" w14:textId="77777777">
            <w:pPr>
              <w:pStyle w:val="broodtekst"/>
              <w:jc w:val="right"/>
            </w:pPr>
            <w:r w:rsidRPr="00025D4C">
              <w:t xml:space="preserve">21.327.000 </w:t>
            </w:r>
          </w:p>
        </w:tc>
        <w:tc>
          <w:tcPr>
            <w:tcW w:w="1503" w:type="dxa"/>
            <w:noWrap/>
            <w:tcMar>
              <w:left w:w="57" w:type="dxa"/>
              <w:right w:w="57" w:type="dxa"/>
            </w:tcMar>
            <w:hideMark/>
          </w:tcPr>
          <w:p w:rsidRPr="00025D4C" w:rsidR="00FA7A8E" w:rsidP="00CB43DF" w:rsidRDefault="00FA7A8E" w14:paraId="79FAB3C5" w14:textId="77777777">
            <w:pPr>
              <w:pStyle w:val="broodtekst"/>
              <w:jc w:val="right"/>
            </w:pPr>
            <w:r w:rsidRPr="00025D4C">
              <w:t xml:space="preserve">5.793.000 </w:t>
            </w:r>
          </w:p>
        </w:tc>
        <w:tc>
          <w:tcPr>
            <w:tcW w:w="1392" w:type="dxa"/>
            <w:noWrap/>
            <w:tcMar>
              <w:left w:w="57" w:type="dxa"/>
              <w:right w:w="57" w:type="dxa"/>
            </w:tcMar>
            <w:hideMark/>
          </w:tcPr>
          <w:p w:rsidRPr="00025D4C" w:rsidR="00FA7A8E" w:rsidP="00CB43DF" w:rsidRDefault="00FA7A8E" w14:paraId="21CF819B" w14:textId="77777777">
            <w:pPr>
              <w:pStyle w:val="broodtekst"/>
              <w:jc w:val="right"/>
            </w:pPr>
            <w:r w:rsidRPr="00025D4C">
              <w:t xml:space="preserve">4.616.000 </w:t>
            </w:r>
          </w:p>
        </w:tc>
        <w:tc>
          <w:tcPr>
            <w:tcW w:w="1381" w:type="dxa"/>
            <w:noWrap/>
            <w:tcMar>
              <w:left w:w="57" w:type="dxa"/>
              <w:right w:w="57" w:type="dxa"/>
            </w:tcMar>
            <w:hideMark/>
          </w:tcPr>
          <w:p w:rsidRPr="00025D4C" w:rsidR="00FA7A8E" w:rsidP="00CB43DF" w:rsidRDefault="00FA7A8E" w14:paraId="30ABE6A9" w14:textId="77777777">
            <w:pPr>
              <w:pStyle w:val="broodtekst"/>
              <w:jc w:val="right"/>
            </w:pPr>
            <w:r w:rsidRPr="00025D4C">
              <w:t xml:space="preserve">52.089.000 </w:t>
            </w:r>
          </w:p>
        </w:tc>
        <w:tc>
          <w:tcPr>
            <w:tcW w:w="1349" w:type="dxa"/>
            <w:noWrap/>
            <w:tcMar>
              <w:left w:w="57" w:type="dxa"/>
              <w:right w:w="57" w:type="dxa"/>
            </w:tcMar>
            <w:hideMark/>
          </w:tcPr>
          <w:p w:rsidRPr="00025D4C" w:rsidR="00FA7A8E" w:rsidP="00CB43DF" w:rsidRDefault="00FA7A8E" w14:paraId="4DBCA295" w14:textId="77777777">
            <w:pPr>
              <w:pStyle w:val="broodtekst"/>
              <w:jc w:val="right"/>
            </w:pPr>
            <w:r w:rsidRPr="00025D4C">
              <w:t xml:space="preserve">4.406.000 </w:t>
            </w:r>
          </w:p>
        </w:tc>
        <w:tc>
          <w:tcPr>
            <w:tcW w:w="1237" w:type="dxa"/>
            <w:tcMar>
              <w:left w:w="57" w:type="dxa"/>
              <w:right w:w="57" w:type="dxa"/>
            </w:tcMar>
            <w:vAlign w:val="bottom"/>
          </w:tcPr>
          <w:p w:rsidRPr="00025D4C" w:rsidR="00FA7A8E" w:rsidP="00CB43DF" w:rsidRDefault="00FA7A8E" w14:paraId="58B60904" w14:textId="77777777">
            <w:pPr>
              <w:pStyle w:val="broodtekst"/>
              <w:jc w:val="right"/>
            </w:pPr>
            <w:r w:rsidRPr="00025D4C">
              <w:rPr>
                <w:rFonts w:ascii="Calibri" w:hAnsi="Calibri" w:cs="Calibri"/>
                <w:b/>
                <w:bCs/>
                <w:color w:val="000000"/>
                <w:sz w:val="22"/>
                <w:szCs w:val="22"/>
              </w:rPr>
              <w:t xml:space="preserve">88.231.000 </w:t>
            </w:r>
          </w:p>
        </w:tc>
      </w:tr>
      <w:tr w:rsidRPr="00025D4C" w:rsidR="00FA7A8E" w:rsidTr="00CB43DF" w14:paraId="1368A76E" w14:textId="77777777">
        <w:trPr>
          <w:trHeight w:val="288"/>
        </w:trPr>
        <w:tc>
          <w:tcPr>
            <w:tcW w:w="705" w:type="dxa"/>
            <w:noWrap/>
            <w:tcMar>
              <w:left w:w="57" w:type="dxa"/>
              <w:right w:w="57" w:type="dxa"/>
            </w:tcMar>
            <w:hideMark/>
          </w:tcPr>
          <w:p w:rsidRPr="00025D4C" w:rsidR="00FA7A8E" w:rsidP="00CB43DF" w:rsidRDefault="00FA7A8E" w14:paraId="3284B110" w14:textId="77777777">
            <w:pPr>
              <w:pStyle w:val="broodtekst"/>
            </w:pPr>
            <w:r w:rsidRPr="00025D4C">
              <w:t>2022</w:t>
            </w:r>
          </w:p>
        </w:tc>
        <w:tc>
          <w:tcPr>
            <w:tcW w:w="1562" w:type="dxa"/>
            <w:noWrap/>
            <w:tcMar>
              <w:left w:w="57" w:type="dxa"/>
              <w:right w:w="57" w:type="dxa"/>
            </w:tcMar>
            <w:hideMark/>
          </w:tcPr>
          <w:p w:rsidRPr="00025D4C" w:rsidR="00FA7A8E" w:rsidP="00CB43DF" w:rsidRDefault="00FA7A8E" w14:paraId="27898649" w14:textId="77777777">
            <w:pPr>
              <w:pStyle w:val="broodtekst"/>
              <w:jc w:val="right"/>
            </w:pPr>
            <w:r w:rsidRPr="00025D4C">
              <w:t xml:space="preserve">29.429.000 </w:t>
            </w:r>
          </w:p>
        </w:tc>
        <w:tc>
          <w:tcPr>
            <w:tcW w:w="1503" w:type="dxa"/>
            <w:noWrap/>
            <w:tcMar>
              <w:left w:w="57" w:type="dxa"/>
              <w:right w:w="57" w:type="dxa"/>
            </w:tcMar>
            <w:hideMark/>
          </w:tcPr>
          <w:p w:rsidRPr="00025D4C" w:rsidR="00FA7A8E" w:rsidP="00CB43DF" w:rsidRDefault="00FA7A8E" w14:paraId="61F15F55" w14:textId="77777777">
            <w:pPr>
              <w:pStyle w:val="broodtekst"/>
              <w:jc w:val="right"/>
            </w:pPr>
            <w:r w:rsidRPr="00025D4C">
              <w:t xml:space="preserve">5.887.000 </w:t>
            </w:r>
          </w:p>
        </w:tc>
        <w:tc>
          <w:tcPr>
            <w:tcW w:w="1392" w:type="dxa"/>
            <w:noWrap/>
            <w:tcMar>
              <w:left w:w="57" w:type="dxa"/>
              <w:right w:w="57" w:type="dxa"/>
            </w:tcMar>
            <w:hideMark/>
          </w:tcPr>
          <w:p w:rsidRPr="00025D4C" w:rsidR="00FA7A8E" w:rsidP="00CB43DF" w:rsidRDefault="00FA7A8E" w14:paraId="03E31E4B" w14:textId="77777777">
            <w:pPr>
              <w:pStyle w:val="broodtekst"/>
              <w:jc w:val="right"/>
            </w:pPr>
            <w:r w:rsidRPr="00025D4C">
              <w:t xml:space="preserve">5.442.000 </w:t>
            </w:r>
          </w:p>
        </w:tc>
        <w:tc>
          <w:tcPr>
            <w:tcW w:w="1381" w:type="dxa"/>
            <w:noWrap/>
            <w:tcMar>
              <w:left w:w="57" w:type="dxa"/>
              <w:right w:w="57" w:type="dxa"/>
            </w:tcMar>
            <w:hideMark/>
          </w:tcPr>
          <w:p w:rsidRPr="00025D4C" w:rsidR="00FA7A8E" w:rsidP="00CB43DF" w:rsidRDefault="00FA7A8E" w14:paraId="3B0DD1A1" w14:textId="77777777">
            <w:pPr>
              <w:pStyle w:val="broodtekst"/>
              <w:jc w:val="right"/>
            </w:pPr>
            <w:r w:rsidRPr="00025D4C">
              <w:t xml:space="preserve">61.246.000 </w:t>
            </w:r>
          </w:p>
        </w:tc>
        <w:tc>
          <w:tcPr>
            <w:tcW w:w="1349" w:type="dxa"/>
            <w:noWrap/>
            <w:tcMar>
              <w:left w:w="57" w:type="dxa"/>
              <w:right w:w="57" w:type="dxa"/>
            </w:tcMar>
            <w:hideMark/>
          </w:tcPr>
          <w:p w:rsidRPr="00025D4C" w:rsidR="00FA7A8E" w:rsidP="00CB43DF" w:rsidRDefault="00FA7A8E" w14:paraId="1C2FD1AD" w14:textId="77777777">
            <w:pPr>
              <w:pStyle w:val="broodtekst"/>
              <w:jc w:val="right"/>
            </w:pPr>
            <w:r w:rsidRPr="00025D4C">
              <w:t xml:space="preserve">5.217.000 </w:t>
            </w:r>
          </w:p>
        </w:tc>
        <w:tc>
          <w:tcPr>
            <w:tcW w:w="1237" w:type="dxa"/>
            <w:tcMar>
              <w:left w:w="57" w:type="dxa"/>
              <w:right w:w="57" w:type="dxa"/>
            </w:tcMar>
            <w:vAlign w:val="bottom"/>
          </w:tcPr>
          <w:p w:rsidRPr="00025D4C" w:rsidR="00FA7A8E" w:rsidP="00CB43DF" w:rsidRDefault="00FA7A8E" w14:paraId="718B988F" w14:textId="77777777">
            <w:pPr>
              <w:pStyle w:val="broodtekst"/>
              <w:jc w:val="right"/>
            </w:pPr>
            <w:r w:rsidRPr="00025D4C">
              <w:rPr>
                <w:rFonts w:ascii="Calibri" w:hAnsi="Calibri" w:cs="Calibri"/>
                <w:b/>
                <w:bCs/>
                <w:color w:val="000000"/>
                <w:sz w:val="22"/>
                <w:szCs w:val="22"/>
              </w:rPr>
              <w:t xml:space="preserve">107.223.000 </w:t>
            </w:r>
          </w:p>
        </w:tc>
      </w:tr>
      <w:tr w:rsidRPr="00025D4C" w:rsidR="00FA7A8E" w:rsidTr="00CB43DF" w14:paraId="09C66D85" w14:textId="77777777">
        <w:trPr>
          <w:trHeight w:val="288"/>
        </w:trPr>
        <w:tc>
          <w:tcPr>
            <w:tcW w:w="705" w:type="dxa"/>
            <w:noWrap/>
            <w:tcMar>
              <w:left w:w="57" w:type="dxa"/>
              <w:right w:w="57" w:type="dxa"/>
            </w:tcMar>
            <w:hideMark/>
          </w:tcPr>
          <w:p w:rsidRPr="00025D4C" w:rsidR="00FA7A8E" w:rsidP="00CB43DF" w:rsidRDefault="00FA7A8E" w14:paraId="30EBD5A4" w14:textId="77777777">
            <w:pPr>
              <w:pStyle w:val="broodtekst"/>
            </w:pPr>
            <w:r w:rsidRPr="00025D4C">
              <w:t>2023</w:t>
            </w:r>
          </w:p>
        </w:tc>
        <w:tc>
          <w:tcPr>
            <w:tcW w:w="1562" w:type="dxa"/>
            <w:noWrap/>
            <w:tcMar>
              <w:left w:w="57" w:type="dxa"/>
              <w:right w:w="57" w:type="dxa"/>
            </w:tcMar>
            <w:hideMark/>
          </w:tcPr>
          <w:p w:rsidRPr="00025D4C" w:rsidR="00FA7A8E" w:rsidP="00CB43DF" w:rsidRDefault="00FA7A8E" w14:paraId="626FD4A2" w14:textId="77777777">
            <w:pPr>
              <w:pStyle w:val="broodtekst"/>
              <w:jc w:val="right"/>
            </w:pPr>
            <w:r w:rsidRPr="00025D4C">
              <w:t xml:space="preserve">31.637.000 </w:t>
            </w:r>
          </w:p>
        </w:tc>
        <w:tc>
          <w:tcPr>
            <w:tcW w:w="1503" w:type="dxa"/>
            <w:noWrap/>
            <w:tcMar>
              <w:left w:w="57" w:type="dxa"/>
              <w:right w:w="57" w:type="dxa"/>
            </w:tcMar>
            <w:hideMark/>
          </w:tcPr>
          <w:p w:rsidRPr="00025D4C" w:rsidR="00FA7A8E" w:rsidP="00CB43DF" w:rsidRDefault="00FA7A8E" w14:paraId="773D45CE" w14:textId="77777777">
            <w:pPr>
              <w:pStyle w:val="broodtekst"/>
              <w:jc w:val="right"/>
            </w:pPr>
            <w:r w:rsidRPr="00025D4C">
              <w:t xml:space="preserve">5.969.000 </w:t>
            </w:r>
          </w:p>
        </w:tc>
        <w:tc>
          <w:tcPr>
            <w:tcW w:w="1392" w:type="dxa"/>
            <w:noWrap/>
            <w:tcMar>
              <w:left w:w="57" w:type="dxa"/>
              <w:right w:w="57" w:type="dxa"/>
            </w:tcMar>
            <w:hideMark/>
          </w:tcPr>
          <w:p w:rsidRPr="00025D4C" w:rsidR="00FA7A8E" w:rsidP="00CB43DF" w:rsidRDefault="00FA7A8E" w14:paraId="04ABF2D1" w14:textId="77777777">
            <w:pPr>
              <w:pStyle w:val="broodtekst"/>
              <w:jc w:val="right"/>
            </w:pPr>
            <w:r w:rsidRPr="00025D4C">
              <w:t xml:space="preserve">6.858.000 </w:t>
            </w:r>
          </w:p>
        </w:tc>
        <w:tc>
          <w:tcPr>
            <w:tcW w:w="1381" w:type="dxa"/>
            <w:noWrap/>
            <w:tcMar>
              <w:left w:w="57" w:type="dxa"/>
              <w:right w:w="57" w:type="dxa"/>
            </w:tcMar>
            <w:hideMark/>
          </w:tcPr>
          <w:p w:rsidRPr="00025D4C" w:rsidR="00FA7A8E" w:rsidP="00CB43DF" w:rsidRDefault="00FA7A8E" w14:paraId="538EDC85" w14:textId="77777777">
            <w:pPr>
              <w:pStyle w:val="broodtekst"/>
              <w:jc w:val="right"/>
            </w:pPr>
            <w:r w:rsidRPr="00025D4C">
              <w:t xml:space="preserve">67.001.000 </w:t>
            </w:r>
          </w:p>
        </w:tc>
        <w:tc>
          <w:tcPr>
            <w:tcW w:w="1349" w:type="dxa"/>
            <w:noWrap/>
            <w:tcMar>
              <w:left w:w="57" w:type="dxa"/>
              <w:right w:w="57" w:type="dxa"/>
            </w:tcMar>
            <w:hideMark/>
          </w:tcPr>
          <w:p w:rsidRPr="00025D4C" w:rsidR="00FA7A8E" w:rsidP="00CB43DF" w:rsidRDefault="00FA7A8E" w14:paraId="2AAEB4AE" w14:textId="77777777">
            <w:pPr>
              <w:pStyle w:val="broodtekst"/>
              <w:jc w:val="right"/>
            </w:pPr>
            <w:r w:rsidRPr="00025D4C">
              <w:t xml:space="preserve">5.755.000 </w:t>
            </w:r>
          </w:p>
        </w:tc>
        <w:tc>
          <w:tcPr>
            <w:tcW w:w="1237" w:type="dxa"/>
            <w:tcMar>
              <w:left w:w="57" w:type="dxa"/>
              <w:right w:w="57" w:type="dxa"/>
            </w:tcMar>
            <w:vAlign w:val="bottom"/>
          </w:tcPr>
          <w:p w:rsidRPr="00025D4C" w:rsidR="00FA7A8E" w:rsidP="00CB43DF" w:rsidRDefault="00FA7A8E" w14:paraId="0B56534D" w14:textId="77777777">
            <w:pPr>
              <w:pStyle w:val="broodtekst"/>
              <w:jc w:val="right"/>
            </w:pPr>
            <w:r w:rsidRPr="00025D4C">
              <w:rPr>
                <w:rFonts w:ascii="Calibri" w:hAnsi="Calibri" w:cs="Calibri"/>
                <w:b/>
                <w:bCs/>
                <w:color w:val="000000"/>
                <w:sz w:val="22"/>
                <w:szCs w:val="22"/>
              </w:rPr>
              <w:t xml:space="preserve">117.221.000 </w:t>
            </w:r>
          </w:p>
        </w:tc>
      </w:tr>
      <w:tr w:rsidRPr="00025D4C" w:rsidR="00FA7A8E" w:rsidTr="00CB43DF" w14:paraId="55749649" w14:textId="77777777">
        <w:trPr>
          <w:trHeight w:val="288"/>
        </w:trPr>
        <w:tc>
          <w:tcPr>
            <w:tcW w:w="705" w:type="dxa"/>
            <w:noWrap/>
            <w:tcMar>
              <w:left w:w="57" w:type="dxa"/>
              <w:right w:w="57" w:type="dxa"/>
            </w:tcMar>
            <w:hideMark/>
          </w:tcPr>
          <w:p w:rsidRPr="00025D4C" w:rsidR="00FA7A8E" w:rsidP="00CB43DF" w:rsidRDefault="00FA7A8E" w14:paraId="1C6431CE" w14:textId="77777777">
            <w:pPr>
              <w:pStyle w:val="broodtekst"/>
            </w:pPr>
            <w:r w:rsidRPr="00025D4C">
              <w:t>2024</w:t>
            </w:r>
          </w:p>
        </w:tc>
        <w:tc>
          <w:tcPr>
            <w:tcW w:w="1562" w:type="dxa"/>
            <w:noWrap/>
            <w:tcMar>
              <w:left w:w="57" w:type="dxa"/>
              <w:right w:w="57" w:type="dxa"/>
            </w:tcMar>
            <w:hideMark/>
          </w:tcPr>
          <w:p w:rsidRPr="00025D4C" w:rsidR="00FA7A8E" w:rsidP="00CB43DF" w:rsidRDefault="00FA7A8E" w14:paraId="4AD75EF0" w14:textId="77777777">
            <w:pPr>
              <w:pStyle w:val="broodtekst"/>
              <w:jc w:val="right"/>
            </w:pPr>
            <w:r w:rsidRPr="00025D4C">
              <w:t xml:space="preserve">30.958.000 </w:t>
            </w:r>
          </w:p>
        </w:tc>
        <w:tc>
          <w:tcPr>
            <w:tcW w:w="1503" w:type="dxa"/>
            <w:noWrap/>
            <w:tcMar>
              <w:left w:w="57" w:type="dxa"/>
              <w:right w:w="57" w:type="dxa"/>
            </w:tcMar>
            <w:hideMark/>
          </w:tcPr>
          <w:p w:rsidRPr="00025D4C" w:rsidR="00FA7A8E" w:rsidP="00CB43DF" w:rsidRDefault="00FA7A8E" w14:paraId="4361F262" w14:textId="77777777">
            <w:pPr>
              <w:pStyle w:val="broodtekst"/>
              <w:jc w:val="right"/>
            </w:pPr>
            <w:r w:rsidRPr="00025D4C">
              <w:t xml:space="preserve">5.914.000 </w:t>
            </w:r>
          </w:p>
        </w:tc>
        <w:tc>
          <w:tcPr>
            <w:tcW w:w="1392" w:type="dxa"/>
            <w:noWrap/>
            <w:tcMar>
              <w:left w:w="57" w:type="dxa"/>
              <w:right w:w="57" w:type="dxa"/>
            </w:tcMar>
            <w:hideMark/>
          </w:tcPr>
          <w:p w:rsidRPr="00025D4C" w:rsidR="00FA7A8E" w:rsidP="00CB43DF" w:rsidRDefault="00FA7A8E" w14:paraId="1F9C613C" w14:textId="77777777">
            <w:pPr>
              <w:pStyle w:val="broodtekst"/>
              <w:jc w:val="right"/>
            </w:pPr>
            <w:r w:rsidRPr="00025D4C">
              <w:t xml:space="preserve">8.353.000 </w:t>
            </w:r>
          </w:p>
        </w:tc>
        <w:tc>
          <w:tcPr>
            <w:tcW w:w="1381" w:type="dxa"/>
            <w:noWrap/>
            <w:tcMar>
              <w:left w:w="57" w:type="dxa"/>
              <w:right w:w="57" w:type="dxa"/>
            </w:tcMar>
            <w:hideMark/>
          </w:tcPr>
          <w:p w:rsidRPr="00025D4C" w:rsidR="00FA7A8E" w:rsidP="00CB43DF" w:rsidRDefault="00FA7A8E" w14:paraId="4D4B0726" w14:textId="77777777">
            <w:pPr>
              <w:pStyle w:val="broodtekst"/>
              <w:jc w:val="right"/>
            </w:pPr>
            <w:r w:rsidRPr="00025D4C">
              <w:t xml:space="preserve">73.509.000 </w:t>
            </w:r>
          </w:p>
        </w:tc>
        <w:tc>
          <w:tcPr>
            <w:tcW w:w="1349" w:type="dxa"/>
            <w:noWrap/>
            <w:tcMar>
              <w:left w:w="57" w:type="dxa"/>
              <w:right w:w="57" w:type="dxa"/>
            </w:tcMar>
            <w:hideMark/>
          </w:tcPr>
          <w:p w:rsidRPr="00025D4C" w:rsidR="00FA7A8E" w:rsidP="00CB43DF" w:rsidRDefault="00FA7A8E" w14:paraId="525E1A2A" w14:textId="77777777">
            <w:pPr>
              <w:pStyle w:val="broodtekst"/>
              <w:jc w:val="right"/>
            </w:pPr>
            <w:r w:rsidRPr="00025D4C">
              <w:t xml:space="preserve">5.875.000 </w:t>
            </w:r>
          </w:p>
        </w:tc>
        <w:tc>
          <w:tcPr>
            <w:tcW w:w="1237" w:type="dxa"/>
            <w:tcMar>
              <w:left w:w="57" w:type="dxa"/>
              <w:right w:w="57" w:type="dxa"/>
            </w:tcMar>
            <w:vAlign w:val="bottom"/>
          </w:tcPr>
          <w:p w:rsidRPr="00025D4C" w:rsidR="00FA7A8E" w:rsidP="00CB43DF" w:rsidRDefault="00FA7A8E" w14:paraId="7F1EA388" w14:textId="77777777">
            <w:pPr>
              <w:pStyle w:val="broodtekst"/>
              <w:jc w:val="right"/>
            </w:pPr>
            <w:r w:rsidRPr="00025D4C">
              <w:rPr>
                <w:rFonts w:ascii="Calibri" w:hAnsi="Calibri" w:cs="Calibri"/>
                <w:b/>
                <w:bCs/>
                <w:color w:val="000000"/>
                <w:sz w:val="22"/>
                <w:szCs w:val="22"/>
              </w:rPr>
              <w:t xml:space="preserve">124.610.000 </w:t>
            </w:r>
          </w:p>
        </w:tc>
      </w:tr>
      <w:tr w:rsidRPr="00025D4C" w:rsidR="00FA7A8E" w:rsidTr="00CB43DF" w14:paraId="205D2D0D" w14:textId="77777777">
        <w:trPr>
          <w:trHeight w:val="288"/>
        </w:trPr>
        <w:tc>
          <w:tcPr>
            <w:tcW w:w="705" w:type="dxa"/>
            <w:noWrap/>
            <w:tcMar>
              <w:left w:w="57" w:type="dxa"/>
              <w:right w:w="57" w:type="dxa"/>
            </w:tcMar>
            <w:hideMark/>
          </w:tcPr>
          <w:p w:rsidRPr="00025D4C" w:rsidR="00FA7A8E" w:rsidP="00CB43DF" w:rsidRDefault="00FA7A8E" w14:paraId="74B64E5A" w14:textId="77777777">
            <w:pPr>
              <w:pStyle w:val="broodtekst"/>
            </w:pPr>
            <w:r w:rsidRPr="00025D4C">
              <w:t xml:space="preserve">Mid-2025 </w:t>
            </w:r>
          </w:p>
        </w:tc>
        <w:tc>
          <w:tcPr>
            <w:tcW w:w="1562" w:type="dxa"/>
            <w:noWrap/>
            <w:tcMar>
              <w:left w:w="57" w:type="dxa"/>
              <w:right w:w="57" w:type="dxa"/>
            </w:tcMar>
            <w:hideMark/>
          </w:tcPr>
          <w:p w:rsidRPr="00025D4C" w:rsidR="00FA7A8E" w:rsidP="00CB43DF" w:rsidRDefault="00FA7A8E" w14:paraId="10E8B8C0" w14:textId="77777777">
            <w:pPr>
              <w:pStyle w:val="broodtekst"/>
              <w:jc w:val="right"/>
            </w:pPr>
            <w:r w:rsidRPr="00025D4C">
              <w:t xml:space="preserve">30.491.000 </w:t>
            </w:r>
          </w:p>
        </w:tc>
        <w:tc>
          <w:tcPr>
            <w:tcW w:w="1503" w:type="dxa"/>
            <w:noWrap/>
            <w:tcMar>
              <w:left w:w="57" w:type="dxa"/>
              <w:right w:w="57" w:type="dxa"/>
            </w:tcMar>
            <w:hideMark/>
          </w:tcPr>
          <w:p w:rsidRPr="00025D4C" w:rsidR="00FA7A8E" w:rsidP="00CB43DF" w:rsidRDefault="00FA7A8E" w14:paraId="4B046083" w14:textId="77777777">
            <w:pPr>
              <w:pStyle w:val="broodtekst"/>
              <w:jc w:val="right"/>
            </w:pPr>
            <w:r w:rsidRPr="00025D4C">
              <w:t xml:space="preserve">5.914.000 </w:t>
            </w:r>
          </w:p>
        </w:tc>
        <w:tc>
          <w:tcPr>
            <w:tcW w:w="1392" w:type="dxa"/>
            <w:noWrap/>
            <w:tcMar>
              <w:left w:w="57" w:type="dxa"/>
              <w:right w:w="57" w:type="dxa"/>
            </w:tcMar>
            <w:hideMark/>
          </w:tcPr>
          <w:p w:rsidRPr="00025D4C" w:rsidR="00FA7A8E" w:rsidP="00CB43DF" w:rsidRDefault="00FA7A8E" w14:paraId="01F7555D" w14:textId="77777777">
            <w:pPr>
              <w:pStyle w:val="broodtekst"/>
              <w:jc w:val="right"/>
            </w:pPr>
            <w:r w:rsidRPr="00025D4C">
              <w:t xml:space="preserve">8.415.000 </w:t>
            </w:r>
          </w:p>
        </w:tc>
        <w:tc>
          <w:tcPr>
            <w:tcW w:w="1381" w:type="dxa"/>
            <w:noWrap/>
            <w:tcMar>
              <w:left w:w="57" w:type="dxa"/>
              <w:right w:w="57" w:type="dxa"/>
            </w:tcMar>
            <w:hideMark/>
          </w:tcPr>
          <w:p w:rsidRPr="00025D4C" w:rsidR="00FA7A8E" w:rsidP="00CB43DF" w:rsidRDefault="00FA7A8E" w14:paraId="0892871D" w14:textId="77777777">
            <w:pPr>
              <w:jc w:val="right"/>
            </w:pPr>
            <w:r w:rsidRPr="00025D4C">
              <w:rPr>
                <w:rFonts w:ascii="Calibri" w:hAnsi="Calibri" w:cs="Calibri"/>
                <w:color w:val="000000"/>
              </w:rPr>
              <w:t>67.796.000</w:t>
            </w:r>
          </w:p>
        </w:tc>
        <w:tc>
          <w:tcPr>
            <w:tcW w:w="1349" w:type="dxa"/>
            <w:noWrap/>
            <w:tcMar>
              <w:left w:w="57" w:type="dxa"/>
              <w:right w:w="57" w:type="dxa"/>
            </w:tcMar>
            <w:hideMark/>
          </w:tcPr>
          <w:p w:rsidRPr="00025D4C" w:rsidR="00FA7A8E" w:rsidP="00CB43DF" w:rsidRDefault="00FA7A8E" w14:paraId="78560B19" w14:textId="77777777">
            <w:pPr>
              <w:pStyle w:val="broodtekst"/>
              <w:jc w:val="right"/>
            </w:pPr>
            <w:r w:rsidRPr="00025D4C">
              <w:t xml:space="preserve">6.064.000 </w:t>
            </w:r>
          </w:p>
        </w:tc>
        <w:tc>
          <w:tcPr>
            <w:tcW w:w="1237" w:type="dxa"/>
            <w:tcMar>
              <w:left w:w="57" w:type="dxa"/>
              <w:right w:w="57" w:type="dxa"/>
            </w:tcMar>
            <w:vAlign w:val="bottom"/>
          </w:tcPr>
          <w:p w:rsidRPr="00025D4C" w:rsidR="00FA7A8E" w:rsidP="00CB43DF" w:rsidRDefault="00FA7A8E" w14:paraId="17F4AB52" w14:textId="77777777">
            <w:pPr>
              <w:pStyle w:val="broodtekst"/>
              <w:jc w:val="right"/>
            </w:pPr>
            <w:r w:rsidRPr="00025D4C">
              <w:rPr>
                <w:rFonts w:ascii="Calibri" w:hAnsi="Calibri" w:cs="Calibri"/>
                <w:b/>
                <w:bCs/>
                <w:color w:val="000000"/>
                <w:sz w:val="22"/>
                <w:szCs w:val="22"/>
              </w:rPr>
              <w:t xml:space="preserve">118.680.000 </w:t>
            </w:r>
          </w:p>
        </w:tc>
      </w:tr>
    </w:tbl>
    <w:p w:rsidRPr="00025D4C" w:rsidR="00404036" w:rsidP="00DE767A" w:rsidRDefault="00FA7A8E" w14:paraId="5ADB8887" w14:textId="77777777">
      <w:pPr>
        <w:rPr>
          <w:rFonts w:ascii="Verdana" w:hAnsi="Verdana" w:eastAsia="Times New Roman"/>
          <w:b/>
          <w:bCs/>
          <w:sz w:val="18"/>
          <w:szCs w:val="18"/>
        </w:rPr>
      </w:pPr>
      <w:r w:rsidRPr="00025D4C">
        <w:rPr>
          <w:rFonts w:ascii="Verdana" w:hAnsi="Verdana" w:eastAsia="Times New Roman"/>
          <w:sz w:val="18"/>
          <w:szCs w:val="18"/>
        </w:rPr>
        <w:t>Bron: UNHCR en IDMC, afgerond op duizendtallen, geraadpleegd op 9 december 2025</w:t>
      </w:r>
      <w:r w:rsidRPr="00025D4C" w:rsidR="00C450C8">
        <w:rPr>
          <w:rFonts w:ascii="Verdana" w:hAnsi="Verdana" w:eastAsia="Times New Roman"/>
          <w:sz w:val="18"/>
          <w:szCs w:val="18"/>
        </w:rPr>
        <w:br/>
      </w:r>
      <w:r w:rsidRPr="00025D4C" w:rsidR="00C450C8">
        <w:rPr>
          <w:rFonts w:ascii="Verdana" w:hAnsi="Verdana" w:eastAsia="Times New Roman"/>
          <w:sz w:val="18"/>
          <w:szCs w:val="18"/>
        </w:rPr>
        <w:br/>
      </w:r>
      <w:r w:rsidRPr="00025D4C" w:rsidR="00C450C8">
        <w:rPr>
          <w:rFonts w:ascii="Verdana" w:hAnsi="Verdana" w:eastAsia="Times New Roman"/>
          <w:b/>
          <w:bCs/>
          <w:sz w:val="18"/>
          <w:szCs w:val="18"/>
        </w:rPr>
        <w:t>Vraag (13):</w:t>
      </w:r>
      <w:r w:rsidRPr="00025D4C" w:rsidR="00C450C8">
        <w:rPr>
          <w:rFonts w:ascii="Verdana" w:hAnsi="Verdana" w:eastAsia="Times New Roman"/>
          <w:sz w:val="18"/>
          <w:szCs w:val="18"/>
        </w:rPr>
        <w:br/>
        <w:t>Kunt u toelichten waarom de Meerjaren Productie Prognose (MPP) lager is dan geraamd?</w:t>
      </w:r>
      <w:r w:rsidRPr="00025D4C" w:rsidR="00C450C8">
        <w:rPr>
          <w:rFonts w:ascii="Verdana" w:hAnsi="Verdana" w:eastAsia="Times New Roman"/>
          <w:sz w:val="18"/>
          <w:szCs w:val="18"/>
        </w:rPr>
        <w:br/>
      </w:r>
      <w:r w:rsidRPr="00025D4C" w:rsidR="00C450C8">
        <w:rPr>
          <w:rFonts w:ascii="Verdana" w:hAnsi="Verdana" w:eastAsia="Times New Roman"/>
          <w:sz w:val="18"/>
          <w:szCs w:val="18"/>
        </w:rPr>
        <w:br/>
      </w:r>
      <w:r w:rsidRPr="00025D4C" w:rsidR="00C450C8">
        <w:rPr>
          <w:rFonts w:ascii="Verdana" w:hAnsi="Verdana" w:eastAsia="Times New Roman"/>
          <w:b/>
          <w:bCs/>
          <w:sz w:val="18"/>
          <w:szCs w:val="18"/>
        </w:rPr>
        <w:t>Antwoord:</w:t>
      </w:r>
      <w:r w:rsidRPr="00025D4C" w:rsidR="00C450C8">
        <w:rPr>
          <w:rFonts w:ascii="Verdana" w:hAnsi="Verdana" w:eastAsia="Times New Roman"/>
          <w:sz w:val="18"/>
          <w:szCs w:val="18"/>
        </w:rPr>
        <w:br/>
        <w:t xml:space="preserve">De Meerjaren Productie Prognose (MPP) is een periodiek overzicht van prognoses voor de migratieketen. Inherent aan een prognose is dat deze aan vele externe en interne factoren onderhevig is en daardoor complex is, zeker bij een volatiel onderwerp als migratie. Om die reden wordt er in de MPP gewerkt met bandbreedtes en wordt de </w:t>
      </w:r>
      <w:proofErr w:type="gramStart"/>
      <w:r w:rsidRPr="00025D4C" w:rsidR="00C450C8">
        <w:rPr>
          <w:rFonts w:ascii="Verdana" w:hAnsi="Verdana" w:eastAsia="Times New Roman"/>
          <w:sz w:val="18"/>
          <w:szCs w:val="18"/>
        </w:rPr>
        <w:t>MPP periodiek</w:t>
      </w:r>
      <w:proofErr w:type="gramEnd"/>
      <w:r w:rsidRPr="00025D4C" w:rsidR="00C450C8">
        <w:rPr>
          <w:rFonts w:ascii="Verdana" w:hAnsi="Verdana" w:eastAsia="Times New Roman"/>
          <w:sz w:val="18"/>
          <w:szCs w:val="18"/>
        </w:rPr>
        <w:t xml:space="preserve"> herijkt op basis van de inzichten, onzekerheden en aannames die op dat moment van kracht zijn.</w:t>
      </w:r>
      <w:r w:rsidRPr="00025D4C" w:rsidR="00C450C8">
        <w:rPr>
          <w:rFonts w:ascii="Verdana" w:hAnsi="Verdana" w:eastAsia="Times New Roman"/>
          <w:sz w:val="18"/>
          <w:szCs w:val="18"/>
        </w:rPr>
        <w:br/>
      </w:r>
      <w:r w:rsidRPr="00025D4C" w:rsidR="00C450C8">
        <w:rPr>
          <w:rFonts w:ascii="Verdana" w:hAnsi="Verdana" w:eastAsia="Times New Roman"/>
          <w:sz w:val="18"/>
          <w:szCs w:val="18"/>
        </w:rPr>
        <w:br/>
        <w:t>De asielinstroom in Nederland en de EU is in 2025 lager dan in de voorgaande jaren. De daling in de asielinstroom in Nederland komt met name door de Syrische machtswisseling. De Syrische instroom heeft de afgelopen jaren een significant deel gevormd van de instroom in Nederland.</w:t>
      </w:r>
      <w:r w:rsidRPr="00025D4C" w:rsidR="00C450C8">
        <w:rPr>
          <w:rFonts w:ascii="Verdana" w:hAnsi="Verdana" w:eastAsia="Times New Roman"/>
          <w:sz w:val="18"/>
          <w:szCs w:val="18"/>
        </w:rPr>
        <w:br/>
      </w:r>
      <w:r w:rsidRPr="00025D4C" w:rsidR="00C450C8">
        <w:rPr>
          <w:rFonts w:ascii="Verdana" w:hAnsi="Verdana" w:eastAsia="Times New Roman"/>
          <w:sz w:val="18"/>
          <w:szCs w:val="18"/>
        </w:rPr>
        <w:br/>
      </w:r>
      <w:r w:rsidRPr="00025D4C" w:rsidR="00C450C8">
        <w:rPr>
          <w:rFonts w:ascii="Verdana" w:hAnsi="Verdana" w:eastAsia="Times New Roman"/>
          <w:b/>
          <w:bCs/>
          <w:sz w:val="18"/>
          <w:szCs w:val="18"/>
        </w:rPr>
        <w:t>Vraag (14):</w:t>
      </w:r>
      <w:r w:rsidRPr="00025D4C" w:rsidR="00C450C8">
        <w:rPr>
          <w:rFonts w:ascii="Verdana" w:hAnsi="Verdana" w:eastAsia="Times New Roman"/>
          <w:sz w:val="18"/>
          <w:szCs w:val="18"/>
        </w:rPr>
        <w:br/>
        <w:t>Waarom zijn de werkelijke kosten per asielaanvraag bij de IND hoger dan verwacht?</w:t>
      </w:r>
      <w:r w:rsidRPr="00025D4C" w:rsidR="00C450C8">
        <w:rPr>
          <w:rFonts w:ascii="Verdana" w:hAnsi="Verdana" w:eastAsia="Times New Roman"/>
          <w:sz w:val="18"/>
          <w:szCs w:val="18"/>
        </w:rPr>
        <w:br/>
      </w:r>
      <w:r w:rsidRPr="00025D4C" w:rsidR="00C450C8">
        <w:rPr>
          <w:rFonts w:ascii="Verdana" w:hAnsi="Verdana" w:eastAsia="Times New Roman"/>
          <w:sz w:val="18"/>
          <w:szCs w:val="18"/>
        </w:rPr>
        <w:br/>
      </w:r>
      <w:r w:rsidRPr="00025D4C" w:rsidR="00C450C8">
        <w:rPr>
          <w:rFonts w:ascii="Verdana" w:hAnsi="Verdana" w:eastAsia="Times New Roman"/>
          <w:b/>
          <w:bCs/>
          <w:sz w:val="18"/>
          <w:szCs w:val="18"/>
        </w:rPr>
        <w:t>Antwoord:</w:t>
      </w:r>
      <w:r w:rsidRPr="00025D4C" w:rsidR="00C450C8">
        <w:rPr>
          <w:rFonts w:ascii="Verdana" w:hAnsi="Verdana" w:eastAsia="Times New Roman"/>
          <w:sz w:val="18"/>
          <w:szCs w:val="18"/>
        </w:rPr>
        <w:br/>
        <w:t xml:space="preserve">Door het besluit- en vertrek </w:t>
      </w:r>
      <w:proofErr w:type="spellStart"/>
      <w:r w:rsidRPr="00025D4C" w:rsidR="00C450C8">
        <w:rPr>
          <w:rFonts w:ascii="Verdana" w:hAnsi="Verdana" w:eastAsia="Times New Roman"/>
          <w:sz w:val="18"/>
          <w:szCs w:val="18"/>
        </w:rPr>
        <w:t>moriatorium</w:t>
      </w:r>
      <w:proofErr w:type="spellEnd"/>
      <w:r w:rsidRPr="00025D4C" w:rsidR="00C450C8">
        <w:rPr>
          <w:rFonts w:ascii="Verdana" w:hAnsi="Verdana" w:eastAsia="Times New Roman"/>
          <w:sz w:val="18"/>
          <w:szCs w:val="18"/>
        </w:rPr>
        <w:t xml:space="preserve"> Syrië en de daaropvolgende aanpassing van het </w:t>
      </w:r>
      <w:r w:rsidRPr="00025D4C" w:rsidR="00C450C8">
        <w:rPr>
          <w:rFonts w:ascii="Verdana" w:hAnsi="Verdana" w:eastAsia="Times New Roman"/>
          <w:sz w:val="18"/>
          <w:szCs w:val="18"/>
        </w:rPr>
        <w:lastRenderedPageBreak/>
        <w:t>landenbeleid is de IND meer tijd en middelen kwijt aan het behandelen van zaken van Syrische asielzoekers. Door deze verandering in de samenstelling van de asielaanvragen kan de IND minder beslissingen afdoen met dezelfde middelen.</w:t>
      </w:r>
      <w:r w:rsidRPr="00025D4C" w:rsidR="00C450C8">
        <w:rPr>
          <w:rFonts w:ascii="Verdana" w:hAnsi="Verdana" w:eastAsia="Times New Roman"/>
          <w:sz w:val="18"/>
          <w:szCs w:val="18"/>
        </w:rPr>
        <w:br/>
      </w:r>
      <w:r w:rsidRPr="00025D4C" w:rsidR="00C450C8">
        <w:rPr>
          <w:rFonts w:ascii="Verdana" w:hAnsi="Verdana" w:eastAsia="Times New Roman"/>
          <w:sz w:val="18"/>
          <w:szCs w:val="18"/>
        </w:rPr>
        <w:br/>
      </w:r>
      <w:r w:rsidRPr="00025D4C" w:rsidR="00C450C8">
        <w:rPr>
          <w:rFonts w:ascii="Verdana" w:hAnsi="Verdana" w:eastAsia="Times New Roman"/>
          <w:b/>
          <w:bCs/>
          <w:sz w:val="18"/>
          <w:szCs w:val="18"/>
        </w:rPr>
        <w:t>Vraag (15):</w:t>
      </w:r>
      <w:r w:rsidRPr="00025D4C" w:rsidR="00C450C8">
        <w:rPr>
          <w:rFonts w:ascii="Verdana" w:hAnsi="Verdana" w:eastAsia="Times New Roman"/>
          <w:sz w:val="18"/>
          <w:szCs w:val="18"/>
        </w:rPr>
        <w:br/>
        <w:t>Kunt u de voortgang van de pilot van de procesbeschikbaarheidslocaties toelichten?</w:t>
      </w:r>
      <w:r w:rsidRPr="00025D4C" w:rsidR="00C450C8">
        <w:rPr>
          <w:rFonts w:ascii="Verdana" w:hAnsi="Verdana" w:eastAsia="Times New Roman"/>
          <w:sz w:val="18"/>
          <w:szCs w:val="18"/>
        </w:rPr>
        <w:br/>
      </w:r>
      <w:r w:rsidRPr="00025D4C" w:rsidR="00C450C8">
        <w:rPr>
          <w:rFonts w:ascii="Verdana" w:hAnsi="Verdana" w:eastAsia="Times New Roman"/>
          <w:sz w:val="18"/>
          <w:szCs w:val="18"/>
        </w:rPr>
        <w:br/>
      </w:r>
      <w:r w:rsidRPr="00025D4C" w:rsidR="00C450C8">
        <w:rPr>
          <w:rFonts w:ascii="Verdana" w:hAnsi="Verdana" w:eastAsia="Times New Roman"/>
          <w:b/>
          <w:bCs/>
          <w:sz w:val="18"/>
          <w:szCs w:val="18"/>
        </w:rPr>
        <w:t>Antwoord:</w:t>
      </w:r>
      <w:r w:rsidRPr="00025D4C" w:rsidR="00C450C8">
        <w:rPr>
          <w:rFonts w:ascii="Verdana" w:hAnsi="Verdana" w:eastAsia="Times New Roman"/>
          <w:sz w:val="18"/>
          <w:szCs w:val="18"/>
        </w:rPr>
        <w:br/>
        <w:t xml:space="preserve">De procesbeschikbaarheidslocatie is een onderdeel van de pilot procesbeschikbaarheidsaanpak. Het doel van deze pilot is het versneld afhandelen van asielaanvragen die op basis van het land van herkomst van de aanvrager als “kansarm” worden ingeschat. Daarnaast zijn er binnen de pilot mogelijkheden om een strikter regime toe te passen op het moment dat de aanvrager zich niet aan de afspraken houdt of overlastgevend gedrag laat zien. De procesbeschikbaarheidslocatie (PBL) is erop gericht om asielzoekers versneld af te handelen (binnen 4 weken). Er zitten op dit moment geen personen geplaatst in de </w:t>
      </w:r>
      <w:proofErr w:type="spellStart"/>
      <w:r w:rsidRPr="00025D4C" w:rsidR="00C450C8">
        <w:rPr>
          <w:rFonts w:ascii="Verdana" w:hAnsi="Verdana" w:eastAsia="Times New Roman"/>
          <w:sz w:val="18"/>
          <w:szCs w:val="18"/>
        </w:rPr>
        <w:t>pbl</w:t>
      </w:r>
      <w:proofErr w:type="spellEnd"/>
      <w:r w:rsidRPr="00025D4C" w:rsidR="00C450C8">
        <w:rPr>
          <w:rFonts w:ascii="Verdana" w:hAnsi="Verdana" w:eastAsia="Times New Roman"/>
          <w:sz w:val="18"/>
          <w:szCs w:val="18"/>
        </w:rPr>
        <w:t>. De Dublinclaimanten die overlast veroorzaken, zoals een winkeldiefstal, worden in de verscherpt toezicht locatie (</w:t>
      </w:r>
      <w:proofErr w:type="spellStart"/>
      <w:r w:rsidRPr="00025D4C" w:rsidR="00C450C8">
        <w:rPr>
          <w:rFonts w:ascii="Verdana" w:hAnsi="Verdana" w:eastAsia="Times New Roman"/>
          <w:sz w:val="18"/>
          <w:szCs w:val="18"/>
        </w:rPr>
        <w:t>vtl</w:t>
      </w:r>
      <w:proofErr w:type="spellEnd"/>
      <w:r w:rsidRPr="00025D4C" w:rsidR="00C450C8">
        <w:rPr>
          <w:rFonts w:ascii="Verdana" w:hAnsi="Verdana" w:eastAsia="Times New Roman"/>
          <w:sz w:val="18"/>
          <w:szCs w:val="18"/>
        </w:rPr>
        <w:t>) geplaatst. De Dublinclaimanten die overlast veroorzaken, zoals een winkeldiefstal, worden in de verscherpt toezicht locatie (</w:t>
      </w:r>
      <w:proofErr w:type="spellStart"/>
      <w:r w:rsidRPr="00025D4C" w:rsidR="00C450C8">
        <w:rPr>
          <w:rFonts w:ascii="Verdana" w:hAnsi="Verdana" w:eastAsia="Times New Roman"/>
          <w:sz w:val="18"/>
          <w:szCs w:val="18"/>
        </w:rPr>
        <w:t>vtl</w:t>
      </w:r>
      <w:proofErr w:type="spellEnd"/>
      <w:r w:rsidRPr="00025D4C" w:rsidR="00C450C8">
        <w:rPr>
          <w:rFonts w:ascii="Verdana" w:hAnsi="Verdana" w:eastAsia="Times New Roman"/>
          <w:sz w:val="18"/>
          <w:szCs w:val="18"/>
        </w:rPr>
        <w:t xml:space="preserve">) geplaatst. Er zitten op dit moment 71 personen in de </w:t>
      </w:r>
      <w:proofErr w:type="spellStart"/>
      <w:r w:rsidRPr="00025D4C" w:rsidR="00C450C8">
        <w:rPr>
          <w:rFonts w:ascii="Verdana" w:hAnsi="Verdana" w:eastAsia="Times New Roman"/>
          <w:sz w:val="18"/>
          <w:szCs w:val="18"/>
        </w:rPr>
        <w:t>vtl</w:t>
      </w:r>
      <w:proofErr w:type="spellEnd"/>
      <w:r w:rsidRPr="00025D4C" w:rsidR="00C450C8">
        <w:rPr>
          <w:rFonts w:ascii="Verdana" w:hAnsi="Verdana" w:eastAsia="Times New Roman"/>
          <w:sz w:val="18"/>
          <w:szCs w:val="18"/>
        </w:rPr>
        <w:t>. De werking van de pilot procesbeschikbaarheidsaanpak wordt de komende tijd met de keten geëvalueerd. Hierbij wordt ook het aantal plekken betrokken. Hierover wordt de Kamer in het eerste kwartaal geïnformeerd.</w:t>
      </w:r>
      <w:r w:rsidRPr="00025D4C" w:rsidR="00C450C8">
        <w:rPr>
          <w:rFonts w:ascii="Verdana" w:hAnsi="Verdana" w:eastAsia="Times New Roman"/>
          <w:sz w:val="18"/>
          <w:szCs w:val="18"/>
        </w:rPr>
        <w:br/>
      </w:r>
      <w:r w:rsidRPr="00025D4C" w:rsidR="00C450C8">
        <w:rPr>
          <w:rFonts w:ascii="Verdana" w:hAnsi="Verdana" w:eastAsia="Times New Roman"/>
          <w:sz w:val="18"/>
          <w:szCs w:val="18"/>
        </w:rPr>
        <w:br/>
      </w:r>
      <w:r w:rsidRPr="00025D4C" w:rsidR="00C450C8">
        <w:rPr>
          <w:rFonts w:ascii="Verdana" w:hAnsi="Verdana" w:eastAsia="Times New Roman"/>
          <w:b/>
          <w:bCs/>
          <w:sz w:val="18"/>
          <w:szCs w:val="18"/>
        </w:rPr>
        <w:t>Vraag (16):</w:t>
      </w:r>
      <w:r w:rsidRPr="00025D4C" w:rsidR="00C450C8">
        <w:rPr>
          <w:rFonts w:ascii="Verdana" w:hAnsi="Verdana" w:eastAsia="Times New Roman"/>
          <w:sz w:val="18"/>
          <w:szCs w:val="18"/>
        </w:rPr>
        <w:br/>
        <w:t>Kan worden toegelicht waarom er 8 miljoen euro naar Vluchtelingenwerk Nederland gaat, ondanks de bezuinigingen?</w:t>
      </w:r>
      <w:r w:rsidRPr="00025D4C" w:rsidR="00C450C8">
        <w:rPr>
          <w:rFonts w:ascii="Verdana" w:hAnsi="Verdana" w:eastAsia="Times New Roman"/>
          <w:sz w:val="18"/>
          <w:szCs w:val="18"/>
        </w:rPr>
        <w:br/>
      </w:r>
      <w:r w:rsidRPr="00025D4C" w:rsidR="00C450C8">
        <w:rPr>
          <w:rFonts w:ascii="Verdana" w:hAnsi="Verdana" w:eastAsia="Times New Roman"/>
          <w:sz w:val="18"/>
          <w:szCs w:val="18"/>
        </w:rPr>
        <w:br/>
      </w:r>
      <w:r w:rsidRPr="00025D4C" w:rsidR="00C450C8">
        <w:rPr>
          <w:rFonts w:ascii="Verdana" w:hAnsi="Verdana" w:eastAsia="Times New Roman"/>
          <w:b/>
          <w:bCs/>
          <w:sz w:val="18"/>
          <w:szCs w:val="18"/>
        </w:rPr>
        <w:t>Antwoord:</w:t>
      </w:r>
      <w:r w:rsidRPr="00025D4C" w:rsidR="00C450C8">
        <w:rPr>
          <w:rFonts w:ascii="Verdana" w:hAnsi="Verdana" w:eastAsia="Times New Roman"/>
          <w:sz w:val="18"/>
          <w:szCs w:val="18"/>
        </w:rPr>
        <w:br/>
        <w:t xml:space="preserve">Het ministerie van Asiel en Migratie heeft vanaf 2024 gesprekken gevoerd met </w:t>
      </w:r>
      <w:proofErr w:type="spellStart"/>
      <w:r w:rsidRPr="00025D4C" w:rsidR="00C450C8">
        <w:rPr>
          <w:rFonts w:ascii="Verdana" w:hAnsi="Verdana" w:eastAsia="Times New Roman"/>
          <w:sz w:val="18"/>
          <w:szCs w:val="18"/>
        </w:rPr>
        <w:t>VluchtelingenWerk</w:t>
      </w:r>
      <w:proofErr w:type="spellEnd"/>
      <w:r w:rsidRPr="00025D4C" w:rsidR="00C450C8">
        <w:rPr>
          <w:rFonts w:ascii="Verdana" w:hAnsi="Verdana" w:eastAsia="Times New Roman"/>
          <w:sz w:val="18"/>
          <w:szCs w:val="18"/>
        </w:rPr>
        <w:t xml:space="preserve"> Nederland (VWN) om de subsidierelatie aan te passen in overeenstemming met de Rijksbegroting. In zowel 2024 als 2025 is aan VWN een subsidie toegekend van €23 miljoen. Dit bedrag bleef in 2025 gehandhaafd omdat de Rijksoverheid verplicht is een redelijke termijn te verlenen aan organisaties bij wijzigingen in hun subsidierelatie, </w:t>
      </w:r>
      <w:proofErr w:type="gramStart"/>
      <w:r w:rsidRPr="00025D4C" w:rsidR="00C450C8">
        <w:rPr>
          <w:rFonts w:ascii="Verdana" w:hAnsi="Verdana" w:eastAsia="Times New Roman"/>
          <w:sz w:val="18"/>
          <w:szCs w:val="18"/>
        </w:rPr>
        <w:t>indien</w:t>
      </w:r>
      <w:proofErr w:type="gramEnd"/>
      <w:r w:rsidRPr="00025D4C" w:rsidR="00C450C8">
        <w:rPr>
          <w:rFonts w:ascii="Verdana" w:hAnsi="Verdana" w:eastAsia="Times New Roman"/>
          <w:sz w:val="18"/>
          <w:szCs w:val="18"/>
        </w:rPr>
        <w:t xml:space="preserve"> deze voor drie opeenvolgende jaren heeft bestaan. Mede op basis van een gerechtelijke uitspraak is aan VWN zo'n redelijke termijn geboden.</w:t>
      </w:r>
      <w:r w:rsidRPr="00025D4C" w:rsidR="00C450C8">
        <w:rPr>
          <w:rFonts w:ascii="Verdana" w:hAnsi="Verdana" w:eastAsia="Times New Roman"/>
          <w:sz w:val="18"/>
          <w:szCs w:val="18"/>
        </w:rPr>
        <w:br/>
      </w:r>
      <w:r w:rsidRPr="00025D4C" w:rsidR="00C450C8">
        <w:rPr>
          <w:rFonts w:ascii="Verdana" w:hAnsi="Verdana" w:eastAsia="Times New Roman"/>
          <w:sz w:val="18"/>
          <w:szCs w:val="18"/>
        </w:rPr>
        <w:br/>
      </w:r>
      <w:r w:rsidRPr="00025D4C" w:rsidR="00C450C8">
        <w:rPr>
          <w:rFonts w:ascii="Verdana" w:hAnsi="Verdana" w:eastAsia="Times New Roman"/>
          <w:b/>
          <w:bCs/>
          <w:sz w:val="18"/>
          <w:szCs w:val="18"/>
        </w:rPr>
        <w:t>Vraag (17):</w:t>
      </w:r>
      <w:r w:rsidRPr="00025D4C" w:rsidR="00C450C8">
        <w:rPr>
          <w:rFonts w:ascii="Verdana" w:hAnsi="Verdana" w:eastAsia="Times New Roman"/>
          <w:sz w:val="18"/>
          <w:szCs w:val="18"/>
        </w:rPr>
        <w:br/>
        <w:t>Kunt u uitsplitsen waar de 72 miljoen euro extra voor de IND voor gebruikt wordt?</w:t>
      </w:r>
      <w:r w:rsidRPr="00025D4C" w:rsidR="00C450C8">
        <w:rPr>
          <w:rFonts w:ascii="Verdana" w:hAnsi="Verdana" w:eastAsia="Times New Roman"/>
          <w:sz w:val="18"/>
          <w:szCs w:val="18"/>
        </w:rPr>
        <w:br/>
      </w:r>
      <w:r w:rsidRPr="00025D4C" w:rsidR="00C450C8">
        <w:rPr>
          <w:rFonts w:ascii="Verdana" w:hAnsi="Verdana" w:eastAsia="Times New Roman"/>
          <w:sz w:val="18"/>
          <w:szCs w:val="18"/>
        </w:rPr>
        <w:br/>
      </w:r>
      <w:r w:rsidRPr="00025D4C" w:rsidR="00C450C8">
        <w:rPr>
          <w:rFonts w:ascii="Verdana" w:hAnsi="Verdana" w:eastAsia="Times New Roman"/>
          <w:b/>
          <w:bCs/>
          <w:sz w:val="18"/>
          <w:szCs w:val="18"/>
        </w:rPr>
        <w:t>Antwoord:</w:t>
      </w:r>
      <w:r w:rsidRPr="00025D4C" w:rsidR="00C450C8">
        <w:rPr>
          <w:rFonts w:ascii="Verdana" w:hAnsi="Verdana" w:eastAsia="Times New Roman"/>
          <w:sz w:val="18"/>
          <w:szCs w:val="18"/>
        </w:rPr>
        <w:br/>
        <w:t xml:space="preserve">De ca. 72 mln. extra voor de IND is voor de dekking van de tegenvaller ter hoogte van 160 mln. voor hogere kosten van de dwangsommen van de IND. De resterende dekking komt uit de per saldo meevaller op het </w:t>
      </w:r>
      <w:proofErr w:type="gramStart"/>
      <w:r w:rsidRPr="00025D4C" w:rsidR="00C450C8">
        <w:rPr>
          <w:rFonts w:ascii="Verdana" w:hAnsi="Verdana" w:eastAsia="Times New Roman"/>
          <w:sz w:val="18"/>
          <w:szCs w:val="18"/>
        </w:rPr>
        <w:t>IND budget</w:t>
      </w:r>
      <w:proofErr w:type="gramEnd"/>
      <w:r w:rsidRPr="00025D4C" w:rsidR="00C450C8">
        <w:rPr>
          <w:rFonts w:ascii="Verdana" w:hAnsi="Verdana" w:eastAsia="Times New Roman"/>
          <w:sz w:val="18"/>
          <w:szCs w:val="18"/>
        </w:rPr>
        <w:t xml:space="preserve"> van ca. 87 mln.</w:t>
      </w:r>
      <w:r w:rsidRPr="00025D4C" w:rsidR="00C450C8">
        <w:rPr>
          <w:rFonts w:ascii="Verdana" w:hAnsi="Verdana" w:eastAsia="Times New Roman"/>
          <w:sz w:val="18"/>
          <w:szCs w:val="18"/>
        </w:rPr>
        <w:br/>
      </w:r>
      <w:r w:rsidRPr="00025D4C" w:rsidR="00C450C8">
        <w:rPr>
          <w:rFonts w:ascii="Verdana" w:hAnsi="Verdana" w:eastAsia="Times New Roman"/>
          <w:sz w:val="18"/>
          <w:szCs w:val="18"/>
        </w:rPr>
        <w:br/>
      </w:r>
      <w:r w:rsidRPr="00025D4C" w:rsidR="00C450C8">
        <w:rPr>
          <w:rFonts w:ascii="Verdana" w:hAnsi="Verdana" w:eastAsia="Times New Roman"/>
          <w:b/>
          <w:bCs/>
          <w:sz w:val="18"/>
          <w:szCs w:val="18"/>
        </w:rPr>
        <w:t>Vraag (18):</w:t>
      </w:r>
      <w:r w:rsidRPr="00025D4C" w:rsidR="00C450C8">
        <w:rPr>
          <w:rFonts w:ascii="Verdana" w:hAnsi="Verdana" w:eastAsia="Times New Roman"/>
          <w:sz w:val="18"/>
          <w:szCs w:val="18"/>
        </w:rPr>
        <w:br/>
        <w:t>Kunt u uitsplitsen waar de 3,6 miljard euro van het COA naartoe gaat?</w:t>
      </w:r>
      <w:r w:rsidRPr="00025D4C" w:rsidR="00C450C8">
        <w:rPr>
          <w:rFonts w:ascii="Verdana" w:hAnsi="Verdana" w:eastAsia="Times New Roman"/>
          <w:sz w:val="18"/>
          <w:szCs w:val="18"/>
        </w:rPr>
        <w:br/>
      </w:r>
      <w:r w:rsidRPr="00025D4C" w:rsidR="00C450C8">
        <w:rPr>
          <w:rFonts w:ascii="Verdana" w:hAnsi="Verdana" w:eastAsia="Times New Roman"/>
          <w:sz w:val="18"/>
          <w:szCs w:val="18"/>
        </w:rPr>
        <w:br/>
      </w:r>
      <w:r w:rsidRPr="00025D4C" w:rsidR="00C450C8">
        <w:rPr>
          <w:rFonts w:ascii="Verdana" w:hAnsi="Verdana" w:eastAsia="Times New Roman"/>
          <w:b/>
          <w:bCs/>
          <w:sz w:val="18"/>
          <w:szCs w:val="18"/>
        </w:rPr>
        <w:t>Antwoord:</w:t>
      </w:r>
      <w:r w:rsidRPr="00025D4C" w:rsidR="00C450C8">
        <w:rPr>
          <w:rFonts w:ascii="Verdana" w:hAnsi="Verdana" w:eastAsia="Times New Roman"/>
          <w:sz w:val="18"/>
          <w:szCs w:val="18"/>
        </w:rPr>
        <w:br/>
        <w:t xml:space="preserve">Het COA ontvangt in 2025 een bedrag van 2,397 miljard euro ten behoeve van de </w:t>
      </w:r>
      <w:proofErr w:type="spellStart"/>
      <w:r w:rsidRPr="00025D4C" w:rsidR="00C450C8">
        <w:rPr>
          <w:rFonts w:ascii="Verdana" w:hAnsi="Verdana" w:eastAsia="Times New Roman"/>
          <w:sz w:val="18"/>
          <w:szCs w:val="18"/>
        </w:rPr>
        <w:t>PxQ</w:t>
      </w:r>
      <w:proofErr w:type="spellEnd"/>
      <w:r w:rsidRPr="00025D4C" w:rsidR="00C450C8">
        <w:rPr>
          <w:rFonts w:ascii="Verdana" w:hAnsi="Verdana" w:eastAsia="Times New Roman"/>
          <w:sz w:val="18"/>
          <w:szCs w:val="18"/>
        </w:rPr>
        <w:t xml:space="preserve"> financiering van opvangplekken. Daarnaast ontvangt het COA nog 1,147 miljard euro voor de hogere crisisnoodopvangkosten. De overige middelen (46 miljoen euro) zijn specifieke bijdragen voor specifieke projecten. Hierbinnen zijn de bijdrage voor verduurzaming rijksvastgoed (15,2 miljoen euro), de bijdrage voor tegengaan van overlast (13.6 miljoen euro) en de bijdrage voor flexwoningen (16 miljoen euro) de grootste posten.</w:t>
      </w:r>
      <w:r w:rsidRPr="00025D4C" w:rsidR="00C450C8">
        <w:rPr>
          <w:rFonts w:ascii="Verdana" w:hAnsi="Verdana" w:eastAsia="Times New Roman"/>
          <w:sz w:val="18"/>
          <w:szCs w:val="18"/>
        </w:rPr>
        <w:br/>
      </w:r>
      <w:r w:rsidRPr="00025D4C" w:rsidR="00C450C8">
        <w:rPr>
          <w:rFonts w:ascii="Verdana" w:hAnsi="Verdana" w:eastAsia="Times New Roman"/>
          <w:sz w:val="18"/>
          <w:szCs w:val="18"/>
        </w:rPr>
        <w:br/>
      </w:r>
    </w:p>
    <w:p w:rsidRPr="00025D4C" w:rsidR="000210B4" w:rsidP="00DE767A" w:rsidRDefault="00C450C8" w14:paraId="64A020CC" w14:textId="6337483F">
      <w:pPr>
        <w:rPr>
          <w:rStyle w:val="Zwaar"/>
          <w:rFonts w:ascii="Verdana" w:hAnsi="Verdana" w:eastAsia="Times New Roman"/>
          <w:sz w:val="18"/>
          <w:szCs w:val="18"/>
        </w:rPr>
      </w:pPr>
      <w:r w:rsidRPr="00025D4C">
        <w:rPr>
          <w:rFonts w:ascii="Verdana" w:hAnsi="Verdana" w:eastAsia="Times New Roman"/>
          <w:b/>
          <w:bCs/>
          <w:sz w:val="18"/>
          <w:szCs w:val="18"/>
        </w:rPr>
        <w:t>Vraag (19):</w:t>
      </w:r>
      <w:r w:rsidRPr="00025D4C">
        <w:rPr>
          <w:rFonts w:ascii="Verdana" w:hAnsi="Verdana" w:eastAsia="Times New Roman"/>
          <w:sz w:val="18"/>
          <w:szCs w:val="18"/>
        </w:rPr>
        <w:br/>
        <w:t>Hoeveel is er dit jaar aan dwangsommen uitgekeerd?</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lastRenderedPageBreak/>
        <w:t>Antwoord:</w:t>
      </w:r>
      <w:r w:rsidRPr="00025D4C">
        <w:rPr>
          <w:rFonts w:ascii="Verdana" w:hAnsi="Verdana" w:eastAsia="Times New Roman"/>
          <w:sz w:val="18"/>
          <w:szCs w:val="18"/>
        </w:rPr>
        <w:br/>
        <w:t>Er is tot en met november 2025 een bedrag van ca. 64 miljoen euro uitgekeerd aan dwangsommen</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Vraag (20):</w:t>
      </w:r>
      <w:r w:rsidRPr="00025D4C">
        <w:rPr>
          <w:rFonts w:ascii="Verdana" w:hAnsi="Verdana" w:eastAsia="Times New Roman"/>
          <w:sz w:val="18"/>
          <w:szCs w:val="18"/>
        </w:rPr>
        <w:br/>
        <w:t>Hoeveel vreemdelingen hebben een dwangsom ontvangen? Wat is het maximale bedrag van deze dwangsom?</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Pr>
          <w:rFonts w:ascii="Verdana" w:hAnsi="Verdana" w:eastAsia="Times New Roman"/>
          <w:sz w:val="18"/>
          <w:szCs w:val="18"/>
        </w:rPr>
        <w:br/>
        <w:t>Het is niet mogelijk om inzichtelijk te maken hoeveel vreemdelingen een dwangsom hebben ontvangen, omdat de IND met een zaaksysteem werkt. Een asielzoeker kan meerdere lopende procedures hebben en een dwangsom-uitspraak kan zaken van meerdere asielzoekers betreffen. De hoogte van het maximale dwangsombedrag wordt door de rechtspraak bepaald</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Vraag (21):</w:t>
      </w:r>
      <w:r w:rsidRPr="00025D4C">
        <w:rPr>
          <w:rFonts w:ascii="Verdana" w:hAnsi="Verdana" w:eastAsia="Times New Roman"/>
          <w:sz w:val="18"/>
          <w:szCs w:val="18"/>
        </w:rPr>
        <w:br/>
        <w:t>Kunt u een overzicht verstrekken met alle COA-locaties?</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Pr>
          <w:rFonts w:ascii="Verdana" w:hAnsi="Verdana" w:eastAsia="Times New Roman"/>
          <w:sz w:val="18"/>
          <w:szCs w:val="18"/>
        </w:rPr>
        <w:br/>
        <w:t xml:space="preserve">Gelet op het feit dat er meer dan 300 COA locaties zijn wordt uw Kamer verwezen naar de website van het COA. Hierop is een accuraat overzicht van alle </w:t>
      </w:r>
      <w:proofErr w:type="gramStart"/>
      <w:r w:rsidRPr="00025D4C">
        <w:rPr>
          <w:rFonts w:ascii="Verdana" w:hAnsi="Verdana" w:eastAsia="Times New Roman"/>
          <w:sz w:val="18"/>
          <w:szCs w:val="18"/>
        </w:rPr>
        <w:t>COA locaties</w:t>
      </w:r>
      <w:proofErr w:type="gramEnd"/>
      <w:r w:rsidRPr="00025D4C">
        <w:rPr>
          <w:rFonts w:ascii="Verdana" w:hAnsi="Verdana" w:eastAsia="Times New Roman"/>
          <w:sz w:val="18"/>
          <w:szCs w:val="18"/>
        </w:rPr>
        <w:t xml:space="preserve"> (tijdelijk en regulier) te vinden. (COA - Locatiezoeker | www.coa.nl)</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Vraag (22):</w:t>
      </w:r>
      <w:r w:rsidRPr="00025D4C">
        <w:rPr>
          <w:rFonts w:ascii="Verdana" w:hAnsi="Verdana" w:eastAsia="Times New Roman"/>
          <w:sz w:val="18"/>
          <w:szCs w:val="18"/>
        </w:rPr>
        <w:br/>
        <w:t>In welke gemeenten ligt er een voorstel voor de komst van een asielzoekerscentrum?</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Pr>
          <w:rFonts w:ascii="Verdana" w:hAnsi="Verdana" w:eastAsia="Times New Roman"/>
          <w:sz w:val="18"/>
          <w:szCs w:val="18"/>
        </w:rPr>
        <w:br/>
        <w:t>Om aan de opvangopgave te kunnen voldoen is de inzet van gemeenten noodzakelijk. Over locaties die nog aan collegebesluit onderhavig zijn wordt door het COA echter niet gerapporteerd.</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Vraag (23):</w:t>
      </w:r>
      <w:r w:rsidRPr="00025D4C">
        <w:rPr>
          <w:rFonts w:ascii="Verdana" w:hAnsi="Verdana" w:eastAsia="Times New Roman"/>
          <w:sz w:val="18"/>
          <w:szCs w:val="18"/>
        </w:rPr>
        <w:br/>
        <w:t xml:space="preserve">Hoeveel </w:t>
      </w:r>
      <w:proofErr w:type="spellStart"/>
      <w:r w:rsidRPr="00025D4C">
        <w:rPr>
          <w:rFonts w:ascii="Verdana" w:hAnsi="Verdana" w:eastAsia="Times New Roman"/>
          <w:sz w:val="18"/>
          <w:szCs w:val="18"/>
        </w:rPr>
        <w:t>uitgeprocedeerden</w:t>
      </w:r>
      <w:proofErr w:type="spellEnd"/>
      <w:r w:rsidRPr="00025D4C">
        <w:rPr>
          <w:rFonts w:ascii="Verdana" w:hAnsi="Verdana" w:eastAsia="Times New Roman"/>
          <w:sz w:val="18"/>
          <w:szCs w:val="18"/>
        </w:rPr>
        <w:t xml:space="preserve"> verblijven er momenteel in een gemeentelijke opvang? Hoeveel </w:t>
      </w:r>
      <w:proofErr w:type="spellStart"/>
      <w:r w:rsidRPr="00025D4C">
        <w:rPr>
          <w:rFonts w:ascii="Verdana" w:hAnsi="Verdana" w:eastAsia="Times New Roman"/>
          <w:sz w:val="18"/>
          <w:szCs w:val="18"/>
        </w:rPr>
        <w:t>uitgeprocedeerden</w:t>
      </w:r>
      <w:proofErr w:type="spellEnd"/>
      <w:r w:rsidRPr="00025D4C">
        <w:rPr>
          <w:rFonts w:ascii="Verdana" w:hAnsi="Verdana" w:eastAsia="Times New Roman"/>
          <w:sz w:val="18"/>
          <w:szCs w:val="18"/>
        </w:rPr>
        <w:t xml:space="preserve"> mochten hier blijven vanwege de beslissing van de rechter?</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Pr>
          <w:rFonts w:ascii="Verdana" w:hAnsi="Verdana" w:eastAsia="Times New Roman"/>
          <w:sz w:val="18"/>
          <w:szCs w:val="18"/>
        </w:rPr>
        <w:br/>
        <w:t xml:space="preserve">Het is niet bekend hoeveel </w:t>
      </w:r>
      <w:proofErr w:type="spellStart"/>
      <w:r w:rsidRPr="00025D4C">
        <w:rPr>
          <w:rFonts w:ascii="Verdana" w:hAnsi="Verdana" w:eastAsia="Times New Roman"/>
          <w:sz w:val="18"/>
          <w:szCs w:val="18"/>
        </w:rPr>
        <w:t>uitgeprocedeerden</w:t>
      </w:r>
      <w:proofErr w:type="spellEnd"/>
      <w:r w:rsidRPr="00025D4C">
        <w:rPr>
          <w:rFonts w:ascii="Verdana" w:hAnsi="Verdana" w:eastAsia="Times New Roman"/>
          <w:sz w:val="18"/>
          <w:szCs w:val="18"/>
        </w:rPr>
        <w:t xml:space="preserve"> er in totaal in een gemeentelijke opvang verblijven.</w:t>
      </w:r>
      <w:r w:rsidRPr="00025D4C">
        <w:rPr>
          <w:rFonts w:ascii="Verdana" w:hAnsi="Verdana" w:eastAsia="Times New Roman"/>
          <w:sz w:val="18"/>
          <w:szCs w:val="18"/>
        </w:rPr>
        <w:br/>
      </w:r>
      <w:r w:rsidRPr="00025D4C">
        <w:rPr>
          <w:rFonts w:ascii="Verdana" w:hAnsi="Verdana" w:eastAsia="Times New Roman"/>
          <w:sz w:val="18"/>
          <w:szCs w:val="18"/>
        </w:rPr>
        <w:br/>
        <w:t>Voorheen werd in het kader van het programma Landelijke Vreemdelingen Voorziening (LVV) in</w:t>
      </w:r>
      <w:r w:rsidRPr="00025D4C" w:rsidR="009D3D5E">
        <w:rPr>
          <w:rFonts w:ascii="Verdana" w:hAnsi="Verdana" w:eastAsia="Times New Roman"/>
          <w:sz w:val="18"/>
          <w:szCs w:val="18"/>
        </w:rPr>
        <w:t xml:space="preserve"> </w:t>
      </w:r>
      <w:r w:rsidRPr="00025D4C">
        <w:rPr>
          <w:rFonts w:ascii="Verdana" w:hAnsi="Verdana" w:eastAsia="Times New Roman"/>
          <w:sz w:val="18"/>
          <w:szCs w:val="18"/>
        </w:rPr>
        <w:t>gemeenten onderdak geboden aan vreemdelingen zonder recht op verblijf of rijksopvang. Daarnaast werd er onderdak geboden door gemeenten in bed-bad-brood voorzieningen. Het kan hierbij zowel om uitgeprocedeerde vreemdelingen gaan als om vreemdelingen die niet zijn uitgeprocedeerd.</w:t>
      </w:r>
      <w:r w:rsidRPr="00025D4C">
        <w:rPr>
          <w:rFonts w:ascii="Verdana" w:hAnsi="Verdana" w:eastAsia="Times New Roman"/>
          <w:sz w:val="18"/>
          <w:szCs w:val="18"/>
        </w:rPr>
        <w:br/>
      </w:r>
      <w:r w:rsidRPr="00025D4C">
        <w:rPr>
          <w:rFonts w:ascii="Verdana" w:hAnsi="Verdana" w:eastAsia="Times New Roman"/>
          <w:sz w:val="18"/>
          <w:szCs w:val="18"/>
        </w:rPr>
        <w:br/>
        <w:t>Op 31 december 2024 verbleven voor zover bekend 551 personen in de LVV. De rijksbijdrage aan de LVV is per 1 januari 2025 beëindigd; sindsdien is niet meer geregistreerd hoeveel personen er in totaal in de gemeentelijke opvang verblijven. Ook is niet bekend hoe veel personen er daarnaast in bed-bad-brood voorzieningen verblijven.</w:t>
      </w:r>
      <w:r w:rsidRPr="00025D4C">
        <w:rPr>
          <w:rFonts w:ascii="Verdana" w:hAnsi="Verdana" w:eastAsia="Times New Roman"/>
          <w:sz w:val="18"/>
          <w:szCs w:val="18"/>
        </w:rPr>
        <w:br/>
      </w:r>
      <w:r w:rsidRPr="00025D4C">
        <w:rPr>
          <w:rFonts w:ascii="Verdana" w:hAnsi="Verdana" w:eastAsia="Times New Roman"/>
          <w:sz w:val="18"/>
          <w:szCs w:val="18"/>
        </w:rPr>
        <w:br/>
        <w:t>Een groot aantal voormalig LVV-deelnemers heeft bezwaar gemaakt tegen de beëindiging van de</w:t>
      </w:r>
      <w:r w:rsidRPr="00025D4C" w:rsidR="00B45B8B">
        <w:rPr>
          <w:rFonts w:ascii="Verdana" w:hAnsi="Verdana" w:eastAsia="Times New Roman"/>
          <w:sz w:val="18"/>
          <w:szCs w:val="18"/>
        </w:rPr>
        <w:t xml:space="preserve"> </w:t>
      </w:r>
      <w:r w:rsidRPr="00025D4C">
        <w:rPr>
          <w:rFonts w:ascii="Verdana" w:hAnsi="Verdana" w:eastAsia="Times New Roman"/>
          <w:sz w:val="18"/>
          <w:szCs w:val="18"/>
        </w:rPr>
        <w:t>rijksbijdrage. Aan 279 bezwaarden is door de rechter een voorlopige voorziening toegewezen,</w:t>
      </w:r>
      <w:r w:rsidRPr="00025D4C" w:rsidR="00B45B8B">
        <w:rPr>
          <w:rFonts w:ascii="Verdana" w:hAnsi="Verdana" w:eastAsia="Times New Roman"/>
          <w:sz w:val="18"/>
          <w:szCs w:val="18"/>
        </w:rPr>
        <w:t xml:space="preserve"> </w:t>
      </w:r>
      <w:r w:rsidRPr="00025D4C">
        <w:rPr>
          <w:rFonts w:ascii="Verdana" w:hAnsi="Verdana" w:eastAsia="Times New Roman"/>
          <w:sz w:val="18"/>
          <w:szCs w:val="18"/>
        </w:rPr>
        <w:t xml:space="preserve">hetgeen inhoudt dat de minister hen opvang moet bieden tot een aantal weken na de beslissing op hun bezwaar dan wel beroep. Deze voorlopige voorzieningen zijn van tijdelijke aard. Een voorlopig voorziening zegt niets over het uiteindelijke oordeel van de rechter over de rechtmatigheid van de beëindiging van de LVV. Ook doet een uitspraak van de voorzieningenrechter niet af aan de vertrekplicht van </w:t>
      </w:r>
      <w:proofErr w:type="gramStart"/>
      <w:r w:rsidRPr="00025D4C">
        <w:rPr>
          <w:rFonts w:ascii="Verdana" w:hAnsi="Verdana" w:eastAsia="Times New Roman"/>
          <w:sz w:val="18"/>
          <w:szCs w:val="18"/>
        </w:rPr>
        <w:t>betreffende</w:t>
      </w:r>
      <w:proofErr w:type="gramEnd"/>
      <w:r w:rsidRPr="00025D4C">
        <w:rPr>
          <w:rFonts w:ascii="Verdana" w:hAnsi="Verdana" w:eastAsia="Times New Roman"/>
          <w:sz w:val="18"/>
          <w:szCs w:val="18"/>
        </w:rPr>
        <w:t xml:space="preserve"> vreemdelingen.</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Vraag (24):</w:t>
      </w:r>
      <w:r w:rsidRPr="00025D4C">
        <w:rPr>
          <w:rFonts w:ascii="Verdana" w:hAnsi="Verdana" w:eastAsia="Times New Roman"/>
          <w:sz w:val="18"/>
          <w:szCs w:val="18"/>
        </w:rPr>
        <w:br/>
        <w:t>Wat is momenteel de beschikbare capaciteit van de vreemdelingenbewaring?</w:t>
      </w:r>
      <w:r w:rsidRPr="00025D4C">
        <w:rPr>
          <w:rFonts w:ascii="Verdana" w:hAnsi="Verdana" w:eastAsia="Times New Roman"/>
          <w:sz w:val="18"/>
          <w:szCs w:val="18"/>
        </w:rPr>
        <w:br/>
      </w:r>
      <w:r w:rsidRPr="00025D4C">
        <w:rPr>
          <w:rFonts w:ascii="Verdana" w:hAnsi="Verdana" w:eastAsia="Times New Roman"/>
          <w:sz w:val="18"/>
          <w:szCs w:val="18"/>
        </w:rPr>
        <w:lastRenderedPageBreak/>
        <w:br/>
      </w:r>
      <w:r w:rsidRPr="00025D4C">
        <w:rPr>
          <w:rFonts w:ascii="Verdana" w:hAnsi="Verdana" w:eastAsia="Times New Roman"/>
          <w:b/>
          <w:bCs/>
          <w:sz w:val="18"/>
          <w:szCs w:val="18"/>
        </w:rPr>
        <w:t>Antwoord:</w:t>
      </w:r>
      <w:r w:rsidRPr="00025D4C">
        <w:rPr>
          <w:rFonts w:ascii="Verdana" w:hAnsi="Verdana" w:eastAsia="Times New Roman"/>
          <w:sz w:val="18"/>
          <w:szCs w:val="18"/>
        </w:rPr>
        <w:br/>
        <w:t>Momenteel beschikt de Dienst Justitiële Inrichtingen over ca. 530 plekken voor vreemdelingenbewaring.</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Vraag (25):</w:t>
      </w:r>
      <w:r w:rsidRPr="00025D4C">
        <w:rPr>
          <w:rFonts w:ascii="Verdana" w:hAnsi="Verdana" w:eastAsia="Times New Roman"/>
          <w:sz w:val="18"/>
          <w:szCs w:val="18"/>
        </w:rPr>
        <w:br/>
        <w:t>Hoe vaak heeft de Dienst Terugkeer en Vertrek (DT&amp;V) een geplande uitzetting afgebroken als gevolg van frustratie van het terugkeerproces? Hoeveel kosten hebben de DT&amp;V en de Dienst Vervoer en Ondersteuning gemaakt voor uitzettingen die afgebroken zijn?</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Pr>
          <w:rFonts w:ascii="Verdana" w:hAnsi="Verdana" w:eastAsia="Times New Roman"/>
          <w:sz w:val="18"/>
          <w:szCs w:val="18"/>
        </w:rPr>
        <w:br/>
        <w:t xml:space="preserve">In 2025 (tot en met november) zijn in totaal 2.090 door DTenV geboekte vluchten geannuleerd. Dit betreft 37% van de in totaal 5590 geboekte vluchten tot en met november 2025. Het gaat hierbij zowel om vluchten ten behoeve van zelfstandig vertrek als uitzettingen. In </w:t>
      </w:r>
      <w:proofErr w:type="gramStart"/>
      <w:r w:rsidRPr="00025D4C">
        <w:rPr>
          <w:rFonts w:ascii="Verdana" w:hAnsi="Verdana" w:eastAsia="Times New Roman"/>
          <w:sz w:val="18"/>
          <w:szCs w:val="18"/>
        </w:rPr>
        <w:t>circa</w:t>
      </w:r>
      <w:proofErr w:type="gramEnd"/>
      <w:r w:rsidRPr="00025D4C">
        <w:rPr>
          <w:rFonts w:ascii="Verdana" w:hAnsi="Verdana" w:eastAsia="Times New Roman"/>
          <w:sz w:val="18"/>
          <w:szCs w:val="18"/>
        </w:rPr>
        <w:t xml:space="preserve"> 1.270 gevallen is de annulering te relateren aan het handelen van de vreemdeling. De meest voorkomende situaties zijn onttrekken aan overheidstoezicht (840) en het indienen van nieuwe procedures (340). Verzet kort voorafgaand aan de vlucht komt minder vaak voor (60). De kosten van annuleringen hangen nauw samen met individuele eigenschappen van een zaak en raken diverse uitvoeringsorganisaties zoals DTenV, KMar en de Dienst Vervoer en Ondersteuning. Er is daarom geen overkoepelend beeld van deze kosten.</w:t>
      </w:r>
      <w:r w:rsidRPr="00025D4C">
        <w:rPr>
          <w:rFonts w:ascii="Verdana" w:hAnsi="Verdana" w:eastAsia="Times New Roman"/>
          <w:sz w:val="18"/>
          <w:szCs w:val="18"/>
        </w:rPr>
        <w:br/>
      </w:r>
      <w:r w:rsidRPr="00025D4C">
        <w:rPr>
          <w:rFonts w:ascii="Verdana" w:hAnsi="Verdana" w:eastAsia="Times New Roman"/>
          <w:sz w:val="18"/>
          <w:szCs w:val="18"/>
        </w:rPr>
        <w:br/>
        <w:t xml:space="preserve">Gezien de weerbarstigheid van terugkeerprocedures werkt DTenV in de regel met tickets die </w:t>
      </w:r>
      <w:proofErr w:type="spellStart"/>
      <w:r w:rsidRPr="00025D4C">
        <w:rPr>
          <w:rFonts w:ascii="Verdana" w:hAnsi="Verdana" w:eastAsia="Times New Roman"/>
          <w:sz w:val="18"/>
          <w:szCs w:val="18"/>
        </w:rPr>
        <w:t>wijzigbaar</w:t>
      </w:r>
      <w:proofErr w:type="spellEnd"/>
      <w:r w:rsidRPr="00025D4C">
        <w:rPr>
          <w:rFonts w:ascii="Verdana" w:hAnsi="Verdana" w:eastAsia="Times New Roman"/>
          <w:sz w:val="18"/>
          <w:szCs w:val="18"/>
        </w:rPr>
        <w:t xml:space="preserve"> dan wel </w:t>
      </w:r>
      <w:proofErr w:type="spellStart"/>
      <w:r w:rsidRPr="00025D4C">
        <w:rPr>
          <w:rFonts w:ascii="Verdana" w:hAnsi="Verdana" w:eastAsia="Times New Roman"/>
          <w:sz w:val="18"/>
          <w:szCs w:val="18"/>
        </w:rPr>
        <w:t>annuleerbaar</w:t>
      </w:r>
      <w:proofErr w:type="spellEnd"/>
      <w:r w:rsidRPr="00025D4C">
        <w:rPr>
          <w:rFonts w:ascii="Verdana" w:hAnsi="Verdana" w:eastAsia="Times New Roman"/>
          <w:sz w:val="18"/>
          <w:szCs w:val="18"/>
        </w:rPr>
        <w:t xml:space="preserve"> zijn. De keuze voor een ticket, uiteenlopend van niet wijzig- of </w:t>
      </w:r>
      <w:proofErr w:type="spellStart"/>
      <w:r w:rsidRPr="00025D4C">
        <w:rPr>
          <w:rFonts w:ascii="Verdana" w:hAnsi="Verdana" w:eastAsia="Times New Roman"/>
          <w:sz w:val="18"/>
          <w:szCs w:val="18"/>
        </w:rPr>
        <w:t>annuleerbaar</w:t>
      </w:r>
      <w:proofErr w:type="spellEnd"/>
      <w:r w:rsidRPr="00025D4C">
        <w:rPr>
          <w:rFonts w:ascii="Verdana" w:hAnsi="Verdana" w:eastAsia="Times New Roman"/>
          <w:sz w:val="18"/>
          <w:szCs w:val="18"/>
        </w:rPr>
        <w:t xml:space="preserve"> tot kosteloos volledig </w:t>
      </w:r>
      <w:proofErr w:type="spellStart"/>
      <w:r w:rsidRPr="00025D4C">
        <w:rPr>
          <w:rFonts w:ascii="Verdana" w:hAnsi="Verdana" w:eastAsia="Times New Roman"/>
          <w:sz w:val="18"/>
          <w:szCs w:val="18"/>
        </w:rPr>
        <w:t>annuleerbaar</w:t>
      </w:r>
      <w:proofErr w:type="spellEnd"/>
      <w:r w:rsidRPr="00025D4C">
        <w:rPr>
          <w:rFonts w:ascii="Verdana" w:hAnsi="Verdana" w:eastAsia="Times New Roman"/>
          <w:sz w:val="18"/>
          <w:szCs w:val="18"/>
        </w:rPr>
        <w:t>, wordt gemaakt op basis van ervaringscijfers.</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Vraag (26):</w:t>
      </w:r>
      <w:r w:rsidRPr="00025D4C">
        <w:rPr>
          <w:rFonts w:ascii="Verdana" w:hAnsi="Verdana" w:eastAsia="Times New Roman"/>
          <w:sz w:val="18"/>
          <w:szCs w:val="18"/>
        </w:rPr>
        <w:br/>
        <w:t>Voor welke landen is het inwilligingspercentage lager dan 20%?</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Pr>
          <w:rFonts w:ascii="Verdana" w:hAnsi="Verdana" w:eastAsia="Times New Roman"/>
          <w:sz w:val="18"/>
          <w:szCs w:val="18"/>
        </w:rPr>
        <w:br/>
        <w:t xml:space="preserve">Onderstaande tabel laat de nationaliteiten en het inwilligingspercentage in eerste aanleg zien van de personen die in de </w:t>
      </w:r>
      <w:proofErr w:type="gramStart"/>
      <w:r w:rsidRPr="00025D4C">
        <w:rPr>
          <w:rFonts w:ascii="Verdana" w:hAnsi="Verdana" w:eastAsia="Times New Roman"/>
          <w:sz w:val="18"/>
          <w:szCs w:val="18"/>
        </w:rPr>
        <w:t>EU asiel</w:t>
      </w:r>
      <w:proofErr w:type="gramEnd"/>
      <w:r w:rsidRPr="00025D4C">
        <w:rPr>
          <w:rFonts w:ascii="Verdana" w:hAnsi="Verdana" w:eastAsia="Times New Roman"/>
          <w:sz w:val="18"/>
          <w:szCs w:val="18"/>
        </w:rPr>
        <w:t xml:space="preserve"> hebben aangevraagd in 2024. Verder zijn personen met EU-nationaliteit buiten beschouwing gelaten </w:t>
      </w:r>
      <w:proofErr w:type="gramStart"/>
      <w:r w:rsidRPr="00025D4C">
        <w:rPr>
          <w:rFonts w:ascii="Verdana" w:hAnsi="Verdana" w:eastAsia="Times New Roman"/>
          <w:sz w:val="18"/>
          <w:szCs w:val="18"/>
        </w:rPr>
        <w:t>alsmede</w:t>
      </w:r>
      <w:proofErr w:type="gramEnd"/>
      <w:r w:rsidRPr="00025D4C">
        <w:rPr>
          <w:rFonts w:ascii="Verdana" w:hAnsi="Verdana" w:eastAsia="Times New Roman"/>
          <w:sz w:val="18"/>
          <w:szCs w:val="18"/>
        </w:rPr>
        <w:t xml:space="preserve"> de nationaliteiten die geen asielaanvraag hebben ingediend.</w:t>
      </w:r>
      <w:r w:rsidRPr="00025D4C">
        <w:rPr>
          <w:rFonts w:ascii="Verdana" w:hAnsi="Verdana" w:eastAsia="Times New Roman"/>
          <w:sz w:val="18"/>
          <w:szCs w:val="18"/>
        </w:rPr>
        <w:br/>
      </w:r>
      <w:r w:rsidRPr="00025D4C">
        <w:rPr>
          <w:rFonts w:ascii="Verdana" w:hAnsi="Verdana" w:eastAsia="Times New Roman"/>
          <w:sz w:val="18"/>
          <w:szCs w:val="18"/>
        </w:rPr>
        <w:br/>
      </w:r>
      <w:r w:rsidRPr="00025D4C">
        <w:rPr>
          <w:rStyle w:val="Zwaar"/>
          <w:rFonts w:ascii="Verdana" w:hAnsi="Verdana" w:eastAsia="Times New Roman"/>
          <w:sz w:val="18"/>
          <w:szCs w:val="18"/>
        </w:rPr>
        <w:t>Nationaliteiten van personen die in de EU-27 een asielaanvraag hebben ingediend met een inwilligingspercentage lager dan 20% in het jaar 2024</w:t>
      </w:r>
    </w:p>
    <w:tbl>
      <w:tblPr>
        <w:tblStyle w:val="Tabelraster"/>
        <w:tblW w:w="0" w:type="auto"/>
        <w:tblLook w:val="04A0" w:firstRow="1" w:lastRow="0" w:firstColumn="1" w:lastColumn="0" w:noHBand="0" w:noVBand="1"/>
      </w:tblPr>
      <w:tblGrid>
        <w:gridCol w:w="3397"/>
        <w:gridCol w:w="2318"/>
      </w:tblGrid>
      <w:tr w:rsidRPr="00025D4C" w:rsidR="000210B4" w:rsidTr="00CB43DF" w14:paraId="3D6FAF07" w14:textId="77777777">
        <w:trPr>
          <w:trHeight w:val="288"/>
        </w:trPr>
        <w:tc>
          <w:tcPr>
            <w:tcW w:w="3397" w:type="dxa"/>
            <w:noWrap/>
            <w:vAlign w:val="center"/>
            <w:hideMark/>
          </w:tcPr>
          <w:p w:rsidRPr="00025D4C" w:rsidR="000210B4" w:rsidP="00CB43DF" w:rsidRDefault="000210B4" w14:paraId="38D339C0" w14:textId="77777777">
            <w:pPr>
              <w:pStyle w:val="broodtekst"/>
            </w:pPr>
            <w:r w:rsidRPr="00025D4C">
              <w:t>Land van nationaliteit</w:t>
            </w:r>
          </w:p>
        </w:tc>
        <w:tc>
          <w:tcPr>
            <w:tcW w:w="2318" w:type="dxa"/>
            <w:noWrap/>
            <w:vAlign w:val="center"/>
            <w:hideMark/>
          </w:tcPr>
          <w:p w:rsidRPr="00025D4C" w:rsidR="000210B4" w:rsidP="00CB43DF" w:rsidRDefault="000210B4" w14:paraId="1A5B58F0" w14:textId="77777777">
            <w:pPr>
              <w:pStyle w:val="broodtekst"/>
            </w:pPr>
            <w:r w:rsidRPr="00025D4C">
              <w:t>Inwilligingspercentage</w:t>
            </w:r>
            <w:r w:rsidRPr="00025D4C">
              <w:rPr>
                <w:rStyle w:val="Voetnootmarkering"/>
              </w:rPr>
              <w:footnoteReference w:id="1"/>
            </w:r>
          </w:p>
        </w:tc>
      </w:tr>
      <w:tr w:rsidRPr="00025D4C" w:rsidR="000210B4" w:rsidTr="00CB43DF" w14:paraId="6ABDEA60" w14:textId="77777777">
        <w:trPr>
          <w:trHeight w:val="288"/>
        </w:trPr>
        <w:tc>
          <w:tcPr>
            <w:tcW w:w="3397" w:type="dxa"/>
            <w:noWrap/>
            <w:vAlign w:val="center"/>
            <w:hideMark/>
          </w:tcPr>
          <w:p w:rsidRPr="00025D4C" w:rsidR="000210B4" w:rsidP="00CB43DF" w:rsidRDefault="000210B4" w14:paraId="009A7018" w14:textId="77777777">
            <w:pPr>
              <w:pStyle w:val="broodtekst"/>
            </w:pPr>
            <w:r w:rsidRPr="00025D4C">
              <w:t>Tsjaad</w:t>
            </w:r>
          </w:p>
        </w:tc>
        <w:tc>
          <w:tcPr>
            <w:tcW w:w="2318" w:type="dxa"/>
            <w:noWrap/>
            <w:vAlign w:val="center"/>
            <w:hideMark/>
          </w:tcPr>
          <w:p w:rsidRPr="00025D4C" w:rsidR="000210B4" w:rsidP="00CB43DF" w:rsidRDefault="000210B4" w14:paraId="3FCB064F" w14:textId="77777777">
            <w:pPr>
              <w:pStyle w:val="broodtekst"/>
            </w:pPr>
            <w:r w:rsidRPr="00025D4C">
              <w:t>19%</w:t>
            </w:r>
          </w:p>
        </w:tc>
      </w:tr>
      <w:tr w:rsidRPr="00025D4C" w:rsidR="000210B4" w:rsidTr="00CB43DF" w14:paraId="16AB2D9B" w14:textId="77777777">
        <w:trPr>
          <w:trHeight w:val="288"/>
        </w:trPr>
        <w:tc>
          <w:tcPr>
            <w:tcW w:w="3397" w:type="dxa"/>
            <w:noWrap/>
            <w:vAlign w:val="center"/>
            <w:hideMark/>
          </w:tcPr>
          <w:p w:rsidRPr="00025D4C" w:rsidR="000210B4" w:rsidP="00CB43DF" w:rsidRDefault="000210B4" w14:paraId="12D55CD7" w14:textId="77777777">
            <w:pPr>
              <w:pStyle w:val="broodtekst"/>
            </w:pPr>
            <w:r w:rsidRPr="00025D4C">
              <w:t>Sri Lanka</w:t>
            </w:r>
          </w:p>
        </w:tc>
        <w:tc>
          <w:tcPr>
            <w:tcW w:w="2318" w:type="dxa"/>
            <w:noWrap/>
            <w:vAlign w:val="center"/>
            <w:hideMark/>
          </w:tcPr>
          <w:p w:rsidRPr="00025D4C" w:rsidR="000210B4" w:rsidP="00CB43DF" w:rsidRDefault="000210B4" w14:paraId="1E57502A" w14:textId="77777777">
            <w:pPr>
              <w:pStyle w:val="broodtekst"/>
            </w:pPr>
            <w:r w:rsidRPr="00025D4C">
              <w:t>18%</w:t>
            </w:r>
          </w:p>
        </w:tc>
      </w:tr>
      <w:tr w:rsidRPr="00025D4C" w:rsidR="000210B4" w:rsidTr="00CB43DF" w14:paraId="2ECC78D0" w14:textId="77777777">
        <w:trPr>
          <w:trHeight w:val="288"/>
        </w:trPr>
        <w:tc>
          <w:tcPr>
            <w:tcW w:w="3397" w:type="dxa"/>
            <w:noWrap/>
            <w:vAlign w:val="center"/>
            <w:hideMark/>
          </w:tcPr>
          <w:p w:rsidRPr="00025D4C" w:rsidR="000210B4" w:rsidP="00CB43DF" w:rsidRDefault="000210B4" w14:paraId="40015EB0" w14:textId="77777777">
            <w:pPr>
              <w:pStyle w:val="broodtekst"/>
            </w:pPr>
            <w:r w:rsidRPr="00025D4C">
              <w:t>Tanzania</w:t>
            </w:r>
          </w:p>
        </w:tc>
        <w:tc>
          <w:tcPr>
            <w:tcW w:w="2318" w:type="dxa"/>
            <w:noWrap/>
            <w:vAlign w:val="center"/>
            <w:hideMark/>
          </w:tcPr>
          <w:p w:rsidRPr="00025D4C" w:rsidR="000210B4" w:rsidP="00CB43DF" w:rsidRDefault="000210B4" w14:paraId="0F9A5571" w14:textId="77777777">
            <w:pPr>
              <w:pStyle w:val="broodtekst"/>
            </w:pPr>
            <w:r w:rsidRPr="00025D4C">
              <w:t>18%</w:t>
            </w:r>
          </w:p>
        </w:tc>
      </w:tr>
      <w:tr w:rsidRPr="00025D4C" w:rsidR="000210B4" w:rsidTr="00CB43DF" w14:paraId="6B917864" w14:textId="77777777">
        <w:trPr>
          <w:trHeight w:val="288"/>
        </w:trPr>
        <w:tc>
          <w:tcPr>
            <w:tcW w:w="3397" w:type="dxa"/>
            <w:noWrap/>
            <w:vAlign w:val="center"/>
            <w:hideMark/>
          </w:tcPr>
          <w:p w:rsidRPr="00025D4C" w:rsidR="000210B4" w:rsidP="00CB43DF" w:rsidRDefault="000210B4" w14:paraId="75439635" w14:textId="77777777">
            <w:pPr>
              <w:pStyle w:val="broodtekst"/>
            </w:pPr>
            <w:r w:rsidRPr="00025D4C">
              <w:t>Congo</w:t>
            </w:r>
          </w:p>
        </w:tc>
        <w:tc>
          <w:tcPr>
            <w:tcW w:w="2318" w:type="dxa"/>
            <w:noWrap/>
            <w:vAlign w:val="center"/>
            <w:hideMark/>
          </w:tcPr>
          <w:p w:rsidRPr="00025D4C" w:rsidR="000210B4" w:rsidP="00CB43DF" w:rsidRDefault="000210B4" w14:paraId="3CE65681" w14:textId="77777777">
            <w:pPr>
              <w:pStyle w:val="broodtekst"/>
            </w:pPr>
            <w:r w:rsidRPr="00025D4C">
              <w:t>18%</w:t>
            </w:r>
          </w:p>
        </w:tc>
      </w:tr>
      <w:tr w:rsidRPr="00025D4C" w:rsidR="000210B4" w:rsidTr="00CB43DF" w14:paraId="17D39A7E" w14:textId="77777777">
        <w:trPr>
          <w:trHeight w:val="288"/>
        </w:trPr>
        <w:tc>
          <w:tcPr>
            <w:tcW w:w="3397" w:type="dxa"/>
            <w:noWrap/>
            <w:vAlign w:val="center"/>
            <w:hideMark/>
          </w:tcPr>
          <w:p w:rsidRPr="00025D4C" w:rsidR="000210B4" w:rsidP="00CB43DF" w:rsidRDefault="000210B4" w14:paraId="46C472E3" w14:textId="77777777">
            <w:pPr>
              <w:pStyle w:val="broodtekst"/>
            </w:pPr>
            <w:r w:rsidRPr="00025D4C">
              <w:t>Gabon</w:t>
            </w:r>
          </w:p>
        </w:tc>
        <w:tc>
          <w:tcPr>
            <w:tcW w:w="2318" w:type="dxa"/>
            <w:noWrap/>
            <w:vAlign w:val="center"/>
            <w:hideMark/>
          </w:tcPr>
          <w:p w:rsidRPr="00025D4C" w:rsidR="000210B4" w:rsidP="00CB43DF" w:rsidRDefault="000210B4" w14:paraId="7978514B" w14:textId="77777777">
            <w:pPr>
              <w:pStyle w:val="broodtekst"/>
            </w:pPr>
            <w:r w:rsidRPr="00025D4C">
              <w:t>18%</w:t>
            </w:r>
          </w:p>
        </w:tc>
      </w:tr>
      <w:tr w:rsidRPr="00025D4C" w:rsidR="000210B4" w:rsidTr="00CB43DF" w14:paraId="29508071" w14:textId="77777777">
        <w:trPr>
          <w:trHeight w:val="288"/>
        </w:trPr>
        <w:tc>
          <w:tcPr>
            <w:tcW w:w="3397" w:type="dxa"/>
            <w:noWrap/>
            <w:vAlign w:val="center"/>
            <w:hideMark/>
          </w:tcPr>
          <w:p w:rsidRPr="00025D4C" w:rsidR="000210B4" w:rsidP="00CB43DF" w:rsidRDefault="000210B4" w14:paraId="2BDA8B26" w14:textId="77777777">
            <w:pPr>
              <w:pStyle w:val="broodtekst"/>
            </w:pPr>
            <w:r w:rsidRPr="00025D4C">
              <w:t>Libanon</w:t>
            </w:r>
          </w:p>
        </w:tc>
        <w:tc>
          <w:tcPr>
            <w:tcW w:w="2318" w:type="dxa"/>
            <w:noWrap/>
            <w:vAlign w:val="center"/>
            <w:hideMark/>
          </w:tcPr>
          <w:p w:rsidRPr="00025D4C" w:rsidR="000210B4" w:rsidP="00CB43DF" w:rsidRDefault="000210B4" w14:paraId="7A18ED32" w14:textId="77777777">
            <w:pPr>
              <w:pStyle w:val="broodtekst"/>
            </w:pPr>
            <w:r w:rsidRPr="00025D4C">
              <w:t>17%</w:t>
            </w:r>
          </w:p>
        </w:tc>
      </w:tr>
      <w:tr w:rsidRPr="00025D4C" w:rsidR="000210B4" w:rsidTr="00CB43DF" w14:paraId="428A2C48" w14:textId="77777777">
        <w:trPr>
          <w:trHeight w:val="288"/>
        </w:trPr>
        <w:tc>
          <w:tcPr>
            <w:tcW w:w="3397" w:type="dxa"/>
            <w:noWrap/>
            <w:vAlign w:val="center"/>
            <w:hideMark/>
          </w:tcPr>
          <w:p w:rsidRPr="00025D4C" w:rsidR="000210B4" w:rsidP="00CB43DF" w:rsidRDefault="000210B4" w14:paraId="105C2A79" w14:textId="77777777">
            <w:pPr>
              <w:pStyle w:val="broodtekst"/>
            </w:pPr>
            <w:r w:rsidRPr="00025D4C">
              <w:t>Kirgizië</w:t>
            </w:r>
          </w:p>
        </w:tc>
        <w:tc>
          <w:tcPr>
            <w:tcW w:w="2318" w:type="dxa"/>
            <w:noWrap/>
            <w:vAlign w:val="center"/>
            <w:hideMark/>
          </w:tcPr>
          <w:p w:rsidRPr="00025D4C" w:rsidR="000210B4" w:rsidP="00CB43DF" w:rsidRDefault="000210B4" w14:paraId="3AD61902" w14:textId="77777777">
            <w:pPr>
              <w:pStyle w:val="broodtekst"/>
            </w:pPr>
            <w:r w:rsidRPr="00025D4C">
              <w:t>17%</w:t>
            </w:r>
          </w:p>
        </w:tc>
      </w:tr>
      <w:tr w:rsidRPr="00025D4C" w:rsidR="000210B4" w:rsidTr="00CB43DF" w14:paraId="651CC411" w14:textId="77777777">
        <w:trPr>
          <w:trHeight w:val="288"/>
        </w:trPr>
        <w:tc>
          <w:tcPr>
            <w:tcW w:w="3397" w:type="dxa"/>
            <w:noWrap/>
            <w:vAlign w:val="center"/>
            <w:hideMark/>
          </w:tcPr>
          <w:p w:rsidRPr="00025D4C" w:rsidR="000210B4" w:rsidP="00CB43DF" w:rsidRDefault="000210B4" w14:paraId="49D195BB" w14:textId="77777777">
            <w:pPr>
              <w:pStyle w:val="broodtekst"/>
            </w:pPr>
            <w:r w:rsidRPr="00025D4C">
              <w:t>Guinee-Bissau</w:t>
            </w:r>
          </w:p>
        </w:tc>
        <w:tc>
          <w:tcPr>
            <w:tcW w:w="2318" w:type="dxa"/>
            <w:noWrap/>
            <w:vAlign w:val="center"/>
            <w:hideMark/>
          </w:tcPr>
          <w:p w:rsidRPr="00025D4C" w:rsidR="000210B4" w:rsidP="00CB43DF" w:rsidRDefault="000210B4" w14:paraId="0869FD08" w14:textId="77777777">
            <w:pPr>
              <w:pStyle w:val="broodtekst"/>
            </w:pPr>
            <w:r w:rsidRPr="00025D4C">
              <w:t>17%</w:t>
            </w:r>
          </w:p>
        </w:tc>
      </w:tr>
      <w:tr w:rsidRPr="00025D4C" w:rsidR="000210B4" w:rsidTr="00CB43DF" w14:paraId="658489E5" w14:textId="77777777">
        <w:trPr>
          <w:trHeight w:val="288"/>
        </w:trPr>
        <w:tc>
          <w:tcPr>
            <w:tcW w:w="3397" w:type="dxa"/>
            <w:noWrap/>
            <w:vAlign w:val="center"/>
            <w:hideMark/>
          </w:tcPr>
          <w:p w:rsidRPr="00025D4C" w:rsidR="000210B4" w:rsidP="00CB43DF" w:rsidRDefault="000210B4" w14:paraId="1B9AA7CE" w14:textId="77777777">
            <w:pPr>
              <w:pStyle w:val="broodtekst"/>
            </w:pPr>
            <w:r w:rsidRPr="00025D4C">
              <w:t>Turkmenistan</w:t>
            </w:r>
          </w:p>
        </w:tc>
        <w:tc>
          <w:tcPr>
            <w:tcW w:w="2318" w:type="dxa"/>
            <w:noWrap/>
            <w:vAlign w:val="center"/>
            <w:hideMark/>
          </w:tcPr>
          <w:p w:rsidRPr="00025D4C" w:rsidR="000210B4" w:rsidP="00CB43DF" w:rsidRDefault="000210B4" w14:paraId="17244555" w14:textId="77777777">
            <w:pPr>
              <w:pStyle w:val="broodtekst"/>
            </w:pPr>
            <w:r w:rsidRPr="00025D4C">
              <w:t>17%</w:t>
            </w:r>
          </w:p>
        </w:tc>
      </w:tr>
      <w:tr w:rsidRPr="00025D4C" w:rsidR="000210B4" w:rsidTr="00CB43DF" w14:paraId="30CF917E" w14:textId="77777777">
        <w:trPr>
          <w:trHeight w:val="288"/>
        </w:trPr>
        <w:tc>
          <w:tcPr>
            <w:tcW w:w="3397" w:type="dxa"/>
            <w:noWrap/>
            <w:vAlign w:val="center"/>
            <w:hideMark/>
          </w:tcPr>
          <w:p w:rsidRPr="00025D4C" w:rsidR="000210B4" w:rsidP="00CB43DF" w:rsidRDefault="000210B4" w14:paraId="28AB02FD" w14:textId="77777777">
            <w:pPr>
              <w:pStyle w:val="broodtekst"/>
            </w:pPr>
            <w:r w:rsidRPr="00025D4C">
              <w:t>Gambia</w:t>
            </w:r>
          </w:p>
        </w:tc>
        <w:tc>
          <w:tcPr>
            <w:tcW w:w="2318" w:type="dxa"/>
            <w:noWrap/>
            <w:vAlign w:val="center"/>
            <w:hideMark/>
          </w:tcPr>
          <w:p w:rsidRPr="00025D4C" w:rsidR="000210B4" w:rsidP="00CB43DF" w:rsidRDefault="000210B4" w14:paraId="439E73DC" w14:textId="77777777">
            <w:pPr>
              <w:pStyle w:val="broodtekst"/>
            </w:pPr>
            <w:r w:rsidRPr="00025D4C">
              <w:t>16%</w:t>
            </w:r>
          </w:p>
        </w:tc>
      </w:tr>
      <w:tr w:rsidRPr="00025D4C" w:rsidR="000210B4" w:rsidTr="00CB43DF" w14:paraId="46622BBE" w14:textId="77777777">
        <w:trPr>
          <w:trHeight w:val="288"/>
        </w:trPr>
        <w:tc>
          <w:tcPr>
            <w:tcW w:w="3397" w:type="dxa"/>
            <w:noWrap/>
            <w:vAlign w:val="center"/>
            <w:hideMark/>
          </w:tcPr>
          <w:p w:rsidRPr="00025D4C" w:rsidR="000210B4" w:rsidP="00CB43DF" w:rsidRDefault="000210B4" w14:paraId="260D6F0F" w14:textId="77777777">
            <w:pPr>
              <w:pStyle w:val="broodtekst"/>
            </w:pPr>
            <w:r w:rsidRPr="00025D4C">
              <w:t>Turkije</w:t>
            </w:r>
          </w:p>
        </w:tc>
        <w:tc>
          <w:tcPr>
            <w:tcW w:w="2318" w:type="dxa"/>
            <w:noWrap/>
            <w:vAlign w:val="center"/>
            <w:hideMark/>
          </w:tcPr>
          <w:p w:rsidRPr="00025D4C" w:rsidR="000210B4" w:rsidP="00CB43DF" w:rsidRDefault="000210B4" w14:paraId="6C6A5595" w14:textId="77777777">
            <w:pPr>
              <w:pStyle w:val="broodtekst"/>
            </w:pPr>
            <w:r w:rsidRPr="00025D4C">
              <w:t>16%</w:t>
            </w:r>
          </w:p>
        </w:tc>
      </w:tr>
      <w:tr w:rsidRPr="00025D4C" w:rsidR="000210B4" w:rsidTr="00CB43DF" w14:paraId="28EFFE33" w14:textId="77777777">
        <w:trPr>
          <w:trHeight w:val="288"/>
        </w:trPr>
        <w:tc>
          <w:tcPr>
            <w:tcW w:w="3397" w:type="dxa"/>
            <w:noWrap/>
            <w:vAlign w:val="center"/>
            <w:hideMark/>
          </w:tcPr>
          <w:p w:rsidRPr="00025D4C" w:rsidR="000210B4" w:rsidP="00CB43DF" w:rsidRDefault="000210B4" w14:paraId="3F34E02E" w14:textId="77777777">
            <w:pPr>
              <w:pStyle w:val="broodtekst"/>
            </w:pPr>
            <w:r w:rsidRPr="00025D4C">
              <w:lastRenderedPageBreak/>
              <w:t>Kazachstan</w:t>
            </w:r>
          </w:p>
        </w:tc>
        <w:tc>
          <w:tcPr>
            <w:tcW w:w="2318" w:type="dxa"/>
            <w:noWrap/>
            <w:vAlign w:val="center"/>
            <w:hideMark/>
          </w:tcPr>
          <w:p w:rsidRPr="00025D4C" w:rsidR="000210B4" w:rsidP="00CB43DF" w:rsidRDefault="000210B4" w14:paraId="6A891B7A" w14:textId="77777777">
            <w:pPr>
              <w:pStyle w:val="broodtekst"/>
            </w:pPr>
            <w:r w:rsidRPr="00025D4C">
              <w:t>16%</w:t>
            </w:r>
          </w:p>
        </w:tc>
      </w:tr>
      <w:tr w:rsidRPr="00025D4C" w:rsidR="000210B4" w:rsidTr="00CB43DF" w14:paraId="05EE7CB0" w14:textId="77777777">
        <w:trPr>
          <w:trHeight w:val="288"/>
        </w:trPr>
        <w:tc>
          <w:tcPr>
            <w:tcW w:w="3397" w:type="dxa"/>
            <w:noWrap/>
            <w:vAlign w:val="center"/>
            <w:hideMark/>
          </w:tcPr>
          <w:p w:rsidRPr="00025D4C" w:rsidR="000210B4" w:rsidP="00CB43DF" w:rsidRDefault="000210B4" w14:paraId="19F7AD11" w14:textId="77777777">
            <w:pPr>
              <w:pStyle w:val="broodtekst"/>
            </w:pPr>
            <w:r w:rsidRPr="00025D4C">
              <w:t>Bangladesh</w:t>
            </w:r>
          </w:p>
        </w:tc>
        <w:tc>
          <w:tcPr>
            <w:tcW w:w="2318" w:type="dxa"/>
            <w:noWrap/>
            <w:vAlign w:val="center"/>
            <w:hideMark/>
          </w:tcPr>
          <w:p w:rsidRPr="00025D4C" w:rsidR="000210B4" w:rsidP="00CB43DF" w:rsidRDefault="000210B4" w14:paraId="4DB7240A" w14:textId="77777777">
            <w:pPr>
              <w:pStyle w:val="broodtekst"/>
            </w:pPr>
            <w:r w:rsidRPr="00025D4C">
              <w:t>15%</w:t>
            </w:r>
          </w:p>
        </w:tc>
      </w:tr>
      <w:tr w:rsidRPr="00025D4C" w:rsidR="000210B4" w:rsidTr="00CB43DF" w14:paraId="3D9A8020" w14:textId="77777777">
        <w:trPr>
          <w:trHeight w:val="288"/>
        </w:trPr>
        <w:tc>
          <w:tcPr>
            <w:tcW w:w="3397" w:type="dxa"/>
            <w:noWrap/>
            <w:vAlign w:val="center"/>
            <w:hideMark/>
          </w:tcPr>
          <w:p w:rsidRPr="00025D4C" w:rsidR="000210B4" w:rsidP="00CB43DF" w:rsidRDefault="000210B4" w14:paraId="29321261" w14:textId="77777777">
            <w:pPr>
              <w:pStyle w:val="broodtekst"/>
            </w:pPr>
            <w:r w:rsidRPr="00025D4C">
              <w:t>Mauritanië</w:t>
            </w:r>
          </w:p>
        </w:tc>
        <w:tc>
          <w:tcPr>
            <w:tcW w:w="2318" w:type="dxa"/>
            <w:noWrap/>
            <w:vAlign w:val="center"/>
            <w:hideMark/>
          </w:tcPr>
          <w:p w:rsidRPr="00025D4C" w:rsidR="000210B4" w:rsidP="00CB43DF" w:rsidRDefault="000210B4" w14:paraId="00F7CDB0" w14:textId="77777777">
            <w:pPr>
              <w:pStyle w:val="broodtekst"/>
            </w:pPr>
            <w:r w:rsidRPr="00025D4C">
              <w:t>15%</w:t>
            </w:r>
          </w:p>
        </w:tc>
      </w:tr>
      <w:tr w:rsidRPr="00025D4C" w:rsidR="000210B4" w:rsidTr="00CB43DF" w14:paraId="601734C7" w14:textId="77777777">
        <w:trPr>
          <w:trHeight w:val="288"/>
        </w:trPr>
        <w:tc>
          <w:tcPr>
            <w:tcW w:w="3397" w:type="dxa"/>
            <w:noWrap/>
            <w:vAlign w:val="center"/>
            <w:hideMark/>
          </w:tcPr>
          <w:p w:rsidRPr="00025D4C" w:rsidR="000210B4" w:rsidP="00CB43DF" w:rsidRDefault="000210B4" w14:paraId="6B322563" w14:textId="77777777">
            <w:pPr>
              <w:pStyle w:val="broodtekst"/>
            </w:pPr>
            <w:r w:rsidRPr="00025D4C">
              <w:t>Filipijnen</w:t>
            </w:r>
          </w:p>
        </w:tc>
        <w:tc>
          <w:tcPr>
            <w:tcW w:w="2318" w:type="dxa"/>
            <w:noWrap/>
            <w:vAlign w:val="center"/>
            <w:hideMark/>
          </w:tcPr>
          <w:p w:rsidRPr="00025D4C" w:rsidR="000210B4" w:rsidP="00CB43DF" w:rsidRDefault="000210B4" w14:paraId="7DD1437E" w14:textId="77777777">
            <w:pPr>
              <w:pStyle w:val="broodtekst"/>
            </w:pPr>
            <w:r w:rsidRPr="00025D4C">
              <w:t>15%</w:t>
            </w:r>
          </w:p>
        </w:tc>
      </w:tr>
      <w:tr w:rsidRPr="00025D4C" w:rsidR="000210B4" w:rsidTr="00CB43DF" w14:paraId="3EC7872B" w14:textId="77777777">
        <w:trPr>
          <w:trHeight w:val="288"/>
        </w:trPr>
        <w:tc>
          <w:tcPr>
            <w:tcW w:w="3397" w:type="dxa"/>
            <w:noWrap/>
            <w:vAlign w:val="center"/>
            <w:hideMark/>
          </w:tcPr>
          <w:p w:rsidRPr="00025D4C" w:rsidR="000210B4" w:rsidP="00CB43DF" w:rsidRDefault="000210B4" w14:paraId="7550A7CE" w14:textId="77777777">
            <w:pPr>
              <w:pStyle w:val="broodtekst"/>
            </w:pPr>
            <w:r w:rsidRPr="00025D4C">
              <w:t>Ghana</w:t>
            </w:r>
          </w:p>
        </w:tc>
        <w:tc>
          <w:tcPr>
            <w:tcW w:w="2318" w:type="dxa"/>
            <w:noWrap/>
            <w:vAlign w:val="center"/>
            <w:hideMark/>
          </w:tcPr>
          <w:p w:rsidRPr="00025D4C" w:rsidR="000210B4" w:rsidP="00CB43DF" w:rsidRDefault="000210B4" w14:paraId="32429128" w14:textId="77777777">
            <w:pPr>
              <w:pStyle w:val="broodtekst"/>
            </w:pPr>
            <w:r w:rsidRPr="00025D4C">
              <w:t>15%</w:t>
            </w:r>
          </w:p>
        </w:tc>
      </w:tr>
      <w:tr w:rsidRPr="00025D4C" w:rsidR="000210B4" w:rsidTr="00CB43DF" w14:paraId="20B99353" w14:textId="77777777">
        <w:trPr>
          <w:trHeight w:val="288"/>
        </w:trPr>
        <w:tc>
          <w:tcPr>
            <w:tcW w:w="3397" w:type="dxa"/>
            <w:noWrap/>
            <w:vAlign w:val="center"/>
            <w:hideMark/>
          </w:tcPr>
          <w:p w:rsidRPr="00025D4C" w:rsidR="000210B4" w:rsidP="00CB43DF" w:rsidRDefault="000210B4" w14:paraId="07995C15" w14:textId="77777777">
            <w:pPr>
              <w:pStyle w:val="broodtekst"/>
            </w:pPr>
            <w:r w:rsidRPr="00025D4C">
              <w:t>Benin</w:t>
            </w:r>
          </w:p>
        </w:tc>
        <w:tc>
          <w:tcPr>
            <w:tcW w:w="2318" w:type="dxa"/>
            <w:noWrap/>
            <w:vAlign w:val="center"/>
            <w:hideMark/>
          </w:tcPr>
          <w:p w:rsidRPr="00025D4C" w:rsidR="000210B4" w:rsidP="00CB43DF" w:rsidRDefault="000210B4" w14:paraId="216E54D7" w14:textId="77777777">
            <w:pPr>
              <w:pStyle w:val="broodtekst"/>
            </w:pPr>
            <w:r w:rsidRPr="00025D4C">
              <w:t>14%</w:t>
            </w:r>
          </w:p>
        </w:tc>
      </w:tr>
      <w:tr w:rsidRPr="00025D4C" w:rsidR="000210B4" w:rsidTr="00CB43DF" w14:paraId="71F9423A" w14:textId="77777777">
        <w:trPr>
          <w:trHeight w:val="288"/>
        </w:trPr>
        <w:tc>
          <w:tcPr>
            <w:tcW w:w="3397" w:type="dxa"/>
            <w:noWrap/>
            <w:vAlign w:val="center"/>
            <w:hideMark/>
          </w:tcPr>
          <w:p w:rsidRPr="00025D4C" w:rsidR="000210B4" w:rsidP="00CB43DF" w:rsidRDefault="000210B4" w14:paraId="0A559B1E" w14:textId="77777777">
            <w:pPr>
              <w:pStyle w:val="broodtekst"/>
            </w:pPr>
            <w:r w:rsidRPr="00025D4C">
              <w:t>Liberia</w:t>
            </w:r>
          </w:p>
        </w:tc>
        <w:tc>
          <w:tcPr>
            <w:tcW w:w="2318" w:type="dxa"/>
            <w:noWrap/>
            <w:vAlign w:val="center"/>
            <w:hideMark/>
          </w:tcPr>
          <w:p w:rsidRPr="00025D4C" w:rsidR="000210B4" w:rsidP="00CB43DF" w:rsidRDefault="000210B4" w14:paraId="112C77B6" w14:textId="77777777">
            <w:pPr>
              <w:pStyle w:val="broodtekst"/>
            </w:pPr>
            <w:r w:rsidRPr="00025D4C">
              <w:t>14%</w:t>
            </w:r>
          </w:p>
        </w:tc>
      </w:tr>
      <w:tr w:rsidRPr="00025D4C" w:rsidR="000210B4" w:rsidTr="00CB43DF" w14:paraId="12AB077A" w14:textId="77777777">
        <w:trPr>
          <w:trHeight w:val="288"/>
        </w:trPr>
        <w:tc>
          <w:tcPr>
            <w:tcW w:w="3397" w:type="dxa"/>
            <w:noWrap/>
            <w:vAlign w:val="center"/>
            <w:hideMark/>
          </w:tcPr>
          <w:p w:rsidRPr="00025D4C" w:rsidR="000210B4" w:rsidP="00CB43DF" w:rsidRDefault="000210B4" w14:paraId="026EA55B" w14:textId="77777777">
            <w:pPr>
              <w:pStyle w:val="broodtekst"/>
            </w:pPr>
            <w:r w:rsidRPr="00025D4C">
              <w:t>Bolivia</w:t>
            </w:r>
          </w:p>
        </w:tc>
        <w:tc>
          <w:tcPr>
            <w:tcW w:w="2318" w:type="dxa"/>
            <w:noWrap/>
            <w:vAlign w:val="center"/>
            <w:hideMark/>
          </w:tcPr>
          <w:p w:rsidRPr="00025D4C" w:rsidR="000210B4" w:rsidP="00CB43DF" w:rsidRDefault="000210B4" w14:paraId="69CA5851" w14:textId="77777777">
            <w:pPr>
              <w:pStyle w:val="broodtekst"/>
            </w:pPr>
            <w:r w:rsidRPr="00025D4C">
              <w:t>14%</w:t>
            </w:r>
          </w:p>
        </w:tc>
      </w:tr>
      <w:tr w:rsidRPr="00025D4C" w:rsidR="000210B4" w:rsidTr="00CB43DF" w14:paraId="7A0E43A2" w14:textId="77777777">
        <w:trPr>
          <w:trHeight w:val="288"/>
        </w:trPr>
        <w:tc>
          <w:tcPr>
            <w:tcW w:w="3397" w:type="dxa"/>
            <w:noWrap/>
            <w:vAlign w:val="center"/>
            <w:hideMark/>
          </w:tcPr>
          <w:p w:rsidRPr="00025D4C" w:rsidR="000210B4" w:rsidP="00CB43DF" w:rsidRDefault="000210B4" w14:paraId="464A9AF4" w14:textId="77777777">
            <w:pPr>
              <w:pStyle w:val="broodtekst"/>
            </w:pPr>
            <w:r w:rsidRPr="00025D4C">
              <w:t>Verenigde Staten</w:t>
            </w:r>
          </w:p>
        </w:tc>
        <w:tc>
          <w:tcPr>
            <w:tcW w:w="2318" w:type="dxa"/>
            <w:noWrap/>
            <w:vAlign w:val="center"/>
            <w:hideMark/>
          </w:tcPr>
          <w:p w:rsidRPr="00025D4C" w:rsidR="000210B4" w:rsidP="00CB43DF" w:rsidRDefault="000210B4" w14:paraId="37274EFE" w14:textId="77777777">
            <w:pPr>
              <w:pStyle w:val="broodtekst"/>
            </w:pPr>
            <w:r w:rsidRPr="00025D4C">
              <w:t>14%</w:t>
            </w:r>
          </w:p>
        </w:tc>
      </w:tr>
      <w:tr w:rsidRPr="00025D4C" w:rsidR="000210B4" w:rsidTr="00CB43DF" w14:paraId="2977BD92" w14:textId="77777777">
        <w:trPr>
          <w:trHeight w:val="288"/>
        </w:trPr>
        <w:tc>
          <w:tcPr>
            <w:tcW w:w="3397" w:type="dxa"/>
            <w:noWrap/>
            <w:vAlign w:val="center"/>
            <w:hideMark/>
          </w:tcPr>
          <w:p w:rsidRPr="00025D4C" w:rsidR="000210B4" w:rsidP="00CB43DF" w:rsidRDefault="000210B4" w14:paraId="10458422" w14:textId="77777777">
            <w:pPr>
              <w:pStyle w:val="broodtekst"/>
            </w:pPr>
            <w:r w:rsidRPr="00025D4C">
              <w:t>Angola</w:t>
            </w:r>
          </w:p>
        </w:tc>
        <w:tc>
          <w:tcPr>
            <w:tcW w:w="2318" w:type="dxa"/>
            <w:noWrap/>
            <w:vAlign w:val="center"/>
            <w:hideMark/>
          </w:tcPr>
          <w:p w:rsidRPr="00025D4C" w:rsidR="000210B4" w:rsidP="00CB43DF" w:rsidRDefault="000210B4" w14:paraId="55EABD94" w14:textId="77777777">
            <w:pPr>
              <w:pStyle w:val="broodtekst"/>
            </w:pPr>
            <w:r w:rsidRPr="00025D4C">
              <w:t>13%</w:t>
            </w:r>
          </w:p>
        </w:tc>
      </w:tr>
      <w:tr w:rsidRPr="00025D4C" w:rsidR="000210B4" w:rsidTr="00CB43DF" w14:paraId="35CFF9DB" w14:textId="77777777">
        <w:trPr>
          <w:trHeight w:val="288"/>
        </w:trPr>
        <w:tc>
          <w:tcPr>
            <w:tcW w:w="3397" w:type="dxa"/>
            <w:noWrap/>
            <w:vAlign w:val="center"/>
            <w:hideMark/>
          </w:tcPr>
          <w:p w:rsidRPr="00025D4C" w:rsidR="000210B4" w:rsidP="00CB43DF" w:rsidRDefault="000210B4" w14:paraId="71B0459B" w14:textId="77777777">
            <w:pPr>
              <w:pStyle w:val="broodtekst"/>
            </w:pPr>
            <w:r w:rsidRPr="00025D4C">
              <w:t>Dominicaanse Republiek</w:t>
            </w:r>
          </w:p>
        </w:tc>
        <w:tc>
          <w:tcPr>
            <w:tcW w:w="2318" w:type="dxa"/>
            <w:noWrap/>
            <w:vAlign w:val="center"/>
            <w:hideMark/>
          </w:tcPr>
          <w:p w:rsidRPr="00025D4C" w:rsidR="000210B4" w:rsidP="00CB43DF" w:rsidRDefault="000210B4" w14:paraId="126B34A9" w14:textId="77777777">
            <w:pPr>
              <w:pStyle w:val="broodtekst"/>
            </w:pPr>
            <w:r w:rsidRPr="00025D4C">
              <w:t>13%</w:t>
            </w:r>
          </w:p>
        </w:tc>
      </w:tr>
      <w:tr w:rsidRPr="00025D4C" w:rsidR="000210B4" w:rsidTr="00CB43DF" w14:paraId="7026B282" w14:textId="77777777">
        <w:trPr>
          <w:trHeight w:val="288"/>
        </w:trPr>
        <w:tc>
          <w:tcPr>
            <w:tcW w:w="3397" w:type="dxa"/>
            <w:noWrap/>
            <w:vAlign w:val="center"/>
            <w:hideMark/>
          </w:tcPr>
          <w:p w:rsidRPr="00025D4C" w:rsidR="000210B4" w:rsidP="00CB43DF" w:rsidRDefault="000210B4" w14:paraId="06B124D2" w14:textId="77777777">
            <w:pPr>
              <w:pStyle w:val="broodtekst"/>
            </w:pPr>
            <w:r w:rsidRPr="00025D4C">
              <w:t>Cuba</w:t>
            </w:r>
          </w:p>
        </w:tc>
        <w:tc>
          <w:tcPr>
            <w:tcW w:w="2318" w:type="dxa"/>
            <w:noWrap/>
            <w:vAlign w:val="center"/>
            <w:hideMark/>
          </w:tcPr>
          <w:p w:rsidRPr="00025D4C" w:rsidR="000210B4" w:rsidP="00CB43DF" w:rsidRDefault="000210B4" w14:paraId="54DE5318" w14:textId="77777777">
            <w:pPr>
              <w:pStyle w:val="broodtekst"/>
            </w:pPr>
            <w:r w:rsidRPr="00025D4C">
              <w:t>13%</w:t>
            </w:r>
          </w:p>
        </w:tc>
      </w:tr>
      <w:tr w:rsidRPr="00025D4C" w:rsidR="000210B4" w:rsidTr="00CB43DF" w14:paraId="3E0A26C9" w14:textId="77777777">
        <w:trPr>
          <w:trHeight w:val="288"/>
        </w:trPr>
        <w:tc>
          <w:tcPr>
            <w:tcW w:w="3397" w:type="dxa"/>
            <w:noWrap/>
            <w:vAlign w:val="center"/>
            <w:hideMark/>
          </w:tcPr>
          <w:p w:rsidRPr="00025D4C" w:rsidR="000210B4" w:rsidP="00CB43DF" w:rsidRDefault="000210B4" w14:paraId="179B098F" w14:textId="77777777">
            <w:pPr>
              <w:pStyle w:val="broodtekst"/>
            </w:pPr>
            <w:r w:rsidRPr="00025D4C">
              <w:t>Brazilië</w:t>
            </w:r>
          </w:p>
        </w:tc>
        <w:tc>
          <w:tcPr>
            <w:tcW w:w="2318" w:type="dxa"/>
            <w:noWrap/>
            <w:vAlign w:val="center"/>
            <w:hideMark/>
          </w:tcPr>
          <w:p w:rsidRPr="00025D4C" w:rsidR="000210B4" w:rsidP="00CB43DF" w:rsidRDefault="000210B4" w14:paraId="31CA6ED1" w14:textId="77777777">
            <w:pPr>
              <w:pStyle w:val="broodtekst"/>
            </w:pPr>
            <w:r w:rsidRPr="00025D4C">
              <w:t>13%</w:t>
            </w:r>
          </w:p>
        </w:tc>
      </w:tr>
      <w:tr w:rsidRPr="00025D4C" w:rsidR="000210B4" w:rsidTr="00CB43DF" w14:paraId="58460203" w14:textId="77777777">
        <w:trPr>
          <w:trHeight w:val="288"/>
        </w:trPr>
        <w:tc>
          <w:tcPr>
            <w:tcW w:w="3397" w:type="dxa"/>
            <w:noWrap/>
            <w:vAlign w:val="center"/>
            <w:hideMark/>
          </w:tcPr>
          <w:p w:rsidRPr="00025D4C" w:rsidR="000210B4" w:rsidP="00CB43DF" w:rsidRDefault="000210B4" w14:paraId="267EC536" w14:textId="77777777">
            <w:pPr>
              <w:pStyle w:val="broodtekst"/>
            </w:pPr>
            <w:r w:rsidRPr="00025D4C">
              <w:t>Namibië</w:t>
            </w:r>
          </w:p>
        </w:tc>
        <w:tc>
          <w:tcPr>
            <w:tcW w:w="2318" w:type="dxa"/>
            <w:noWrap/>
            <w:vAlign w:val="center"/>
            <w:hideMark/>
          </w:tcPr>
          <w:p w:rsidRPr="00025D4C" w:rsidR="000210B4" w:rsidP="00CB43DF" w:rsidRDefault="000210B4" w14:paraId="68607A70" w14:textId="77777777">
            <w:pPr>
              <w:pStyle w:val="broodtekst"/>
            </w:pPr>
            <w:r w:rsidRPr="00025D4C">
              <w:t>13%</w:t>
            </w:r>
          </w:p>
        </w:tc>
      </w:tr>
      <w:tr w:rsidRPr="00025D4C" w:rsidR="000210B4" w:rsidTr="00CB43DF" w14:paraId="6781DEBC" w14:textId="77777777">
        <w:trPr>
          <w:trHeight w:val="288"/>
        </w:trPr>
        <w:tc>
          <w:tcPr>
            <w:tcW w:w="3397" w:type="dxa"/>
            <w:noWrap/>
            <w:vAlign w:val="center"/>
            <w:hideMark/>
          </w:tcPr>
          <w:p w:rsidRPr="00025D4C" w:rsidR="000210B4" w:rsidP="00CB43DF" w:rsidRDefault="000210B4" w14:paraId="10C81970" w14:textId="77777777">
            <w:pPr>
              <w:pStyle w:val="broodtekst"/>
            </w:pPr>
            <w:r w:rsidRPr="00025D4C">
              <w:t>Peru</w:t>
            </w:r>
          </w:p>
        </w:tc>
        <w:tc>
          <w:tcPr>
            <w:tcW w:w="2318" w:type="dxa"/>
            <w:noWrap/>
            <w:vAlign w:val="center"/>
            <w:hideMark/>
          </w:tcPr>
          <w:p w:rsidRPr="00025D4C" w:rsidR="000210B4" w:rsidP="00CB43DF" w:rsidRDefault="000210B4" w14:paraId="6784AA30" w14:textId="77777777">
            <w:pPr>
              <w:pStyle w:val="broodtekst"/>
            </w:pPr>
            <w:r w:rsidRPr="00025D4C">
              <w:t>12%</w:t>
            </w:r>
          </w:p>
        </w:tc>
      </w:tr>
      <w:tr w:rsidRPr="00025D4C" w:rsidR="000210B4" w:rsidTr="00CB43DF" w14:paraId="4A0FB562" w14:textId="77777777">
        <w:trPr>
          <w:trHeight w:val="288"/>
        </w:trPr>
        <w:tc>
          <w:tcPr>
            <w:tcW w:w="3397" w:type="dxa"/>
            <w:noWrap/>
            <w:vAlign w:val="center"/>
            <w:hideMark/>
          </w:tcPr>
          <w:p w:rsidRPr="00025D4C" w:rsidR="000210B4" w:rsidP="00CB43DF" w:rsidRDefault="000210B4" w14:paraId="7C4AB054" w14:textId="77777777">
            <w:pPr>
              <w:pStyle w:val="broodtekst"/>
            </w:pPr>
            <w:r w:rsidRPr="00025D4C">
              <w:t>Senegal</w:t>
            </w:r>
          </w:p>
        </w:tc>
        <w:tc>
          <w:tcPr>
            <w:tcW w:w="2318" w:type="dxa"/>
            <w:noWrap/>
            <w:vAlign w:val="center"/>
            <w:hideMark/>
          </w:tcPr>
          <w:p w:rsidRPr="00025D4C" w:rsidR="000210B4" w:rsidP="00CB43DF" w:rsidRDefault="000210B4" w14:paraId="585B8525" w14:textId="77777777">
            <w:pPr>
              <w:pStyle w:val="broodtekst"/>
            </w:pPr>
            <w:r w:rsidRPr="00025D4C">
              <w:t>11%</w:t>
            </w:r>
          </w:p>
        </w:tc>
      </w:tr>
      <w:tr w:rsidRPr="00025D4C" w:rsidR="000210B4" w:rsidTr="00CB43DF" w14:paraId="04A84894" w14:textId="77777777">
        <w:trPr>
          <w:trHeight w:val="288"/>
        </w:trPr>
        <w:tc>
          <w:tcPr>
            <w:tcW w:w="3397" w:type="dxa"/>
            <w:noWrap/>
            <w:vAlign w:val="center"/>
            <w:hideMark/>
          </w:tcPr>
          <w:p w:rsidRPr="00025D4C" w:rsidR="000210B4" w:rsidP="00CB43DF" w:rsidRDefault="000210B4" w14:paraId="57AE3B61" w14:textId="77777777">
            <w:pPr>
              <w:pStyle w:val="broodtekst"/>
            </w:pPr>
            <w:r w:rsidRPr="00025D4C">
              <w:t>Tunesië</w:t>
            </w:r>
          </w:p>
        </w:tc>
        <w:tc>
          <w:tcPr>
            <w:tcW w:w="2318" w:type="dxa"/>
            <w:noWrap/>
            <w:vAlign w:val="center"/>
            <w:hideMark/>
          </w:tcPr>
          <w:p w:rsidRPr="00025D4C" w:rsidR="000210B4" w:rsidP="00CB43DF" w:rsidRDefault="000210B4" w14:paraId="5228DCB7" w14:textId="77777777">
            <w:pPr>
              <w:pStyle w:val="broodtekst"/>
            </w:pPr>
            <w:r w:rsidRPr="00025D4C">
              <w:t>11%</w:t>
            </w:r>
          </w:p>
        </w:tc>
      </w:tr>
      <w:tr w:rsidRPr="00025D4C" w:rsidR="000210B4" w:rsidTr="00CB43DF" w14:paraId="79E5536C" w14:textId="77777777">
        <w:trPr>
          <w:trHeight w:val="288"/>
        </w:trPr>
        <w:tc>
          <w:tcPr>
            <w:tcW w:w="3397" w:type="dxa"/>
            <w:noWrap/>
            <w:vAlign w:val="center"/>
            <w:hideMark/>
          </w:tcPr>
          <w:p w:rsidRPr="00025D4C" w:rsidR="000210B4" w:rsidP="00CB43DF" w:rsidRDefault="000210B4" w14:paraId="46F4FF0D" w14:textId="77777777">
            <w:pPr>
              <w:pStyle w:val="broodtekst"/>
            </w:pPr>
            <w:r w:rsidRPr="00025D4C">
              <w:t>Argentinië</w:t>
            </w:r>
          </w:p>
        </w:tc>
        <w:tc>
          <w:tcPr>
            <w:tcW w:w="2318" w:type="dxa"/>
            <w:noWrap/>
            <w:vAlign w:val="center"/>
            <w:hideMark/>
          </w:tcPr>
          <w:p w:rsidRPr="00025D4C" w:rsidR="000210B4" w:rsidP="00CB43DF" w:rsidRDefault="000210B4" w14:paraId="3FE972C9" w14:textId="77777777">
            <w:pPr>
              <w:pStyle w:val="broodtekst"/>
            </w:pPr>
            <w:r w:rsidRPr="00025D4C">
              <w:t>11%</w:t>
            </w:r>
          </w:p>
        </w:tc>
      </w:tr>
      <w:tr w:rsidRPr="00025D4C" w:rsidR="000210B4" w:rsidTr="00CB43DF" w14:paraId="10CF8035" w14:textId="77777777">
        <w:trPr>
          <w:trHeight w:val="288"/>
        </w:trPr>
        <w:tc>
          <w:tcPr>
            <w:tcW w:w="3397" w:type="dxa"/>
            <w:noWrap/>
            <w:vAlign w:val="center"/>
            <w:hideMark/>
          </w:tcPr>
          <w:p w:rsidRPr="00025D4C" w:rsidR="000210B4" w:rsidP="00CB43DF" w:rsidRDefault="000210B4" w14:paraId="6DBE3E3B" w14:textId="77777777">
            <w:pPr>
              <w:pStyle w:val="broodtekst"/>
            </w:pPr>
            <w:r w:rsidRPr="00025D4C">
              <w:t>Algerije</w:t>
            </w:r>
          </w:p>
        </w:tc>
        <w:tc>
          <w:tcPr>
            <w:tcW w:w="2318" w:type="dxa"/>
            <w:noWrap/>
            <w:vAlign w:val="center"/>
            <w:hideMark/>
          </w:tcPr>
          <w:p w:rsidRPr="00025D4C" w:rsidR="000210B4" w:rsidP="00CB43DF" w:rsidRDefault="000210B4" w14:paraId="36666222" w14:textId="77777777">
            <w:pPr>
              <w:pStyle w:val="broodtekst"/>
            </w:pPr>
            <w:r w:rsidRPr="00025D4C">
              <w:t>10%</w:t>
            </w:r>
          </w:p>
        </w:tc>
      </w:tr>
      <w:tr w:rsidRPr="00025D4C" w:rsidR="000210B4" w:rsidTr="00CB43DF" w14:paraId="1872201E" w14:textId="77777777">
        <w:trPr>
          <w:trHeight w:val="288"/>
        </w:trPr>
        <w:tc>
          <w:tcPr>
            <w:tcW w:w="3397" w:type="dxa"/>
            <w:noWrap/>
            <w:vAlign w:val="center"/>
            <w:hideMark/>
          </w:tcPr>
          <w:p w:rsidRPr="00025D4C" w:rsidR="000210B4" w:rsidP="00CB43DF" w:rsidRDefault="000210B4" w14:paraId="03761A2B" w14:textId="77777777">
            <w:pPr>
              <w:pStyle w:val="broodtekst"/>
            </w:pPr>
            <w:r w:rsidRPr="00025D4C">
              <w:t>Egypte</w:t>
            </w:r>
          </w:p>
        </w:tc>
        <w:tc>
          <w:tcPr>
            <w:tcW w:w="2318" w:type="dxa"/>
            <w:noWrap/>
            <w:vAlign w:val="center"/>
            <w:hideMark/>
          </w:tcPr>
          <w:p w:rsidRPr="00025D4C" w:rsidR="000210B4" w:rsidP="00CB43DF" w:rsidRDefault="000210B4" w14:paraId="64D69DD7" w14:textId="77777777">
            <w:pPr>
              <w:pStyle w:val="broodtekst"/>
            </w:pPr>
            <w:r w:rsidRPr="00025D4C">
              <w:t>10%</w:t>
            </w:r>
          </w:p>
        </w:tc>
      </w:tr>
      <w:tr w:rsidRPr="00025D4C" w:rsidR="000210B4" w:rsidTr="00CB43DF" w14:paraId="667C7077" w14:textId="77777777">
        <w:trPr>
          <w:trHeight w:val="288"/>
        </w:trPr>
        <w:tc>
          <w:tcPr>
            <w:tcW w:w="3397" w:type="dxa"/>
            <w:noWrap/>
            <w:vAlign w:val="center"/>
            <w:hideMark/>
          </w:tcPr>
          <w:p w:rsidRPr="00025D4C" w:rsidR="000210B4" w:rsidP="00CB43DF" w:rsidRDefault="000210B4" w14:paraId="6D46DEA9" w14:textId="77777777">
            <w:pPr>
              <w:pStyle w:val="broodtekst"/>
            </w:pPr>
            <w:r w:rsidRPr="00025D4C">
              <w:t>Ecuador</w:t>
            </w:r>
          </w:p>
        </w:tc>
        <w:tc>
          <w:tcPr>
            <w:tcW w:w="2318" w:type="dxa"/>
            <w:noWrap/>
            <w:vAlign w:val="center"/>
            <w:hideMark/>
          </w:tcPr>
          <w:p w:rsidRPr="00025D4C" w:rsidR="000210B4" w:rsidP="00CB43DF" w:rsidRDefault="000210B4" w14:paraId="52D8E956" w14:textId="77777777">
            <w:pPr>
              <w:pStyle w:val="broodtekst"/>
            </w:pPr>
            <w:r w:rsidRPr="00025D4C">
              <w:t>10%</w:t>
            </w:r>
          </w:p>
        </w:tc>
      </w:tr>
      <w:tr w:rsidRPr="00025D4C" w:rsidR="000210B4" w:rsidTr="00CB43DF" w14:paraId="4FC6B4F1" w14:textId="77777777">
        <w:trPr>
          <w:trHeight w:val="288"/>
        </w:trPr>
        <w:tc>
          <w:tcPr>
            <w:tcW w:w="3397" w:type="dxa"/>
            <w:noWrap/>
            <w:vAlign w:val="center"/>
            <w:hideMark/>
          </w:tcPr>
          <w:p w:rsidRPr="00025D4C" w:rsidR="000210B4" w:rsidP="00CB43DF" w:rsidRDefault="000210B4" w14:paraId="4EF37878" w14:textId="77777777">
            <w:pPr>
              <w:pStyle w:val="broodtekst"/>
            </w:pPr>
            <w:r w:rsidRPr="00025D4C">
              <w:t>Azerbeidzjan</w:t>
            </w:r>
          </w:p>
        </w:tc>
        <w:tc>
          <w:tcPr>
            <w:tcW w:w="2318" w:type="dxa"/>
            <w:noWrap/>
            <w:vAlign w:val="center"/>
            <w:hideMark/>
          </w:tcPr>
          <w:p w:rsidRPr="00025D4C" w:rsidR="000210B4" w:rsidP="00CB43DF" w:rsidRDefault="000210B4" w14:paraId="6D617B5E" w14:textId="77777777">
            <w:pPr>
              <w:pStyle w:val="broodtekst"/>
            </w:pPr>
            <w:r w:rsidRPr="00025D4C">
              <w:t>9%</w:t>
            </w:r>
          </w:p>
        </w:tc>
      </w:tr>
      <w:tr w:rsidRPr="00025D4C" w:rsidR="000210B4" w:rsidTr="00CB43DF" w14:paraId="3E22C9F4" w14:textId="77777777">
        <w:trPr>
          <w:trHeight w:val="288"/>
        </w:trPr>
        <w:tc>
          <w:tcPr>
            <w:tcW w:w="3397" w:type="dxa"/>
            <w:noWrap/>
            <w:vAlign w:val="center"/>
            <w:hideMark/>
          </w:tcPr>
          <w:p w:rsidRPr="00025D4C" w:rsidR="000210B4" w:rsidP="00CB43DF" w:rsidRDefault="000210B4" w14:paraId="15185BB1" w14:textId="77777777">
            <w:pPr>
              <w:pStyle w:val="broodtekst"/>
            </w:pPr>
            <w:r w:rsidRPr="00025D4C">
              <w:t>Mongolië</w:t>
            </w:r>
          </w:p>
        </w:tc>
        <w:tc>
          <w:tcPr>
            <w:tcW w:w="2318" w:type="dxa"/>
            <w:noWrap/>
            <w:vAlign w:val="center"/>
            <w:hideMark/>
          </w:tcPr>
          <w:p w:rsidRPr="00025D4C" w:rsidR="000210B4" w:rsidP="00CB43DF" w:rsidRDefault="000210B4" w14:paraId="62825C7B" w14:textId="77777777">
            <w:pPr>
              <w:pStyle w:val="broodtekst"/>
            </w:pPr>
            <w:r w:rsidRPr="00025D4C">
              <w:t>9%</w:t>
            </w:r>
          </w:p>
        </w:tc>
      </w:tr>
      <w:tr w:rsidRPr="00025D4C" w:rsidR="000210B4" w:rsidTr="00CB43DF" w14:paraId="6B970C35" w14:textId="77777777">
        <w:trPr>
          <w:trHeight w:val="288"/>
        </w:trPr>
        <w:tc>
          <w:tcPr>
            <w:tcW w:w="3397" w:type="dxa"/>
            <w:noWrap/>
            <w:vAlign w:val="center"/>
            <w:hideMark/>
          </w:tcPr>
          <w:p w:rsidRPr="00025D4C" w:rsidR="000210B4" w:rsidP="00CB43DF" w:rsidRDefault="000210B4" w14:paraId="57AA655D" w14:textId="77777777">
            <w:pPr>
              <w:pStyle w:val="broodtekst"/>
            </w:pPr>
            <w:r w:rsidRPr="00025D4C">
              <w:t>Kenia</w:t>
            </w:r>
          </w:p>
        </w:tc>
        <w:tc>
          <w:tcPr>
            <w:tcW w:w="2318" w:type="dxa"/>
            <w:noWrap/>
            <w:vAlign w:val="center"/>
            <w:hideMark/>
          </w:tcPr>
          <w:p w:rsidRPr="00025D4C" w:rsidR="000210B4" w:rsidP="00CB43DF" w:rsidRDefault="000210B4" w14:paraId="3EFF84D1" w14:textId="77777777">
            <w:pPr>
              <w:pStyle w:val="broodtekst"/>
            </w:pPr>
            <w:r w:rsidRPr="00025D4C">
              <w:t>9%</w:t>
            </w:r>
          </w:p>
        </w:tc>
      </w:tr>
      <w:tr w:rsidRPr="00025D4C" w:rsidR="000210B4" w:rsidTr="00CB43DF" w14:paraId="02B31562" w14:textId="77777777">
        <w:trPr>
          <w:trHeight w:val="288"/>
        </w:trPr>
        <w:tc>
          <w:tcPr>
            <w:tcW w:w="3397" w:type="dxa"/>
            <w:noWrap/>
            <w:vAlign w:val="center"/>
            <w:hideMark/>
          </w:tcPr>
          <w:p w:rsidRPr="00025D4C" w:rsidR="000210B4" w:rsidP="00CB43DF" w:rsidRDefault="000210B4" w14:paraId="1CBC35A2" w14:textId="77777777">
            <w:pPr>
              <w:pStyle w:val="broodtekst"/>
            </w:pPr>
            <w:r w:rsidRPr="00025D4C">
              <w:t>Suriname</w:t>
            </w:r>
          </w:p>
        </w:tc>
        <w:tc>
          <w:tcPr>
            <w:tcW w:w="2318" w:type="dxa"/>
            <w:noWrap/>
            <w:vAlign w:val="center"/>
            <w:hideMark/>
          </w:tcPr>
          <w:p w:rsidRPr="00025D4C" w:rsidR="000210B4" w:rsidP="00CB43DF" w:rsidRDefault="000210B4" w14:paraId="7B623C5F" w14:textId="77777777">
            <w:pPr>
              <w:pStyle w:val="broodtekst"/>
            </w:pPr>
            <w:r w:rsidRPr="00025D4C">
              <w:t>8%</w:t>
            </w:r>
          </w:p>
        </w:tc>
      </w:tr>
      <w:tr w:rsidRPr="00025D4C" w:rsidR="000210B4" w:rsidTr="00CB43DF" w14:paraId="32B16872" w14:textId="77777777">
        <w:trPr>
          <w:trHeight w:val="288"/>
        </w:trPr>
        <w:tc>
          <w:tcPr>
            <w:tcW w:w="3397" w:type="dxa"/>
            <w:noWrap/>
            <w:vAlign w:val="center"/>
            <w:hideMark/>
          </w:tcPr>
          <w:p w:rsidRPr="00025D4C" w:rsidR="000210B4" w:rsidP="00CB43DF" w:rsidRDefault="000210B4" w14:paraId="2B47F04C" w14:textId="77777777">
            <w:pPr>
              <w:pStyle w:val="broodtekst"/>
            </w:pPr>
            <w:r w:rsidRPr="00025D4C">
              <w:t>Uruguay</w:t>
            </w:r>
          </w:p>
        </w:tc>
        <w:tc>
          <w:tcPr>
            <w:tcW w:w="2318" w:type="dxa"/>
            <w:noWrap/>
            <w:vAlign w:val="center"/>
            <w:hideMark/>
          </w:tcPr>
          <w:p w:rsidRPr="00025D4C" w:rsidR="000210B4" w:rsidP="00CB43DF" w:rsidRDefault="000210B4" w14:paraId="01DA6716" w14:textId="77777777">
            <w:pPr>
              <w:pStyle w:val="broodtekst"/>
            </w:pPr>
            <w:r w:rsidRPr="00025D4C">
              <w:t>8%</w:t>
            </w:r>
          </w:p>
        </w:tc>
      </w:tr>
      <w:tr w:rsidRPr="00025D4C" w:rsidR="000210B4" w:rsidTr="00CB43DF" w14:paraId="7A2012C3" w14:textId="77777777">
        <w:trPr>
          <w:trHeight w:val="288"/>
        </w:trPr>
        <w:tc>
          <w:tcPr>
            <w:tcW w:w="3397" w:type="dxa"/>
            <w:noWrap/>
            <w:vAlign w:val="center"/>
            <w:hideMark/>
          </w:tcPr>
          <w:p w:rsidRPr="00025D4C" w:rsidR="000210B4" w:rsidP="00CB43DF" w:rsidRDefault="000210B4" w14:paraId="5B00B2C2" w14:textId="77777777">
            <w:pPr>
              <w:pStyle w:val="broodtekst"/>
            </w:pPr>
            <w:r w:rsidRPr="00025D4C">
              <w:t>Albanië</w:t>
            </w:r>
          </w:p>
        </w:tc>
        <w:tc>
          <w:tcPr>
            <w:tcW w:w="2318" w:type="dxa"/>
            <w:noWrap/>
            <w:vAlign w:val="center"/>
            <w:hideMark/>
          </w:tcPr>
          <w:p w:rsidRPr="00025D4C" w:rsidR="000210B4" w:rsidP="00CB43DF" w:rsidRDefault="000210B4" w14:paraId="44D6A90C" w14:textId="77777777">
            <w:pPr>
              <w:pStyle w:val="broodtekst"/>
            </w:pPr>
            <w:r w:rsidRPr="00025D4C">
              <w:t>8%</w:t>
            </w:r>
          </w:p>
        </w:tc>
      </w:tr>
      <w:tr w:rsidRPr="00025D4C" w:rsidR="000210B4" w:rsidTr="00CB43DF" w14:paraId="2DB4CFF3" w14:textId="77777777">
        <w:trPr>
          <w:trHeight w:val="288"/>
        </w:trPr>
        <w:tc>
          <w:tcPr>
            <w:tcW w:w="3397" w:type="dxa"/>
            <w:noWrap/>
            <w:vAlign w:val="center"/>
            <w:hideMark/>
          </w:tcPr>
          <w:p w:rsidRPr="00025D4C" w:rsidR="000210B4" w:rsidP="00CB43DF" w:rsidRDefault="000210B4" w14:paraId="3B7CC823" w14:textId="77777777">
            <w:pPr>
              <w:pStyle w:val="broodtekst"/>
            </w:pPr>
            <w:r w:rsidRPr="00025D4C">
              <w:t>Marokko</w:t>
            </w:r>
          </w:p>
        </w:tc>
        <w:tc>
          <w:tcPr>
            <w:tcW w:w="2318" w:type="dxa"/>
            <w:noWrap/>
            <w:vAlign w:val="center"/>
            <w:hideMark/>
          </w:tcPr>
          <w:p w:rsidRPr="00025D4C" w:rsidR="000210B4" w:rsidP="00CB43DF" w:rsidRDefault="000210B4" w14:paraId="3D16C5F3" w14:textId="77777777">
            <w:pPr>
              <w:pStyle w:val="broodtekst"/>
            </w:pPr>
            <w:r w:rsidRPr="00025D4C">
              <w:t>7%</w:t>
            </w:r>
          </w:p>
        </w:tc>
      </w:tr>
      <w:tr w:rsidRPr="00025D4C" w:rsidR="000210B4" w:rsidTr="00CB43DF" w14:paraId="2D5D3732" w14:textId="77777777">
        <w:trPr>
          <w:trHeight w:val="288"/>
        </w:trPr>
        <w:tc>
          <w:tcPr>
            <w:tcW w:w="3397" w:type="dxa"/>
            <w:noWrap/>
            <w:vAlign w:val="center"/>
            <w:hideMark/>
          </w:tcPr>
          <w:p w:rsidRPr="00025D4C" w:rsidR="000210B4" w:rsidP="00CB43DF" w:rsidRDefault="000210B4" w14:paraId="0C9A5A7F" w14:textId="77777777">
            <w:pPr>
              <w:pStyle w:val="broodtekst"/>
            </w:pPr>
            <w:r w:rsidRPr="00025D4C">
              <w:t>Georgië</w:t>
            </w:r>
          </w:p>
        </w:tc>
        <w:tc>
          <w:tcPr>
            <w:tcW w:w="2318" w:type="dxa"/>
            <w:noWrap/>
            <w:vAlign w:val="center"/>
            <w:hideMark/>
          </w:tcPr>
          <w:p w:rsidRPr="00025D4C" w:rsidR="000210B4" w:rsidP="00CB43DF" w:rsidRDefault="000210B4" w14:paraId="188E7CFA" w14:textId="77777777">
            <w:pPr>
              <w:pStyle w:val="broodtekst"/>
            </w:pPr>
            <w:r w:rsidRPr="00025D4C">
              <w:t>7%</w:t>
            </w:r>
          </w:p>
        </w:tc>
      </w:tr>
      <w:tr w:rsidRPr="00025D4C" w:rsidR="000210B4" w:rsidTr="00CB43DF" w14:paraId="03A26D99" w14:textId="77777777">
        <w:trPr>
          <w:trHeight w:val="288"/>
        </w:trPr>
        <w:tc>
          <w:tcPr>
            <w:tcW w:w="3397" w:type="dxa"/>
            <w:noWrap/>
            <w:vAlign w:val="center"/>
            <w:hideMark/>
          </w:tcPr>
          <w:p w:rsidRPr="00025D4C" w:rsidR="000210B4" w:rsidP="00CB43DF" w:rsidRDefault="000210B4" w14:paraId="6C1B51BA" w14:textId="77777777">
            <w:pPr>
              <w:pStyle w:val="broodtekst"/>
            </w:pPr>
            <w:r w:rsidRPr="00025D4C">
              <w:t>Colombia</w:t>
            </w:r>
          </w:p>
        </w:tc>
        <w:tc>
          <w:tcPr>
            <w:tcW w:w="2318" w:type="dxa"/>
            <w:noWrap/>
            <w:vAlign w:val="center"/>
            <w:hideMark/>
          </w:tcPr>
          <w:p w:rsidRPr="00025D4C" w:rsidR="000210B4" w:rsidP="00CB43DF" w:rsidRDefault="000210B4" w14:paraId="6F1B413B" w14:textId="77777777">
            <w:pPr>
              <w:pStyle w:val="broodtekst"/>
            </w:pPr>
            <w:r w:rsidRPr="00025D4C">
              <w:t>7%</w:t>
            </w:r>
          </w:p>
        </w:tc>
      </w:tr>
      <w:tr w:rsidRPr="00025D4C" w:rsidR="000210B4" w:rsidTr="00CB43DF" w14:paraId="5212D19D" w14:textId="77777777">
        <w:trPr>
          <w:trHeight w:val="288"/>
        </w:trPr>
        <w:tc>
          <w:tcPr>
            <w:tcW w:w="3397" w:type="dxa"/>
            <w:noWrap/>
            <w:vAlign w:val="center"/>
            <w:hideMark/>
          </w:tcPr>
          <w:p w:rsidRPr="00025D4C" w:rsidR="000210B4" w:rsidP="00CB43DF" w:rsidRDefault="000210B4" w14:paraId="09532F1F" w14:textId="77777777">
            <w:pPr>
              <w:pStyle w:val="broodtekst"/>
            </w:pPr>
            <w:r w:rsidRPr="00025D4C">
              <w:t>Paraguay</w:t>
            </w:r>
          </w:p>
        </w:tc>
        <w:tc>
          <w:tcPr>
            <w:tcW w:w="2318" w:type="dxa"/>
            <w:noWrap/>
            <w:vAlign w:val="center"/>
            <w:hideMark/>
          </w:tcPr>
          <w:p w:rsidRPr="00025D4C" w:rsidR="000210B4" w:rsidP="00CB43DF" w:rsidRDefault="000210B4" w14:paraId="57437600" w14:textId="77777777">
            <w:pPr>
              <w:pStyle w:val="broodtekst"/>
            </w:pPr>
            <w:r w:rsidRPr="00025D4C">
              <w:t>7%</w:t>
            </w:r>
          </w:p>
        </w:tc>
      </w:tr>
      <w:tr w:rsidRPr="00025D4C" w:rsidR="000210B4" w:rsidTr="00CB43DF" w14:paraId="18EB908E" w14:textId="77777777">
        <w:trPr>
          <w:trHeight w:val="288"/>
        </w:trPr>
        <w:tc>
          <w:tcPr>
            <w:tcW w:w="3397" w:type="dxa"/>
            <w:noWrap/>
            <w:vAlign w:val="center"/>
            <w:hideMark/>
          </w:tcPr>
          <w:p w:rsidRPr="00025D4C" w:rsidR="000210B4" w:rsidP="00CB43DF" w:rsidRDefault="000210B4" w14:paraId="3700584A" w14:textId="77777777">
            <w:pPr>
              <w:pStyle w:val="broodtekst"/>
            </w:pPr>
            <w:r w:rsidRPr="00025D4C">
              <w:t>Cambodja</w:t>
            </w:r>
          </w:p>
        </w:tc>
        <w:tc>
          <w:tcPr>
            <w:tcW w:w="2318" w:type="dxa"/>
            <w:noWrap/>
            <w:vAlign w:val="center"/>
            <w:hideMark/>
          </w:tcPr>
          <w:p w:rsidRPr="00025D4C" w:rsidR="000210B4" w:rsidP="00CB43DF" w:rsidRDefault="000210B4" w14:paraId="2347EA13" w14:textId="77777777">
            <w:pPr>
              <w:pStyle w:val="broodtekst"/>
            </w:pPr>
            <w:r w:rsidRPr="00025D4C">
              <w:t>7%</w:t>
            </w:r>
          </w:p>
        </w:tc>
      </w:tr>
      <w:tr w:rsidRPr="00025D4C" w:rsidR="000210B4" w:rsidTr="00CB43DF" w14:paraId="1F9AE161" w14:textId="77777777">
        <w:trPr>
          <w:trHeight w:val="288"/>
        </w:trPr>
        <w:tc>
          <w:tcPr>
            <w:tcW w:w="3397" w:type="dxa"/>
            <w:noWrap/>
            <w:vAlign w:val="center"/>
            <w:hideMark/>
          </w:tcPr>
          <w:p w:rsidRPr="00025D4C" w:rsidR="000210B4" w:rsidP="00CB43DF" w:rsidRDefault="000210B4" w14:paraId="20154D29" w14:textId="77777777">
            <w:pPr>
              <w:pStyle w:val="broodtekst"/>
            </w:pPr>
            <w:r w:rsidRPr="00025D4C">
              <w:t>Israël</w:t>
            </w:r>
          </w:p>
        </w:tc>
        <w:tc>
          <w:tcPr>
            <w:tcW w:w="2318" w:type="dxa"/>
            <w:noWrap/>
            <w:vAlign w:val="center"/>
            <w:hideMark/>
          </w:tcPr>
          <w:p w:rsidRPr="00025D4C" w:rsidR="000210B4" w:rsidP="00CB43DF" w:rsidRDefault="000210B4" w14:paraId="6C3DF2DC" w14:textId="77777777">
            <w:pPr>
              <w:pStyle w:val="broodtekst"/>
            </w:pPr>
            <w:r w:rsidRPr="00025D4C">
              <w:t>6%</w:t>
            </w:r>
          </w:p>
        </w:tc>
      </w:tr>
      <w:tr w:rsidRPr="00025D4C" w:rsidR="000210B4" w:rsidTr="00CB43DF" w14:paraId="2287EE17" w14:textId="77777777">
        <w:trPr>
          <w:trHeight w:val="288"/>
        </w:trPr>
        <w:tc>
          <w:tcPr>
            <w:tcW w:w="3397" w:type="dxa"/>
            <w:noWrap/>
            <w:vAlign w:val="center"/>
            <w:hideMark/>
          </w:tcPr>
          <w:p w:rsidRPr="00025D4C" w:rsidR="000210B4" w:rsidP="00CB43DF" w:rsidRDefault="000210B4" w14:paraId="13C4F8AB" w14:textId="77777777">
            <w:pPr>
              <w:pStyle w:val="broodtekst"/>
            </w:pPr>
            <w:r w:rsidRPr="00025D4C">
              <w:t>Kosovo</w:t>
            </w:r>
          </w:p>
        </w:tc>
        <w:tc>
          <w:tcPr>
            <w:tcW w:w="2318" w:type="dxa"/>
            <w:noWrap/>
            <w:vAlign w:val="center"/>
            <w:hideMark/>
          </w:tcPr>
          <w:p w:rsidRPr="00025D4C" w:rsidR="000210B4" w:rsidP="00CB43DF" w:rsidRDefault="000210B4" w14:paraId="068474F7" w14:textId="77777777">
            <w:pPr>
              <w:pStyle w:val="broodtekst"/>
            </w:pPr>
            <w:r w:rsidRPr="00025D4C">
              <w:t>6%</w:t>
            </w:r>
          </w:p>
        </w:tc>
      </w:tr>
      <w:tr w:rsidRPr="00025D4C" w:rsidR="000210B4" w:rsidTr="00CB43DF" w14:paraId="0DE3DEBC" w14:textId="77777777">
        <w:trPr>
          <w:trHeight w:val="288"/>
        </w:trPr>
        <w:tc>
          <w:tcPr>
            <w:tcW w:w="3397" w:type="dxa"/>
            <w:noWrap/>
            <w:vAlign w:val="center"/>
            <w:hideMark/>
          </w:tcPr>
          <w:p w:rsidRPr="00025D4C" w:rsidR="000210B4" w:rsidP="00CB43DF" w:rsidRDefault="000210B4" w14:paraId="53C5B156" w14:textId="77777777">
            <w:pPr>
              <w:pStyle w:val="broodtekst"/>
            </w:pPr>
            <w:r w:rsidRPr="00025D4C">
              <w:t>Oezbekistan</w:t>
            </w:r>
          </w:p>
        </w:tc>
        <w:tc>
          <w:tcPr>
            <w:tcW w:w="2318" w:type="dxa"/>
            <w:noWrap/>
            <w:vAlign w:val="center"/>
            <w:hideMark/>
          </w:tcPr>
          <w:p w:rsidRPr="00025D4C" w:rsidR="000210B4" w:rsidP="00CB43DF" w:rsidRDefault="000210B4" w14:paraId="623106EF" w14:textId="77777777">
            <w:pPr>
              <w:pStyle w:val="broodtekst"/>
            </w:pPr>
            <w:r w:rsidRPr="00025D4C">
              <w:t>6%</w:t>
            </w:r>
          </w:p>
        </w:tc>
      </w:tr>
      <w:tr w:rsidRPr="00025D4C" w:rsidR="000210B4" w:rsidTr="00CB43DF" w14:paraId="3428A77F" w14:textId="77777777">
        <w:trPr>
          <w:trHeight w:val="288"/>
        </w:trPr>
        <w:tc>
          <w:tcPr>
            <w:tcW w:w="3397" w:type="dxa"/>
            <w:noWrap/>
            <w:vAlign w:val="center"/>
            <w:hideMark/>
          </w:tcPr>
          <w:p w:rsidRPr="00025D4C" w:rsidR="000210B4" w:rsidP="00CB43DF" w:rsidRDefault="000210B4" w14:paraId="79E498F3" w14:textId="77777777">
            <w:pPr>
              <w:pStyle w:val="broodtekst"/>
            </w:pPr>
            <w:r w:rsidRPr="00025D4C">
              <w:t>Westelijke Sahara</w:t>
            </w:r>
          </w:p>
        </w:tc>
        <w:tc>
          <w:tcPr>
            <w:tcW w:w="2318" w:type="dxa"/>
            <w:noWrap/>
            <w:vAlign w:val="center"/>
            <w:hideMark/>
          </w:tcPr>
          <w:p w:rsidRPr="00025D4C" w:rsidR="000210B4" w:rsidP="00CB43DF" w:rsidRDefault="000210B4" w14:paraId="51CCAD7E" w14:textId="77777777">
            <w:pPr>
              <w:pStyle w:val="broodtekst"/>
            </w:pPr>
            <w:r w:rsidRPr="00025D4C">
              <w:t>6%</w:t>
            </w:r>
          </w:p>
        </w:tc>
      </w:tr>
      <w:tr w:rsidRPr="00025D4C" w:rsidR="000210B4" w:rsidTr="00CB43DF" w14:paraId="2798BDC4" w14:textId="77777777">
        <w:trPr>
          <w:trHeight w:val="288"/>
        </w:trPr>
        <w:tc>
          <w:tcPr>
            <w:tcW w:w="3397" w:type="dxa"/>
            <w:noWrap/>
            <w:vAlign w:val="center"/>
            <w:hideMark/>
          </w:tcPr>
          <w:p w:rsidRPr="00025D4C" w:rsidR="000210B4" w:rsidP="00CB43DF" w:rsidRDefault="000210B4" w14:paraId="16AE7C1F" w14:textId="77777777">
            <w:pPr>
              <w:pStyle w:val="broodtekst"/>
            </w:pPr>
            <w:r w:rsidRPr="00025D4C">
              <w:t>Bosnië en Herzegovina</w:t>
            </w:r>
          </w:p>
        </w:tc>
        <w:tc>
          <w:tcPr>
            <w:tcW w:w="2318" w:type="dxa"/>
            <w:noWrap/>
            <w:vAlign w:val="center"/>
            <w:hideMark/>
          </w:tcPr>
          <w:p w:rsidRPr="00025D4C" w:rsidR="000210B4" w:rsidP="00CB43DF" w:rsidRDefault="000210B4" w14:paraId="3EDC6197" w14:textId="77777777">
            <w:pPr>
              <w:pStyle w:val="broodtekst"/>
            </w:pPr>
            <w:r w:rsidRPr="00025D4C">
              <w:t>5%</w:t>
            </w:r>
          </w:p>
        </w:tc>
      </w:tr>
      <w:tr w:rsidRPr="00025D4C" w:rsidR="000210B4" w:rsidTr="00CB43DF" w14:paraId="36874280" w14:textId="77777777">
        <w:trPr>
          <w:trHeight w:val="288"/>
        </w:trPr>
        <w:tc>
          <w:tcPr>
            <w:tcW w:w="3397" w:type="dxa"/>
            <w:noWrap/>
            <w:vAlign w:val="center"/>
            <w:hideMark/>
          </w:tcPr>
          <w:p w:rsidRPr="00025D4C" w:rsidR="000210B4" w:rsidP="00CB43DF" w:rsidRDefault="000210B4" w14:paraId="29B4CEDD" w14:textId="77777777">
            <w:pPr>
              <w:pStyle w:val="broodtekst"/>
            </w:pPr>
            <w:r w:rsidRPr="00025D4C">
              <w:t>Armenië</w:t>
            </w:r>
          </w:p>
        </w:tc>
        <w:tc>
          <w:tcPr>
            <w:tcW w:w="2318" w:type="dxa"/>
            <w:noWrap/>
            <w:vAlign w:val="center"/>
            <w:hideMark/>
          </w:tcPr>
          <w:p w:rsidRPr="00025D4C" w:rsidR="000210B4" w:rsidP="00CB43DF" w:rsidRDefault="000210B4" w14:paraId="1870B2C7" w14:textId="77777777">
            <w:pPr>
              <w:pStyle w:val="broodtekst"/>
            </w:pPr>
            <w:r w:rsidRPr="00025D4C">
              <w:t>4%</w:t>
            </w:r>
          </w:p>
        </w:tc>
      </w:tr>
      <w:tr w:rsidRPr="00025D4C" w:rsidR="000210B4" w:rsidTr="00CB43DF" w14:paraId="58086537" w14:textId="77777777">
        <w:trPr>
          <w:trHeight w:val="288"/>
        </w:trPr>
        <w:tc>
          <w:tcPr>
            <w:tcW w:w="3397" w:type="dxa"/>
            <w:noWrap/>
            <w:vAlign w:val="center"/>
            <w:hideMark/>
          </w:tcPr>
          <w:p w:rsidRPr="00025D4C" w:rsidR="000210B4" w:rsidP="00CB43DF" w:rsidRDefault="000210B4" w14:paraId="7E0F09E7" w14:textId="77777777">
            <w:pPr>
              <w:pStyle w:val="broodtekst"/>
            </w:pPr>
            <w:r w:rsidRPr="00025D4C">
              <w:t>India</w:t>
            </w:r>
          </w:p>
        </w:tc>
        <w:tc>
          <w:tcPr>
            <w:tcW w:w="2318" w:type="dxa"/>
            <w:noWrap/>
            <w:vAlign w:val="center"/>
            <w:hideMark/>
          </w:tcPr>
          <w:p w:rsidRPr="00025D4C" w:rsidR="000210B4" w:rsidP="00CB43DF" w:rsidRDefault="000210B4" w14:paraId="21FBE838" w14:textId="77777777">
            <w:pPr>
              <w:pStyle w:val="broodtekst"/>
            </w:pPr>
            <w:r w:rsidRPr="00025D4C">
              <w:t>4%</w:t>
            </w:r>
          </w:p>
        </w:tc>
      </w:tr>
      <w:tr w:rsidRPr="00025D4C" w:rsidR="000210B4" w:rsidTr="00CB43DF" w14:paraId="58BFB94D" w14:textId="77777777">
        <w:trPr>
          <w:trHeight w:val="288"/>
        </w:trPr>
        <w:tc>
          <w:tcPr>
            <w:tcW w:w="3397" w:type="dxa"/>
            <w:noWrap/>
            <w:vAlign w:val="center"/>
            <w:hideMark/>
          </w:tcPr>
          <w:p w:rsidRPr="00025D4C" w:rsidR="000210B4" w:rsidP="00CB43DF" w:rsidRDefault="000210B4" w14:paraId="551FC3A6" w14:textId="77777777">
            <w:pPr>
              <w:pStyle w:val="broodtekst"/>
            </w:pPr>
            <w:r w:rsidRPr="00025D4C">
              <w:t>Montenegro</w:t>
            </w:r>
          </w:p>
        </w:tc>
        <w:tc>
          <w:tcPr>
            <w:tcW w:w="2318" w:type="dxa"/>
            <w:noWrap/>
            <w:vAlign w:val="center"/>
            <w:hideMark/>
          </w:tcPr>
          <w:p w:rsidRPr="00025D4C" w:rsidR="000210B4" w:rsidP="00CB43DF" w:rsidRDefault="000210B4" w14:paraId="3EA19AE3" w14:textId="77777777">
            <w:pPr>
              <w:pStyle w:val="broodtekst"/>
            </w:pPr>
            <w:r w:rsidRPr="00025D4C">
              <w:t>3%</w:t>
            </w:r>
          </w:p>
        </w:tc>
      </w:tr>
      <w:tr w:rsidRPr="00025D4C" w:rsidR="000210B4" w:rsidTr="00CB43DF" w14:paraId="506F0EE0" w14:textId="77777777">
        <w:trPr>
          <w:trHeight w:val="288"/>
        </w:trPr>
        <w:tc>
          <w:tcPr>
            <w:tcW w:w="3397" w:type="dxa"/>
            <w:noWrap/>
            <w:vAlign w:val="center"/>
            <w:hideMark/>
          </w:tcPr>
          <w:p w:rsidRPr="00025D4C" w:rsidR="000210B4" w:rsidP="00CB43DF" w:rsidRDefault="000210B4" w14:paraId="4E3499B6" w14:textId="77777777">
            <w:pPr>
              <w:pStyle w:val="broodtekst"/>
            </w:pPr>
            <w:r w:rsidRPr="00025D4C">
              <w:t>Nepal</w:t>
            </w:r>
          </w:p>
        </w:tc>
        <w:tc>
          <w:tcPr>
            <w:tcW w:w="2318" w:type="dxa"/>
            <w:noWrap/>
            <w:vAlign w:val="center"/>
            <w:hideMark/>
          </w:tcPr>
          <w:p w:rsidRPr="00025D4C" w:rsidR="000210B4" w:rsidP="00CB43DF" w:rsidRDefault="000210B4" w14:paraId="52F9B3AE" w14:textId="77777777">
            <w:pPr>
              <w:pStyle w:val="broodtekst"/>
            </w:pPr>
            <w:r w:rsidRPr="00025D4C">
              <w:t>3%</w:t>
            </w:r>
          </w:p>
        </w:tc>
      </w:tr>
      <w:tr w:rsidRPr="00025D4C" w:rsidR="000210B4" w:rsidTr="00CB43DF" w14:paraId="76715071" w14:textId="77777777">
        <w:trPr>
          <w:trHeight w:val="288"/>
        </w:trPr>
        <w:tc>
          <w:tcPr>
            <w:tcW w:w="3397" w:type="dxa"/>
            <w:noWrap/>
            <w:vAlign w:val="center"/>
            <w:hideMark/>
          </w:tcPr>
          <w:p w:rsidRPr="00025D4C" w:rsidR="000210B4" w:rsidP="00CB43DF" w:rsidRDefault="000210B4" w14:paraId="4F9A7A18" w14:textId="77777777">
            <w:pPr>
              <w:pStyle w:val="broodtekst"/>
            </w:pPr>
            <w:r w:rsidRPr="00025D4C">
              <w:t>Moldavië</w:t>
            </w:r>
          </w:p>
        </w:tc>
        <w:tc>
          <w:tcPr>
            <w:tcW w:w="2318" w:type="dxa"/>
            <w:noWrap/>
            <w:vAlign w:val="center"/>
            <w:hideMark/>
          </w:tcPr>
          <w:p w:rsidRPr="00025D4C" w:rsidR="000210B4" w:rsidP="00CB43DF" w:rsidRDefault="000210B4" w14:paraId="744AD8EF" w14:textId="77777777">
            <w:pPr>
              <w:pStyle w:val="broodtekst"/>
            </w:pPr>
            <w:r w:rsidRPr="00025D4C">
              <w:t>2%</w:t>
            </w:r>
          </w:p>
        </w:tc>
      </w:tr>
      <w:tr w:rsidRPr="00025D4C" w:rsidR="000210B4" w:rsidTr="00CB43DF" w14:paraId="4F48D889" w14:textId="77777777">
        <w:trPr>
          <w:trHeight w:val="288"/>
        </w:trPr>
        <w:tc>
          <w:tcPr>
            <w:tcW w:w="3397" w:type="dxa"/>
            <w:noWrap/>
            <w:vAlign w:val="center"/>
            <w:hideMark/>
          </w:tcPr>
          <w:p w:rsidRPr="00025D4C" w:rsidR="000210B4" w:rsidP="00CB43DF" w:rsidRDefault="000210B4" w14:paraId="7427F68F" w14:textId="77777777">
            <w:pPr>
              <w:pStyle w:val="broodtekst"/>
            </w:pPr>
            <w:r w:rsidRPr="00025D4C">
              <w:t>Servië</w:t>
            </w:r>
          </w:p>
        </w:tc>
        <w:tc>
          <w:tcPr>
            <w:tcW w:w="2318" w:type="dxa"/>
            <w:noWrap/>
            <w:vAlign w:val="center"/>
            <w:hideMark/>
          </w:tcPr>
          <w:p w:rsidRPr="00025D4C" w:rsidR="000210B4" w:rsidP="00CB43DF" w:rsidRDefault="000210B4" w14:paraId="3C2AC15D" w14:textId="77777777">
            <w:pPr>
              <w:pStyle w:val="broodtekst"/>
            </w:pPr>
            <w:r w:rsidRPr="00025D4C">
              <w:t>2%</w:t>
            </w:r>
          </w:p>
        </w:tc>
      </w:tr>
      <w:tr w:rsidRPr="00025D4C" w:rsidR="000210B4" w:rsidTr="00CB43DF" w14:paraId="009BD69C" w14:textId="77777777">
        <w:trPr>
          <w:trHeight w:val="288"/>
        </w:trPr>
        <w:tc>
          <w:tcPr>
            <w:tcW w:w="3397" w:type="dxa"/>
            <w:noWrap/>
            <w:vAlign w:val="center"/>
            <w:hideMark/>
          </w:tcPr>
          <w:p w:rsidRPr="00025D4C" w:rsidR="000210B4" w:rsidP="00CB43DF" w:rsidRDefault="000210B4" w14:paraId="38A7F21C" w14:textId="77777777">
            <w:pPr>
              <w:pStyle w:val="broodtekst"/>
            </w:pPr>
            <w:r w:rsidRPr="00025D4C">
              <w:lastRenderedPageBreak/>
              <w:t>Noord-Macedonië</w:t>
            </w:r>
          </w:p>
        </w:tc>
        <w:tc>
          <w:tcPr>
            <w:tcW w:w="2318" w:type="dxa"/>
            <w:noWrap/>
            <w:vAlign w:val="center"/>
            <w:hideMark/>
          </w:tcPr>
          <w:p w:rsidRPr="00025D4C" w:rsidR="000210B4" w:rsidP="00CB43DF" w:rsidRDefault="000210B4" w14:paraId="1DFFFD0E" w14:textId="77777777">
            <w:pPr>
              <w:pStyle w:val="broodtekst"/>
            </w:pPr>
            <w:r w:rsidRPr="00025D4C">
              <w:t>1%</w:t>
            </w:r>
          </w:p>
        </w:tc>
      </w:tr>
      <w:tr w:rsidRPr="00025D4C" w:rsidR="000210B4" w:rsidTr="00CB43DF" w14:paraId="13367C60" w14:textId="77777777">
        <w:trPr>
          <w:trHeight w:val="288"/>
        </w:trPr>
        <w:tc>
          <w:tcPr>
            <w:tcW w:w="3397" w:type="dxa"/>
            <w:noWrap/>
            <w:vAlign w:val="center"/>
            <w:hideMark/>
          </w:tcPr>
          <w:p w:rsidRPr="00025D4C" w:rsidR="000210B4" w:rsidP="00CB43DF" w:rsidRDefault="000210B4" w14:paraId="7584CDF3" w14:textId="77777777">
            <w:pPr>
              <w:pStyle w:val="broodtekst"/>
            </w:pPr>
            <w:r w:rsidRPr="00025D4C">
              <w:t>Vietnam</w:t>
            </w:r>
          </w:p>
        </w:tc>
        <w:tc>
          <w:tcPr>
            <w:tcW w:w="2318" w:type="dxa"/>
            <w:noWrap/>
            <w:vAlign w:val="center"/>
            <w:hideMark/>
          </w:tcPr>
          <w:p w:rsidRPr="00025D4C" w:rsidR="000210B4" w:rsidP="00CB43DF" w:rsidRDefault="000210B4" w14:paraId="02DDD4B9" w14:textId="77777777">
            <w:pPr>
              <w:pStyle w:val="broodtekst"/>
            </w:pPr>
            <w:r w:rsidRPr="00025D4C">
              <w:t>1%</w:t>
            </w:r>
          </w:p>
        </w:tc>
      </w:tr>
      <w:tr w:rsidRPr="00025D4C" w:rsidR="000210B4" w:rsidTr="00CB43DF" w14:paraId="58767EF2" w14:textId="77777777">
        <w:trPr>
          <w:trHeight w:val="288"/>
        </w:trPr>
        <w:tc>
          <w:tcPr>
            <w:tcW w:w="3397" w:type="dxa"/>
            <w:noWrap/>
            <w:vAlign w:val="center"/>
            <w:hideMark/>
          </w:tcPr>
          <w:p w:rsidRPr="00025D4C" w:rsidR="000210B4" w:rsidP="00CB43DF" w:rsidRDefault="000210B4" w14:paraId="2C4E2713" w14:textId="77777777">
            <w:pPr>
              <w:pStyle w:val="broodtekst"/>
            </w:pPr>
            <w:r w:rsidRPr="00025D4C">
              <w:t>Australië</w:t>
            </w:r>
          </w:p>
        </w:tc>
        <w:tc>
          <w:tcPr>
            <w:tcW w:w="2318" w:type="dxa"/>
            <w:noWrap/>
            <w:vAlign w:val="center"/>
            <w:hideMark/>
          </w:tcPr>
          <w:p w:rsidRPr="00025D4C" w:rsidR="000210B4" w:rsidP="00CB43DF" w:rsidRDefault="000210B4" w14:paraId="4D3DD739" w14:textId="77777777">
            <w:pPr>
              <w:pStyle w:val="broodtekst"/>
            </w:pPr>
            <w:r w:rsidRPr="00025D4C">
              <w:t>0%</w:t>
            </w:r>
          </w:p>
        </w:tc>
      </w:tr>
      <w:tr w:rsidRPr="00025D4C" w:rsidR="000210B4" w:rsidTr="00CB43DF" w14:paraId="3A2497B7" w14:textId="77777777">
        <w:trPr>
          <w:trHeight w:val="288"/>
        </w:trPr>
        <w:tc>
          <w:tcPr>
            <w:tcW w:w="3397" w:type="dxa"/>
            <w:noWrap/>
            <w:vAlign w:val="center"/>
            <w:hideMark/>
          </w:tcPr>
          <w:p w:rsidRPr="00025D4C" w:rsidR="000210B4" w:rsidP="00CB43DF" w:rsidRDefault="000210B4" w14:paraId="54F0F091" w14:textId="77777777">
            <w:pPr>
              <w:pStyle w:val="broodtekst"/>
            </w:pPr>
            <w:r w:rsidRPr="00025D4C">
              <w:t>Kaapverdië</w:t>
            </w:r>
          </w:p>
        </w:tc>
        <w:tc>
          <w:tcPr>
            <w:tcW w:w="2318" w:type="dxa"/>
            <w:noWrap/>
            <w:vAlign w:val="center"/>
            <w:hideMark/>
          </w:tcPr>
          <w:p w:rsidRPr="00025D4C" w:rsidR="000210B4" w:rsidP="00CB43DF" w:rsidRDefault="000210B4" w14:paraId="3A49BEAC" w14:textId="77777777">
            <w:pPr>
              <w:pStyle w:val="broodtekst"/>
            </w:pPr>
            <w:r w:rsidRPr="00025D4C">
              <w:t>0%</w:t>
            </w:r>
          </w:p>
        </w:tc>
      </w:tr>
      <w:tr w:rsidRPr="00025D4C" w:rsidR="000210B4" w:rsidTr="00CB43DF" w14:paraId="121D3BAF" w14:textId="77777777">
        <w:trPr>
          <w:trHeight w:val="288"/>
        </w:trPr>
        <w:tc>
          <w:tcPr>
            <w:tcW w:w="3397" w:type="dxa"/>
            <w:noWrap/>
            <w:vAlign w:val="center"/>
            <w:hideMark/>
          </w:tcPr>
          <w:p w:rsidRPr="00025D4C" w:rsidR="000210B4" w:rsidP="00CB43DF" w:rsidRDefault="000210B4" w14:paraId="28DD090B" w14:textId="77777777">
            <w:pPr>
              <w:pStyle w:val="broodtekst"/>
            </w:pPr>
            <w:r w:rsidRPr="00025D4C">
              <w:t>Canada</w:t>
            </w:r>
          </w:p>
        </w:tc>
        <w:tc>
          <w:tcPr>
            <w:tcW w:w="2318" w:type="dxa"/>
            <w:noWrap/>
            <w:vAlign w:val="center"/>
            <w:hideMark/>
          </w:tcPr>
          <w:p w:rsidRPr="00025D4C" w:rsidR="000210B4" w:rsidP="00CB43DF" w:rsidRDefault="000210B4" w14:paraId="42B0C25D" w14:textId="77777777">
            <w:pPr>
              <w:pStyle w:val="broodtekst"/>
            </w:pPr>
            <w:r w:rsidRPr="00025D4C">
              <w:t>0%</w:t>
            </w:r>
          </w:p>
        </w:tc>
      </w:tr>
      <w:tr w:rsidRPr="00025D4C" w:rsidR="000210B4" w:rsidTr="00CB43DF" w14:paraId="6CDB583B" w14:textId="77777777">
        <w:trPr>
          <w:trHeight w:val="288"/>
        </w:trPr>
        <w:tc>
          <w:tcPr>
            <w:tcW w:w="3397" w:type="dxa"/>
            <w:noWrap/>
            <w:vAlign w:val="center"/>
            <w:hideMark/>
          </w:tcPr>
          <w:p w:rsidRPr="00025D4C" w:rsidR="000210B4" w:rsidP="00CB43DF" w:rsidRDefault="000210B4" w14:paraId="06877082" w14:textId="77777777">
            <w:pPr>
              <w:pStyle w:val="broodtekst"/>
            </w:pPr>
            <w:r w:rsidRPr="00025D4C">
              <w:t>Japan</w:t>
            </w:r>
          </w:p>
        </w:tc>
        <w:tc>
          <w:tcPr>
            <w:tcW w:w="2318" w:type="dxa"/>
            <w:noWrap/>
            <w:vAlign w:val="center"/>
            <w:hideMark/>
          </w:tcPr>
          <w:p w:rsidRPr="00025D4C" w:rsidR="000210B4" w:rsidP="00CB43DF" w:rsidRDefault="000210B4" w14:paraId="14F3ED17" w14:textId="77777777">
            <w:pPr>
              <w:pStyle w:val="broodtekst"/>
            </w:pPr>
            <w:r w:rsidRPr="00025D4C">
              <w:t>0%</w:t>
            </w:r>
          </w:p>
        </w:tc>
      </w:tr>
      <w:tr w:rsidRPr="00025D4C" w:rsidR="000210B4" w:rsidTr="00CB43DF" w14:paraId="632BF25E" w14:textId="77777777">
        <w:trPr>
          <w:trHeight w:val="288"/>
        </w:trPr>
        <w:tc>
          <w:tcPr>
            <w:tcW w:w="3397" w:type="dxa"/>
            <w:noWrap/>
            <w:vAlign w:val="center"/>
            <w:hideMark/>
          </w:tcPr>
          <w:p w:rsidRPr="00025D4C" w:rsidR="000210B4" w:rsidP="00CB43DF" w:rsidRDefault="000210B4" w14:paraId="35D4B736" w14:textId="77777777">
            <w:pPr>
              <w:pStyle w:val="broodtekst"/>
            </w:pPr>
            <w:r w:rsidRPr="00025D4C">
              <w:t>Laos</w:t>
            </w:r>
          </w:p>
        </w:tc>
        <w:tc>
          <w:tcPr>
            <w:tcW w:w="2318" w:type="dxa"/>
            <w:noWrap/>
            <w:vAlign w:val="center"/>
            <w:hideMark/>
          </w:tcPr>
          <w:p w:rsidRPr="00025D4C" w:rsidR="000210B4" w:rsidP="00CB43DF" w:rsidRDefault="000210B4" w14:paraId="3C855C1F" w14:textId="77777777">
            <w:pPr>
              <w:pStyle w:val="broodtekst"/>
            </w:pPr>
            <w:r w:rsidRPr="00025D4C">
              <w:t>0%</w:t>
            </w:r>
          </w:p>
        </w:tc>
      </w:tr>
      <w:tr w:rsidRPr="00025D4C" w:rsidR="000210B4" w:rsidTr="00CB43DF" w14:paraId="540D86C7" w14:textId="77777777">
        <w:trPr>
          <w:trHeight w:val="288"/>
        </w:trPr>
        <w:tc>
          <w:tcPr>
            <w:tcW w:w="3397" w:type="dxa"/>
            <w:noWrap/>
            <w:vAlign w:val="center"/>
            <w:hideMark/>
          </w:tcPr>
          <w:p w:rsidRPr="00025D4C" w:rsidR="000210B4" w:rsidP="00CB43DF" w:rsidRDefault="000210B4" w14:paraId="27FDE993" w14:textId="77777777">
            <w:pPr>
              <w:pStyle w:val="broodtekst"/>
            </w:pPr>
            <w:r w:rsidRPr="00025D4C">
              <w:t>Mozambique</w:t>
            </w:r>
          </w:p>
        </w:tc>
        <w:tc>
          <w:tcPr>
            <w:tcW w:w="2318" w:type="dxa"/>
            <w:noWrap/>
            <w:vAlign w:val="center"/>
            <w:hideMark/>
          </w:tcPr>
          <w:p w:rsidRPr="00025D4C" w:rsidR="000210B4" w:rsidP="00CB43DF" w:rsidRDefault="000210B4" w14:paraId="52F675AE" w14:textId="77777777">
            <w:pPr>
              <w:pStyle w:val="broodtekst"/>
            </w:pPr>
            <w:r w:rsidRPr="00025D4C">
              <w:t>0%</w:t>
            </w:r>
          </w:p>
        </w:tc>
      </w:tr>
      <w:tr w:rsidRPr="00025D4C" w:rsidR="000210B4" w:rsidTr="00CB43DF" w14:paraId="0980ECC5" w14:textId="77777777">
        <w:trPr>
          <w:trHeight w:val="288"/>
        </w:trPr>
        <w:tc>
          <w:tcPr>
            <w:tcW w:w="3397" w:type="dxa"/>
            <w:noWrap/>
            <w:vAlign w:val="center"/>
            <w:hideMark/>
          </w:tcPr>
          <w:p w:rsidRPr="00025D4C" w:rsidR="000210B4" w:rsidP="00CB43DF" w:rsidRDefault="000210B4" w14:paraId="25F84FB8" w14:textId="77777777">
            <w:pPr>
              <w:pStyle w:val="broodtekst"/>
            </w:pPr>
            <w:r w:rsidRPr="00025D4C">
              <w:t>Noorwegen</w:t>
            </w:r>
          </w:p>
        </w:tc>
        <w:tc>
          <w:tcPr>
            <w:tcW w:w="2318" w:type="dxa"/>
            <w:noWrap/>
            <w:vAlign w:val="center"/>
            <w:hideMark/>
          </w:tcPr>
          <w:p w:rsidRPr="00025D4C" w:rsidR="000210B4" w:rsidP="00CB43DF" w:rsidRDefault="000210B4" w14:paraId="42170E00" w14:textId="77777777">
            <w:pPr>
              <w:pStyle w:val="broodtekst"/>
            </w:pPr>
            <w:r w:rsidRPr="00025D4C">
              <w:t>0%</w:t>
            </w:r>
          </w:p>
        </w:tc>
      </w:tr>
      <w:tr w:rsidRPr="00025D4C" w:rsidR="000210B4" w:rsidTr="00CB43DF" w14:paraId="7C0E0A7C" w14:textId="77777777">
        <w:trPr>
          <w:trHeight w:val="288"/>
        </w:trPr>
        <w:tc>
          <w:tcPr>
            <w:tcW w:w="3397" w:type="dxa"/>
            <w:noWrap/>
            <w:vAlign w:val="center"/>
            <w:hideMark/>
          </w:tcPr>
          <w:p w:rsidRPr="00025D4C" w:rsidR="000210B4" w:rsidP="00CB43DF" w:rsidRDefault="000210B4" w14:paraId="32080215" w14:textId="77777777">
            <w:pPr>
              <w:pStyle w:val="broodtekst"/>
            </w:pPr>
            <w:r w:rsidRPr="00025D4C">
              <w:t>Oman</w:t>
            </w:r>
          </w:p>
        </w:tc>
        <w:tc>
          <w:tcPr>
            <w:tcW w:w="2318" w:type="dxa"/>
            <w:noWrap/>
            <w:vAlign w:val="center"/>
            <w:hideMark/>
          </w:tcPr>
          <w:p w:rsidRPr="00025D4C" w:rsidR="000210B4" w:rsidP="00CB43DF" w:rsidRDefault="000210B4" w14:paraId="7844A22A" w14:textId="77777777">
            <w:pPr>
              <w:pStyle w:val="broodtekst"/>
            </w:pPr>
            <w:r w:rsidRPr="00025D4C">
              <w:t>0%</w:t>
            </w:r>
          </w:p>
        </w:tc>
      </w:tr>
      <w:tr w:rsidRPr="00025D4C" w:rsidR="000210B4" w:rsidTr="00CB43DF" w14:paraId="02F2A7AD" w14:textId="77777777">
        <w:trPr>
          <w:trHeight w:val="288"/>
        </w:trPr>
        <w:tc>
          <w:tcPr>
            <w:tcW w:w="3397" w:type="dxa"/>
            <w:noWrap/>
            <w:vAlign w:val="center"/>
            <w:hideMark/>
          </w:tcPr>
          <w:p w:rsidRPr="00025D4C" w:rsidR="000210B4" w:rsidP="00CB43DF" w:rsidRDefault="000210B4" w14:paraId="41B5202C" w14:textId="77777777">
            <w:pPr>
              <w:pStyle w:val="broodtekst"/>
            </w:pPr>
            <w:r w:rsidRPr="00025D4C">
              <w:t>Sint Lucia</w:t>
            </w:r>
          </w:p>
        </w:tc>
        <w:tc>
          <w:tcPr>
            <w:tcW w:w="2318" w:type="dxa"/>
            <w:noWrap/>
            <w:vAlign w:val="center"/>
            <w:hideMark/>
          </w:tcPr>
          <w:p w:rsidRPr="00025D4C" w:rsidR="000210B4" w:rsidP="00CB43DF" w:rsidRDefault="000210B4" w14:paraId="5CA00BD4" w14:textId="77777777">
            <w:pPr>
              <w:pStyle w:val="broodtekst"/>
            </w:pPr>
            <w:r w:rsidRPr="00025D4C">
              <w:t>0%</w:t>
            </w:r>
          </w:p>
        </w:tc>
      </w:tr>
      <w:tr w:rsidRPr="00025D4C" w:rsidR="000210B4" w:rsidTr="00CB43DF" w14:paraId="7FCB8A70" w14:textId="77777777">
        <w:trPr>
          <w:trHeight w:val="288"/>
        </w:trPr>
        <w:tc>
          <w:tcPr>
            <w:tcW w:w="3397" w:type="dxa"/>
            <w:noWrap/>
            <w:vAlign w:val="center"/>
            <w:hideMark/>
          </w:tcPr>
          <w:p w:rsidRPr="00025D4C" w:rsidR="000210B4" w:rsidP="00CB43DF" w:rsidRDefault="000210B4" w14:paraId="32173B4A" w14:textId="77777777">
            <w:pPr>
              <w:pStyle w:val="broodtekst"/>
            </w:pPr>
            <w:r w:rsidRPr="00025D4C">
              <w:t>Sao Tomé en Principe</w:t>
            </w:r>
          </w:p>
        </w:tc>
        <w:tc>
          <w:tcPr>
            <w:tcW w:w="2318" w:type="dxa"/>
            <w:noWrap/>
            <w:vAlign w:val="center"/>
            <w:hideMark/>
          </w:tcPr>
          <w:p w:rsidRPr="00025D4C" w:rsidR="000210B4" w:rsidP="00CB43DF" w:rsidRDefault="000210B4" w14:paraId="404A5C81" w14:textId="77777777">
            <w:pPr>
              <w:pStyle w:val="broodtekst"/>
            </w:pPr>
            <w:r w:rsidRPr="00025D4C">
              <w:t>0%</w:t>
            </w:r>
          </w:p>
        </w:tc>
      </w:tr>
      <w:tr w:rsidRPr="00025D4C" w:rsidR="000210B4" w:rsidTr="00CB43DF" w14:paraId="0CB2C4FD" w14:textId="77777777">
        <w:trPr>
          <w:trHeight w:val="288"/>
        </w:trPr>
        <w:tc>
          <w:tcPr>
            <w:tcW w:w="3397" w:type="dxa"/>
            <w:noWrap/>
            <w:vAlign w:val="center"/>
            <w:hideMark/>
          </w:tcPr>
          <w:p w:rsidRPr="00025D4C" w:rsidR="000210B4" w:rsidP="00CB43DF" w:rsidRDefault="000210B4" w14:paraId="3E8AF920" w14:textId="77777777">
            <w:pPr>
              <w:pStyle w:val="broodtekst"/>
            </w:pPr>
            <w:r w:rsidRPr="00025D4C">
              <w:t>Singapore</w:t>
            </w:r>
          </w:p>
        </w:tc>
        <w:tc>
          <w:tcPr>
            <w:tcW w:w="2318" w:type="dxa"/>
            <w:noWrap/>
            <w:vAlign w:val="center"/>
            <w:hideMark/>
          </w:tcPr>
          <w:p w:rsidRPr="00025D4C" w:rsidR="000210B4" w:rsidP="00CB43DF" w:rsidRDefault="000210B4" w14:paraId="74842600" w14:textId="77777777">
            <w:pPr>
              <w:pStyle w:val="broodtekst"/>
            </w:pPr>
            <w:r w:rsidRPr="00025D4C">
              <w:t>0%</w:t>
            </w:r>
          </w:p>
        </w:tc>
      </w:tr>
      <w:tr w:rsidRPr="00025D4C" w:rsidR="000210B4" w:rsidTr="00CB43DF" w14:paraId="15F559AE" w14:textId="77777777">
        <w:trPr>
          <w:trHeight w:val="288"/>
        </w:trPr>
        <w:tc>
          <w:tcPr>
            <w:tcW w:w="3397" w:type="dxa"/>
            <w:noWrap/>
            <w:vAlign w:val="center"/>
            <w:hideMark/>
          </w:tcPr>
          <w:p w:rsidRPr="00025D4C" w:rsidR="000210B4" w:rsidP="00CB43DF" w:rsidRDefault="000210B4" w14:paraId="413BE278" w14:textId="77777777">
            <w:pPr>
              <w:pStyle w:val="broodtekst"/>
            </w:pPr>
            <w:r w:rsidRPr="00025D4C">
              <w:t>Zuid-Korea</w:t>
            </w:r>
          </w:p>
        </w:tc>
        <w:tc>
          <w:tcPr>
            <w:tcW w:w="2318" w:type="dxa"/>
            <w:noWrap/>
            <w:vAlign w:val="center"/>
            <w:hideMark/>
          </w:tcPr>
          <w:p w:rsidRPr="00025D4C" w:rsidR="000210B4" w:rsidP="00CB43DF" w:rsidRDefault="000210B4" w14:paraId="316BF727" w14:textId="77777777">
            <w:pPr>
              <w:pStyle w:val="broodtekst"/>
            </w:pPr>
            <w:r w:rsidRPr="00025D4C">
              <w:t>0%</w:t>
            </w:r>
          </w:p>
        </w:tc>
      </w:tr>
      <w:tr w:rsidRPr="00025D4C" w:rsidR="000210B4" w:rsidTr="00CB43DF" w14:paraId="1EDF1854" w14:textId="77777777">
        <w:trPr>
          <w:trHeight w:val="288"/>
        </w:trPr>
        <w:tc>
          <w:tcPr>
            <w:tcW w:w="3397" w:type="dxa"/>
            <w:noWrap/>
            <w:vAlign w:val="center"/>
            <w:hideMark/>
          </w:tcPr>
          <w:p w:rsidRPr="00025D4C" w:rsidR="000210B4" w:rsidP="00CB43DF" w:rsidRDefault="000210B4" w14:paraId="007E18C5" w14:textId="77777777">
            <w:pPr>
              <w:pStyle w:val="broodtekst"/>
            </w:pPr>
            <w:r w:rsidRPr="00025D4C">
              <w:t>Taiwan</w:t>
            </w:r>
          </w:p>
        </w:tc>
        <w:tc>
          <w:tcPr>
            <w:tcW w:w="2318" w:type="dxa"/>
            <w:noWrap/>
            <w:vAlign w:val="center"/>
            <w:hideMark/>
          </w:tcPr>
          <w:p w:rsidRPr="00025D4C" w:rsidR="000210B4" w:rsidP="00CB43DF" w:rsidRDefault="000210B4" w14:paraId="0088E5A8" w14:textId="77777777">
            <w:pPr>
              <w:pStyle w:val="broodtekst"/>
            </w:pPr>
            <w:r w:rsidRPr="00025D4C">
              <w:t>0%</w:t>
            </w:r>
          </w:p>
        </w:tc>
      </w:tr>
      <w:tr w:rsidRPr="00025D4C" w:rsidR="000210B4" w:rsidTr="00CB43DF" w14:paraId="0442ABA1" w14:textId="77777777">
        <w:trPr>
          <w:trHeight w:val="288"/>
        </w:trPr>
        <w:tc>
          <w:tcPr>
            <w:tcW w:w="3397" w:type="dxa"/>
            <w:noWrap/>
            <w:vAlign w:val="center"/>
            <w:hideMark/>
          </w:tcPr>
          <w:p w:rsidRPr="00025D4C" w:rsidR="000210B4" w:rsidP="00CB43DF" w:rsidRDefault="000210B4" w14:paraId="6FB519A0" w14:textId="77777777">
            <w:pPr>
              <w:pStyle w:val="broodtekst"/>
            </w:pPr>
            <w:r w:rsidRPr="00025D4C">
              <w:t>Oost-Timor</w:t>
            </w:r>
          </w:p>
        </w:tc>
        <w:tc>
          <w:tcPr>
            <w:tcW w:w="2318" w:type="dxa"/>
            <w:noWrap/>
            <w:vAlign w:val="center"/>
            <w:hideMark/>
          </w:tcPr>
          <w:p w:rsidRPr="00025D4C" w:rsidR="000210B4" w:rsidP="00CB43DF" w:rsidRDefault="000210B4" w14:paraId="11A50F25" w14:textId="77777777">
            <w:pPr>
              <w:pStyle w:val="broodtekst"/>
            </w:pPr>
            <w:r w:rsidRPr="00025D4C">
              <w:t>0%</w:t>
            </w:r>
          </w:p>
        </w:tc>
      </w:tr>
      <w:tr w:rsidRPr="00025D4C" w:rsidR="000210B4" w:rsidTr="00CB43DF" w14:paraId="1A20FC29" w14:textId="77777777">
        <w:trPr>
          <w:trHeight w:val="288"/>
        </w:trPr>
        <w:tc>
          <w:tcPr>
            <w:tcW w:w="3397" w:type="dxa"/>
            <w:noWrap/>
            <w:vAlign w:val="center"/>
            <w:hideMark/>
          </w:tcPr>
          <w:p w:rsidRPr="00025D4C" w:rsidR="000210B4" w:rsidP="00CB43DF" w:rsidRDefault="000210B4" w14:paraId="0CBEE0E9" w14:textId="77777777">
            <w:pPr>
              <w:pStyle w:val="broodtekst"/>
            </w:pPr>
            <w:r w:rsidRPr="00025D4C">
              <w:t>Verenigde Arabische Emiraten</w:t>
            </w:r>
          </w:p>
        </w:tc>
        <w:tc>
          <w:tcPr>
            <w:tcW w:w="2318" w:type="dxa"/>
            <w:noWrap/>
            <w:vAlign w:val="center"/>
            <w:hideMark/>
          </w:tcPr>
          <w:p w:rsidRPr="00025D4C" w:rsidR="000210B4" w:rsidP="00CB43DF" w:rsidRDefault="000210B4" w14:paraId="11C6FE93" w14:textId="77777777">
            <w:pPr>
              <w:pStyle w:val="broodtekst"/>
            </w:pPr>
            <w:r w:rsidRPr="00025D4C">
              <w:t>0%</w:t>
            </w:r>
          </w:p>
        </w:tc>
      </w:tr>
      <w:tr w:rsidRPr="00025D4C" w:rsidR="000210B4" w:rsidTr="00CB43DF" w14:paraId="172D4B60" w14:textId="77777777">
        <w:trPr>
          <w:trHeight w:val="288"/>
        </w:trPr>
        <w:tc>
          <w:tcPr>
            <w:tcW w:w="3397" w:type="dxa"/>
            <w:noWrap/>
            <w:vAlign w:val="center"/>
            <w:hideMark/>
          </w:tcPr>
          <w:p w:rsidRPr="00025D4C" w:rsidR="000210B4" w:rsidP="00CB43DF" w:rsidRDefault="000210B4" w14:paraId="7E76718E" w14:textId="77777777">
            <w:pPr>
              <w:pStyle w:val="broodtekst"/>
            </w:pPr>
            <w:r w:rsidRPr="00025D4C">
              <w:t>Verenigd Koninkrijk</w:t>
            </w:r>
          </w:p>
        </w:tc>
        <w:tc>
          <w:tcPr>
            <w:tcW w:w="2318" w:type="dxa"/>
            <w:noWrap/>
            <w:vAlign w:val="center"/>
            <w:hideMark/>
          </w:tcPr>
          <w:p w:rsidRPr="00025D4C" w:rsidR="000210B4" w:rsidP="00CB43DF" w:rsidRDefault="000210B4" w14:paraId="20EF4B6D" w14:textId="77777777">
            <w:pPr>
              <w:pStyle w:val="broodtekst"/>
            </w:pPr>
            <w:r w:rsidRPr="00025D4C">
              <w:t>0%</w:t>
            </w:r>
          </w:p>
        </w:tc>
      </w:tr>
    </w:tbl>
    <w:p w:rsidRPr="00025D4C" w:rsidR="000210B4" w:rsidP="000210B4" w:rsidRDefault="000210B4" w14:paraId="3BE90834" w14:textId="77777777">
      <w:pPr>
        <w:pStyle w:val="broodtekst"/>
        <w:rPr>
          <w:sz w:val="16"/>
          <w:szCs w:val="16"/>
        </w:rPr>
      </w:pPr>
      <w:r w:rsidRPr="00025D4C">
        <w:rPr>
          <w:sz w:val="16"/>
          <w:szCs w:val="16"/>
        </w:rPr>
        <w:t>Bron: EUROSTAT, geraadpleegd op 9 december 2025</w:t>
      </w:r>
    </w:p>
    <w:p w:rsidRPr="00025D4C" w:rsidR="000210B4" w:rsidP="00DE767A" w:rsidRDefault="000210B4" w14:paraId="5C8717D3" w14:textId="77777777">
      <w:pPr>
        <w:rPr>
          <w:rStyle w:val="Zwaar"/>
          <w:rFonts w:ascii="Verdana" w:hAnsi="Verdana" w:eastAsia="Times New Roman"/>
          <w:sz w:val="18"/>
          <w:szCs w:val="18"/>
        </w:rPr>
      </w:pPr>
    </w:p>
    <w:p w:rsidRPr="00025D4C" w:rsidR="00DE767A" w:rsidP="00DE767A" w:rsidRDefault="00C450C8" w14:paraId="3029D998" w14:textId="389BD3A7">
      <w:pPr>
        <w:rPr>
          <w:rFonts w:ascii="Verdana" w:hAnsi="Verdana" w:eastAsia="Times New Roman"/>
          <w:sz w:val="18"/>
          <w:szCs w:val="18"/>
        </w:rPr>
      </w:pPr>
      <w:r w:rsidRPr="00025D4C">
        <w:rPr>
          <w:rFonts w:ascii="Verdana" w:hAnsi="Verdana" w:eastAsia="Times New Roman"/>
          <w:sz w:val="18"/>
          <w:szCs w:val="18"/>
        </w:rPr>
        <w:br/>
      </w:r>
      <w:r w:rsidRPr="00025D4C">
        <w:rPr>
          <w:rFonts w:ascii="Verdana" w:hAnsi="Verdana" w:eastAsia="Times New Roman"/>
          <w:b/>
          <w:bCs/>
          <w:sz w:val="18"/>
          <w:szCs w:val="18"/>
        </w:rPr>
        <w:t>Vraag (27):</w:t>
      </w:r>
      <w:r w:rsidRPr="00025D4C">
        <w:rPr>
          <w:rFonts w:ascii="Verdana" w:hAnsi="Verdana" w:eastAsia="Times New Roman"/>
          <w:sz w:val="18"/>
          <w:szCs w:val="18"/>
        </w:rPr>
        <w:br/>
        <w:t>Wat is het percentage asielzoekers uit veilige landen? Hoeveel van hen zijn in aanraking gekomen met de politie?</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Pr>
          <w:rFonts w:ascii="Verdana" w:hAnsi="Verdana" w:eastAsia="Times New Roman"/>
          <w:sz w:val="18"/>
          <w:szCs w:val="18"/>
        </w:rPr>
        <w:br/>
        <w:t>Zoals met uw Kamer gedeeld, is het beleid voor veilige landen met ingang van 23 september 2025 opgeschort (Tweede Kamer, vergaderjaar 2025–2026, 19 637, nr. 3475).</w:t>
      </w:r>
      <w:r w:rsidRPr="00025D4C">
        <w:rPr>
          <w:rFonts w:ascii="Verdana" w:hAnsi="Verdana" w:eastAsia="Times New Roman"/>
          <w:sz w:val="18"/>
          <w:szCs w:val="18"/>
        </w:rPr>
        <w:br/>
      </w:r>
      <w:r w:rsidRPr="00025D4C">
        <w:rPr>
          <w:rFonts w:ascii="Verdana" w:hAnsi="Verdana" w:eastAsia="Times New Roman"/>
          <w:sz w:val="18"/>
          <w:szCs w:val="18"/>
        </w:rPr>
        <w:br/>
        <w:t xml:space="preserve">De strafrechtketen registreert de vreemdelingrechtelijke status niet. Wel geeft het </w:t>
      </w:r>
      <w:proofErr w:type="gramStart"/>
      <w:r w:rsidRPr="00025D4C">
        <w:rPr>
          <w:rFonts w:ascii="Verdana" w:hAnsi="Verdana" w:eastAsia="Times New Roman"/>
          <w:sz w:val="18"/>
          <w:szCs w:val="18"/>
        </w:rPr>
        <w:t>WODC inzicht</w:t>
      </w:r>
      <w:proofErr w:type="gramEnd"/>
      <w:r w:rsidRPr="00025D4C">
        <w:rPr>
          <w:rFonts w:ascii="Verdana" w:hAnsi="Verdana" w:eastAsia="Times New Roman"/>
          <w:sz w:val="18"/>
          <w:szCs w:val="18"/>
        </w:rPr>
        <w:t xml:space="preserve"> in de nationaliteit van vreemdelingen die verbleven in de COA-opvang of in een tijdelijke gemeentelijke opvanglocatie (</w:t>
      </w:r>
      <w:proofErr w:type="spellStart"/>
      <w:r w:rsidRPr="00025D4C">
        <w:rPr>
          <w:rFonts w:ascii="Verdana" w:hAnsi="Verdana" w:eastAsia="Times New Roman"/>
          <w:sz w:val="18"/>
          <w:szCs w:val="18"/>
        </w:rPr>
        <w:t>tgo</w:t>
      </w:r>
      <w:proofErr w:type="spellEnd"/>
      <w:r w:rsidRPr="00025D4C">
        <w:rPr>
          <w:rFonts w:ascii="Verdana" w:hAnsi="Verdana" w:eastAsia="Times New Roman"/>
          <w:sz w:val="18"/>
          <w:szCs w:val="18"/>
        </w:rPr>
        <w:t xml:space="preserve">) en werden verdacht van een misdrijf. In 2024 zijn er in totaal 2.910 unieke vreemdelingen die dat jaar verbleven in de COA-opvang of op een </w:t>
      </w:r>
      <w:proofErr w:type="spellStart"/>
      <w:r w:rsidRPr="00025D4C">
        <w:rPr>
          <w:rFonts w:ascii="Verdana" w:hAnsi="Verdana" w:eastAsia="Times New Roman"/>
          <w:sz w:val="18"/>
          <w:szCs w:val="18"/>
        </w:rPr>
        <w:t>tgo</w:t>
      </w:r>
      <w:proofErr w:type="spellEnd"/>
      <w:r w:rsidRPr="00025D4C">
        <w:rPr>
          <w:rFonts w:ascii="Verdana" w:hAnsi="Verdana" w:eastAsia="Times New Roman"/>
          <w:sz w:val="18"/>
          <w:szCs w:val="18"/>
        </w:rPr>
        <w:t xml:space="preserve">-locatie verdacht van een misdrijf (WODC-rapport 'Incidenten en misdrijven door bewoners van COA- en </w:t>
      </w:r>
      <w:proofErr w:type="spellStart"/>
      <w:r w:rsidRPr="00025D4C">
        <w:rPr>
          <w:rFonts w:ascii="Verdana" w:hAnsi="Verdana" w:eastAsia="Times New Roman"/>
          <w:sz w:val="18"/>
          <w:szCs w:val="18"/>
        </w:rPr>
        <w:t>tgo</w:t>
      </w:r>
      <w:proofErr w:type="spellEnd"/>
      <w:r w:rsidRPr="00025D4C">
        <w:rPr>
          <w:rFonts w:ascii="Verdana" w:hAnsi="Verdana" w:eastAsia="Times New Roman"/>
          <w:sz w:val="18"/>
          <w:szCs w:val="18"/>
        </w:rPr>
        <w:t>-locaties 2017–2024’ (Tweede Kamer, vergaderjaar 2024–2025, 19 637, nr. 3455))</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Vraag (28):</w:t>
      </w:r>
      <w:r w:rsidRPr="00025D4C">
        <w:rPr>
          <w:rFonts w:ascii="Verdana" w:hAnsi="Verdana" w:eastAsia="Times New Roman"/>
          <w:sz w:val="18"/>
          <w:szCs w:val="18"/>
        </w:rPr>
        <w:br/>
        <w:t>Hoeveel arbeidsmigranten, studiemigranten en hoeveel migranten zijn er in het kader van gezinsmigratie de afgelopen 10 jaar naar Nederland gekomen, uitgesplitst naar EU en niet-EU? Hoeveel procent van deze verzoeken is ingewilligd?</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Pr>
          <w:rFonts w:ascii="Verdana" w:hAnsi="Verdana" w:eastAsia="Times New Roman"/>
          <w:sz w:val="18"/>
          <w:szCs w:val="18"/>
        </w:rPr>
        <w:br/>
        <w:t>Voor het aantal immigranten naar migratiemotief wordt uw Kamer verwezen naar het antwoord op vraag 6.</w:t>
      </w:r>
      <w:r w:rsidRPr="00025D4C">
        <w:rPr>
          <w:rFonts w:ascii="Verdana" w:hAnsi="Verdana" w:eastAsia="Times New Roman"/>
          <w:sz w:val="18"/>
          <w:szCs w:val="18"/>
        </w:rPr>
        <w:br/>
      </w:r>
      <w:r w:rsidRPr="00025D4C">
        <w:rPr>
          <w:rFonts w:ascii="Verdana" w:hAnsi="Verdana" w:eastAsia="Times New Roman"/>
          <w:sz w:val="18"/>
          <w:szCs w:val="18"/>
        </w:rPr>
        <w:br/>
        <w:t xml:space="preserve">Personen van buiten de EU dienen een verblijfsvergunning aan te vragen wanneer ze langer dan 90 dagen in Nederland willen verblijven. In onderstaande tabel zijn de inwilligingspercentages per verblijfsdoel opgenomen voor 2023 en 2024. Voor de inwilligingspercentages in voorgaande jaren wordt uw Kamer verwezen naar de Staat van Migratie en de voorgaande rapportage, de Rapportage Vreemdelingenketen, die met uw </w:t>
      </w:r>
      <w:r w:rsidRPr="00025D4C">
        <w:rPr>
          <w:rFonts w:ascii="Verdana" w:hAnsi="Verdana" w:eastAsia="Times New Roman"/>
          <w:sz w:val="18"/>
          <w:szCs w:val="18"/>
        </w:rPr>
        <w:lastRenderedPageBreak/>
        <w:t>Kamer zijn gedeeld.</w:t>
      </w:r>
      <w:r w:rsidRPr="00025D4C">
        <w:rPr>
          <w:rFonts w:ascii="Verdana" w:hAnsi="Verdana" w:eastAsia="Times New Roman"/>
          <w:sz w:val="18"/>
          <w:szCs w:val="18"/>
        </w:rPr>
        <w:br/>
      </w:r>
    </w:p>
    <w:p w:rsidRPr="00025D4C" w:rsidR="00DE767A" w:rsidP="00DE767A" w:rsidRDefault="00DE767A" w14:paraId="6C1C0A5E" w14:textId="3081BE16">
      <w:pPr>
        <w:rPr>
          <w:rFonts w:ascii="Verdana" w:hAnsi="Verdana" w:eastAsia="Times New Roman"/>
          <w:sz w:val="18"/>
          <w:szCs w:val="18"/>
        </w:rPr>
      </w:pPr>
      <w:r w:rsidRPr="00025D4C">
        <w:rPr>
          <w:rFonts w:ascii="Verdana" w:hAnsi="Verdana" w:eastAsia="Times New Roman"/>
          <w:sz w:val="18"/>
          <w:szCs w:val="18"/>
        </w:rPr>
        <w:t>Tabel: Inwilligingspercentages per verblijfsdoel, 2023-2024</w:t>
      </w:r>
    </w:p>
    <w:tbl>
      <w:tblPr>
        <w:tblW w:w="4540" w:type="dxa"/>
        <w:tblCellMar>
          <w:left w:w="70" w:type="dxa"/>
          <w:right w:w="70" w:type="dxa"/>
        </w:tblCellMar>
        <w:tblLook w:val="04A0" w:firstRow="1" w:lastRow="0" w:firstColumn="1" w:lastColumn="0" w:noHBand="0" w:noVBand="1"/>
      </w:tblPr>
      <w:tblGrid>
        <w:gridCol w:w="2620"/>
        <w:gridCol w:w="960"/>
        <w:gridCol w:w="960"/>
      </w:tblGrid>
      <w:tr w:rsidRPr="00025D4C" w:rsidR="00DE767A" w:rsidTr="00CB43DF" w14:paraId="3FAE3ECB" w14:textId="77777777">
        <w:trPr>
          <w:trHeight w:val="225"/>
        </w:trPr>
        <w:tc>
          <w:tcPr>
            <w:tcW w:w="2620" w:type="dxa"/>
            <w:tcBorders>
              <w:top w:val="single" w:color="auto" w:sz="4" w:space="0"/>
              <w:left w:val="nil"/>
              <w:bottom w:val="single" w:color="auto" w:sz="4" w:space="0"/>
              <w:right w:val="nil"/>
            </w:tcBorders>
            <w:shd w:val="clear" w:color="auto" w:fill="auto"/>
            <w:noWrap/>
            <w:vAlign w:val="bottom"/>
            <w:hideMark/>
          </w:tcPr>
          <w:p w:rsidRPr="00025D4C" w:rsidR="00DE767A" w:rsidP="00DE767A" w:rsidRDefault="00DE767A" w14:paraId="161D574B" w14:textId="77777777">
            <w:pPr>
              <w:rPr>
                <w:rFonts w:ascii="Verdana" w:hAnsi="Verdana" w:eastAsia="Times New Roman" w:cs="Calibri"/>
                <w:color w:val="000000"/>
                <w:sz w:val="18"/>
                <w:szCs w:val="18"/>
                <w:lang w:eastAsia="nl-NL"/>
              </w:rPr>
            </w:pPr>
            <w:r w:rsidRPr="00025D4C">
              <w:rPr>
                <w:rFonts w:ascii="Verdana" w:hAnsi="Verdana" w:eastAsia="Times New Roman" w:cs="Calibri"/>
                <w:color w:val="000000"/>
                <w:sz w:val="18"/>
                <w:szCs w:val="18"/>
                <w:lang w:eastAsia="nl-NL"/>
              </w:rPr>
              <w:t> </w:t>
            </w:r>
          </w:p>
        </w:tc>
        <w:tc>
          <w:tcPr>
            <w:tcW w:w="960" w:type="dxa"/>
            <w:tcBorders>
              <w:top w:val="single" w:color="auto" w:sz="4" w:space="0"/>
              <w:left w:val="nil"/>
              <w:bottom w:val="single" w:color="auto" w:sz="4" w:space="0"/>
              <w:right w:val="nil"/>
            </w:tcBorders>
            <w:shd w:val="clear" w:color="auto" w:fill="auto"/>
            <w:noWrap/>
            <w:vAlign w:val="bottom"/>
            <w:hideMark/>
          </w:tcPr>
          <w:p w:rsidRPr="00025D4C" w:rsidR="00DE767A" w:rsidP="00DE767A" w:rsidRDefault="00DE767A" w14:paraId="7EAA9E73" w14:textId="77777777">
            <w:pPr>
              <w:jc w:val="right"/>
              <w:rPr>
                <w:rFonts w:ascii="Verdana" w:hAnsi="Verdana" w:eastAsia="Times New Roman" w:cs="Calibri"/>
                <w:color w:val="000000"/>
                <w:sz w:val="18"/>
                <w:szCs w:val="18"/>
                <w:lang w:eastAsia="nl-NL"/>
              </w:rPr>
            </w:pPr>
            <w:r w:rsidRPr="00025D4C">
              <w:rPr>
                <w:rFonts w:ascii="Verdana" w:hAnsi="Verdana" w:eastAsia="Times New Roman" w:cs="Calibri"/>
                <w:color w:val="000000"/>
                <w:sz w:val="18"/>
                <w:szCs w:val="18"/>
                <w:lang w:eastAsia="nl-NL"/>
              </w:rPr>
              <w:t>2023</w:t>
            </w:r>
          </w:p>
        </w:tc>
        <w:tc>
          <w:tcPr>
            <w:tcW w:w="960" w:type="dxa"/>
            <w:tcBorders>
              <w:top w:val="single" w:color="auto" w:sz="4" w:space="0"/>
              <w:left w:val="nil"/>
              <w:bottom w:val="single" w:color="auto" w:sz="4" w:space="0"/>
              <w:right w:val="nil"/>
            </w:tcBorders>
            <w:shd w:val="clear" w:color="auto" w:fill="auto"/>
            <w:noWrap/>
            <w:vAlign w:val="bottom"/>
            <w:hideMark/>
          </w:tcPr>
          <w:p w:rsidRPr="00025D4C" w:rsidR="00DE767A" w:rsidP="00DE767A" w:rsidRDefault="00DE767A" w14:paraId="728DA98B" w14:textId="77777777">
            <w:pPr>
              <w:jc w:val="right"/>
              <w:rPr>
                <w:rFonts w:ascii="Verdana" w:hAnsi="Verdana" w:eastAsia="Times New Roman" w:cs="Calibri"/>
                <w:color w:val="000000"/>
                <w:sz w:val="18"/>
                <w:szCs w:val="18"/>
                <w:lang w:eastAsia="nl-NL"/>
              </w:rPr>
            </w:pPr>
            <w:r w:rsidRPr="00025D4C">
              <w:rPr>
                <w:rFonts w:ascii="Verdana" w:hAnsi="Verdana" w:eastAsia="Times New Roman" w:cs="Calibri"/>
                <w:color w:val="000000"/>
                <w:sz w:val="18"/>
                <w:szCs w:val="18"/>
                <w:lang w:eastAsia="nl-NL"/>
              </w:rPr>
              <w:t>2024</w:t>
            </w:r>
          </w:p>
        </w:tc>
      </w:tr>
      <w:tr w:rsidRPr="00025D4C" w:rsidR="00DE767A" w:rsidTr="00CB43DF" w14:paraId="54ADF421" w14:textId="77777777">
        <w:trPr>
          <w:trHeight w:val="225"/>
        </w:trPr>
        <w:tc>
          <w:tcPr>
            <w:tcW w:w="2620" w:type="dxa"/>
            <w:tcBorders>
              <w:top w:val="nil"/>
              <w:left w:val="nil"/>
              <w:bottom w:val="nil"/>
              <w:right w:val="nil"/>
            </w:tcBorders>
            <w:shd w:val="clear" w:color="auto" w:fill="auto"/>
            <w:noWrap/>
            <w:vAlign w:val="bottom"/>
            <w:hideMark/>
          </w:tcPr>
          <w:p w:rsidRPr="00025D4C" w:rsidR="00DE767A" w:rsidP="00CB43DF" w:rsidRDefault="00DE767A" w14:paraId="1AABD0FC" w14:textId="77777777">
            <w:pPr>
              <w:rPr>
                <w:rFonts w:ascii="Verdana" w:hAnsi="Verdana" w:eastAsia="Times New Roman" w:cs="Calibri"/>
                <w:color w:val="000000"/>
                <w:sz w:val="18"/>
                <w:szCs w:val="18"/>
                <w:lang w:eastAsia="nl-NL"/>
              </w:rPr>
            </w:pPr>
            <w:r w:rsidRPr="00025D4C">
              <w:rPr>
                <w:rFonts w:ascii="Verdana" w:hAnsi="Verdana" w:eastAsia="Times New Roman" w:cs="Calibri"/>
                <w:color w:val="000000"/>
                <w:sz w:val="18"/>
                <w:szCs w:val="18"/>
                <w:lang w:eastAsia="nl-NL"/>
              </w:rPr>
              <w:t>Familie en gezin</w:t>
            </w:r>
          </w:p>
        </w:tc>
        <w:tc>
          <w:tcPr>
            <w:tcW w:w="960" w:type="dxa"/>
            <w:tcBorders>
              <w:top w:val="nil"/>
              <w:left w:val="nil"/>
              <w:bottom w:val="nil"/>
              <w:right w:val="nil"/>
            </w:tcBorders>
            <w:shd w:val="clear" w:color="auto" w:fill="auto"/>
            <w:noWrap/>
            <w:vAlign w:val="bottom"/>
            <w:hideMark/>
          </w:tcPr>
          <w:p w:rsidRPr="00025D4C" w:rsidR="00DE767A" w:rsidP="00CB43DF" w:rsidRDefault="00DE767A" w14:paraId="4C7D01DA" w14:textId="77777777">
            <w:pPr>
              <w:jc w:val="right"/>
              <w:rPr>
                <w:rFonts w:ascii="Verdana" w:hAnsi="Verdana" w:eastAsia="Times New Roman" w:cs="Calibri"/>
                <w:color w:val="000000"/>
                <w:sz w:val="18"/>
                <w:szCs w:val="18"/>
                <w:lang w:eastAsia="nl-NL"/>
              </w:rPr>
            </w:pPr>
            <w:r w:rsidRPr="00025D4C">
              <w:rPr>
                <w:rFonts w:ascii="Verdana" w:hAnsi="Verdana" w:eastAsia="Times New Roman" w:cs="Calibri"/>
                <w:color w:val="000000"/>
                <w:sz w:val="18"/>
                <w:szCs w:val="18"/>
                <w:lang w:eastAsia="nl-NL"/>
              </w:rPr>
              <w:t>86%</w:t>
            </w:r>
          </w:p>
        </w:tc>
        <w:tc>
          <w:tcPr>
            <w:tcW w:w="960" w:type="dxa"/>
            <w:tcBorders>
              <w:top w:val="nil"/>
              <w:left w:val="nil"/>
              <w:bottom w:val="nil"/>
              <w:right w:val="nil"/>
            </w:tcBorders>
            <w:shd w:val="clear" w:color="auto" w:fill="auto"/>
            <w:noWrap/>
            <w:vAlign w:val="bottom"/>
            <w:hideMark/>
          </w:tcPr>
          <w:p w:rsidRPr="00025D4C" w:rsidR="00DE767A" w:rsidP="00CB43DF" w:rsidRDefault="00DE767A" w14:paraId="72BCEBC6" w14:textId="77777777">
            <w:pPr>
              <w:jc w:val="right"/>
              <w:rPr>
                <w:rFonts w:ascii="Verdana" w:hAnsi="Verdana" w:eastAsia="Times New Roman" w:cs="Calibri"/>
                <w:color w:val="000000"/>
                <w:sz w:val="18"/>
                <w:szCs w:val="18"/>
                <w:lang w:eastAsia="nl-NL"/>
              </w:rPr>
            </w:pPr>
            <w:r w:rsidRPr="00025D4C">
              <w:rPr>
                <w:rFonts w:ascii="Verdana" w:hAnsi="Verdana" w:eastAsia="Times New Roman" w:cs="Calibri"/>
                <w:color w:val="000000"/>
                <w:sz w:val="18"/>
                <w:szCs w:val="18"/>
                <w:lang w:eastAsia="nl-NL"/>
              </w:rPr>
              <w:t>84%</w:t>
            </w:r>
          </w:p>
        </w:tc>
      </w:tr>
      <w:tr w:rsidRPr="00025D4C" w:rsidR="00DE767A" w:rsidTr="00CB43DF" w14:paraId="7B43CD2C" w14:textId="77777777">
        <w:trPr>
          <w:trHeight w:val="225"/>
        </w:trPr>
        <w:tc>
          <w:tcPr>
            <w:tcW w:w="2620" w:type="dxa"/>
            <w:tcBorders>
              <w:top w:val="nil"/>
              <w:left w:val="nil"/>
              <w:bottom w:val="nil"/>
              <w:right w:val="nil"/>
            </w:tcBorders>
            <w:shd w:val="clear" w:color="auto" w:fill="auto"/>
            <w:noWrap/>
            <w:vAlign w:val="bottom"/>
            <w:hideMark/>
          </w:tcPr>
          <w:p w:rsidRPr="00025D4C" w:rsidR="00DE767A" w:rsidP="00CB43DF" w:rsidRDefault="00DE767A" w14:paraId="307B70BA" w14:textId="77777777">
            <w:pPr>
              <w:rPr>
                <w:rFonts w:ascii="Verdana" w:hAnsi="Verdana" w:eastAsia="Times New Roman" w:cs="Calibri"/>
                <w:color w:val="000000"/>
                <w:sz w:val="18"/>
                <w:szCs w:val="18"/>
                <w:lang w:eastAsia="nl-NL"/>
              </w:rPr>
            </w:pPr>
            <w:r w:rsidRPr="00025D4C">
              <w:rPr>
                <w:rFonts w:ascii="Verdana" w:hAnsi="Verdana" w:eastAsia="Times New Roman" w:cs="Calibri"/>
                <w:color w:val="000000"/>
                <w:sz w:val="18"/>
                <w:szCs w:val="18"/>
                <w:lang w:eastAsia="nl-NL"/>
              </w:rPr>
              <w:t>Arbeid: kennis en talent</w:t>
            </w:r>
          </w:p>
        </w:tc>
        <w:tc>
          <w:tcPr>
            <w:tcW w:w="960" w:type="dxa"/>
            <w:tcBorders>
              <w:top w:val="nil"/>
              <w:left w:val="nil"/>
              <w:bottom w:val="nil"/>
              <w:right w:val="nil"/>
            </w:tcBorders>
            <w:shd w:val="clear" w:color="auto" w:fill="auto"/>
            <w:noWrap/>
            <w:vAlign w:val="bottom"/>
            <w:hideMark/>
          </w:tcPr>
          <w:p w:rsidRPr="00025D4C" w:rsidR="00DE767A" w:rsidP="00CB43DF" w:rsidRDefault="00DE767A" w14:paraId="0AA06824" w14:textId="77777777">
            <w:pPr>
              <w:jc w:val="right"/>
              <w:rPr>
                <w:rFonts w:ascii="Verdana" w:hAnsi="Verdana" w:eastAsia="Times New Roman" w:cs="Calibri"/>
                <w:color w:val="000000"/>
                <w:sz w:val="18"/>
                <w:szCs w:val="18"/>
                <w:lang w:eastAsia="nl-NL"/>
              </w:rPr>
            </w:pPr>
            <w:r w:rsidRPr="00025D4C">
              <w:rPr>
                <w:rFonts w:ascii="Verdana" w:hAnsi="Verdana" w:eastAsia="Times New Roman" w:cs="Calibri"/>
                <w:color w:val="000000"/>
                <w:sz w:val="18"/>
                <w:szCs w:val="18"/>
                <w:lang w:eastAsia="nl-NL"/>
              </w:rPr>
              <w:t>91%</w:t>
            </w:r>
          </w:p>
        </w:tc>
        <w:tc>
          <w:tcPr>
            <w:tcW w:w="960" w:type="dxa"/>
            <w:tcBorders>
              <w:top w:val="nil"/>
              <w:left w:val="nil"/>
              <w:bottom w:val="nil"/>
              <w:right w:val="nil"/>
            </w:tcBorders>
            <w:shd w:val="clear" w:color="auto" w:fill="auto"/>
            <w:noWrap/>
            <w:vAlign w:val="bottom"/>
            <w:hideMark/>
          </w:tcPr>
          <w:p w:rsidRPr="00025D4C" w:rsidR="00DE767A" w:rsidP="00CB43DF" w:rsidRDefault="00DE767A" w14:paraId="46C7D504" w14:textId="77777777">
            <w:pPr>
              <w:jc w:val="right"/>
              <w:rPr>
                <w:rFonts w:ascii="Verdana" w:hAnsi="Verdana" w:eastAsia="Times New Roman" w:cs="Calibri"/>
                <w:color w:val="000000"/>
                <w:sz w:val="18"/>
                <w:szCs w:val="18"/>
                <w:lang w:eastAsia="nl-NL"/>
              </w:rPr>
            </w:pPr>
            <w:r w:rsidRPr="00025D4C">
              <w:rPr>
                <w:rFonts w:ascii="Verdana" w:hAnsi="Verdana" w:eastAsia="Times New Roman" w:cs="Calibri"/>
                <w:color w:val="000000"/>
                <w:sz w:val="18"/>
                <w:szCs w:val="18"/>
                <w:lang w:eastAsia="nl-NL"/>
              </w:rPr>
              <w:t>87%</w:t>
            </w:r>
          </w:p>
        </w:tc>
      </w:tr>
      <w:tr w:rsidRPr="00025D4C" w:rsidR="00DE767A" w:rsidTr="00CB43DF" w14:paraId="3C982AA3" w14:textId="77777777">
        <w:trPr>
          <w:trHeight w:val="225"/>
        </w:trPr>
        <w:tc>
          <w:tcPr>
            <w:tcW w:w="2620" w:type="dxa"/>
            <w:tcBorders>
              <w:top w:val="nil"/>
              <w:left w:val="nil"/>
              <w:bottom w:val="nil"/>
              <w:right w:val="nil"/>
            </w:tcBorders>
            <w:shd w:val="clear" w:color="auto" w:fill="auto"/>
            <w:noWrap/>
            <w:vAlign w:val="bottom"/>
            <w:hideMark/>
          </w:tcPr>
          <w:p w:rsidRPr="00025D4C" w:rsidR="00DE767A" w:rsidP="00CB43DF" w:rsidRDefault="00DE767A" w14:paraId="7322FF33" w14:textId="77777777">
            <w:pPr>
              <w:rPr>
                <w:rFonts w:ascii="Verdana" w:hAnsi="Verdana" w:eastAsia="Times New Roman" w:cs="Calibri"/>
                <w:color w:val="000000"/>
                <w:sz w:val="18"/>
                <w:szCs w:val="18"/>
                <w:lang w:eastAsia="nl-NL"/>
              </w:rPr>
            </w:pPr>
            <w:r w:rsidRPr="00025D4C">
              <w:rPr>
                <w:rFonts w:ascii="Verdana" w:hAnsi="Verdana" w:eastAsia="Times New Roman" w:cs="Calibri"/>
                <w:color w:val="000000"/>
                <w:sz w:val="18"/>
                <w:szCs w:val="18"/>
                <w:lang w:eastAsia="nl-NL"/>
              </w:rPr>
              <w:t>Arbeid: overig</w:t>
            </w:r>
          </w:p>
        </w:tc>
        <w:tc>
          <w:tcPr>
            <w:tcW w:w="960" w:type="dxa"/>
            <w:tcBorders>
              <w:top w:val="nil"/>
              <w:left w:val="nil"/>
              <w:bottom w:val="nil"/>
              <w:right w:val="nil"/>
            </w:tcBorders>
            <w:shd w:val="clear" w:color="auto" w:fill="auto"/>
            <w:noWrap/>
            <w:vAlign w:val="bottom"/>
            <w:hideMark/>
          </w:tcPr>
          <w:p w:rsidRPr="00025D4C" w:rsidR="00DE767A" w:rsidP="00CB43DF" w:rsidRDefault="00DE767A" w14:paraId="20A54F3A" w14:textId="77777777">
            <w:pPr>
              <w:jc w:val="right"/>
              <w:rPr>
                <w:rFonts w:ascii="Verdana" w:hAnsi="Verdana" w:eastAsia="Times New Roman" w:cs="Calibri"/>
                <w:color w:val="000000"/>
                <w:sz w:val="18"/>
                <w:szCs w:val="18"/>
                <w:lang w:eastAsia="nl-NL"/>
              </w:rPr>
            </w:pPr>
            <w:r w:rsidRPr="00025D4C">
              <w:rPr>
                <w:rFonts w:ascii="Verdana" w:hAnsi="Verdana" w:eastAsia="Times New Roman" w:cs="Calibri"/>
                <w:color w:val="000000"/>
                <w:sz w:val="18"/>
                <w:szCs w:val="18"/>
                <w:lang w:eastAsia="nl-NL"/>
              </w:rPr>
              <w:t>68%</w:t>
            </w:r>
          </w:p>
        </w:tc>
        <w:tc>
          <w:tcPr>
            <w:tcW w:w="960" w:type="dxa"/>
            <w:tcBorders>
              <w:top w:val="nil"/>
              <w:left w:val="nil"/>
              <w:bottom w:val="nil"/>
              <w:right w:val="nil"/>
            </w:tcBorders>
            <w:shd w:val="clear" w:color="auto" w:fill="auto"/>
            <w:noWrap/>
            <w:vAlign w:val="bottom"/>
            <w:hideMark/>
          </w:tcPr>
          <w:p w:rsidRPr="00025D4C" w:rsidR="00DE767A" w:rsidP="00CB43DF" w:rsidRDefault="00DE767A" w14:paraId="00DD15C1" w14:textId="77777777">
            <w:pPr>
              <w:jc w:val="right"/>
              <w:rPr>
                <w:rFonts w:ascii="Verdana" w:hAnsi="Verdana" w:eastAsia="Times New Roman" w:cs="Calibri"/>
                <w:color w:val="000000"/>
                <w:sz w:val="18"/>
                <w:szCs w:val="18"/>
                <w:lang w:eastAsia="nl-NL"/>
              </w:rPr>
            </w:pPr>
            <w:r w:rsidRPr="00025D4C">
              <w:rPr>
                <w:rFonts w:ascii="Verdana" w:hAnsi="Verdana" w:eastAsia="Times New Roman" w:cs="Calibri"/>
                <w:color w:val="000000"/>
                <w:sz w:val="18"/>
                <w:szCs w:val="18"/>
                <w:lang w:eastAsia="nl-NL"/>
              </w:rPr>
              <w:t>70%</w:t>
            </w:r>
          </w:p>
        </w:tc>
      </w:tr>
      <w:tr w:rsidRPr="00025D4C" w:rsidR="00DE767A" w:rsidTr="00CB43DF" w14:paraId="32FC9522" w14:textId="77777777">
        <w:trPr>
          <w:trHeight w:val="225"/>
        </w:trPr>
        <w:tc>
          <w:tcPr>
            <w:tcW w:w="2620" w:type="dxa"/>
            <w:tcBorders>
              <w:top w:val="nil"/>
              <w:left w:val="nil"/>
              <w:bottom w:val="nil"/>
              <w:right w:val="nil"/>
            </w:tcBorders>
            <w:shd w:val="clear" w:color="auto" w:fill="auto"/>
            <w:noWrap/>
            <w:vAlign w:val="bottom"/>
            <w:hideMark/>
          </w:tcPr>
          <w:p w:rsidRPr="00025D4C" w:rsidR="00DE767A" w:rsidP="00CB43DF" w:rsidRDefault="00DE767A" w14:paraId="34A8786C" w14:textId="77777777">
            <w:pPr>
              <w:rPr>
                <w:rFonts w:ascii="Verdana" w:hAnsi="Verdana" w:eastAsia="Times New Roman" w:cs="Calibri"/>
                <w:color w:val="000000"/>
                <w:sz w:val="18"/>
                <w:szCs w:val="18"/>
                <w:lang w:eastAsia="nl-NL"/>
              </w:rPr>
            </w:pPr>
            <w:r w:rsidRPr="00025D4C">
              <w:rPr>
                <w:rFonts w:ascii="Verdana" w:hAnsi="Verdana" w:eastAsia="Times New Roman" w:cs="Calibri"/>
                <w:color w:val="000000"/>
                <w:sz w:val="18"/>
                <w:szCs w:val="18"/>
                <w:lang w:eastAsia="nl-NL"/>
              </w:rPr>
              <w:t>Studie</w:t>
            </w:r>
          </w:p>
        </w:tc>
        <w:tc>
          <w:tcPr>
            <w:tcW w:w="960" w:type="dxa"/>
            <w:tcBorders>
              <w:top w:val="nil"/>
              <w:left w:val="nil"/>
              <w:bottom w:val="nil"/>
              <w:right w:val="nil"/>
            </w:tcBorders>
            <w:shd w:val="clear" w:color="auto" w:fill="auto"/>
            <w:noWrap/>
            <w:vAlign w:val="bottom"/>
            <w:hideMark/>
          </w:tcPr>
          <w:p w:rsidRPr="00025D4C" w:rsidR="00DE767A" w:rsidP="00CB43DF" w:rsidRDefault="00DE767A" w14:paraId="3E2097EF" w14:textId="77777777">
            <w:pPr>
              <w:jc w:val="right"/>
              <w:rPr>
                <w:rFonts w:ascii="Verdana" w:hAnsi="Verdana" w:eastAsia="Times New Roman" w:cs="Calibri"/>
                <w:color w:val="000000"/>
                <w:sz w:val="18"/>
                <w:szCs w:val="18"/>
                <w:lang w:eastAsia="nl-NL"/>
              </w:rPr>
            </w:pPr>
            <w:r w:rsidRPr="00025D4C">
              <w:rPr>
                <w:rFonts w:ascii="Verdana" w:hAnsi="Verdana" w:eastAsia="Times New Roman" w:cs="Calibri"/>
                <w:color w:val="000000"/>
                <w:sz w:val="18"/>
                <w:szCs w:val="18"/>
                <w:lang w:eastAsia="nl-NL"/>
              </w:rPr>
              <w:t>99%</w:t>
            </w:r>
          </w:p>
        </w:tc>
        <w:tc>
          <w:tcPr>
            <w:tcW w:w="960" w:type="dxa"/>
            <w:tcBorders>
              <w:top w:val="nil"/>
              <w:left w:val="nil"/>
              <w:bottom w:val="nil"/>
              <w:right w:val="nil"/>
            </w:tcBorders>
            <w:shd w:val="clear" w:color="auto" w:fill="auto"/>
            <w:noWrap/>
            <w:vAlign w:val="bottom"/>
            <w:hideMark/>
          </w:tcPr>
          <w:p w:rsidRPr="00025D4C" w:rsidR="00DE767A" w:rsidP="00CB43DF" w:rsidRDefault="00DE767A" w14:paraId="0371775B" w14:textId="77777777">
            <w:pPr>
              <w:jc w:val="right"/>
              <w:rPr>
                <w:rFonts w:ascii="Verdana" w:hAnsi="Verdana" w:eastAsia="Times New Roman" w:cs="Calibri"/>
                <w:color w:val="000000"/>
                <w:sz w:val="18"/>
                <w:szCs w:val="18"/>
                <w:lang w:eastAsia="nl-NL"/>
              </w:rPr>
            </w:pPr>
            <w:r w:rsidRPr="00025D4C">
              <w:rPr>
                <w:rFonts w:ascii="Verdana" w:hAnsi="Verdana" w:eastAsia="Times New Roman" w:cs="Calibri"/>
                <w:color w:val="000000"/>
                <w:sz w:val="18"/>
                <w:szCs w:val="18"/>
                <w:lang w:eastAsia="nl-NL"/>
              </w:rPr>
              <w:t>99%</w:t>
            </w:r>
          </w:p>
        </w:tc>
      </w:tr>
      <w:tr w:rsidRPr="00025D4C" w:rsidR="00DE767A" w:rsidTr="00CB43DF" w14:paraId="6ADDA041" w14:textId="77777777">
        <w:trPr>
          <w:trHeight w:val="225"/>
        </w:trPr>
        <w:tc>
          <w:tcPr>
            <w:tcW w:w="2620" w:type="dxa"/>
            <w:tcBorders>
              <w:top w:val="nil"/>
              <w:left w:val="nil"/>
              <w:bottom w:val="single" w:color="auto" w:sz="4" w:space="0"/>
              <w:right w:val="nil"/>
            </w:tcBorders>
            <w:shd w:val="clear" w:color="auto" w:fill="auto"/>
            <w:noWrap/>
            <w:vAlign w:val="bottom"/>
            <w:hideMark/>
          </w:tcPr>
          <w:p w:rsidRPr="00025D4C" w:rsidR="00DE767A" w:rsidP="00CB43DF" w:rsidRDefault="00DE767A" w14:paraId="1EF2003C" w14:textId="77777777">
            <w:pPr>
              <w:rPr>
                <w:rFonts w:ascii="Verdana" w:hAnsi="Verdana" w:eastAsia="Times New Roman" w:cs="Calibri"/>
                <w:color w:val="000000"/>
                <w:sz w:val="18"/>
                <w:szCs w:val="18"/>
                <w:lang w:eastAsia="nl-NL"/>
              </w:rPr>
            </w:pPr>
            <w:r w:rsidRPr="00025D4C">
              <w:rPr>
                <w:rFonts w:ascii="Verdana" w:hAnsi="Verdana" w:eastAsia="Times New Roman" w:cs="Calibri"/>
                <w:color w:val="000000"/>
                <w:sz w:val="18"/>
                <w:szCs w:val="18"/>
                <w:lang w:eastAsia="nl-NL"/>
              </w:rPr>
              <w:t>Overig</w:t>
            </w:r>
          </w:p>
        </w:tc>
        <w:tc>
          <w:tcPr>
            <w:tcW w:w="960" w:type="dxa"/>
            <w:tcBorders>
              <w:top w:val="nil"/>
              <w:left w:val="nil"/>
              <w:bottom w:val="single" w:color="auto" w:sz="4" w:space="0"/>
              <w:right w:val="nil"/>
            </w:tcBorders>
            <w:shd w:val="clear" w:color="auto" w:fill="auto"/>
            <w:noWrap/>
            <w:vAlign w:val="bottom"/>
            <w:hideMark/>
          </w:tcPr>
          <w:p w:rsidRPr="00025D4C" w:rsidR="00DE767A" w:rsidP="00CB43DF" w:rsidRDefault="00DE767A" w14:paraId="44FFD131" w14:textId="77777777">
            <w:pPr>
              <w:jc w:val="right"/>
              <w:rPr>
                <w:rFonts w:ascii="Verdana" w:hAnsi="Verdana" w:eastAsia="Times New Roman" w:cs="Calibri"/>
                <w:color w:val="000000"/>
                <w:sz w:val="18"/>
                <w:szCs w:val="18"/>
                <w:lang w:eastAsia="nl-NL"/>
              </w:rPr>
            </w:pPr>
            <w:r w:rsidRPr="00025D4C">
              <w:rPr>
                <w:rFonts w:ascii="Verdana" w:hAnsi="Verdana" w:eastAsia="Times New Roman" w:cs="Calibri"/>
                <w:color w:val="000000"/>
                <w:sz w:val="18"/>
                <w:szCs w:val="18"/>
                <w:lang w:eastAsia="nl-NL"/>
              </w:rPr>
              <w:t>81%</w:t>
            </w:r>
          </w:p>
        </w:tc>
        <w:tc>
          <w:tcPr>
            <w:tcW w:w="960" w:type="dxa"/>
            <w:tcBorders>
              <w:top w:val="nil"/>
              <w:left w:val="nil"/>
              <w:bottom w:val="single" w:color="auto" w:sz="4" w:space="0"/>
              <w:right w:val="nil"/>
            </w:tcBorders>
            <w:shd w:val="clear" w:color="auto" w:fill="auto"/>
            <w:noWrap/>
            <w:vAlign w:val="bottom"/>
            <w:hideMark/>
          </w:tcPr>
          <w:p w:rsidRPr="00025D4C" w:rsidR="00DE767A" w:rsidP="00CB43DF" w:rsidRDefault="00DE767A" w14:paraId="25092503" w14:textId="77777777">
            <w:pPr>
              <w:jc w:val="right"/>
              <w:rPr>
                <w:rFonts w:ascii="Verdana" w:hAnsi="Verdana" w:eastAsia="Times New Roman" w:cs="Calibri"/>
                <w:color w:val="000000"/>
                <w:sz w:val="18"/>
                <w:szCs w:val="18"/>
                <w:lang w:eastAsia="nl-NL"/>
              </w:rPr>
            </w:pPr>
            <w:r w:rsidRPr="00025D4C">
              <w:rPr>
                <w:rFonts w:ascii="Verdana" w:hAnsi="Verdana" w:eastAsia="Times New Roman" w:cs="Calibri"/>
                <w:color w:val="000000"/>
                <w:sz w:val="18"/>
                <w:szCs w:val="18"/>
                <w:lang w:eastAsia="nl-NL"/>
              </w:rPr>
              <w:t>79%</w:t>
            </w:r>
          </w:p>
        </w:tc>
      </w:tr>
    </w:tbl>
    <w:p w:rsidRPr="00025D4C" w:rsidR="009D3D5E" w:rsidRDefault="00C450C8" w14:paraId="340A926F" w14:textId="483C8CD2">
      <w:pPr>
        <w:spacing w:after="240"/>
        <w:rPr>
          <w:rFonts w:ascii="Verdana" w:hAnsi="Verdana" w:eastAsia="Times New Roman"/>
          <w:sz w:val="18"/>
          <w:szCs w:val="18"/>
        </w:rPr>
      </w:pPr>
      <w:r w:rsidRPr="00025D4C">
        <w:rPr>
          <w:rFonts w:ascii="Verdana" w:hAnsi="Verdana" w:eastAsia="Times New Roman"/>
          <w:sz w:val="18"/>
          <w:szCs w:val="18"/>
        </w:rPr>
        <w:t xml:space="preserve">Bron: </w:t>
      </w:r>
      <w:hyperlink w:history="1" r:id="rId6">
        <w:r w:rsidRPr="00025D4C" w:rsidR="00DE767A">
          <w:rPr>
            <w:rStyle w:val="Hyperlink"/>
          </w:rPr>
          <w:t>Staat van Migratie 2025</w:t>
        </w:r>
      </w:hyperlink>
      <w:r w:rsidRPr="00025D4C">
        <w:rPr>
          <w:rFonts w:ascii="Verdana" w:hAnsi="Verdana" w:eastAsia="Times New Roman"/>
          <w:sz w:val="18"/>
          <w:szCs w:val="18"/>
        </w:rPr>
        <w:br/>
      </w:r>
      <w:r w:rsidRPr="00025D4C">
        <w:rPr>
          <w:rFonts w:ascii="Verdana" w:hAnsi="Verdana" w:eastAsia="Times New Roman"/>
          <w:sz w:val="18"/>
          <w:szCs w:val="18"/>
        </w:rPr>
        <w:br/>
        <w:t>Immigranten uit de EU hebben op grond van het vrij verkeer van personen in beginsel het recht zich in Nederland te vestigen. Zij hoeven geen verblijfsvergunning aan te vragen. Hierover zijn dan ook geen inwilligingspercentages beschikbaar</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Vraag (29):</w:t>
      </w:r>
      <w:r w:rsidRPr="00025D4C">
        <w:rPr>
          <w:rFonts w:ascii="Verdana" w:hAnsi="Verdana" w:eastAsia="Times New Roman"/>
          <w:sz w:val="18"/>
          <w:szCs w:val="18"/>
        </w:rPr>
        <w:br/>
        <w:t>Hoeveel asielzoekers hebben de afgelopen 5 jaar een verblijfsaanvraag ingediend waarbij zij geen reis- en identiteitsdocumenten konden overleggen?</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Pr>
          <w:rFonts w:ascii="Verdana" w:hAnsi="Verdana" w:eastAsia="Times New Roman"/>
          <w:sz w:val="18"/>
          <w:szCs w:val="18"/>
        </w:rPr>
        <w:br/>
        <w:t>Het is niet mogelijk om deze vraag binnen de gestelde termijn te beantwoorden.</w:t>
      </w:r>
      <w:r w:rsidRPr="00025D4C">
        <w:rPr>
          <w:rFonts w:ascii="Verdana" w:hAnsi="Verdana" w:eastAsia="Times New Roman"/>
          <w:sz w:val="18"/>
          <w:szCs w:val="18"/>
        </w:rPr>
        <w:br/>
      </w:r>
      <w:r w:rsidRPr="00025D4C">
        <w:rPr>
          <w:rFonts w:ascii="Verdana" w:hAnsi="Verdana" w:eastAsia="Times New Roman"/>
          <w:sz w:val="18"/>
          <w:szCs w:val="18"/>
        </w:rPr>
        <w:br/>
        <w:t>Wel wordt uw Kamer verwezen naar het antwoord op vraag 7 naar aanleiding van de Wijziging van de begrotingsstaten van het Ministerie van Asiel en Migratie (XX) voor het jaar 2025 (wijziging samenhangende met de Miljoenennota).</w:t>
      </w:r>
      <w:r w:rsidRPr="00025D4C">
        <w:rPr>
          <w:rFonts w:ascii="Verdana" w:hAnsi="Verdana" w:eastAsia="Times New Roman"/>
          <w:sz w:val="18"/>
          <w:szCs w:val="18"/>
        </w:rPr>
        <w:br/>
      </w:r>
      <w:r w:rsidRPr="00025D4C">
        <w:rPr>
          <w:rFonts w:ascii="Verdana" w:hAnsi="Verdana" w:eastAsia="Times New Roman"/>
          <w:sz w:val="18"/>
          <w:szCs w:val="18"/>
        </w:rPr>
        <w:br/>
        <w:t xml:space="preserve">Vanaf 1 januari tot en met 22 september 2025 hebben de Dienst Identificatie en Screening Asielzoekers (DISA), de Koninklijke Marechaussee en de Immigratie en Naturalisatiedienst circa 12.600 zaken het identificatie- en registratieproces uitgevoerd naar aanleiding van een asielaanvraag door een vreemdeling. Bij </w:t>
      </w:r>
      <w:proofErr w:type="gramStart"/>
      <w:r w:rsidRPr="00025D4C">
        <w:rPr>
          <w:rFonts w:ascii="Verdana" w:hAnsi="Verdana" w:eastAsia="Times New Roman"/>
          <w:sz w:val="18"/>
          <w:szCs w:val="18"/>
        </w:rPr>
        <w:t>circa</w:t>
      </w:r>
      <w:proofErr w:type="gramEnd"/>
      <w:r w:rsidRPr="00025D4C">
        <w:rPr>
          <w:rFonts w:ascii="Verdana" w:hAnsi="Verdana" w:eastAsia="Times New Roman"/>
          <w:sz w:val="18"/>
          <w:szCs w:val="18"/>
        </w:rPr>
        <w:t xml:space="preserve"> 8.530 registraties (68%) kon de vreemdeling geen geldig reis- of identiteitsdocument overleggen.</w:t>
      </w:r>
      <w:r w:rsidRPr="00025D4C">
        <w:rPr>
          <w:rFonts w:ascii="Verdana" w:hAnsi="Verdana" w:eastAsia="Times New Roman"/>
          <w:sz w:val="18"/>
          <w:szCs w:val="18"/>
        </w:rPr>
        <w:br/>
      </w:r>
      <w:r w:rsidRPr="00025D4C">
        <w:rPr>
          <w:rFonts w:ascii="Verdana" w:hAnsi="Verdana" w:eastAsia="Times New Roman"/>
          <w:sz w:val="18"/>
          <w:szCs w:val="18"/>
        </w:rPr>
        <w:br/>
        <w:t>Bron: DISA/IND. Cijfers afgerond op tientallen.</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Vraag (30):</w:t>
      </w:r>
      <w:r w:rsidRPr="00025D4C">
        <w:rPr>
          <w:rFonts w:ascii="Verdana" w:hAnsi="Verdana" w:eastAsia="Times New Roman"/>
          <w:sz w:val="18"/>
          <w:szCs w:val="18"/>
        </w:rPr>
        <w:br/>
        <w:t>Hoeveel van de asielzoekers die vanaf 2020 geen geldige reis- en identiteitsdocumenten hebben overlegd, zijn in het bezit gesteld van een verblijfsvergunning?</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Pr>
          <w:rFonts w:ascii="Verdana" w:hAnsi="Verdana" w:eastAsia="Times New Roman"/>
          <w:sz w:val="18"/>
          <w:szCs w:val="18"/>
        </w:rPr>
        <w:br/>
        <w:t>Bij de beoordeling van een asielverzoek wordt rekening gehouden met de relevante feiten en omstandigheden, waaronder ook de documenten. Of een asielzoeker zonder geldige reis- en identiteitsdocumenten in het bezit is gesteld van een verblijfsvergunning wordt niet apart geregistreerd. Het beschikken over documenten maakt immers deel uit van de algehele beoordeling. Bij het verlenen van een verblijfsvergunning is altijd onderzoek gedaan naar de identiteit en nationaliteit.</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Vraag (31):</w:t>
      </w:r>
      <w:r w:rsidRPr="00025D4C">
        <w:rPr>
          <w:rFonts w:ascii="Verdana" w:hAnsi="Verdana" w:eastAsia="Times New Roman"/>
          <w:sz w:val="18"/>
          <w:szCs w:val="18"/>
        </w:rPr>
        <w:br/>
        <w:t>Hoe vaak is in de afgelopen 5 jaar aangifte gedaan tegen vreemdelingen wegens fraude of het verstrekken van onjuiste informatie bij een verblijfsaanvraag? Hoeveel verblijfsvergunningen zijn er geweigerd wegens fraude of het verstrekken van onjuiste informatie?</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Pr>
          <w:rFonts w:ascii="Verdana" w:hAnsi="Verdana" w:eastAsia="Times New Roman"/>
          <w:sz w:val="18"/>
          <w:szCs w:val="18"/>
        </w:rPr>
        <w:br/>
        <w:t>Uit de handmatig bijgehouden gegevens is gebleken dat in 2025 tot en met november door de IND 40 keer melding is gedaan van migratiefraude. Dit heeft geleid tot 10 aangiftes die hebben geresulteerd in een strafrechtelijk vervolgtraject.</w:t>
      </w:r>
      <w:r w:rsidRPr="00025D4C">
        <w:rPr>
          <w:rFonts w:ascii="Verdana" w:hAnsi="Verdana" w:eastAsia="Times New Roman"/>
          <w:sz w:val="18"/>
          <w:szCs w:val="18"/>
        </w:rPr>
        <w:br/>
      </w:r>
      <w:r w:rsidRPr="00025D4C">
        <w:rPr>
          <w:rFonts w:ascii="Verdana" w:hAnsi="Verdana" w:eastAsia="Times New Roman"/>
          <w:sz w:val="18"/>
          <w:szCs w:val="18"/>
        </w:rPr>
        <w:br/>
        <w:t>In 2024 is door de IND 60 keer melding gedaan van migratiefraude. Dit heeft geleid tot 10 aangiftes die hebben geresulteerd in een strafrechtelijk vervolgtraject.</w:t>
      </w:r>
      <w:r w:rsidRPr="00025D4C">
        <w:rPr>
          <w:rFonts w:ascii="Verdana" w:hAnsi="Verdana" w:eastAsia="Times New Roman"/>
          <w:sz w:val="18"/>
          <w:szCs w:val="18"/>
        </w:rPr>
        <w:br/>
      </w:r>
      <w:r w:rsidRPr="00025D4C">
        <w:rPr>
          <w:rFonts w:ascii="Verdana" w:hAnsi="Verdana" w:eastAsia="Times New Roman"/>
          <w:sz w:val="18"/>
          <w:szCs w:val="18"/>
        </w:rPr>
        <w:lastRenderedPageBreak/>
        <w:br/>
        <w:t>In 2023 is door de IND 70 keer melding gedaan van migratiefraude. Dit heeft geleid tot 10 aangiftes die hebben geresulteerd in een strafrechtelijk vervolgtraject.</w:t>
      </w:r>
      <w:r w:rsidRPr="00025D4C">
        <w:rPr>
          <w:rFonts w:ascii="Verdana" w:hAnsi="Verdana" w:eastAsia="Times New Roman"/>
          <w:sz w:val="18"/>
          <w:szCs w:val="18"/>
        </w:rPr>
        <w:br/>
      </w:r>
      <w:r w:rsidRPr="00025D4C">
        <w:rPr>
          <w:rFonts w:ascii="Verdana" w:hAnsi="Verdana" w:eastAsia="Times New Roman"/>
          <w:sz w:val="18"/>
          <w:szCs w:val="18"/>
        </w:rPr>
        <w:br/>
        <w:t>In 2022 is door de IND 130 keer melding gedaan van migratiefraude.</w:t>
      </w:r>
      <w:r w:rsidRPr="00025D4C">
        <w:rPr>
          <w:rFonts w:ascii="Verdana" w:hAnsi="Verdana" w:eastAsia="Times New Roman"/>
          <w:sz w:val="18"/>
          <w:szCs w:val="18"/>
        </w:rPr>
        <w:br/>
      </w:r>
      <w:r w:rsidRPr="00025D4C">
        <w:rPr>
          <w:rFonts w:ascii="Verdana" w:hAnsi="Verdana" w:eastAsia="Times New Roman"/>
          <w:sz w:val="18"/>
          <w:szCs w:val="18"/>
        </w:rPr>
        <w:br/>
        <w:t>In 2021 is door de IND 50 keer melding gedaan van migratiefraude.</w:t>
      </w:r>
      <w:r w:rsidRPr="00025D4C">
        <w:rPr>
          <w:rFonts w:ascii="Verdana" w:hAnsi="Verdana" w:eastAsia="Times New Roman"/>
          <w:sz w:val="18"/>
          <w:szCs w:val="18"/>
        </w:rPr>
        <w:br/>
      </w:r>
      <w:r w:rsidRPr="00025D4C">
        <w:rPr>
          <w:rFonts w:ascii="Verdana" w:hAnsi="Verdana" w:eastAsia="Times New Roman"/>
          <w:sz w:val="18"/>
          <w:szCs w:val="18"/>
        </w:rPr>
        <w:br/>
        <w:t>In 2020 is door de IND 30 keer melding gedaan van migratiefraude.</w:t>
      </w:r>
      <w:r w:rsidRPr="00025D4C">
        <w:rPr>
          <w:rFonts w:ascii="Verdana" w:hAnsi="Verdana" w:eastAsia="Times New Roman"/>
          <w:sz w:val="18"/>
          <w:szCs w:val="18"/>
        </w:rPr>
        <w:br/>
      </w:r>
      <w:r w:rsidRPr="00025D4C">
        <w:rPr>
          <w:rFonts w:ascii="Verdana" w:hAnsi="Verdana" w:eastAsia="Times New Roman"/>
          <w:sz w:val="18"/>
          <w:szCs w:val="18"/>
        </w:rPr>
        <w:br/>
        <w:t>Vanwege de korte behandelingstermijn konden gegevens over het aantal aangiftes in de periode 2020 t/m 2022 niet worden achterhaald.</w:t>
      </w:r>
      <w:r w:rsidRPr="00025D4C">
        <w:rPr>
          <w:rFonts w:ascii="Verdana" w:hAnsi="Verdana" w:eastAsia="Times New Roman"/>
          <w:sz w:val="18"/>
          <w:szCs w:val="18"/>
        </w:rPr>
        <w:br/>
      </w:r>
      <w:r w:rsidRPr="00025D4C">
        <w:rPr>
          <w:rFonts w:ascii="Verdana" w:hAnsi="Verdana" w:eastAsia="Times New Roman"/>
          <w:sz w:val="18"/>
          <w:szCs w:val="18"/>
        </w:rPr>
        <w:br/>
        <w:t>Doordat er meerdere afdoeningsgronden mogelijk zijn, is op grond van bestaande registratie niet te genereren hoe vaak het verblijfsrecht is geweigerd of ingetrokken specifiek wegens fraude of het verstrekken van onjuiste gegevens.</w:t>
      </w:r>
      <w:r w:rsidRPr="00025D4C">
        <w:rPr>
          <w:rFonts w:ascii="Verdana" w:hAnsi="Verdana" w:eastAsia="Times New Roman"/>
          <w:sz w:val="18"/>
          <w:szCs w:val="18"/>
        </w:rPr>
        <w:br/>
      </w:r>
      <w:r w:rsidRPr="00025D4C">
        <w:rPr>
          <w:rFonts w:ascii="Verdana" w:hAnsi="Verdana" w:eastAsia="Times New Roman"/>
          <w:sz w:val="18"/>
          <w:szCs w:val="18"/>
        </w:rPr>
        <w:br/>
        <w:t>Bron: IND. Cijfers afgerond op tientallen.</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Vraag (32):</w:t>
      </w:r>
      <w:r w:rsidRPr="00025D4C">
        <w:rPr>
          <w:rFonts w:ascii="Verdana" w:hAnsi="Verdana" w:eastAsia="Times New Roman"/>
          <w:sz w:val="18"/>
          <w:szCs w:val="18"/>
        </w:rPr>
        <w:br/>
        <w:t>Hoeveel Syriërs hebben momenteel een tijdelijke vergunning? Hoeveel van de sinds 2015 naar Nederland gekomen Syriërs hebben inmiddels de Nederlandse nationaliteit?</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Pr>
          <w:rFonts w:ascii="Verdana" w:hAnsi="Verdana" w:eastAsia="Times New Roman"/>
          <w:sz w:val="18"/>
          <w:szCs w:val="18"/>
        </w:rPr>
        <w:br/>
        <w:t>Op peildatum 30 november 2025 hebben 68.830 Syriërs een tijdelijke asielvergunning. Daarnaast hebben op dit moment 4.420 Syriërs een asielvergunning onbepaalde tijd. Van 2015 tot en met november 2025 zijn in totaal 71.060 Syriërs genaturaliseerd.</w:t>
      </w:r>
      <w:r w:rsidRPr="00025D4C">
        <w:rPr>
          <w:rFonts w:ascii="Verdana" w:hAnsi="Verdana" w:eastAsia="Times New Roman"/>
          <w:sz w:val="18"/>
          <w:szCs w:val="18"/>
        </w:rPr>
        <w:br/>
      </w:r>
      <w:r w:rsidRPr="00025D4C">
        <w:rPr>
          <w:rFonts w:ascii="Verdana" w:hAnsi="Verdana" w:eastAsia="Times New Roman"/>
          <w:sz w:val="18"/>
          <w:szCs w:val="18"/>
        </w:rPr>
        <w:br/>
        <w:t>Bron: IND. Cijfers afgerond op tientallen</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Vraag (33):</w:t>
      </w:r>
      <w:r w:rsidRPr="00025D4C">
        <w:rPr>
          <w:rFonts w:ascii="Verdana" w:hAnsi="Verdana" w:eastAsia="Times New Roman"/>
          <w:sz w:val="18"/>
          <w:szCs w:val="18"/>
        </w:rPr>
        <w:br/>
        <w:t xml:space="preserve">Hoeveel van de in Nederland verblijvende Syriërs hebben met een identiteitsdocument aan kunnen tonen dat zij de Syrische nationaliteit bezitten? </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Pr>
          <w:rFonts w:ascii="Verdana" w:hAnsi="Verdana" w:eastAsia="Times New Roman"/>
          <w:sz w:val="18"/>
          <w:szCs w:val="18"/>
        </w:rPr>
        <w:br/>
        <w:t>Het is niet mogelijk om deze vraag binnen de gestelde termijn te beantwoorden.</w:t>
      </w:r>
      <w:r w:rsidRPr="00025D4C">
        <w:rPr>
          <w:rFonts w:ascii="Verdana" w:hAnsi="Verdana" w:eastAsia="Times New Roman"/>
          <w:sz w:val="18"/>
          <w:szCs w:val="18"/>
        </w:rPr>
        <w:br/>
      </w:r>
      <w:r w:rsidRPr="00025D4C">
        <w:rPr>
          <w:rFonts w:ascii="Verdana" w:hAnsi="Verdana" w:eastAsia="Times New Roman"/>
          <w:sz w:val="18"/>
          <w:szCs w:val="18"/>
        </w:rPr>
        <w:br/>
        <w:t>Wel wordt uw Kamer verwezen naar het antwoord op vraag 7 naar aanleiding van de Wijziging van de begrotingsstaten van het Ministerie van Asiel en Migratie (XX) voor het jaar 2025 (wijziging samenhangende met de Miljoenennota).</w:t>
      </w:r>
      <w:r w:rsidRPr="00025D4C">
        <w:rPr>
          <w:rFonts w:ascii="Verdana" w:hAnsi="Verdana" w:eastAsia="Times New Roman"/>
          <w:sz w:val="18"/>
          <w:szCs w:val="18"/>
        </w:rPr>
        <w:br/>
      </w:r>
      <w:r w:rsidRPr="00025D4C">
        <w:rPr>
          <w:rFonts w:ascii="Verdana" w:hAnsi="Verdana" w:eastAsia="Times New Roman"/>
          <w:sz w:val="18"/>
          <w:szCs w:val="18"/>
        </w:rPr>
        <w:br/>
        <w:t xml:space="preserve">Vanaf 1 januari tot en met 22 september 2025 hebben de Dienst Identificatie en Screening Asielzoekers (DISA), de Koninklijke Marechaussee en de Immigratie en Naturalisatiedienst circa 12.600 zaken het identificatie- en registratieproces uitgevoerd naar aanleiding van een asielaanvraag door een vreemdeling. Bij </w:t>
      </w:r>
      <w:proofErr w:type="gramStart"/>
      <w:r w:rsidRPr="00025D4C">
        <w:rPr>
          <w:rFonts w:ascii="Verdana" w:hAnsi="Verdana" w:eastAsia="Times New Roman"/>
          <w:sz w:val="18"/>
          <w:szCs w:val="18"/>
        </w:rPr>
        <w:t>circa</w:t>
      </w:r>
      <w:proofErr w:type="gramEnd"/>
      <w:r w:rsidRPr="00025D4C">
        <w:rPr>
          <w:rFonts w:ascii="Verdana" w:hAnsi="Verdana" w:eastAsia="Times New Roman"/>
          <w:sz w:val="18"/>
          <w:szCs w:val="18"/>
        </w:rPr>
        <w:t xml:space="preserve"> 8.530 registraties (68%) kon de vreemdeling geen geldig reis- of identiteitsdocument overleggen.</w:t>
      </w:r>
      <w:r w:rsidRPr="00025D4C">
        <w:rPr>
          <w:rFonts w:ascii="Verdana" w:hAnsi="Verdana" w:eastAsia="Times New Roman"/>
          <w:sz w:val="18"/>
          <w:szCs w:val="18"/>
        </w:rPr>
        <w:br/>
      </w:r>
      <w:r w:rsidRPr="00025D4C">
        <w:rPr>
          <w:rFonts w:ascii="Verdana" w:hAnsi="Verdana" w:eastAsia="Times New Roman"/>
          <w:sz w:val="18"/>
          <w:szCs w:val="18"/>
        </w:rPr>
        <w:br/>
        <w:t>Bron: DISA/IND. Cijfers afgerond op tientallen</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Vraag (34):</w:t>
      </w:r>
      <w:r w:rsidRPr="00025D4C">
        <w:rPr>
          <w:rFonts w:ascii="Verdana" w:hAnsi="Verdana" w:eastAsia="Times New Roman"/>
          <w:sz w:val="18"/>
          <w:szCs w:val="18"/>
        </w:rPr>
        <w:br/>
        <w:t>Hoeveel Dublinverzoeken heeft Nederland dit jaar gedaan en hoeveel zijn hiervan ingewilligd?</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Pr>
          <w:rFonts w:ascii="Verdana" w:hAnsi="Verdana" w:eastAsia="Times New Roman"/>
          <w:sz w:val="18"/>
          <w:szCs w:val="18"/>
        </w:rPr>
        <w:br/>
        <w:t>In 2025 zijn er tot 1 december 7.110 claimverzoeken ingediend waarop 3.730 claimakkoorden zijn ontvangen. Het aantal akkoorden kan nog groter worden, omdat er een reactietermijn geldt variërend van 2 weken tot 2 maanden. Dat betekent dat er ook in 2026 nog akkoorden binnen kunnen komen op verzoeken die in 2025 zijn verstuurd.</w:t>
      </w:r>
      <w:r w:rsidRPr="00025D4C">
        <w:rPr>
          <w:rFonts w:ascii="Verdana" w:hAnsi="Verdana" w:eastAsia="Times New Roman"/>
          <w:sz w:val="18"/>
          <w:szCs w:val="18"/>
        </w:rPr>
        <w:br/>
      </w:r>
      <w:r w:rsidRPr="00025D4C">
        <w:rPr>
          <w:rFonts w:ascii="Verdana" w:hAnsi="Verdana" w:eastAsia="Times New Roman"/>
          <w:sz w:val="18"/>
          <w:szCs w:val="18"/>
        </w:rPr>
        <w:br/>
        <w:t xml:space="preserve">Bron IND, afgerond in tientallen. </w:t>
      </w:r>
      <w:proofErr w:type="spellStart"/>
      <w:r w:rsidRPr="00025D4C">
        <w:rPr>
          <w:rFonts w:ascii="Verdana" w:hAnsi="Verdana" w:eastAsia="Times New Roman"/>
          <w:sz w:val="18"/>
          <w:szCs w:val="18"/>
        </w:rPr>
        <w:t>Standmaand</w:t>
      </w:r>
      <w:proofErr w:type="spellEnd"/>
      <w:r w:rsidRPr="00025D4C">
        <w:rPr>
          <w:rFonts w:ascii="Verdana" w:hAnsi="Verdana" w:eastAsia="Times New Roman"/>
          <w:sz w:val="18"/>
          <w:szCs w:val="18"/>
        </w:rPr>
        <w:t>/peildatum 1 december 2025</w:t>
      </w:r>
      <w:r w:rsidRPr="00025D4C">
        <w:rPr>
          <w:rFonts w:ascii="Verdana" w:hAnsi="Verdana" w:eastAsia="Times New Roman"/>
          <w:sz w:val="18"/>
          <w:szCs w:val="18"/>
        </w:rPr>
        <w:br/>
      </w:r>
      <w:r w:rsidRPr="00025D4C">
        <w:rPr>
          <w:rFonts w:ascii="Verdana" w:hAnsi="Verdana" w:eastAsia="Times New Roman"/>
          <w:sz w:val="18"/>
          <w:szCs w:val="18"/>
        </w:rPr>
        <w:lastRenderedPageBreak/>
        <w:br/>
      </w:r>
      <w:r w:rsidRPr="00025D4C">
        <w:rPr>
          <w:rFonts w:ascii="Verdana" w:hAnsi="Verdana" w:eastAsia="Times New Roman"/>
          <w:b/>
          <w:bCs/>
          <w:sz w:val="18"/>
          <w:szCs w:val="18"/>
        </w:rPr>
        <w:t>Vraag (35):</w:t>
      </w:r>
      <w:r w:rsidRPr="00025D4C">
        <w:rPr>
          <w:rFonts w:ascii="Verdana" w:hAnsi="Verdana" w:eastAsia="Times New Roman"/>
          <w:sz w:val="18"/>
          <w:szCs w:val="18"/>
        </w:rPr>
        <w:br/>
        <w:t>Kunt u een nadere toelichting geven op de gelden die beschikbaar zijn voor migratiepartnerschappen? Hoeveel is er in totaal beschikbaar voor migratiepartnerschappen en kunt u dit uitsplitsen? Welke partnerschappen lopen nu en welke zijn in voorbereiding, en met welk budget?</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Pr>
          <w:rFonts w:ascii="Verdana" w:hAnsi="Verdana" w:eastAsia="Times New Roman"/>
          <w:sz w:val="18"/>
          <w:szCs w:val="18"/>
        </w:rPr>
        <w:br/>
        <w:t xml:space="preserve">De </w:t>
      </w:r>
      <w:proofErr w:type="spellStart"/>
      <w:r w:rsidRPr="00025D4C">
        <w:rPr>
          <w:rFonts w:ascii="Verdana" w:hAnsi="Verdana" w:eastAsia="Times New Roman"/>
          <w:sz w:val="18"/>
          <w:szCs w:val="18"/>
        </w:rPr>
        <w:t>migratiepartnerschapsinzet</w:t>
      </w:r>
      <w:proofErr w:type="spellEnd"/>
      <w:r w:rsidRPr="00025D4C">
        <w:rPr>
          <w:rFonts w:ascii="Verdana" w:hAnsi="Verdana" w:eastAsia="Times New Roman"/>
          <w:sz w:val="18"/>
          <w:szCs w:val="18"/>
        </w:rPr>
        <w:t xml:space="preserve"> richt zich op het bevorderen van terugkeer van migranten zonder recht op verblijf in Nederland naar buiten Europa, en het tegengaan van irreguliere migratie naar Europa en Nederland – bijvoorbeeld door samen met landen van herkomst en transit op te treden tegen mensenhandel en mensensmokkel, grensbewaking te verbeteren en migranten voor te lichten over risico’s van irreguliere migratie. De bescherming van migranten op migratieroutes loopt in dat kader als een rode draad door de inzet, om uitbuiting, misbruik en mishandeling van migranten te voorkomen. Tot en met 2028 is hiervoor €16.800.000,- beschikbaar op de begroting van het Ministerie van Asiel en Migratie. Van dit bedrag is €10.000.000 afkomstig van de begroting van Buitenlandse Handel en Ontwikkelingshulp (BHO).</w:t>
      </w:r>
      <w:r w:rsidRPr="00025D4C">
        <w:rPr>
          <w:rFonts w:ascii="Verdana" w:hAnsi="Verdana" w:eastAsia="Times New Roman"/>
          <w:sz w:val="18"/>
          <w:szCs w:val="18"/>
        </w:rPr>
        <w:br/>
      </w:r>
      <w:r w:rsidRPr="00025D4C">
        <w:rPr>
          <w:rFonts w:ascii="Verdana" w:hAnsi="Verdana" w:eastAsia="Times New Roman"/>
          <w:sz w:val="18"/>
          <w:szCs w:val="18"/>
        </w:rPr>
        <w:br/>
        <w:t>In het kader van deze taskforce is in totaal vanuit de respectievelijke begrotingen van BHO en A&amp;M op basis van de voorjaarsbesluitvorming oplopend tot 118 miljoen euro per jaar in 2029 begroot voor ontwikkelingshulp (ODA-uitgaven) en non-ODA uitgaven t.b.v. migratiesamenwerking- en partnerschappen. De middelen wordt ingezet via (een combinatie van) migratiedialogen, programmatische inzet via (internationale) organisaties en operationele inzet van migratieketenpartners, in en met landen als Egypte, Marokko, Turkije en Tunesië. Een voorbeeld van non-ODA uitgaven van A&amp;M t.b.v. migratiepartnerschappen is een project dat toeziet op capaciteitsopbouw van grenswachten in Turkije en een project dat regionale smokkelnetwerken in kaart brengt en ondersteunt bij het bestrijden en voorkomen van irreguliere migratie, mensenhandel en de georganiseerde misdaad die hiermee gepaard gaat in Egypte.</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Vraag (36):</w:t>
      </w:r>
      <w:r w:rsidRPr="00025D4C">
        <w:rPr>
          <w:rFonts w:ascii="Verdana" w:hAnsi="Verdana" w:eastAsia="Times New Roman"/>
          <w:sz w:val="18"/>
          <w:szCs w:val="18"/>
        </w:rPr>
        <w:br/>
        <w:t>Kunt u de ‘ongebruikelijk ruime vorm’ van terugkeerondersteuning die is verstrekt aan zogenaamde derdelanders met een tijdelijk verblijfsrecht in Oekraïne tussen november 2022 en maart 2024 toelichten? Welke vorm van ondersteuning werd geboden en wanneer komt de aangekondigde evaluatie?</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Pr>
          <w:rFonts w:ascii="Verdana" w:hAnsi="Verdana" w:eastAsia="Times New Roman"/>
          <w:sz w:val="18"/>
          <w:szCs w:val="18"/>
        </w:rPr>
        <w:br/>
        <w:t>Om de vrijwillige terugkeer van derdelanders met tijdelijk verblijfsrecht in Oekraïne te bevorderen, zijn deze derdelanders tussen november 2022 en maart 2024 in de gelegenheid gesteld gebruik te maken van specifiek remigratiebeleid. De inzet op vrijwillige terugkeer via dit remigratiebeleid had als doel zowel gemeenten, het COA als de IND te ontlasten. Het remigratiebeleid bestond uit een financiële remigratiebijdrage waaraan verschillende voorwaarden waren verbonden. Deze financiële bijdrage had een maximumhoogte van €5000.</w:t>
      </w:r>
      <w:r w:rsidRPr="00025D4C">
        <w:rPr>
          <w:rFonts w:ascii="Verdana" w:hAnsi="Verdana" w:eastAsia="Times New Roman"/>
          <w:sz w:val="18"/>
          <w:szCs w:val="18"/>
        </w:rPr>
        <w:br/>
      </w:r>
      <w:r w:rsidRPr="00025D4C">
        <w:rPr>
          <w:rFonts w:ascii="Verdana" w:hAnsi="Verdana" w:eastAsia="Times New Roman"/>
          <w:sz w:val="18"/>
          <w:szCs w:val="18"/>
        </w:rPr>
        <w:br/>
        <w:t>Vanaf 1 januari 2023 is de bijdrage vergelijkbaar met de bijdrage uit de reguliere terugkeerondersteuning. Uiteindelijk hebben zo’n 1000 personen gebruik gemaakt van deze regeling.</w:t>
      </w:r>
      <w:r w:rsidRPr="00025D4C">
        <w:rPr>
          <w:rFonts w:ascii="Verdana" w:hAnsi="Verdana" w:eastAsia="Times New Roman"/>
          <w:sz w:val="18"/>
          <w:szCs w:val="18"/>
        </w:rPr>
        <w:br/>
      </w:r>
      <w:r w:rsidRPr="00025D4C">
        <w:rPr>
          <w:rFonts w:ascii="Verdana" w:hAnsi="Verdana" w:eastAsia="Times New Roman"/>
          <w:sz w:val="18"/>
          <w:szCs w:val="18"/>
        </w:rPr>
        <w:br/>
        <w:t>Er is nog geen formele beleidsevaluatie geweest t.a.v. dit traject. De inzet van specifiek remigratiebeleid voor derdelanders wordt meegenomen in de beleidsevaluatie die in 2026 (of 2027) plaatsvindt.</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Vraag (37):</w:t>
      </w:r>
      <w:r w:rsidRPr="00025D4C">
        <w:rPr>
          <w:rFonts w:ascii="Verdana" w:hAnsi="Verdana" w:eastAsia="Times New Roman"/>
          <w:sz w:val="18"/>
          <w:szCs w:val="18"/>
        </w:rPr>
        <w:br/>
        <w:t xml:space="preserve">Wat is er de oorzaak van dat de werkelijke kosten per asielaanvraag hoger zijn dan verwacht, wat leidt tot een tegenvaller bij de IND van 21 miljoen euro? </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Pr>
          <w:rFonts w:ascii="Verdana" w:hAnsi="Verdana" w:eastAsia="Times New Roman"/>
          <w:sz w:val="18"/>
          <w:szCs w:val="18"/>
        </w:rPr>
        <w:br/>
        <w:t xml:space="preserve">Door het besluit- en vertrek </w:t>
      </w:r>
      <w:proofErr w:type="spellStart"/>
      <w:r w:rsidRPr="00025D4C">
        <w:rPr>
          <w:rFonts w:ascii="Verdana" w:hAnsi="Verdana" w:eastAsia="Times New Roman"/>
          <w:sz w:val="18"/>
          <w:szCs w:val="18"/>
        </w:rPr>
        <w:t>moriatorium</w:t>
      </w:r>
      <w:proofErr w:type="spellEnd"/>
      <w:r w:rsidRPr="00025D4C">
        <w:rPr>
          <w:rFonts w:ascii="Verdana" w:hAnsi="Verdana" w:eastAsia="Times New Roman"/>
          <w:sz w:val="18"/>
          <w:szCs w:val="18"/>
        </w:rPr>
        <w:t xml:space="preserve"> Syrië en de daaropvolgende aanpassing van het </w:t>
      </w:r>
      <w:proofErr w:type="gramStart"/>
      <w:r w:rsidRPr="00025D4C">
        <w:rPr>
          <w:rFonts w:ascii="Verdana" w:hAnsi="Verdana" w:eastAsia="Times New Roman"/>
          <w:sz w:val="18"/>
          <w:szCs w:val="18"/>
        </w:rPr>
        <w:lastRenderedPageBreak/>
        <w:t>landenbeleid</w:t>
      </w:r>
      <w:proofErr w:type="gramEnd"/>
      <w:r w:rsidRPr="00025D4C">
        <w:rPr>
          <w:rFonts w:ascii="Verdana" w:hAnsi="Verdana" w:eastAsia="Times New Roman"/>
          <w:sz w:val="18"/>
          <w:szCs w:val="18"/>
        </w:rPr>
        <w:t xml:space="preserve"> is de IND meer tijd en middelen kwijt aan het behandelen van zaken van Syrische asielzoekers. Door deze verandering in de samenstelling van de asielaanvragen kan de IND minder beslissingen afdoen met dezelfde middelen.</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Vraag (38):</w:t>
      </w:r>
      <w:r w:rsidRPr="00025D4C">
        <w:rPr>
          <w:rFonts w:ascii="Verdana" w:hAnsi="Verdana" w:eastAsia="Times New Roman"/>
          <w:sz w:val="18"/>
          <w:szCs w:val="18"/>
        </w:rPr>
        <w:br/>
        <w:t>Hoeveel en welke gemeenten declareren niet de werkelijk gemaakte kosten voor de opvang van Oekraïners voor zover deze boven de normbedragen uitkomen? En wat is hiervan (het niet declareren) de reden?</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Pr>
          <w:rFonts w:ascii="Verdana" w:hAnsi="Verdana" w:eastAsia="Times New Roman"/>
          <w:sz w:val="18"/>
          <w:szCs w:val="18"/>
        </w:rPr>
        <w:br/>
        <w:t>Over de verantwoording 2024 hebben 36 gemeenten gebruik gemaakt van de uitzonderingsbepaling, waarbij de meerkosten boven de normvergoeding zijn verantwoord. In 2024 gold nog de normvergoeding van € 61. De overige 306 gemeenten verantwoorden op basis van het aantal gerealiseerde gemeentelijke opvangdagen.</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Vraag (39):</w:t>
      </w:r>
      <w:r w:rsidRPr="00025D4C">
        <w:rPr>
          <w:rFonts w:ascii="Verdana" w:hAnsi="Verdana" w:eastAsia="Times New Roman"/>
          <w:sz w:val="18"/>
          <w:szCs w:val="18"/>
        </w:rPr>
        <w:br/>
        <w:t>Hoe is het bedrag van 160 miljoen euro dat wordt toegevoegd aan de voorziening dwangsommen bij de IND tot stand gekomen? En welke maatregelen zijn en worden er getroffen om deze tot een minimum te beperken?</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Pr>
          <w:rFonts w:ascii="Verdana" w:hAnsi="Verdana" w:eastAsia="Times New Roman"/>
          <w:sz w:val="18"/>
          <w:szCs w:val="18"/>
        </w:rPr>
        <w:br/>
        <w:t xml:space="preserve">De IND kan niet alle ingediende aanvragen binnen de wettelijke beslistermijn afhandelen, waardoor de voorraad buiten de wettelijke termijn toeneemt. Vanuit de financiële wet- en regelgeving is de IND verplicht om een dwangsomvoorziening te treffen om te voldoen aan toekomstige dwangsombesluiten en daaruit vloeiende betalingen. Voor 2025 wordt ca. 210 miljoen euro aan extra dwangsomkosten verwacht voor de voorziening en was er </w:t>
      </w:r>
      <w:proofErr w:type="gramStart"/>
      <w:r w:rsidRPr="00025D4C">
        <w:rPr>
          <w:rFonts w:ascii="Verdana" w:hAnsi="Verdana" w:eastAsia="Times New Roman"/>
          <w:sz w:val="18"/>
          <w:szCs w:val="18"/>
        </w:rPr>
        <w:t>reeds</w:t>
      </w:r>
      <w:proofErr w:type="gramEnd"/>
      <w:r w:rsidRPr="00025D4C">
        <w:rPr>
          <w:rFonts w:ascii="Verdana" w:hAnsi="Verdana" w:eastAsia="Times New Roman"/>
          <w:sz w:val="18"/>
          <w:szCs w:val="18"/>
        </w:rPr>
        <w:t xml:space="preserve"> 50 miljoen euro aan de IND beschikbaar gesteld. Bij de Najaarsnota is aanvullend ca. 160 miljoen euro aan de voorziening toegevoegd. </w:t>
      </w:r>
      <w:proofErr w:type="gramStart"/>
      <w:r w:rsidRPr="00025D4C">
        <w:rPr>
          <w:rFonts w:ascii="Verdana" w:hAnsi="Verdana" w:eastAsia="Times New Roman"/>
          <w:sz w:val="18"/>
          <w:szCs w:val="18"/>
        </w:rPr>
        <w:t>Tevens</w:t>
      </w:r>
      <w:proofErr w:type="gramEnd"/>
      <w:r w:rsidRPr="00025D4C">
        <w:rPr>
          <w:rFonts w:ascii="Verdana" w:hAnsi="Verdana" w:eastAsia="Times New Roman"/>
          <w:sz w:val="18"/>
          <w:szCs w:val="18"/>
        </w:rPr>
        <w:t xml:space="preserve"> is het kabinet voornemens om de dwangsom in het kader van vreemdelingenrecht af te schaffen.</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Vraag (40):</w:t>
      </w:r>
      <w:r w:rsidRPr="00025D4C">
        <w:rPr>
          <w:rFonts w:ascii="Verdana" w:hAnsi="Verdana" w:eastAsia="Times New Roman"/>
          <w:sz w:val="18"/>
          <w:szCs w:val="18"/>
        </w:rPr>
        <w:br/>
        <w:t xml:space="preserve">Welke gemeentelijke taken met betrekking tot de opvang van Oekraïense ontheemden zijn compensabel uit het btw-compensatiefonds? Waarom is er gekozen voor deze route en wat houdt dit in voor de algemene werking en beschikbaarheid van het btw-compensatiefonds? </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Pr>
          <w:rFonts w:ascii="Verdana" w:hAnsi="Verdana" w:eastAsia="Times New Roman"/>
          <w:sz w:val="18"/>
          <w:szCs w:val="18"/>
        </w:rPr>
        <w:br/>
        <w:t xml:space="preserve">Voor de vraag of betaalde btw op kosten gerelateerd aan de opvang van Oekraïense ontheemden door gemeenten al dan niet compensabel zijn uit het </w:t>
      </w:r>
      <w:proofErr w:type="gramStart"/>
      <w:r w:rsidRPr="00025D4C">
        <w:rPr>
          <w:rFonts w:ascii="Verdana" w:hAnsi="Verdana" w:eastAsia="Times New Roman"/>
          <w:sz w:val="18"/>
          <w:szCs w:val="18"/>
        </w:rPr>
        <w:t>btw compensatiefonds</w:t>
      </w:r>
      <w:proofErr w:type="gramEnd"/>
      <w:r w:rsidRPr="00025D4C">
        <w:rPr>
          <w:rFonts w:ascii="Verdana" w:hAnsi="Verdana" w:eastAsia="Times New Roman"/>
          <w:sz w:val="18"/>
          <w:szCs w:val="18"/>
        </w:rPr>
        <w:t xml:space="preserve"> zijn de bepalingen van de Wet op het btw compensatiefonds leidend. De belastingdienst heeft halverwege 2022 bepaald dat gemeenten 30% van betaalde btw op kosten die gedekt worden uit de normvergoeding zoals bepaald in de Bekostigingsregeling opvang ontheemden Oekraine door gemeenten (de “</w:t>
      </w:r>
      <w:proofErr w:type="spellStart"/>
      <w:r w:rsidRPr="00025D4C">
        <w:rPr>
          <w:rFonts w:ascii="Verdana" w:hAnsi="Verdana" w:eastAsia="Times New Roman"/>
          <w:sz w:val="18"/>
          <w:szCs w:val="18"/>
        </w:rPr>
        <w:t>BooO</w:t>
      </w:r>
      <w:proofErr w:type="spellEnd"/>
      <w:r w:rsidRPr="00025D4C">
        <w:rPr>
          <w:rFonts w:ascii="Verdana" w:hAnsi="Verdana" w:eastAsia="Times New Roman"/>
          <w:sz w:val="18"/>
          <w:szCs w:val="18"/>
        </w:rPr>
        <w:t xml:space="preserve">”) kunnen claimen uit het </w:t>
      </w:r>
      <w:proofErr w:type="gramStart"/>
      <w:r w:rsidRPr="00025D4C">
        <w:rPr>
          <w:rFonts w:ascii="Verdana" w:hAnsi="Verdana" w:eastAsia="Times New Roman"/>
          <w:sz w:val="18"/>
          <w:szCs w:val="18"/>
        </w:rPr>
        <w:t>btw compensatiefonds</w:t>
      </w:r>
      <w:proofErr w:type="gramEnd"/>
      <w:r w:rsidRPr="00025D4C">
        <w:rPr>
          <w:rFonts w:ascii="Verdana" w:hAnsi="Verdana" w:eastAsia="Times New Roman"/>
          <w:sz w:val="18"/>
          <w:szCs w:val="18"/>
        </w:rPr>
        <w:t xml:space="preserve">. De resterende 70% is kostprijsverhogend en wordt gedekt uit de normvergoeding. Deze 30/70 regeling is expliciet gekoppeld aan de </w:t>
      </w:r>
      <w:proofErr w:type="spellStart"/>
      <w:r w:rsidRPr="00025D4C">
        <w:rPr>
          <w:rFonts w:ascii="Verdana" w:hAnsi="Verdana" w:eastAsia="Times New Roman"/>
          <w:sz w:val="18"/>
          <w:szCs w:val="18"/>
        </w:rPr>
        <w:t>BooO</w:t>
      </w:r>
      <w:proofErr w:type="spellEnd"/>
      <w:r w:rsidRPr="00025D4C">
        <w:rPr>
          <w:rFonts w:ascii="Verdana" w:hAnsi="Verdana" w:eastAsia="Times New Roman"/>
          <w:sz w:val="18"/>
          <w:szCs w:val="18"/>
        </w:rPr>
        <w:t xml:space="preserve"> – </w:t>
      </w:r>
      <w:proofErr w:type="spellStart"/>
      <w:r w:rsidRPr="00025D4C">
        <w:rPr>
          <w:rFonts w:ascii="Verdana" w:hAnsi="Verdana" w:eastAsia="Times New Roman"/>
          <w:sz w:val="18"/>
          <w:szCs w:val="18"/>
        </w:rPr>
        <w:t>SiSa</w:t>
      </w:r>
      <w:proofErr w:type="spellEnd"/>
      <w:r w:rsidRPr="00025D4C">
        <w:rPr>
          <w:rFonts w:ascii="Verdana" w:hAnsi="Verdana" w:eastAsia="Times New Roman"/>
          <w:sz w:val="18"/>
          <w:szCs w:val="18"/>
        </w:rPr>
        <w:t xml:space="preserve"> verantwoording M16. De belastingdienst heeft gekozen voor een algemeen geldende regeling, om duidelijkheid te verschaffen aan gemeenten. Deze algemeen geldende regeling is een vereenvoudiging voor gemeenten, omdat gemeenten aan de voorkant zekerheid hebben, en niet per individuele opvanglocatie dan wel per activiteit waar kosten voor worden gemaakt, hoeven vast te stellen of de betaalde btw wel of niet in aanmerking komt voor compensatie uit het </w:t>
      </w:r>
      <w:proofErr w:type="gramStart"/>
      <w:r w:rsidRPr="00025D4C">
        <w:rPr>
          <w:rFonts w:ascii="Verdana" w:hAnsi="Verdana" w:eastAsia="Times New Roman"/>
          <w:sz w:val="18"/>
          <w:szCs w:val="18"/>
        </w:rPr>
        <w:t>btw compensatiefonds</w:t>
      </w:r>
      <w:proofErr w:type="gramEnd"/>
      <w:r w:rsidRPr="00025D4C">
        <w:rPr>
          <w:rFonts w:ascii="Verdana" w:hAnsi="Verdana" w:eastAsia="Times New Roman"/>
          <w:sz w:val="18"/>
          <w:szCs w:val="18"/>
        </w:rPr>
        <w:t xml:space="preserve">. Deze regeling heeft geen invloed op de algemene werking en beschikbaarheid van het btw-compensatiefonds, omdat het Ministerie van A&amp;M de geraamde compensabele btw stort in het </w:t>
      </w:r>
      <w:proofErr w:type="gramStart"/>
      <w:r w:rsidRPr="00025D4C">
        <w:rPr>
          <w:rFonts w:ascii="Verdana" w:hAnsi="Verdana" w:eastAsia="Times New Roman"/>
          <w:sz w:val="18"/>
          <w:szCs w:val="18"/>
        </w:rPr>
        <w:t>btw compensatiefonds</w:t>
      </w:r>
      <w:proofErr w:type="gramEnd"/>
      <w:r w:rsidRPr="00025D4C">
        <w:rPr>
          <w:rFonts w:ascii="Verdana" w:hAnsi="Verdana" w:eastAsia="Times New Roman"/>
          <w:sz w:val="18"/>
          <w:szCs w:val="18"/>
        </w:rPr>
        <w:t>.</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Vraag (41):</w:t>
      </w:r>
      <w:r w:rsidRPr="00025D4C">
        <w:rPr>
          <w:rFonts w:ascii="Verdana" w:hAnsi="Verdana" w:eastAsia="Times New Roman"/>
          <w:sz w:val="18"/>
          <w:szCs w:val="18"/>
        </w:rPr>
        <w:br/>
        <w:t>Welke kosten zijn het afgelopen jaar gepaard gegaan met incidenten op COA-locaties (onder andere maar niet beperkt tot schade, politie-inzet, etc.) en hoe verhouden deze kosten zich tot die van voorgaande jaren?</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Pr>
          <w:rFonts w:ascii="Verdana" w:hAnsi="Verdana" w:eastAsia="Times New Roman"/>
          <w:sz w:val="18"/>
          <w:szCs w:val="18"/>
        </w:rPr>
        <w:br/>
      </w:r>
      <w:r w:rsidRPr="00025D4C">
        <w:rPr>
          <w:rFonts w:ascii="Verdana" w:hAnsi="Verdana" w:eastAsia="Times New Roman"/>
          <w:sz w:val="18"/>
          <w:szCs w:val="18"/>
        </w:rPr>
        <w:lastRenderedPageBreak/>
        <w:t>Het COA registreert ieder incident. Hierover wordt gerapporteerd via de incidentenmonitor van het WODC. Incidenten op COA-locaties zijn verschillend in aard en kennen, afhankelijk van het incidentsoort verscheidene betrokken organisaties. Kosten voor een eventueel uitrukken van hulpdiensten voor incidenten op COA-locaties worden niet apart geregistreerd. Ook het herstel van overlastschade registreert COA niet apart.</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Vraag (42):</w:t>
      </w:r>
      <w:r w:rsidRPr="00025D4C">
        <w:rPr>
          <w:rFonts w:ascii="Verdana" w:hAnsi="Verdana" w:eastAsia="Times New Roman"/>
          <w:sz w:val="18"/>
          <w:szCs w:val="18"/>
        </w:rPr>
        <w:br/>
        <w:t>Welke kosten zijn het afgelopen jaar in de breedste zin gepaard gegaan met criminaliteit door asielzoekers, zowel met betrekking tot veroorzaakte (materiële) schade als politie-inzet, proceskosten, etc.? En hoe verhouden deze kosten zich tot die van voorgaande jaren?</w:t>
      </w:r>
      <w:r w:rsidRPr="00025D4C">
        <w:rPr>
          <w:rFonts w:ascii="Verdana" w:hAnsi="Verdana" w:eastAsia="Times New Roman"/>
          <w:sz w:val="18"/>
          <w:szCs w:val="18"/>
        </w:rPr>
        <w:br/>
      </w:r>
      <w:r w:rsidRPr="00025D4C">
        <w:rPr>
          <w:rFonts w:ascii="Verdana" w:hAnsi="Verdana" w:eastAsia="Times New Roman"/>
          <w:sz w:val="18"/>
          <w:szCs w:val="18"/>
        </w:rPr>
        <w:br/>
      </w:r>
      <w:r w:rsidRPr="00025D4C">
        <w:rPr>
          <w:rFonts w:ascii="Verdana" w:hAnsi="Verdana" w:eastAsia="Times New Roman"/>
          <w:b/>
          <w:bCs/>
          <w:sz w:val="18"/>
          <w:szCs w:val="18"/>
        </w:rPr>
        <w:t>Antwoord:</w:t>
      </w:r>
      <w:r w:rsidRPr="00025D4C" w:rsidR="009D3D5E">
        <w:rPr>
          <w:rFonts w:ascii="Verdana" w:hAnsi="Verdana" w:eastAsia="Times New Roman"/>
          <w:b/>
          <w:bCs/>
          <w:sz w:val="18"/>
          <w:szCs w:val="18"/>
        </w:rPr>
        <w:br/>
      </w:r>
      <w:r w:rsidRPr="00025D4C" w:rsidR="009D3D5E">
        <w:rPr>
          <w:rFonts w:ascii="Verdana" w:hAnsi="Verdana" w:eastAsia="Times New Roman"/>
          <w:sz w:val="18"/>
          <w:szCs w:val="18"/>
        </w:rPr>
        <w:t>Er is geen beeld hoeveel kosten gepaard gaan met criminaliteit door asielzoekers waar het gaat om politie-inzet en proceskosten. Vanuit het ministerie van Asiel en Migratie wordt wel jaarlijks € 15 mln. beschikbaar gesteld voor preventie van overlast.</w:t>
      </w:r>
    </w:p>
    <w:p w:rsidR="00891A65" w:rsidRDefault="00C450C8" w14:paraId="26CA0A0E" w14:textId="77777777">
      <w:pPr>
        <w:pStyle w:val="Voettekst"/>
        <w:divId w:val="446895227"/>
      </w:pPr>
      <w:r w:rsidRPr="00025D4C">
        <w:tab/>
      </w:r>
      <w:r w:rsidRPr="00025D4C">
        <w:tab/>
      </w:r>
      <w:r w:rsidRPr="00025D4C">
        <w:fldChar w:fldCharType="begin"/>
      </w:r>
      <w:r w:rsidRPr="00025D4C">
        <w:instrText xml:space="preserve"> PAGE </w:instrText>
      </w:r>
      <w:r w:rsidRPr="00025D4C">
        <w:fldChar w:fldCharType="separate"/>
      </w:r>
      <w:r w:rsidRPr="00025D4C">
        <w:fldChar w:fldCharType="end"/>
      </w:r>
      <w:r w:rsidRPr="00E54BA9">
        <w:t xml:space="preserve"> </w:t>
      </w:r>
    </w:p>
    <w:sectPr w:rsidR="00891A65">
      <w:foot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30C5A" w14:textId="77777777" w:rsidR="00535424" w:rsidRPr="00E54BA9" w:rsidRDefault="00535424">
      <w:r w:rsidRPr="00E54BA9">
        <w:separator/>
      </w:r>
    </w:p>
  </w:endnote>
  <w:endnote w:type="continuationSeparator" w:id="0">
    <w:p w14:paraId="129C5D83" w14:textId="77777777" w:rsidR="00535424" w:rsidRPr="00E54BA9" w:rsidRDefault="00535424">
      <w:r w:rsidRPr="00E54B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7252" w14:textId="77777777" w:rsidR="00891A65" w:rsidRPr="00E54BA9" w:rsidRDefault="00C450C8">
    <w:pPr>
      <w:pStyle w:val="Voettekst"/>
    </w:pPr>
    <w:r w:rsidRPr="00E54BA9">
      <w:tab/>
    </w:r>
    <w:r w:rsidRPr="00E54BA9">
      <w:tab/>
    </w:r>
    <w:r w:rsidRPr="00E54BA9">
      <w:fldChar w:fldCharType="begin"/>
    </w:r>
    <w:r w:rsidRPr="00E54BA9">
      <w:instrText xml:space="preserve"> PAGE </w:instrText>
    </w:r>
    <w:r w:rsidRPr="00E54BA9">
      <w:fldChar w:fldCharType="separate"/>
    </w:r>
    <w:r w:rsidRPr="00E54BA9">
      <w:t>1</w:t>
    </w:r>
    <w:r w:rsidRPr="00E54BA9">
      <w:fldChar w:fldCharType="end"/>
    </w:r>
    <w:r w:rsidRPr="00E54BA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36E1A" w14:textId="77777777" w:rsidR="00535424" w:rsidRPr="00E54BA9" w:rsidRDefault="00535424">
      <w:r w:rsidRPr="00E54BA9">
        <w:separator/>
      </w:r>
    </w:p>
  </w:footnote>
  <w:footnote w:type="continuationSeparator" w:id="0">
    <w:p w14:paraId="757E42E0" w14:textId="77777777" w:rsidR="00535424" w:rsidRPr="00E54BA9" w:rsidRDefault="00535424">
      <w:r w:rsidRPr="00E54BA9">
        <w:continuationSeparator/>
      </w:r>
    </w:p>
  </w:footnote>
  <w:footnote w:id="1">
    <w:p w14:paraId="3FB14CE2" w14:textId="77777777" w:rsidR="000210B4" w:rsidRDefault="000210B4" w:rsidP="000210B4">
      <w:pPr>
        <w:pStyle w:val="broodtekst"/>
      </w:pPr>
      <w:r>
        <w:rPr>
          <w:rStyle w:val="Voetnootmarkering"/>
        </w:rPr>
        <w:footnoteRef/>
      </w:r>
      <w:r>
        <w:t xml:space="preserve"> Bij de berekening van het inwilligingspercentage op </w:t>
      </w:r>
      <w:r w:rsidRPr="002234A7">
        <w:t>Europees niveau</w:t>
      </w:r>
      <w:r>
        <w:t xml:space="preserve"> </w:t>
      </w:r>
      <w:r w:rsidRPr="002234A7">
        <w:t>worden aanvragen die niet in behandeling worden genomen op grond van de Dublinverordening, niet meegeteld als afwijzing.</w:t>
      </w:r>
      <w:r>
        <w:t xml:space="preserve"> </w:t>
      </w:r>
      <w:r w:rsidRPr="002234A7">
        <w:t xml:space="preserve">Ook wordt het percentage berekend over de afwijzingen en de inwilligingen. </w:t>
      </w:r>
    </w:p>
    <w:p w14:paraId="0FDF5DFC" w14:textId="77777777" w:rsidR="000210B4" w:rsidRDefault="000210B4" w:rsidP="000210B4">
      <w:pPr>
        <w:pStyle w:val="Voetnoot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0C8"/>
    <w:rsid w:val="000043C8"/>
    <w:rsid w:val="000210B4"/>
    <w:rsid w:val="00025D4C"/>
    <w:rsid w:val="0008141C"/>
    <w:rsid w:val="00297BE3"/>
    <w:rsid w:val="003D5BD0"/>
    <w:rsid w:val="00404036"/>
    <w:rsid w:val="004726B1"/>
    <w:rsid w:val="0051767E"/>
    <w:rsid w:val="00535424"/>
    <w:rsid w:val="00687F03"/>
    <w:rsid w:val="0082497E"/>
    <w:rsid w:val="00863B01"/>
    <w:rsid w:val="00891A65"/>
    <w:rsid w:val="0096596B"/>
    <w:rsid w:val="009946E0"/>
    <w:rsid w:val="009A4565"/>
    <w:rsid w:val="009D3D5E"/>
    <w:rsid w:val="00A8077D"/>
    <w:rsid w:val="00B45B8B"/>
    <w:rsid w:val="00B90E1E"/>
    <w:rsid w:val="00C450C8"/>
    <w:rsid w:val="00DA2362"/>
    <w:rsid w:val="00DB4372"/>
    <w:rsid w:val="00DE767A"/>
    <w:rsid w:val="00E10D1A"/>
    <w:rsid w:val="00E134A7"/>
    <w:rsid w:val="00E54BA9"/>
    <w:rsid w:val="00F428E0"/>
    <w:rsid w:val="00FA7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C7CF5"/>
  <w15:chartTrackingRefBased/>
  <w15:docId w15:val="{5EA246A3-A2F3-4AFD-9EE2-F1FA5C361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pPr>
      <w:spacing w:before="100" w:beforeAutospacing="1" w:after="100" w:afterAutospacing="1"/>
    </w:pPr>
  </w:style>
  <w:style w:type="paragraph" w:styleId="Voettekst">
    <w:name w:val="footer"/>
    <w:basedOn w:val="Standaard"/>
    <w:link w:val="VoettekstChar"/>
    <w:uiPriority w:val="99"/>
    <w:unhideWhenUsed/>
    <w:pPr>
      <w:tabs>
        <w:tab w:val="center" w:pos="4320"/>
        <w:tab w:val="right" w:pos="8640"/>
      </w:tabs>
    </w:p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paragraph" w:customStyle="1" w:styleId="strongexport">
    <w:name w:val="strong_export"/>
    <w:basedOn w:val="Standaard"/>
    <w:pPr>
      <w:spacing w:before="100" w:beforeAutospacing="1" w:after="100" w:afterAutospacing="1"/>
    </w:pPr>
  </w:style>
  <w:style w:type="character" w:styleId="Nadruk">
    <w:name w:val="Emphasis"/>
    <w:basedOn w:val="Standaardalinea-lettertype"/>
    <w:uiPriority w:val="20"/>
    <w:qFormat/>
    <w:rPr>
      <w:i/>
      <w:iCs/>
    </w:rPr>
  </w:style>
  <w:style w:type="character" w:styleId="Zwaar">
    <w:name w:val="Strong"/>
    <w:basedOn w:val="Standaardalinea-lettertype"/>
    <w:uiPriority w:val="22"/>
    <w:qFormat/>
    <w:rPr>
      <w:b/>
      <w:bCs/>
    </w:rPr>
  </w:style>
  <w:style w:type="paragraph" w:customStyle="1" w:styleId="broodtekst">
    <w:name w:val="broodtekst"/>
    <w:basedOn w:val="Standaard"/>
    <w:rsid w:val="00FA7A8E"/>
    <w:pPr>
      <w:tabs>
        <w:tab w:val="left" w:pos="227"/>
        <w:tab w:val="left" w:pos="454"/>
        <w:tab w:val="left" w:pos="680"/>
      </w:tabs>
      <w:autoSpaceDE w:val="0"/>
      <w:autoSpaceDN w:val="0"/>
      <w:adjustRightInd w:val="0"/>
      <w:spacing w:line="240" w:lineRule="atLeast"/>
    </w:pPr>
    <w:rPr>
      <w:rFonts w:ascii="Verdana" w:eastAsia="Times New Roman" w:hAnsi="Verdana"/>
      <w:sz w:val="18"/>
      <w:szCs w:val="18"/>
      <w:lang w:eastAsia="nl-NL"/>
    </w:rPr>
  </w:style>
  <w:style w:type="table" w:styleId="Tabelraster">
    <w:name w:val="Table Grid"/>
    <w:basedOn w:val="Standaardtabel"/>
    <w:uiPriority w:val="59"/>
    <w:rsid w:val="00FA7A8E"/>
    <w:rPr>
      <w:rFonts w:asciiTheme="minorHAnsi" w:eastAsiaTheme="minorHAnsi" w:hAnsiTheme="minorHAnsi" w:cstheme="minorBidi"/>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E767A"/>
    <w:rPr>
      <w:color w:val="0563C1" w:themeColor="hyperlink"/>
      <w:u w:val="single"/>
    </w:rPr>
  </w:style>
  <w:style w:type="paragraph" w:styleId="Voetnoottekst">
    <w:name w:val="footnote text"/>
    <w:basedOn w:val="Standaard"/>
    <w:link w:val="VoetnoottekstChar"/>
    <w:semiHidden/>
    <w:rsid w:val="000210B4"/>
    <w:pPr>
      <w:spacing w:line="240" w:lineRule="atLeast"/>
    </w:pPr>
    <w:rPr>
      <w:rFonts w:ascii="Verdana" w:eastAsia="Times New Roman" w:hAnsi="Verdana"/>
      <w:sz w:val="16"/>
      <w:szCs w:val="20"/>
      <w:lang w:eastAsia="nl-NL"/>
    </w:rPr>
  </w:style>
  <w:style w:type="character" w:customStyle="1" w:styleId="VoetnoottekstChar">
    <w:name w:val="Voetnoottekst Char"/>
    <w:basedOn w:val="Standaardalinea-lettertype"/>
    <w:link w:val="Voetnoottekst"/>
    <w:semiHidden/>
    <w:rsid w:val="000210B4"/>
    <w:rPr>
      <w:rFonts w:ascii="Verdana" w:hAnsi="Verdana"/>
      <w:sz w:val="16"/>
      <w:lang w:val="nl-NL" w:eastAsia="nl-NL"/>
    </w:rPr>
  </w:style>
  <w:style w:type="character" w:styleId="Voetnootmarkering">
    <w:name w:val="footnote reference"/>
    <w:basedOn w:val="Standaardalinea-lettertype"/>
    <w:semiHidden/>
    <w:rsid w:val="000210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9522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en.overheid.nl/documenten/00e5b583-5f27-4c97-b42a-09e8c2c5f0d0/fil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5849</ap:Words>
  <ap:Characters>34524</ap:Characters>
  <ap:DocSecurity>0</ap:DocSecurity>
  <ap:Lines>287</ap:Lines>
  <ap:Paragraphs>80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2025-12-16T14:14:00.0000000Z</dcterms:created>
  <dcterms:modified xsi:type="dcterms:W3CDTF">2025-12-16T14:14:00.0000000Z</dcterms:modified>
  <version/>
  <category/>
</coreProperties>
</file>