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406" w:rsidP="00531406" w:rsidRDefault="00531406" w14:paraId="414DD525" w14:textId="4B2D8E5D">
      <w:pPr>
        <w:spacing w:line="240" w:lineRule="exact"/>
        <w:rPr>
          <w:rFonts w:ascii="Verdana" w:hAnsi="Verdana"/>
          <w:sz w:val="18"/>
          <w:szCs w:val="18"/>
        </w:rPr>
      </w:pPr>
      <w:r>
        <w:rPr>
          <w:rFonts w:ascii="Verdana" w:hAnsi="Verdana"/>
          <w:sz w:val="18"/>
          <w:szCs w:val="18"/>
        </w:rPr>
        <w:t>AH 698</w:t>
      </w:r>
    </w:p>
    <w:p w:rsidR="00531406" w:rsidP="00531406" w:rsidRDefault="00531406" w14:paraId="087E4CBB" w14:textId="5F6B51CA">
      <w:pPr>
        <w:spacing w:line="240" w:lineRule="exact"/>
        <w:rPr>
          <w:rFonts w:ascii="Verdana" w:hAnsi="Verdana"/>
          <w:sz w:val="18"/>
          <w:szCs w:val="18"/>
        </w:rPr>
      </w:pPr>
      <w:r>
        <w:rPr>
          <w:rFonts w:ascii="Verdana" w:hAnsi="Verdana"/>
          <w:sz w:val="18"/>
          <w:szCs w:val="18"/>
        </w:rPr>
        <w:t>2025Z21479</w:t>
      </w:r>
    </w:p>
    <w:p w:rsidRPr="00D80872" w:rsidR="00531406" w:rsidP="00D80872" w:rsidRDefault="00531406" w14:paraId="5EBEE48E" w14:textId="4E305CC9">
      <w:pPr>
        <w:rPr>
          <w:rFonts w:ascii="Times New Roman" w:hAnsi="Times New Roman"/>
          <w:sz w:val="24"/>
          <w:szCs w:val="24"/>
        </w:rPr>
      </w:pPr>
      <w:r w:rsidRPr="00531406">
        <w:rPr>
          <w:rFonts w:ascii="Verdana" w:hAnsi="Verdana"/>
          <w:sz w:val="24"/>
          <w:szCs w:val="24"/>
        </w:rPr>
        <w:t>Antwoord van minister Heinen (Financiën)</w:t>
      </w:r>
      <w:r>
        <w:rPr>
          <w:rFonts w:ascii="Verdana" w:hAnsi="Verdana"/>
          <w:sz w:val="24"/>
          <w:szCs w:val="24"/>
        </w:rPr>
        <w:t xml:space="preserve"> en de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Defensie</w:t>
      </w:r>
    </w:p>
    <w:p w:rsidR="00531406" w:rsidP="00531406" w:rsidRDefault="00531406" w14:paraId="7934CCAA" w14:textId="389A8092">
      <w:pPr>
        <w:rPr>
          <w:rFonts w:ascii="Verdana" w:hAnsi="Verdana"/>
          <w:sz w:val="24"/>
          <w:szCs w:val="24"/>
        </w:rPr>
      </w:pPr>
      <w:r>
        <w:rPr>
          <w:rFonts w:ascii="Verdana" w:hAnsi="Verdana"/>
          <w:sz w:val="24"/>
          <w:szCs w:val="24"/>
        </w:rPr>
        <w:t>en</w:t>
      </w:r>
      <w:r w:rsidRPr="00D80872">
        <w:rPr>
          <w:rFonts w:ascii="Times New Roman" w:hAnsi="Times New Roman"/>
          <w:sz w:val="24"/>
          <w:szCs w:val="24"/>
        </w:rPr>
        <w:t xml:space="preserve"> van Buitenlandse Zaken</w:t>
      </w:r>
      <w:r w:rsidRPr="00531406">
        <w:rPr>
          <w:rFonts w:ascii="Verdana" w:hAnsi="Verdana"/>
          <w:sz w:val="24"/>
          <w:szCs w:val="24"/>
        </w:rPr>
        <w:t xml:space="preserve"> (ontvangen</w:t>
      </w:r>
      <w:r>
        <w:rPr>
          <w:rFonts w:ascii="Verdana" w:hAnsi="Verdana"/>
          <w:sz w:val="24"/>
          <w:szCs w:val="24"/>
        </w:rPr>
        <w:t xml:space="preserve"> 16 december 2025)</w:t>
      </w:r>
    </w:p>
    <w:p w:rsidRPr="00531406" w:rsidR="00531406" w:rsidP="00531406" w:rsidRDefault="00531406" w14:paraId="1E1753DB" w14:textId="77777777">
      <w:pPr>
        <w:rPr>
          <w:rFonts w:ascii="Times New Roman" w:hAnsi="Times New Roman"/>
          <w:sz w:val="24"/>
          <w:szCs w:val="24"/>
        </w:rPr>
      </w:pPr>
    </w:p>
    <w:p w:rsidRPr="00191D47" w:rsidR="00531406" w:rsidP="00531406" w:rsidRDefault="00531406" w14:paraId="61F6B27F" w14:textId="77777777">
      <w:pPr>
        <w:numPr>
          <w:ilvl w:val="0"/>
          <w:numId w:val="1"/>
        </w:numPr>
        <w:spacing w:line="240" w:lineRule="exact"/>
        <w:rPr>
          <w:rFonts w:ascii="Verdana" w:hAnsi="Verdana"/>
          <w:b/>
          <w:bCs/>
          <w:sz w:val="18"/>
          <w:szCs w:val="18"/>
        </w:rPr>
      </w:pPr>
      <w:r w:rsidRPr="00191D47">
        <w:rPr>
          <w:rFonts w:ascii="Verdana" w:hAnsi="Verdana"/>
          <w:b/>
          <w:bCs/>
          <w:sz w:val="18"/>
          <w:szCs w:val="18"/>
        </w:rPr>
        <w:t xml:space="preserve">Het kabinet gebruikt 700 miljoen aan </w:t>
      </w:r>
      <w:proofErr w:type="spellStart"/>
      <w:r w:rsidRPr="00191D47">
        <w:rPr>
          <w:rFonts w:ascii="Verdana" w:hAnsi="Verdana"/>
          <w:b/>
          <w:bCs/>
          <w:sz w:val="18"/>
          <w:szCs w:val="18"/>
        </w:rPr>
        <w:t>onderuitputting</w:t>
      </w:r>
      <w:proofErr w:type="spellEnd"/>
      <w:r w:rsidRPr="00191D47">
        <w:rPr>
          <w:rFonts w:ascii="Verdana" w:hAnsi="Verdana"/>
          <w:b/>
          <w:bCs/>
          <w:sz w:val="18"/>
          <w:szCs w:val="18"/>
        </w:rPr>
        <w:t xml:space="preserve"> in de begroting voor extra steun aan Oekraïne, is deze gang van zaken niet in strijd met de begrotingsregels, aangezien </w:t>
      </w:r>
      <w:proofErr w:type="spellStart"/>
      <w:r w:rsidRPr="00191D47">
        <w:rPr>
          <w:rFonts w:ascii="Verdana" w:hAnsi="Verdana"/>
          <w:b/>
          <w:bCs/>
          <w:sz w:val="18"/>
          <w:szCs w:val="18"/>
        </w:rPr>
        <w:t>onderuitputting</w:t>
      </w:r>
      <w:proofErr w:type="spellEnd"/>
      <w:r w:rsidRPr="00191D47">
        <w:rPr>
          <w:rFonts w:ascii="Verdana" w:hAnsi="Verdana"/>
          <w:b/>
          <w:bCs/>
          <w:sz w:val="18"/>
          <w:szCs w:val="18"/>
        </w:rPr>
        <w:t xml:space="preserve"> niet gebruikt mag worden voor nieuw beleid?</w:t>
      </w:r>
      <w:r>
        <w:rPr>
          <w:rStyle w:val="Voetnootmarkering"/>
          <w:rFonts w:ascii="Verdana" w:hAnsi="Verdana"/>
          <w:b/>
          <w:bCs/>
          <w:sz w:val="18"/>
          <w:szCs w:val="18"/>
        </w:rPr>
        <w:footnoteReference w:id="1"/>
      </w:r>
    </w:p>
    <w:p w:rsidRPr="00F96849" w:rsidR="00531406" w:rsidP="00531406" w:rsidRDefault="00531406" w14:paraId="502AABF8" w14:textId="77777777">
      <w:pPr>
        <w:spacing w:line="240" w:lineRule="exact"/>
        <w:rPr>
          <w:rFonts w:ascii="Verdana" w:hAnsi="Verdana"/>
          <w:b/>
          <w:bCs/>
          <w:sz w:val="18"/>
          <w:szCs w:val="18"/>
        </w:rPr>
      </w:pPr>
      <w:r w:rsidRPr="00191D47">
        <w:rPr>
          <w:rFonts w:ascii="Verdana" w:hAnsi="Verdana"/>
          <w:sz w:val="18"/>
          <w:szCs w:val="18"/>
        </w:rPr>
        <w:t xml:space="preserve">Het kabinet kan besluiten om de </w:t>
      </w:r>
      <w:proofErr w:type="spellStart"/>
      <w:r w:rsidRPr="00191D47">
        <w:rPr>
          <w:rFonts w:ascii="Verdana" w:hAnsi="Verdana"/>
          <w:sz w:val="18"/>
          <w:szCs w:val="18"/>
        </w:rPr>
        <w:t>onderuitputting</w:t>
      </w:r>
      <w:proofErr w:type="spellEnd"/>
      <w:r w:rsidRPr="00191D47">
        <w:rPr>
          <w:rFonts w:ascii="Verdana" w:hAnsi="Verdana"/>
          <w:sz w:val="18"/>
          <w:szCs w:val="18"/>
        </w:rPr>
        <w:t xml:space="preserve"> anders aan te wenden. In dit geval gebruikt het kabinet de </w:t>
      </w:r>
      <w:proofErr w:type="spellStart"/>
      <w:r w:rsidRPr="00191D47">
        <w:rPr>
          <w:rFonts w:ascii="Verdana" w:hAnsi="Verdana"/>
          <w:sz w:val="18"/>
          <w:szCs w:val="18"/>
        </w:rPr>
        <w:t>onderuitputting</w:t>
      </w:r>
      <w:proofErr w:type="spellEnd"/>
      <w:r w:rsidRPr="00191D47">
        <w:rPr>
          <w:rFonts w:ascii="Verdana" w:hAnsi="Verdana"/>
          <w:sz w:val="18"/>
          <w:szCs w:val="18"/>
        </w:rPr>
        <w:t xml:space="preserve"> ten behoeve van steun aan Oekraïne en zet daarmee een eerste stap in de opvolging aan de motie van de Kamer.</w:t>
      </w:r>
      <w:r>
        <w:rPr>
          <w:rFonts w:ascii="Verdana" w:hAnsi="Verdana"/>
          <w:sz w:val="18"/>
          <w:szCs w:val="18"/>
        </w:rPr>
        <w:t xml:space="preserve"> </w:t>
      </w:r>
      <w:r w:rsidRPr="000E40A1">
        <w:rPr>
          <w:rFonts w:ascii="Verdana" w:hAnsi="Verdana"/>
          <w:sz w:val="18"/>
          <w:szCs w:val="18"/>
        </w:rPr>
        <w:t xml:space="preserve">Het aanwenden van de </w:t>
      </w:r>
      <w:proofErr w:type="spellStart"/>
      <w:r w:rsidRPr="000E40A1">
        <w:rPr>
          <w:rFonts w:ascii="Verdana" w:hAnsi="Verdana"/>
          <w:sz w:val="18"/>
          <w:szCs w:val="18"/>
        </w:rPr>
        <w:t>onderuitputting</w:t>
      </w:r>
      <w:proofErr w:type="spellEnd"/>
      <w:r w:rsidRPr="000E40A1">
        <w:rPr>
          <w:rFonts w:ascii="Verdana" w:hAnsi="Verdana"/>
          <w:sz w:val="18"/>
          <w:szCs w:val="18"/>
        </w:rPr>
        <w:t xml:space="preserve"> betekent wel dat deze </w:t>
      </w:r>
      <w:proofErr w:type="spellStart"/>
      <w:r w:rsidRPr="000E40A1">
        <w:rPr>
          <w:rFonts w:ascii="Verdana" w:hAnsi="Verdana"/>
          <w:sz w:val="18"/>
          <w:szCs w:val="18"/>
        </w:rPr>
        <w:t>onderuitputting</w:t>
      </w:r>
      <w:proofErr w:type="spellEnd"/>
      <w:r w:rsidRPr="000E40A1">
        <w:rPr>
          <w:rFonts w:ascii="Verdana" w:hAnsi="Verdana"/>
          <w:sz w:val="18"/>
          <w:szCs w:val="18"/>
        </w:rPr>
        <w:t xml:space="preserve"> niet beschikbaar is voor het invullen van de</w:t>
      </w:r>
      <w:r>
        <w:rPr>
          <w:rFonts w:ascii="Verdana" w:hAnsi="Verdana"/>
          <w:sz w:val="18"/>
          <w:szCs w:val="18"/>
        </w:rPr>
        <w:t xml:space="preserve"> </w:t>
      </w:r>
      <w:r w:rsidRPr="000E40A1">
        <w:rPr>
          <w:rFonts w:ascii="Verdana" w:hAnsi="Verdana"/>
          <w:sz w:val="18"/>
          <w:szCs w:val="18"/>
        </w:rPr>
        <w:t xml:space="preserve">in=uittaakstelling, waardoor in de toekomst </w:t>
      </w:r>
      <w:r>
        <w:rPr>
          <w:rFonts w:ascii="Verdana" w:hAnsi="Verdana"/>
          <w:sz w:val="18"/>
          <w:szCs w:val="18"/>
        </w:rPr>
        <w:t xml:space="preserve">eerder </w:t>
      </w:r>
      <w:r w:rsidRPr="000E40A1">
        <w:rPr>
          <w:rFonts w:ascii="Verdana" w:hAnsi="Verdana"/>
          <w:sz w:val="18"/>
          <w:szCs w:val="18"/>
        </w:rPr>
        <w:t>tegenvallers kunnen ontstaan</w:t>
      </w:r>
      <w:r>
        <w:rPr>
          <w:rFonts w:ascii="Verdana" w:hAnsi="Verdana"/>
          <w:sz w:val="18"/>
          <w:szCs w:val="18"/>
        </w:rPr>
        <w:t>.</w:t>
      </w:r>
    </w:p>
    <w:p w:rsidR="00531406" w:rsidP="00531406" w:rsidRDefault="00531406" w14:paraId="10143046" w14:textId="77777777">
      <w:pPr>
        <w:numPr>
          <w:ilvl w:val="0"/>
          <w:numId w:val="1"/>
        </w:numPr>
        <w:spacing w:line="240" w:lineRule="exact"/>
        <w:rPr>
          <w:rFonts w:ascii="Verdana" w:hAnsi="Verdana"/>
          <w:b/>
          <w:bCs/>
          <w:sz w:val="18"/>
          <w:szCs w:val="18"/>
        </w:rPr>
      </w:pPr>
      <w:r w:rsidRPr="00800008">
        <w:rPr>
          <w:rFonts w:ascii="Verdana" w:hAnsi="Verdana"/>
          <w:b/>
          <w:bCs/>
          <w:sz w:val="18"/>
          <w:szCs w:val="18"/>
        </w:rPr>
        <w:t xml:space="preserve">Hoe verhoudt het toch vrijmaken van extra geld zich tot de stellingname van het kabinet tegen de motie Klaver </w:t>
      </w:r>
      <w:proofErr w:type="spellStart"/>
      <w:r w:rsidRPr="00800008">
        <w:rPr>
          <w:rFonts w:ascii="Verdana" w:hAnsi="Verdana"/>
          <w:b/>
          <w:bCs/>
          <w:sz w:val="18"/>
          <w:szCs w:val="18"/>
        </w:rPr>
        <w:t>cs</w:t>
      </w:r>
      <w:proofErr w:type="spellEnd"/>
      <w:r w:rsidRPr="00800008">
        <w:rPr>
          <w:rFonts w:ascii="Verdana" w:hAnsi="Verdana"/>
          <w:b/>
          <w:bCs/>
          <w:sz w:val="18"/>
          <w:szCs w:val="18"/>
        </w:rPr>
        <w:t>. waar de minister-president nog duidelijk was in zijn boodschap dat er geen onmiddellijke ruimte was voor extra steun aan Oekraïne? (Kamerstuk 36045, nr. 243)</w:t>
      </w:r>
    </w:p>
    <w:p w:rsidR="00531406" w:rsidP="00531406" w:rsidRDefault="00531406" w14:paraId="718CA579" w14:textId="77777777">
      <w:pPr>
        <w:spacing w:line="240" w:lineRule="exact"/>
        <w:rPr>
          <w:rFonts w:ascii="Verdana" w:hAnsi="Verdana"/>
          <w:sz w:val="18"/>
          <w:szCs w:val="18"/>
        </w:rPr>
      </w:pPr>
      <w:r w:rsidRPr="007B1943">
        <w:rPr>
          <w:rFonts w:ascii="Verdana" w:hAnsi="Verdana"/>
          <w:sz w:val="18"/>
          <w:szCs w:val="18"/>
        </w:rPr>
        <w:t>Het kabinet ziet de noodzaak voor onverminderde steun aan Oekraïne en kijkt daarbij wat Oekraïne nodig heeft en wat Nederland kan bieden. Het kabinet erkent de wens van de Kamer om</w:t>
      </w:r>
      <w:r>
        <w:rPr>
          <w:rFonts w:ascii="Verdana" w:hAnsi="Verdana"/>
          <w:sz w:val="18"/>
          <w:szCs w:val="18"/>
        </w:rPr>
        <w:t xml:space="preserve"> op korte termijn</w:t>
      </w:r>
      <w:r w:rsidRPr="007B1943">
        <w:rPr>
          <w:rFonts w:ascii="Verdana" w:hAnsi="Verdana"/>
          <w:sz w:val="18"/>
          <w:szCs w:val="18"/>
        </w:rPr>
        <w:t xml:space="preserve"> extra militaire steun te leveren en heeft daartoe bezien wat er mogelijk is. Met het aanwenden van </w:t>
      </w:r>
      <w:proofErr w:type="spellStart"/>
      <w:r w:rsidRPr="007B1943">
        <w:rPr>
          <w:rFonts w:ascii="Verdana" w:hAnsi="Verdana"/>
          <w:sz w:val="18"/>
          <w:szCs w:val="18"/>
        </w:rPr>
        <w:t>onderuitputting</w:t>
      </w:r>
      <w:proofErr w:type="spellEnd"/>
      <w:r w:rsidRPr="007B1943">
        <w:rPr>
          <w:rFonts w:ascii="Verdana" w:hAnsi="Verdana"/>
          <w:sz w:val="18"/>
          <w:szCs w:val="18"/>
        </w:rPr>
        <w:t xml:space="preserve"> zet het kabinet een eerste stap in de opvolging aan de motie van de Kamer. Het kabinet beziet vervolgens in het begin van het nieuwe jaar hoe verdere opvolging aan de motie gegeven kan worden. </w:t>
      </w:r>
    </w:p>
    <w:p w:rsidRPr="00036A36" w:rsidR="00531406" w:rsidP="00531406" w:rsidRDefault="00531406" w14:paraId="3BB50E11" w14:textId="77777777">
      <w:pPr>
        <w:pStyle w:val="Lijstalinea"/>
        <w:numPr>
          <w:ilvl w:val="0"/>
          <w:numId w:val="1"/>
        </w:numPr>
        <w:spacing w:line="240" w:lineRule="exact"/>
        <w:rPr>
          <w:rFonts w:ascii="Verdana" w:hAnsi="Verdana"/>
          <w:b/>
          <w:bCs/>
          <w:sz w:val="18"/>
          <w:szCs w:val="18"/>
        </w:rPr>
      </w:pPr>
      <w:r w:rsidRPr="00036A36">
        <w:rPr>
          <w:rFonts w:ascii="Verdana" w:hAnsi="Verdana"/>
          <w:b/>
          <w:bCs/>
          <w:sz w:val="18"/>
          <w:szCs w:val="18"/>
        </w:rPr>
        <w:t>Kunt u een actueel overzicht geven van alle bilaterale steun (giften) van Nederland aan Oekraïne tot nu toe, waarbij inzichtelijk is gemaakt wanneer welk bedrag is geschonken en voor welk doel (militair/civiel)?</w:t>
      </w:r>
    </w:p>
    <w:p w:rsidRPr="00493691" w:rsidR="00531406" w:rsidP="00531406" w:rsidRDefault="00531406" w14:paraId="2BE96670" w14:textId="77777777">
      <w:pPr>
        <w:spacing w:line="240" w:lineRule="exact"/>
        <w:rPr>
          <w:rFonts w:ascii="Verdana" w:hAnsi="Verdana"/>
          <w:sz w:val="18"/>
          <w:szCs w:val="18"/>
        </w:rPr>
      </w:pPr>
      <w:r w:rsidRPr="00C47CF7">
        <w:rPr>
          <w:rFonts w:ascii="Verdana" w:hAnsi="Verdana"/>
          <w:sz w:val="18"/>
          <w:szCs w:val="18"/>
        </w:rPr>
        <w:t xml:space="preserve">Sinds </w:t>
      </w:r>
      <w:r>
        <w:rPr>
          <w:rFonts w:ascii="Verdana" w:hAnsi="Verdana"/>
          <w:sz w:val="18"/>
          <w:szCs w:val="18"/>
        </w:rPr>
        <w:t xml:space="preserve">de Russische invasie in Oekraïne </w:t>
      </w:r>
      <w:r w:rsidRPr="00C47CF7">
        <w:rPr>
          <w:rFonts w:ascii="Verdana" w:hAnsi="Verdana"/>
          <w:sz w:val="18"/>
          <w:szCs w:val="18"/>
        </w:rPr>
        <w:t>in 2022 is er tot aan Miljoenennota 2026 13,</w:t>
      </w:r>
      <w:r>
        <w:rPr>
          <w:rFonts w:ascii="Verdana" w:hAnsi="Verdana"/>
          <w:sz w:val="18"/>
          <w:szCs w:val="18"/>
        </w:rPr>
        <w:t>4</w:t>
      </w:r>
      <w:r w:rsidRPr="00C47CF7">
        <w:rPr>
          <w:rFonts w:ascii="Verdana" w:hAnsi="Verdana"/>
          <w:sz w:val="18"/>
          <w:szCs w:val="18"/>
        </w:rPr>
        <w:t xml:space="preserve"> miljard euro via Defensie</w:t>
      </w:r>
      <w:r>
        <w:rPr>
          <w:rStyle w:val="Voetnootmarkering"/>
          <w:rFonts w:ascii="Verdana" w:hAnsi="Verdana"/>
          <w:sz w:val="18"/>
          <w:szCs w:val="18"/>
        </w:rPr>
        <w:footnoteReference w:id="2"/>
      </w:r>
      <w:r>
        <w:rPr>
          <w:rFonts w:ascii="Verdana" w:hAnsi="Verdana"/>
          <w:sz w:val="18"/>
          <w:szCs w:val="18"/>
        </w:rPr>
        <w:t>,</w:t>
      </w:r>
      <w:r w:rsidRPr="00C47CF7">
        <w:rPr>
          <w:rFonts w:ascii="Verdana" w:hAnsi="Verdana"/>
          <w:sz w:val="18"/>
          <w:szCs w:val="18"/>
        </w:rPr>
        <w:t xml:space="preserve"> 3,4 miljard euro via BZ/BHO</w:t>
      </w:r>
      <w:r>
        <w:rPr>
          <w:rFonts w:ascii="Verdana" w:hAnsi="Verdana"/>
          <w:sz w:val="18"/>
          <w:szCs w:val="18"/>
        </w:rPr>
        <w:t xml:space="preserve"> en 442 miljoen euro via Financiën</w:t>
      </w:r>
      <w:r w:rsidRPr="00C47CF7">
        <w:rPr>
          <w:rFonts w:ascii="Verdana" w:hAnsi="Verdana"/>
          <w:sz w:val="18"/>
          <w:szCs w:val="18"/>
        </w:rPr>
        <w:t xml:space="preserve"> aan steun voor Oekraïne </w:t>
      </w:r>
      <w:r>
        <w:rPr>
          <w:rFonts w:ascii="Verdana" w:hAnsi="Verdana"/>
          <w:sz w:val="18"/>
          <w:szCs w:val="18"/>
        </w:rPr>
        <w:t>toegezegd</w:t>
      </w:r>
      <w:r w:rsidRPr="00C47CF7">
        <w:rPr>
          <w:rFonts w:ascii="Verdana" w:hAnsi="Verdana"/>
          <w:sz w:val="18"/>
          <w:szCs w:val="18"/>
        </w:rPr>
        <w:t xml:space="preserve">. 3,4 miljard euro aan militair- en niet-militaire steun valt in 2026. Daarnaast is er 700 miljoen euro vrijgemaakt in 2025 in reactie op </w:t>
      </w:r>
      <w:r>
        <w:rPr>
          <w:rFonts w:ascii="Verdana" w:hAnsi="Verdana"/>
          <w:sz w:val="18"/>
          <w:szCs w:val="18"/>
        </w:rPr>
        <w:t>de Tweede Kamermotie voor aanvullende militaire Oekraïnesteun</w:t>
      </w:r>
      <w:r>
        <w:rPr>
          <w:rStyle w:val="Voetnootmarkering"/>
          <w:rFonts w:ascii="Verdana" w:hAnsi="Verdana"/>
          <w:sz w:val="18"/>
          <w:szCs w:val="18"/>
        </w:rPr>
        <w:footnoteReference w:id="3"/>
      </w:r>
      <w:r>
        <w:rPr>
          <w:rFonts w:ascii="Verdana" w:hAnsi="Verdana"/>
          <w:sz w:val="18"/>
          <w:szCs w:val="18"/>
        </w:rPr>
        <w:t>.</w:t>
      </w:r>
      <w:r w:rsidRPr="00493691">
        <w:rPr>
          <w:rFonts w:ascii="Verdana" w:hAnsi="Verdana"/>
          <w:sz w:val="18"/>
          <w:szCs w:val="18"/>
        </w:rPr>
        <w:t xml:space="preserve"> </w:t>
      </w:r>
      <w:r>
        <w:rPr>
          <w:rFonts w:ascii="Verdana" w:hAnsi="Verdana"/>
          <w:sz w:val="18"/>
          <w:szCs w:val="18"/>
        </w:rPr>
        <w:t>In tabel 1 wordt een overzicht gegeven van de totale internationale steun door Nederland.</w:t>
      </w:r>
      <w:r w:rsidRPr="00720776">
        <w:t xml:space="preserve"> </w:t>
      </w:r>
      <w:r w:rsidRPr="00720776">
        <w:rPr>
          <w:rFonts w:ascii="Verdana" w:hAnsi="Verdana"/>
          <w:sz w:val="18"/>
          <w:szCs w:val="18"/>
        </w:rPr>
        <w:t>De tabel is inclusief de additionele 700 miljoen euro in 2025.</w:t>
      </w:r>
    </w:p>
    <w:p w:rsidR="00531406" w:rsidP="00531406" w:rsidRDefault="00531406" w14:paraId="340B9C5F" w14:textId="77777777">
      <w:pPr>
        <w:spacing w:line="240" w:lineRule="exact"/>
        <w:rPr>
          <w:rFonts w:ascii="Verdana" w:hAnsi="Verdana"/>
          <w:sz w:val="18"/>
          <w:szCs w:val="18"/>
        </w:rPr>
      </w:pPr>
      <w:r w:rsidRPr="00C47CF7">
        <w:rPr>
          <w:rFonts w:ascii="Verdana" w:hAnsi="Verdana"/>
          <w:sz w:val="18"/>
          <w:szCs w:val="18"/>
        </w:rPr>
        <w:t>De militaire steun ziet met name</w:t>
      </w:r>
      <w:r>
        <w:rPr>
          <w:rFonts w:ascii="Verdana" w:hAnsi="Verdana"/>
          <w:sz w:val="18"/>
          <w:szCs w:val="18"/>
        </w:rPr>
        <w:t xml:space="preserve"> op</w:t>
      </w:r>
      <w:r w:rsidRPr="00C47CF7">
        <w:rPr>
          <w:rFonts w:ascii="Verdana" w:hAnsi="Verdana"/>
          <w:sz w:val="18"/>
          <w:szCs w:val="18"/>
        </w:rPr>
        <w:t xml:space="preserve"> munitieleveringen en wapensystemen zoals F-16 toestellen, tanks en luchtverdediging. Met de niet-militaire steun draagt het kabinet onder andere bij aan acute noodhulp, herstel van (energie-)infrastructuur, huizen en drinkwatervoorzieningen. </w:t>
      </w:r>
    </w:p>
    <w:p w:rsidRPr="00493691" w:rsidR="00531406" w:rsidP="00531406" w:rsidRDefault="00531406" w14:paraId="3C7ABF81" w14:textId="77777777">
      <w:pPr>
        <w:spacing w:line="240" w:lineRule="exact"/>
        <w:rPr>
          <w:rFonts w:ascii="Verdana" w:hAnsi="Verdana"/>
          <w:sz w:val="18"/>
          <w:szCs w:val="18"/>
        </w:rPr>
      </w:pPr>
      <w:r w:rsidRPr="00493691">
        <w:rPr>
          <w:rFonts w:ascii="Verdana" w:hAnsi="Verdana"/>
          <w:sz w:val="18"/>
          <w:szCs w:val="18"/>
        </w:rPr>
        <w:t xml:space="preserve">Tabel 1: uitgavenoverzicht </w:t>
      </w:r>
      <w:r>
        <w:rPr>
          <w:rFonts w:ascii="Verdana" w:hAnsi="Verdana"/>
          <w:sz w:val="18"/>
          <w:szCs w:val="18"/>
        </w:rPr>
        <w:t>internationale Oekraïnesteun</w:t>
      </w:r>
      <w:r w:rsidRPr="00493691">
        <w:rPr>
          <w:rFonts w:ascii="Verdana" w:hAnsi="Verdana"/>
          <w:sz w:val="18"/>
          <w:szCs w:val="18"/>
        </w:rPr>
        <w:t xml:space="preserve"> (</w:t>
      </w:r>
      <w:r>
        <w:rPr>
          <w:rFonts w:ascii="Verdana" w:hAnsi="Verdana"/>
          <w:sz w:val="18"/>
          <w:szCs w:val="18"/>
        </w:rPr>
        <w:t>netto</w:t>
      </w:r>
      <w:r w:rsidRPr="00493691">
        <w:rPr>
          <w:rFonts w:ascii="Verdana" w:hAnsi="Verdana"/>
          <w:sz w:val="18"/>
          <w:szCs w:val="18"/>
        </w:rPr>
        <w:t>-kasuitgaven</w:t>
      </w:r>
      <w:r>
        <w:rPr>
          <w:rFonts w:ascii="Verdana" w:hAnsi="Verdana"/>
          <w:sz w:val="18"/>
          <w:szCs w:val="18"/>
        </w:rPr>
        <w:t>, in miljoenen euro’s, stand Miljoenennota 2026 en Najaarsnota 2025 (incl. Nota van Wijziging)</w:t>
      </w:r>
      <w:r w:rsidRPr="00493691">
        <w:rPr>
          <w:rFonts w:ascii="Verdana" w:hAnsi="Verdana"/>
          <w:sz w:val="18"/>
          <w:szCs w:val="18"/>
        </w:rPr>
        <w:t>)</w:t>
      </w:r>
      <w:r>
        <w:rPr>
          <w:rFonts w:ascii="Verdana" w:hAnsi="Verdana"/>
          <w:sz w:val="18"/>
          <w:szCs w:val="18"/>
        </w:rPr>
        <w:t>*</w:t>
      </w:r>
    </w:p>
    <w:tbl>
      <w:tblPr>
        <w:tblStyle w:val="Rastertabel1licht-Accent5"/>
        <w:tblW w:w="0" w:type="auto"/>
        <w:tblLook w:val="04A0" w:firstRow="1" w:lastRow="0" w:firstColumn="1" w:lastColumn="0" w:noHBand="0" w:noVBand="1"/>
      </w:tblPr>
      <w:tblGrid>
        <w:gridCol w:w="2401"/>
        <w:gridCol w:w="674"/>
        <w:gridCol w:w="793"/>
        <w:gridCol w:w="793"/>
        <w:gridCol w:w="793"/>
        <w:gridCol w:w="793"/>
        <w:gridCol w:w="793"/>
        <w:gridCol w:w="674"/>
        <w:gridCol w:w="674"/>
        <w:gridCol w:w="674"/>
      </w:tblGrid>
      <w:tr w:rsidRPr="00493691" w:rsidR="00531406" w:rsidTr="00AE3CB7" w14:paraId="6330666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493691" w:rsidR="00531406" w:rsidP="00AE3CB7" w:rsidRDefault="00531406" w14:paraId="4C118D48" w14:textId="77777777">
            <w:pPr>
              <w:spacing w:after="160" w:line="240" w:lineRule="exact"/>
              <w:rPr>
                <w:rFonts w:ascii="Verdana" w:hAnsi="Verdana"/>
                <w:b w:val="0"/>
                <w:bCs w:val="0"/>
                <w:sz w:val="18"/>
                <w:szCs w:val="18"/>
              </w:rPr>
            </w:pPr>
          </w:p>
        </w:tc>
        <w:tc>
          <w:tcPr>
            <w:tcW w:w="0" w:type="auto"/>
          </w:tcPr>
          <w:p w:rsidRPr="00493691" w:rsidR="00531406" w:rsidP="00AE3CB7" w:rsidRDefault="00531406" w14:paraId="5865DFB1"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2022</w:t>
            </w:r>
          </w:p>
        </w:tc>
        <w:tc>
          <w:tcPr>
            <w:tcW w:w="0" w:type="auto"/>
          </w:tcPr>
          <w:p w:rsidRPr="00493691" w:rsidR="00531406" w:rsidP="00AE3CB7" w:rsidRDefault="00531406" w14:paraId="57436FA7"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2023</w:t>
            </w:r>
          </w:p>
        </w:tc>
        <w:tc>
          <w:tcPr>
            <w:tcW w:w="0" w:type="auto"/>
          </w:tcPr>
          <w:p w:rsidRPr="00493691" w:rsidR="00531406" w:rsidP="00AE3CB7" w:rsidRDefault="00531406" w14:paraId="511F3827"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2024</w:t>
            </w:r>
          </w:p>
        </w:tc>
        <w:tc>
          <w:tcPr>
            <w:tcW w:w="0" w:type="auto"/>
          </w:tcPr>
          <w:p w:rsidRPr="00493691" w:rsidR="00531406" w:rsidP="00AE3CB7" w:rsidRDefault="00531406" w14:paraId="35BA0BE2"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2025</w:t>
            </w:r>
          </w:p>
        </w:tc>
        <w:tc>
          <w:tcPr>
            <w:tcW w:w="0" w:type="auto"/>
          </w:tcPr>
          <w:p w:rsidRPr="00493691" w:rsidR="00531406" w:rsidP="00AE3CB7" w:rsidRDefault="00531406" w14:paraId="3D669D2A"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2026</w:t>
            </w:r>
          </w:p>
        </w:tc>
        <w:tc>
          <w:tcPr>
            <w:tcW w:w="0" w:type="auto"/>
          </w:tcPr>
          <w:p w:rsidRPr="00493691" w:rsidR="00531406" w:rsidP="00AE3CB7" w:rsidRDefault="00531406" w14:paraId="24A839B6"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2027</w:t>
            </w:r>
          </w:p>
        </w:tc>
        <w:tc>
          <w:tcPr>
            <w:tcW w:w="0" w:type="auto"/>
          </w:tcPr>
          <w:p w:rsidRPr="00493691" w:rsidR="00531406" w:rsidP="00AE3CB7" w:rsidRDefault="00531406" w14:paraId="64BAD2B5"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2028</w:t>
            </w:r>
          </w:p>
        </w:tc>
        <w:tc>
          <w:tcPr>
            <w:tcW w:w="0" w:type="auto"/>
          </w:tcPr>
          <w:p w:rsidRPr="00493691" w:rsidR="00531406" w:rsidP="00AE3CB7" w:rsidRDefault="00531406" w14:paraId="6E32508E"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2029</w:t>
            </w:r>
          </w:p>
        </w:tc>
        <w:tc>
          <w:tcPr>
            <w:tcW w:w="0" w:type="auto"/>
          </w:tcPr>
          <w:p w:rsidRPr="00493691" w:rsidR="00531406" w:rsidP="00AE3CB7" w:rsidRDefault="00531406" w14:paraId="1B493985"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2030</w:t>
            </w:r>
          </w:p>
        </w:tc>
      </w:tr>
      <w:tr w:rsidRPr="00493691" w:rsidR="00531406" w:rsidTr="00AE3CB7" w14:paraId="15A7D1C3" w14:textId="77777777">
        <w:tc>
          <w:tcPr>
            <w:cnfStyle w:val="001000000000" w:firstRow="0" w:lastRow="0" w:firstColumn="1" w:lastColumn="0" w:oddVBand="0" w:evenVBand="0" w:oddHBand="0" w:evenHBand="0" w:firstRowFirstColumn="0" w:firstRowLastColumn="0" w:lastRowFirstColumn="0" w:lastRowLastColumn="0"/>
            <w:tcW w:w="0" w:type="auto"/>
          </w:tcPr>
          <w:p w:rsidRPr="00493691" w:rsidR="00531406" w:rsidP="00AE3CB7" w:rsidRDefault="00531406" w14:paraId="52D46084" w14:textId="77777777">
            <w:pPr>
              <w:spacing w:after="160" w:line="240" w:lineRule="exact"/>
              <w:rPr>
                <w:rFonts w:ascii="Verdana" w:hAnsi="Verdana"/>
                <w:b w:val="0"/>
                <w:bCs w:val="0"/>
                <w:sz w:val="18"/>
                <w:szCs w:val="18"/>
              </w:rPr>
            </w:pPr>
            <w:r w:rsidRPr="00493691">
              <w:rPr>
                <w:rFonts w:ascii="Verdana" w:hAnsi="Verdana"/>
                <w:b w:val="0"/>
                <w:bCs w:val="0"/>
                <w:sz w:val="18"/>
                <w:szCs w:val="18"/>
              </w:rPr>
              <w:t>Militaire steun</w:t>
            </w:r>
            <w:r>
              <w:rPr>
                <w:rStyle w:val="Voetnootmarkering"/>
                <w:rFonts w:ascii="Verdana" w:hAnsi="Verdana"/>
                <w:b w:val="0"/>
                <w:bCs w:val="0"/>
                <w:sz w:val="18"/>
                <w:szCs w:val="18"/>
              </w:rPr>
              <w:footnoteReference w:id="4"/>
            </w:r>
          </w:p>
        </w:tc>
        <w:tc>
          <w:tcPr>
            <w:tcW w:w="0" w:type="auto"/>
          </w:tcPr>
          <w:p w:rsidRPr="00C47CF7" w:rsidR="00531406" w:rsidP="00AE3CB7" w:rsidRDefault="00531406" w14:paraId="38879A85"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171</w:t>
            </w:r>
          </w:p>
        </w:tc>
        <w:tc>
          <w:tcPr>
            <w:tcW w:w="0" w:type="auto"/>
          </w:tcPr>
          <w:p w:rsidRPr="00C47CF7" w:rsidR="00531406" w:rsidP="00AE3CB7" w:rsidRDefault="00531406" w14:paraId="453FAFBE"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965</w:t>
            </w:r>
          </w:p>
        </w:tc>
        <w:tc>
          <w:tcPr>
            <w:tcW w:w="0" w:type="auto"/>
          </w:tcPr>
          <w:p w:rsidRPr="00C47CF7" w:rsidR="00531406" w:rsidP="00AE3CB7" w:rsidRDefault="00531406" w14:paraId="3745D42E"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2.482</w:t>
            </w:r>
          </w:p>
        </w:tc>
        <w:tc>
          <w:tcPr>
            <w:tcW w:w="0" w:type="auto"/>
          </w:tcPr>
          <w:p w:rsidRPr="00C47CF7" w:rsidR="00531406" w:rsidP="00AE3CB7" w:rsidRDefault="00531406" w14:paraId="0CE9BF7B"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5.522</w:t>
            </w:r>
          </w:p>
        </w:tc>
        <w:tc>
          <w:tcPr>
            <w:tcW w:w="0" w:type="auto"/>
          </w:tcPr>
          <w:p w:rsidRPr="00C47CF7" w:rsidR="00531406" w:rsidP="00AE3CB7" w:rsidRDefault="00531406" w14:paraId="7E639232"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2.563</w:t>
            </w:r>
          </w:p>
        </w:tc>
        <w:tc>
          <w:tcPr>
            <w:tcW w:w="0" w:type="auto"/>
          </w:tcPr>
          <w:p w:rsidRPr="00C47CF7" w:rsidR="00531406" w:rsidP="00AE3CB7" w:rsidRDefault="00531406" w14:paraId="4CEC7110"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965</w:t>
            </w:r>
          </w:p>
        </w:tc>
        <w:tc>
          <w:tcPr>
            <w:tcW w:w="0" w:type="auto"/>
          </w:tcPr>
          <w:p w:rsidRPr="00C47CF7" w:rsidR="00531406" w:rsidP="00AE3CB7" w:rsidRDefault="00531406" w14:paraId="25BA580B"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597</w:t>
            </w:r>
          </w:p>
        </w:tc>
        <w:tc>
          <w:tcPr>
            <w:tcW w:w="0" w:type="auto"/>
          </w:tcPr>
          <w:p w:rsidRPr="00C47CF7" w:rsidR="00531406" w:rsidP="00AE3CB7" w:rsidRDefault="00531406" w14:paraId="78D060AE"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145</w:t>
            </w:r>
          </w:p>
        </w:tc>
        <w:tc>
          <w:tcPr>
            <w:tcW w:w="0" w:type="auto"/>
          </w:tcPr>
          <w:p w:rsidRPr="00C47CF7" w:rsidR="00531406" w:rsidP="00AE3CB7" w:rsidRDefault="00531406" w14:paraId="6D19E660"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40</w:t>
            </w:r>
          </w:p>
        </w:tc>
      </w:tr>
      <w:tr w:rsidRPr="00493691" w:rsidR="00531406" w:rsidTr="00AE3CB7" w14:paraId="35EAD980" w14:textId="77777777">
        <w:tc>
          <w:tcPr>
            <w:cnfStyle w:val="001000000000" w:firstRow="0" w:lastRow="0" w:firstColumn="1" w:lastColumn="0" w:oddVBand="0" w:evenVBand="0" w:oddHBand="0" w:evenHBand="0" w:firstRowFirstColumn="0" w:firstRowLastColumn="0" w:lastRowFirstColumn="0" w:lastRowLastColumn="0"/>
            <w:tcW w:w="0" w:type="auto"/>
          </w:tcPr>
          <w:p w:rsidRPr="00493691" w:rsidR="00531406" w:rsidP="00AE3CB7" w:rsidRDefault="00531406" w14:paraId="6226D412" w14:textId="77777777">
            <w:pPr>
              <w:spacing w:after="160" w:line="240" w:lineRule="exact"/>
              <w:rPr>
                <w:rFonts w:ascii="Verdana" w:hAnsi="Verdana"/>
                <w:b w:val="0"/>
                <w:bCs w:val="0"/>
                <w:sz w:val="18"/>
                <w:szCs w:val="18"/>
              </w:rPr>
            </w:pPr>
            <w:r w:rsidRPr="00493691">
              <w:rPr>
                <w:rFonts w:ascii="Verdana" w:hAnsi="Verdana"/>
                <w:b w:val="0"/>
                <w:bCs w:val="0"/>
                <w:sz w:val="18"/>
                <w:szCs w:val="18"/>
              </w:rPr>
              <w:lastRenderedPageBreak/>
              <w:t>Niet-militaire steun (incl. macro-financiële bijstand)</w:t>
            </w:r>
          </w:p>
        </w:tc>
        <w:tc>
          <w:tcPr>
            <w:tcW w:w="0" w:type="auto"/>
          </w:tcPr>
          <w:p w:rsidRPr="00C47CF7" w:rsidR="00531406" w:rsidP="00AE3CB7" w:rsidRDefault="00531406" w14:paraId="06A29327"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457</w:t>
            </w:r>
          </w:p>
        </w:tc>
        <w:tc>
          <w:tcPr>
            <w:tcW w:w="0" w:type="auto"/>
          </w:tcPr>
          <w:p w:rsidRPr="00C47CF7" w:rsidR="00531406" w:rsidP="00AE3CB7" w:rsidRDefault="00531406" w14:paraId="25F40621"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546</w:t>
            </w:r>
          </w:p>
        </w:tc>
        <w:tc>
          <w:tcPr>
            <w:tcW w:w="0" w:type="auto"/>
          </w:tcPr>
          <w:p w:rsidRPr="00C47CF7" w:rsidR="00531406" w:rsidP="00AE3CB7" w:rsidRDefault="00531406" w14:paraId="1D9BD3FE"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807</w:t>
            </w:r>
          </w:p>
        </w:tc>
        <w:tc>
          <w:tcPr>
            <w:tcW w:w="0" w:type="auto"/>
          </w:tcPr>
          <w:p w:rsidRPr="00C47CF7" w:rsidR="00531406" w:rsidP="00AE3CB7" w:rsidRDefault="00531406" w14:paraId="7E206CFE"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772</w:t>
            </w:r>
          </w:p>
        </w:tc>
        <w:tc>
          <w:tcPr>
            <w:tcW w:w="0" w:type="auto"/>
          </w:tcPr>
          <w:p w:rsidRPr="00C47CF7" w:rsidR="00531406" w:rsidP="00AE3CB7" w:rsidRDefault="00531406" w14:paraId="3D02558B"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856</w:t>
            </w:r>
          </w:p>
        </w:tc>
        <w:tc>
          <w:tcPr>
            <w:tcW w:w="0" w:type="auto"/>
          </w:tcPr>
          <w:p w:rsidRPr="00C47CF7" w:rsidR="00531406" w:rsidP="00AE3CB7" w:rsidRDefault="00531406" w14:paraId="1D988659"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445</w:t>
            </w:r>
          </w:p>
        </w:tc>
        <w:tc>
          <w:tcPr>
            <w:tcW w:w="0" w:type="auto"/>
          </w:tcPr>
          <w:p w:rsidRPr="00C47CF7" w:rsidR="00531406" w:rsidP="00AE3CB7" w:rsidRDefault="00531406" w14:paraId="7F66B76E"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9</w:t>
            </w:r>
          </w:p>
        </w:tc>
        <w:tc>
          <w:tcPr>
            <w:tcW w:w="0" w:type="auto"/>
          </w:tcPr>
          <w:p w:rsidRPr="00C47CF7" w:rsidR="00531406" w:rsidP="00AE3CB7" w:rsidRDefault="00531406" w14:paraId="2297F285"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4</w:t>
            </w:r>
          </w:p>
        </w:tc>
        <w:tc>
          <w:tcPr>
            <w:tcW w:w="0" w:type="auto"/>
          </w:tcPr>
          <w:p w:rsidRPr="00C47CF7" w:rsidR="00531406" w:rsidP="00AE3CB7" w:rsidRDefault="00531406" w14:paraId="3A3FA006"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5</w:t>
            </w:r>
          </w:p>
        </w:tc>
      </w:tr>
      <w:tr w:rsidRPr="00493691" w:rsidR="00531406" w:rsidTr="00AE3CB7" w14:paraId="3D3AE079" w14:textId="77777777">
        <w:tc>
          <w:tcPr>
            <w:cnfStyle w:val="001000000000" w:firstRow="0" w:lastRow="0" w:firstColumn="1" w:lastColumn="0" w:oddVBand="0" w:evenVBand="0" w:oddHBand="0" w:evenHBand="0" w:firstRowFirstColumn="0" w:firstRowLastColumn="0" w:lastRowFirstColumn="0" w:lastRowLastColumn="0"/>
            <w:tcW w:w="0" w:type="auto"/>
          </w:tcPr>
          <w:p w:rsidRPr="00C47CF7" w:rsidR="00531406" w:rsidP="00AE3CB7" w:rsidRDefault="00531406" w14:paraId="0DA6DCBE" w14:textId="77777777">
            <w:pPr>
              <w:spacing w:after="160" w:line="240" w:lineRule="exact"/>
              <w:rPr>
                <w:rFonts w:ascii="Verdana" w:hAnsi="Verdana"/>
                <w:sz w:val="18"/>
                <w:szCs w:val="18"/>
              </w:rPr>
            </w:pPr>
            <w:r w:rsidRPr="00C47CF7">
              <w:rPr>
                <w:rFonts w:ascii="Verdana" w:hAnsi="Verdana"/>
                <w:sz w:val="18"/>
                <w:szCs w:val="18"/>
              </w:rPr>
              <w:t>Totaal</w:t>
            </w:r>
          </w:p>
        </w:tc>
        <w:tc>
          <w:tcPr>
            <w:tcW w:w="0" w:type="auto"/>
          </w:tcPr>
          <w:p w:rsidRPr="00C47CF7" w:rsidR="00531406" w:rsidP="00AE3CB7" w:rsidRDefault="00531406" w14:paraId="556F2550"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629</w:t>
            </w:r>
          </w:p>
        </w:tc>
        <w:tc>
          <w:tcPr>
            <w:tcW w:w="0" w:type="auto"/>
          </w:tcPr>
          <w:p w:rsidRPr="00C47CF7" w:rsidR="00531406" w:rsidP="00AE3CB7" w:rsidRDefault="00531406" w14:paraId="23F7420F"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1.511</w:t>
            </w:r>
          </w:p>
        </w:tc>
        <w:tc>
          <w:tcPr>
            <w:tcW w:w="0" w:type="auto"/>
          </w:tcPr>
          <w:p w:rsidRPr="00C47CF7" w:rsidR="00531406" w:rsidP="00AE3CB7" w:rsidRDefault="00531406" w14:paraId="5FAE04AD"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3.290</w:t>
            </w:r>
          </w:p>
        </w:tc>
        <w:tc>
          <w:tcPr>
            <w:tcW w:w="0" w:type="auto"/>
          </w:tcPr>
          <w:p w:rsidRPr="00C47CF7" w:rsidR="00531406" w:rsidP="00AE3CB7" w:rsidRDefault="00531406" w14:paraId="31F648C6"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6.294</w:t>
            </w:r>
          </w:p>
        </w:tc>
        <w:tc>
          <w:tcPr>
            <w:tcW w:w="0" w:type="auto"/>
          </w:tcPr>
          <w:p w:rsidRPr="00C47CF7" w:rsidR="00531406" w:rsidP="00AE3CB7" w:rsidRDefault="00531406" w14:paraId="5052AB4C"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3.419</w:t>
            </w:r>
          </w:p>
        </w:tc>
        <w:tc>
          <w:tcPr>
            <w:tcW w:w="0" w:type="auto"/>
          </w:tcPr>
          <w:p w:rsidRPr="00C47CF7" w:rsidR="00531406" w:rsidP="00AE3CB7" w:rsidRDefault="00531406" w14:paraId="0E825482"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1.410</w:t>
            </w:r>
          </w:p>
        </w:tc>
        <w:tc>
          <w:tcPr>
            <w:tcW w:w="0" w:type="auto"/>
          </w:tcPr>
          <w:p w:rsidRPr="00C47CF7" w:rsidR="00531406" w:rsidP="00AE3CB7" w:rsidRDefault="00531406" w14:paraId="38F0C729"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606</w:t>
            </w:r>
          </w:p>
        </w:tc>
        <w:tc>
          <w:tcPr>
            <w:tcW w:w="0" w:type="auto"/>
          </w:tcPr>
          <w:p w:rsidRPr="00C47CF7" w:rsidR="00531406" w:rsidP="00AE3CB7" w:rsidRDefault="00531406" w14:paraId="081531C3"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148</w:t>
            </w:r>
          </w:p>
        </w:tc>
        <w:tc>
          <w:tcPr>
            <w:tcW w:w="0" w:type="auto"/>
          </w:tcPr>
          <w:p w:rsidRPr="00C47CF7" w:rsidR="00531406" w:rsidP="00AE3CB7" w:rsidRDefault="00531406" w14:paraId="3022AC5B"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45</w:t>
            </w:r>
          </w:p>
        </w:tc>
      </w:tr>
    </w:tbl>
    <w:p w:rsidRPr="00036A36" w:rsidR="00531406" w:rsidP="00531406" w:rsidRDefault="00531406" w14:paraId="16C24B64" w14:textId="77777777">
      <w:pPr>
        <w:spacing w:line="240" w:lineRule="exact"/>
        <w:rPr>
          <w:rFonts w:ascii="Verdana" w:hAnsi="Verdana"/>
          <w:sz w:val="16"/>
          <w:szCs w:val="16"/>
        </w:rPr>
      </w:pPr>
      <w:bookmarkStart w:name="_Hlk216365207" w:id="0"/>
      <w:r w:rsidRPr="00036A36">
        <w:rPr>
          <w:rFonts w:ascii="Verdana" w:hAnsi="Verdana"/>
          <w:sz w:val="16"/>
          <w:szCs w:val="16"/>
        </w:rPr>
        <w:t xml:space="preserve">*Bedragen t/m 2024 volgen uit </w:t>
      </w:r>
      <w:r>
        <w:rPr>
          <w:rFonts w:ascii="Verdana" w:hAnsi="Verdana"/>
          <w:sz w:val="16"/>
          <w:szCs w:val="16"/>
        </w:rPr>
        <w:t>Financieel J</w:t>
      </w:r>
      <w:r w:rsidRPr="00036A36">
        <w:rPr>
          <w:rFonts w:ascii="Verdana" w:hAnsi="Verdana"/>
          <w:sz w:val="16"/>
          <w:szCs w:val="16"/>
        </w:rPr>
        <w:t>aarverslag Rijk. Bedragen 2025-2030 volgen uit de Oekraïne bijlage bij Miljoenennota 2026 en zijn geactualiseerd voor de Nota van Wijziging bij Najaarsnota 2025</w:t>
      </w:r>
      <w:r>
        <w:rPr>
          <w:rFonts w:ascii="Verdana" w:hAnsi="Verdana"/>
          <w:sz w:val="16"/>
          <w:szCs w:val="16"/>
        </w:rPr>
        <w:t>.</w:t>
      </w:r>
    </w:p>
    <w:bookmarkEnd w:id="0"/>
    <w:p w:rsidR="00531406" w:rsidP="00531406" w:rsidRDefault="00531406" w14:paraId="36D2EF1B" w14:textId="77777777">
      <w:pPr>
        <w:numPr>
          <w:ilvl w:val="0"/>
          <w:numId w:val="1"/>
        </w:numPr>
        <w:spacing w:line="240" w:lineRule="exact"/>
        <w:rPr>
          <w:rFonts w:ascii="Verdana" w:hAnsi="Verdana"/>
          <w:b/>
          <w:bCs/>
          <w:sz w:val="18"/>
          <w:szCs w:val="18"/>
        </w:rPr>
      </w:pPr>
      <w:r w:rsidRPr="00800008">
        <w:rPr>
          <w:rFonts w:ascii="Verdana" w:hAnsi="Verdana"/>
          <w:b/>
          <w:bCs/>
          <w:sz w:val="18"/>
          <w:szCs w:val="18"/>
        </w:rPr>
        <w:t>Kunt u een actueel overzicht geven van bilaterale steun in de vorm van leningen aan Oekraïne tot nu toe, waarbij inzichtelijk is gemaakt wanneer welk bedrag is verstrekt en voor welk doel?</w:t>
      </w:r>
    </w:p>
    <w:p w:rsidRPr="00C47CF7" w:rsidR="00531406" w:rsidP="00531406" w:rsidRDefault="00531406" w14:paraId="552BA5FD" w14:textId="77777777">
      <w:pPr>
        <w:spacing w:line="240" w:lineRule="exact"/>
        <w:rPr>
          <w:rFonts w:ascii="Verdana" w:hAnsi="Verdana"/>
          <w:sz w:val="18"/>
          <w:szCs w:val="18"/>
        </w:rPr>
      </w:pPr>
      <w:r w:rsidRPr="00C47CF7">
        <w:rPr>
          <w:rFonts w:ascii="Verdana" w:hAnsi="Verdana"/>
          <w:sz w:val="18"/>
          <w:szCs w:val="18"/>
        </w:rPr>
        <w:t xml:space="preserve">Nederland heeft </w:t>
      </w:r>
      <w:r>
        <w:rPr>
          <w:rFonts w:ascii="Verdana" w:hAnsi="Verdana"/>
          <w:sz w:val="18"/>
          <w:szCs w:val="18"/>
        </w:rPr>
        <w:t xml:space="preserve">in 2022 </w:t>
      </w:r>
      <w:r w:rsidRPr="00C47CF7">
        <w:rPr>
          <w:rFonts w:ascii="Verdana" w:hAnsi="Verdana"/>
          <w:sz w:val="18"/>
          <w:szCs w:val="18"/>
        </w:rPr>
        <w:t xml:space="preserve">één specifieke bilaterale lening van 200 miljoen euro aan Oekraïne, verstrekt via een kredietlijn van het Internationaal Monetair Fonds (IMF). Deze lening </w:t>
      </w:r>
      <w:r>
        <w:rPr>
          <w:rFonts w:ascii="Verdana" w:hAnsi="Verdana"/>
          <w:sz w:val="18"/>
          <w:szCs w:val="18"/>
        </w:rPr>
        <w:t xml:space="preserve">was bedoeld als begrotingssteun aan Oekraïne </w:t>
      </w:r>
      <w:r w:rsidRPr="00C47CF7">
        <w:rPr>
          <w:rFonts w:ascii="Verdana" w:hAnsi="Verdana"/>
          <w:sz w:val="18"/>
          <w:szCs w:val="18"/>
        </w:rPr>
        <w:t>om de dagelijkse uitgaven te financieren en de economie draaiende te houden.</w:t>
      </w:r>
      <w:r>
        <w:rPr>
          <w:rStyle w:val="Voetnootmarkering"/>
          <w:rFonts w:ascii="Verdana" w:hAnsi="Verdana"/>
          <w:sz w:val="18"/>
          <w:szCs w:val="18"/>
        </w:rPr>
        <w:footnoteReference w:id="5"/>
      </w:r>
    </w:p>
    <w:p w:rsidR="00531406" w:rsidP="00531406" w:rsidRDefault="00531406" w14:paraId="068BCA2F" w14:textId="77777777">
      <w:pPr>
        <w:numPr>
          <w:ilvl w:val="0"/>
          <w:numId w:val="1"/>
        </w:numPr>
        <w:spacing w:line="240" w:lineRule="exact"/>
        <w:rPr>
          <w:rFonts w:ascii="Verdana" w:hAnsi="Verdana"/>
          <w:b/>
          <w:bCs/>
          <w:sz w:val="18"/>
          <w:szCs w:val="18"/>
        </w:rPr>
      </w:pPr>
      <w:bookmarkStart w:name="_Hlk216362316" w:id="1"/>
      <w:r w:rsidRPr="00800008">
        <w:rPr>
          <w:rFonts w:ascii="Verdana" w:hAnsi="Verdana"/>
          <w:b/>
          <w:bCs/>
          <w:sz w:val="18"/>
          <w:szCs w:val="18"/>
        </w:rPr>
        <w:t>Kunt u een actueel overzicht geven van de bilaterale steun tot nu toe van alle andere Europese lidstaten in de vorm van leningen én giften aan Oekraïne?</w:t>
      </w:r>
    </w:p>
    <w:p w:rsidR="00531406" w:rsidP="00531406" w:rsidRDefault="00531406" w14:paraId="3BD8166F" w14:textId="77777777">
      <w:pPr>
        <w:spacing w:line="240" w:lineRule="exact"/>
        <w:rPr>
          <w:rFonts w:ascii="Verdana" w:hAnsi="Verdana"/>
          <w:sz w:val="18"/>
          <w:szCs w:val="18"/>
        </w:rPr>
      </w:pPr>
      <w:r w:rsidRPr="00493691">
        <w:rPr>
          <w:rFonts w:ascii="Verdana" w:hAnsi="Verdana"/>
          <w:sz w:val="18"/>
          <w:szCs w:val="18"/>
        </w:rPr>
        <w:t xml:space="preserve">Volgens </w:t>
      </w:r>
      <w:r>
        <w:rPr>
          <w:rFonts w:ascii="Verdana" w:hAnsi="Verdana"/>
          <w:sz w:val="18"/>
          <w:szCs w:val="18"/>
        </w:rPr>
        <w:t xml:space="preserve">de meest recente beschikbare </w:t>
      </w:r>
      <w:r w:rsidRPr="00493691">
        <w:rPr>
          <w:rFonts w:ascii="Verdana" w:hAnsi="Verdana"/>
          <w:sz w:val="18"/>
          <w:szCs w:val="18"/>
        </w:rPr>
        <w:t>cijfers van de Europese Commissie hebben de Europese Commissie en EU-lidstaten in totaal</w:t>
      </w:r>
      <w:r>
        <w:rPr>
          <w:rFonts w:ascii="Verdana" w:hAnsi="Verdana"/>
          <w:sz w:val="18"/>
          <w:szCs w:val="18"/>
        </w:rPr>
        <w:t xml:space="preserve"> tot en met 2025</w:t>
      </w:r>
      <w:r w:rsidRPr="00493691">
        <w:rPr>
          <w:rFonts w:ascii="Verdana" w:hAnsi="Verdana"/>
          <w:sz w:val="18"/>
          <w:szCs w:val="18"/>
        </w:rPr>
        <w:t xml:space="preserve"> circa 170 miljard </w:t>
      </w:r>
      <w:r>
        <w:rPr>
          <w:rFonts w:ascii="Verdana" w:hAnsi="Verdana"/>
          <w:sz w:val="18"/>
          <w:szCs w:val="18"/>
        </w:rPr>
        <w:t xml:space="preserve">euro </w:t>
      </w:r>
      <w:r w:rsidRPr="00493691">
        <w:rPr>
          <w:rFonts w:ascii="Verdana" w:hAnsi="Verdana"/>
          <w:sz w:val="18"/>
          <w:szCs w:val="18"/>
        </w:rPr>
        <w:t xml:space="preserve">steun geleverd aan </w:t>
      </w:r>
      <w:r>
        <w:rPr>
          <w:rFonts w:ascii="Verdana" w:hAnsi="Verdana"/>
          <w:sz w:val="18"/>
          <w:szCs w:val="18"/>
        </w:rPr>
        <w:t>Oekraïne</w:t>
      </w:r>
      <w:r w:rsidRPr="00493691">
        <w:rPr>
          <w:rFonts w:ascii="Verdana" w:hAnsi="Verdana"/>
          <w:sz w:val="18"/>
          <w:szCs w:val="18"/>
        </w:rPr>
        <w:t xml:space="preserve"> (waaronder 66 miljard </w:t>
      </w:r>
      <w:r>
        <w:rPr>
          <w:rFonts w:ascii="Verdana" w:hAnsi="Verdana"/>
          <w:sz w:val="18"/>
          <w:szCs w:val="18"/>
        </w:rPr>
        <w:t xml:space="preserve">euro </w:t>
      </w:r>
      <w:r w:rsidRPr="00493691">
        <w:rPr>
          <w:rFonts w:ascii="Verdana" w:hAnsi="Verdana"/>
          <w:sz w:val="18"/>
          <w:szCs w:val="18"/>
        </w:rPr>
        <w:t xml:space="preserve">in militaire steun en 100,6 miljard </w:t>
      </w:r>
      <w:r>
        <w:rPr>
          <w:rFonts w:ascii="Verdana" w:hAnsi="Verdana"/>
          <w:sz w:val="18"/>
          <w:szCs w:val="18"/>
        </w:rPr>
        <w:t xml:space="preserve">euro </w:t>
      </w:r>
      <w:r w:rsidRPr="00493691">
        <w:rPr>
          <w:rFonts w:ascii="Verdana" w:hAnsi="Verdana"/>
          <w:sz w:val="18"/>
          <w:szCs w:val="18"/>
        </w:rPr>
        <w:t xml:space="preserve">in niet-militaire steun). </w:t>
      </w:r>
      <w:r>
        <w:rPr>
          <w:rFonts w:ascii="Verdana" w:hAnsi="Verdana"/>
          <w:sz w:val="18"/>
          <w:szCs w:val="18"/>
        </w:rPr>
        <w:t xml:space="preserve">Deze cijfers zijn mogelijk niet volledig. </w:t>
      </w:r>
      <w:r w:rsidRPr="00493691">
        <w:rPr>
          <w:rFonts w:ascii="Verdana" w:hAnsi="Verdana"/>
          <w:sz w:val="18"/>
          <w:szCs w:val="18"/>
        </w:rPr>
        <w:t xml:space="preserve">Het aandeel van lidstaten in de steun van de Europese Commissie wordt over het algemeen bepaald aan de hand van de </w:t>
      </w:r>
      <w:proofErr w:type="spellStart"/>
      <w:r w:rsidRPr="00493691">
        <w:rPr>
          <w:rFonts w:ascii="Verdana" w:hAnsi="Verdana"/>
          <w:sz w:val="18"/>
          <w:szCs w:val="18"/>
        </w:rPr>
        <w:t>bni</w:t>
      </w:r>
      <w:proofErr w:type="spellEnd"/>
      <w:r w:rsidRPr="00493691">
        <w:rPr>
          <w:rFonts w:ascii="Verdana" w:hAnsi="Verdana"/>
          <w:sz w:val="18"/>
          <w:szCs w:val="18"/>
        </w:rPr>
        <w:t>-sleutel, maar deze verschilt ieder jaar. Daarom is het lastig om de totale steun terug te voeren op individuele lidstaten.</w:t>
      </w:r>
      <w:r>
        <w:rPr>
          <w:rFonts w:ascii="Verdana" w:hAnsi="Verdana"/>
          <w:sz w:val="18"/>
          <w:szCs w:val="18"/>
        </w:rPr>
        <w:t xml:space="preserve"> </w:t>
      </w:r>
    </w:p>
    <w:p w:rsidRPr="00800008" w:rsidR="00531406" w:rsidP="00531406" w:rsidRDefault="00531406" w14:paraId="6BE1845A" w14:textId="77777777">
      <w:pPr>
        <w:spacing w:line="240" w:lineRule="exact"/>
        <w:rPr>
          <w:rFonts w:ascii="Verdana" w:hAnsi="Verdana"/>
          <w:sz w:val="18"/>
          <w:szCs w:val="18"/>
        </w:rPr>
      </w:pPr>
      <w:r w:rsidRPr="00E54A5C">
        <w:rPr>
          <w:rFonts w:ascii="Verdana" w:hAnsi="Verdana"/>
          <w:sz w:val="18"/>
          <w:szCs w:val="18"/>
        </w:rPr>
        <w:t xml:space="preserve">Elke lidstaat maakt individuele afwegingen over de omvang van de steun evenals de mate waarin publieke informatie over deze steun verstrekt wordt. </w:t>
      </w:r>
      <w:r>
        <w:rPr>
          <w:rFonts w:ascii="Verdana" w:hAnsi="Verdana"/>
          <w:sz w:val="18"/>
          <w:szCs w:val="18"/>
        </w:rPr>
        <w:t>Het kabinet doet daarom geen uitspraken over de steun verleend door andere lidstaten.</w:t>
      </w:r>
      <w:r w:rsidRPr="00493691">
        <w:rPr>
          <w:rFonts w:ascii="Verdana" w:hAnsi="Verdana"/>
          <w:sz w:val="18"/>
          <w:szCs w:val="18"/>
        </w:rPr>
        <w:t xml:space="preserve"> </w:t>
      </w:r>
    </w:p>
    <w:bookmarkEnd w:id="1"/>
    <w:p w:rsidR="00531406" w:rsidP="00531406" w:rsidRDefault="00531406" w14:paraId="459F5D57" w14:textId="77777777">
      <w:pPr>
        <w:numPr>
          <w:ilvl w:val="0"/>
          <w:numId w:val="1"/>
        </w:numPr>
        <w:spacing w:line="240" w:lineRule="exact"/>
        <w:rPr>
          <w:rFonts w:ascii="Verdana" w:hAnsi="Verdana"/>
          <w:b/>
          <w:bCs/>
          <w:sz w:val="18"/>
          <w:szCs w:val="18"/>
        </w:rPr>
      </w:pPr>
      <w:r w:rsidRPr="00800008">
        <w:rPr>
          <w:rFonts w:ascii="Verdana" w:hAnsi="Verdana"/>
          <w:b/>
          <w:bCs/>
          <w:sz w:val="18"/>
          <w:szCs w:val="18"/>
        </w:rPr>
        <w:t>Kunt u een actueel overzicht geven van steun in Europees verband uitgesplitst in giften, leningen en garanties waarbij tevens inzichtelijk is gemaakt wat het Nederlandse aandeel is per categorie?</w:t>
      </w:r>
    </w:p>
    <w:p w:rsidR="00531406" w:rsidP="00531406" w:rsidRDefault="00531406" w14:paraId="0DCCBB22" w14:textId="77777777">
      <w:pPr>
        <w:spacing w:line="240" w:lineRule="exact"/>
        <w:rPr>
          <w:rFonts w:ascii="Verdana" w:hAnsi="Verdana"/>
          <w:sz w:val="18"/>
          <w:szCs w:val="18"/>
        </w:rPr>
      </w:pPr>
      <w:bookmarkStart w:name="_Hlk216364936" w:id="2"/>
      <w:r>
        <w:rPr>
          <w:rFonts w:ascii="Verdana" w:hAnsi="Verdana"/>
          <w:sz w:val="18"/>
          <w:szCs w:val="18"/>
        </w:rPr>
        <w:t xml:space="preserve">Via verschillende instrumenten heeft de EU steun geleverd aan Oekraïne. </w:t>
      </w:r>
      <w:r w:rsidRPr="006B7A44">
        <w:rPr>
          <w:rFonts w:ascii="Verdana" w:hAnsi="Verdana"/>
          <w:sz w:val="18"/>
          <w:szCs w:val="18"/>
        </w:rPr>
        <w:t>Hieronder worden de verschillende steunpakketten uiteengezet</w:t>
      </w:r>
      <w:r>
        <w:rPr>
          <w:rFonts w:ascii="Verdana" w:hAnsi="Verdana"/>
          <w:sz w:val="18"/>
          <w:szCs w:val="18"/>
        </w:rPr>
        <w:t>:</w:t>
      </w:r>
    </w:p>
    <w:p w:rsidRPr="006B7A44" w:rsidR="00531406" w:rsidP="00531406" w:rsidRDefault="00531406" w14:paraId="0233C9BE" w14:textId="77777777">
      <w:pPr>
        <w:pStyle w:val="Lijstalinea"/>
        <w:numPr>
          <w:ilvl w:val="0"/>
          <w:numId w:val="2"/>
        </w:numPr>
        <w:spacing w:line="240" w:lineRule="exact"/>
        <w:rPr>
          <w:rFonts w:ascii="Verdana" w:hAnsi="Verdana"/>
          <w:sz w:val="18"/>
          <w:szCs w:val="18"/>
        </w:rPr>
      </w:pPr>
      <w:r>
        <w:rPr>
          <w:rFonts w:ascii="Verdana" w:hAnsi="Verdana"/>
          <w:sz w:val="18"/>
          <w:szCs w:val="18"/>
        </w:rPr>
        <w:t>In 2022 en 2023 is v</w:t>
      </w:r>
      <w:r w:rsidRPr="006B7A44">
        <w:rPr>
          <w:rFonts w:ascii="Verdana" w:hAnsi="Verdana"/>
          <w:sz w:val="18"/>
          <w:szCs w:val="18"/>
        </w:rPr>
        <w:t xml:space="preserve">ia </w:t>
      </w:r>
      <w:r>
        <w:rPr>
          <w:rFonts w:ascii="Verdana" w:hAnsi="Verdana"/>
          <w:sz w:val="18"/>
          <w:szCs w:val="18"/>
        </w:rPr>
        <w:t>Macro Financiële Bijstand (</w:t>
      </w:r>
      <w:r w:rsidRPr="006B7A44">
        <w:rPr>
          <w:rFonts w:ascii="Verdana" w:hAnsi="Verdana"/>
          <w:sz w:val="18"/>
          <w:szCs w:val="18"/>
        </w:rPr>
        <w:t>MFB</w:t>
      </w:r>
      <w:r>
        <w:rPr>
          <w:rFonts w:ascii="Verdana" w:hAnsi="Verdana"/>
          <w:sz w:val="18"/>
          <w:szCs w:val="18"/>
        </w:rPr>
        <w:t>)</w:t>
      </w:r>
      <w:r w:rsidRPr="006B7A44">
        <w:rPr>
          <w:rFonts w:ascii="Verdana" w:hAnsi="Verdana"/>
          <w:sz w:val="18"/>
          <w:szCs w:val="18"/>
        </w:rPr>
        <w:t xml:space="preserve"> in totaal 6 </w:t>
      </w:r>
      <w:r>
        <w:rPr>
          <w:rFonts w:ascii="Verdana" w:hAnsi="Verdana"/>
          <w:sz w:val="18"/>
          <w:szCs w:val="18"/>
        </w:rPr>
        <w:t>miljard</w:t>
      </w:r>
      <w:r w:rsidRPr="006B7A44">
        <w:rPr>
          <w:rFonts w:ascii="Verdana" w:hAnsi="Verdana"/>
          <w:sz w:val="18"/>
          <w:szCs w:val="18"/>
        </w:rPr>
        <w:t xml:space="preserve"> euro aan concessionele leningen verstrekt. De aflossing- en rentebetaling hiervan worden verzekerd door een bestaand garantiefonds binnen de EU-begroting, welke lidstaten hebben aangevuld met bilaterale garanties. Nederland heeft hiervoor een bilaterale garantie van 215,4 </w:t>
      </w:r>
      <w:r>
        <w:rPr>
          <w:rFonts w:ascii="Verdana" w:hAnsi="Verdana"/>
          <w:sz w:val="18"/>
          <w:szCs w:val="18"/>
        </w:rPr>
        <w:t>miljoen</w:t>
      </w:r>
      <w:r w:rsidRPr="006B7A44">
        <w:rPr>
          <w:rFonts w:ascii="Verdana" w:hAnsi="Verdana"/>
          <w:sz w:val="18"/>
          <w:szCs w:val="18"/>
        </w:rPr>
        <w:t xml:space="preserve"> euro afgegeven. </w:t>
      </w:r>
    </w:p>
    <w:p w:rsidRPr="006B7A44" w:rsidR="00531406" w:rsidP="00531406" w:rsidRDefault="00531406" w14:paraId="17CF2EF4" w14:textId="77777777">
      <w:pPr>
        <w:pStyle w:val="Lijstalinea"/>
        <w:numPr>
          <w:ilvl w:val="0"/>
          <w:numId w:val="2"/>
        </w:numPr>
        <w:spacing w:line="240" w:lineRule="exact"/>
        <w:rPr>
          <w:rFonts w:ascii="Verdana" w:hAnsi="Verdana"/>
          <w:sz w:val="18"/>
          <w:szCs w:val="18"/>
        </w:rPr>
      </w:pPr>
      <w:r w:rsidRPr="006B7A44">
        <w:rPr>
          <w:rFonts w:ascii="Verdana" w:hAnsi="Verdana"/>
          <w:sz w:val="18"/>
          <w:szCs w:val="18"/>
        </w:rPr>
        <w:t xml:space="preserve">Daarnaast heeft de EU </w:t>
      </w:r>
      <w:r>
        <w:rPr>
          <w:rFonts w:ascii="Verdana" w:hAnsi="Verdana"/>
          <w:sz w:val="18"/>
          <w:szCs w:val="18"/>
        </w:rPr>
        <w:t xml:space="preserve">in 2023 </w:t>
      </w:r>
      <w:r w:rsidRPr="006B7A44">
        <w:rPr>
          <w:rFonts w:ascii="Verdana" w:hAnsi="Verdana"/>
          <w:sz w:val="18"/>
          <w:szCs w:val="18"/>
        </w:rPr>
        <w:t xml:space="preserve">vanuit MFB+ 18 </w:t>
      </w:r>
      <w:r>
        <w:rPr>
          <w:rFonts w:ascii="Verdana" w:hAnsi="Verdana"/>
          <w:sz w:val="18"/>
          <w:szCs w:val="18"/>
        </w:rPr>
        <w:t>miljard</w:t>
      </w:r>
      <w:r w:rsidRPr="006B7A44">
        <w:rPr>
          <w:rFonts w:ascii="Verdana" w:hAnsi="Verdana"/>
          <w:sz w:val="18"/>
          <w:szCs w:val="18"/>
        </w:rPr>
        <w:t xml:space="preserve"> euro</w:t>
      </w:r>
      <w:r>
        <w:rPr>
          <w:rFonts w:ascii="Verdana" w:hAnsi="Verdana"/>
          <w:sz w:val="18"/>
          <w:szCs w:val="18"/>
        </w:rPr>
        <w:t xml:space="preserve"> aan leningen verstrekt</w:t>
      </w:r>
      <w:r w:rsidRPr="006B7A44">
        <w:rPr>
          <w:rFonts w:ascii="Verdana" w:hAnsi="Verdana"/>
          <w:sz w:val="18"/>
          <w:szCs w:val="18"/>
        </w:rPr>
        <w:t xml:space="preserve">. Door de omvang en financieringstechniek wijkt deze MFB+ af van de eerdere MFB. Hiervoor is een Nederlandse garantie van 1,1 </w:t>
      </w:r>
      <w:r>
        <w:rPr>
          <w:rFonts w:ascii="Verdana" w:hAnsi="Verdana"/>
          <w:sz w:val="18"/>
          <w:szCs w:val="18"/>
        </w:rPr>
        <w:t>miljard</w:t>
      </w:r>
      <w:r w:rsidRPr="006B7A44">
        <w:rPr>
          <w:rFonts w:ascii="Verdana" w:hAnsi="Verdana"/>
          <w:sz w:val="18"/>
          <w:szCs w:val="18"/>
        </w:rPr>
        <w:t xml:space="preserve"> euro opgenomen. De rentelasten worden met een rentesubsidie gefinancierd, waarbij de rentebijdrage voor Nederland maximaal 165 </w:t>
      </w:r>
      <w:r>
        <w:rPr>
          <w:rFonts w:ascii="Verdana" w:hAnsi="Verdana"/>
          <w:sz w:val="18"/>
          <w:szCs w:val="18"/>
        </w:rPr>
        <w:t>miljoen</w:t>
      </w:r>
      <w:r w:rsidRPr="006B7A44">
        <w:rPr>
          <w:rFonts w:ascii="Verdana" w:hAnsi="Verdana"/>
          <w:sz w:val="18"/>
          <w:szCs w:val="18"/>
        </w:rPr>
        <w:t xml:space="preserve"> euro is. </w:t>
      </w:r>
    </w:p>
    <w:p w:rsidRPr="006B7A44" w:rsidR="00531406" w:rsidP="00531406" w:rsidRDefault="00531406" w14:paraId="02491193" w14:textId="77777777">
      <w:pPr>
        <w:pStyle w:val="Lijstalinea"/>
        <w:numPr>
          <w:ilvl w:val="0"/>
          <w:numId w:val="2"/>
        </w:numPr>
        <w:spacing w:line="240" w:lineRule="exact"/>
        <w:rPr>
          <w:rFonts w:ascii="Verdana" w:hAnsi="Verdana"/>
          <w:sz w:val="18"/>
          <w:szCs w:val="18"/>
        </w:rPr>
      </w:pPr>
      <w:r>
        <w:rPr>
          <w:rFonts w:ascii="Verdana" w:hAnsi="Verdana"/>
          <w:sz w:val="18"/>
          <w:szCs w:val="18"/>
        </w:rPr>
        <w:t>In februari 2024 is v</w:t>
      </w:r>
      <w:r w:rsidRPr="006B7A44">
        <w:rPr>
          <w:rFonts w:ascii="Verdana" w:hAnsi="Verdana"/>
          <w:sz w:val="18"/>
          <w:szCs w:val="18"/>
        </w:rPr>
        <w:t xml:space="preserve">oor de jaren 2024-2027 de Europese Oekraïne-faciliteit van 50 </w:t>
      </w:r>
      <w:r>
        <w:rPr>
          <w:rFonts w:ascii="Verdana" w:hAnsi="Verdana"/>
          <w:sz w:val="18"/>
          <w:szCs w:val="18"/>
        </w:rPr>
        <w:t>miljard</w:t>
      </w:r>
      <w:r w:rsidRPr="006B7A44">
        <w:rPr>
          <w:rFonts w:ascii="Verdana" w:hAnsi="Verdana"/>
          <w:sz w:val="18"/>
          <w:szCs w:val="18"/>
        </w:rPr>
        <w:t xml:space="preserve"> euro opgericht, bestaande uit 17 </w:t>
      </w:r>
      <w:r>
        <w:rPr>
          <w:rFonts w:ascii="Verdana" w:hAnsi="Verdana"/>
          <w:sz w:val="18"/>
          <w:szCs w:val="18"/>
        </w:rPr>
        <w:t>miljard</w:t>
      </w:r>
      <w:r w:rsidRPr="006B7A44">
        <w:rPr>
          <w:rFonts w:ascii="Verdana" w:hAnsi="Verdana"/>
          <w:sz w:val="18"/>
          <w:szCs w:val="18"/>
        </w:rPr>
        <w:t xml:space="preserve"> euro aan giften en 33 </w:t>
      </w:r>
      <w:r>
        <w:rPr>
          <w:rFonts w:ascii="Verdana" w:hAnsi="Verdana"/>
          <w:sz w:val="18"/>
          <w:szCs w:val="18"/>
        </w:rPr>
        <w:t>miljard</w:t>
      </w:r>
      <w:r w:rsidRPr="006B7A44">
        <w:rPr>
          <w:rFonts w:ascii="Verdana" w:hAnsi="Verdana"/>
          <w:sz w:val="18"/>
          <w:szCs w:val="18"/>
        </w:rPr>
        <w:t xml:space="preserve"> euro aan leningen. De rentelasten worden gefinancierd binnen het giftendeel. De giften lopen via de totale EU-afdrachten, waarbij het lastig is om te bepalen welk deel van de Nederlandse EU-afdrachten toegekend kan worden aan deze rentelasten. Voor het leningendeel in de Oekraïne-faciliteit heeft Nederland een garantie afgegeven van 2,1 </w:t>
      </w:r>
      <w:r>
        <w:rPr>
          <w:rFonts w:ascii="Verdana" w:hAnsi="Verdana"/>
          <w:sz w:val="18"/>
          <w:szCs w:val="18"/>
        </w:rPr>
        <w:t>miljard</w:t>
      </w:r>
      <w:r w:rsidRPr="006B7A44">
        <w:rPr>
          <w:rFonts w:ascii="Verdana" w:hAnsi="Verdana"/>
          <w:sz w:val="18"/>
          <w:szCs w:val="18"/>
        </w:rPr>
        <w:t xml:space="preserve"> euro. </w:t>
      </w:r>
    </w:p>
    <w:p w:rsidRPr="00905158" w:rsidR="00531406" w:rsidP="00531406" w:rsidRDefault="00531406" w14:paraId="4833F118" w14:textId="77777777">
      <w:pPr>
        <w:pStyle w:val="Lijstalinea"/>
        <w:numPr>
          <w:ilvl w:val="0"/>
          <w:numId w:val="2"/>
        </w:numPr>
        <w:spacing w:line="240" w:lineRule="exact"/>
        <w:rPr>
          <w:rFonts w:ascii="Verdana" w:hAnsi="Verdana"/>
          <w:sz w:val="18"/>
          <w:szCs w:val="18"/>
        </w:rPr>
      </w:pPr>
      <w:r w:rsidRPr="00905158">
        <w:rPr>
          <w:rFonts w:ascii="Verdana" w:hAnsi="Verdana"/>
          <w:sz w:val="18"/>
          <w:szCs w:val="18"/>
        </w:rPr>
        <w:t xml:space="preserve">In 2024 zijn verder de G7 </w:t>
      </w:r>
      <w:proofErr w:type="spellStart"/>
      <w:r w:rsidRPr="00905158">
        <w:rPr>
          <w:rFonts w:ascii="Verdana" w:hAnsi="Verdana"/>
          <w:sz w:val="18"/>
          <w:szCs w:val="18"/>
        </w:rPr>
        <w:t>Extraordinary</w:t>
      </w:r>
      <w:proofErr w:type="spellEnd"/>
      <w:r w:rsidRPr="00905158">
        <w:rPr>
          <w:rFonts w:ascii="Verdana" w:hAnsi="Verdana"/>
          <w:sz w:val="18"/>
          <w:szCs w:val="18"/>
        </w:rPr>
        <w:t xml:space="preserve"> </w:t>
      </w:r>
      <w:proofErr w:type="spellStart"/>
      <w:r w:rsidRPr="00905158">
        <w:rPr>
          <w:rFonts w:ascii="Verdana" w:hAnsi="Verdana"/>
          <w:sz w:val="18"/>
          <w:szCs w:val="18"/>
        </w:rPr>
        <w:t>Revenue</w:t>
      </w:r>
      <w:proofErr w:type="spellEnd"/>
      <w:r w:rsidRPr="00905158">
        <w:rPr>
          <w:rFonts w:ascii="Verdana" w:hAnsi="Verdana"/>
          <w:sz w:val="18"/>
          <w:szCs w:val="18"/>
        </w:rPr>
        <w:t xml:space="preserve"> Acceleration (ERA) leningen verstrekt, waarbij het EU-aandeel 18,1 miljard euro bedraagt. Het EU-aandeel wordt in 2025 volledig </w:t>
      </w:r>
      <w:r w:rsidRPr="00905158">
        <w:rPr>
          <w:rFonts w:ascii="Verdana" w:hAnsi="Verdana"/>
          <w:sz w:val="18"/>
          <w:szCs w:val="18"/>
        </w:rPr>
        <w:lastRenderedPageBreak/>
        <w:t>uitbetaald aan Oekraïne. Nederland heeft hiervoor een garantie van 1,8 miljard euro afgegeven.</w:t>
      </w:r>
      <w:bookmarkEnd w:id="2"/>
      <w:r w:rsidRPr="00905158">
        <w:rPr>
          <w:rFonts w:ascii="Verdana" w:hAnsi="Verdana"/>
          <w:sz w:val="18"/>
          <w:szCs w:val="18"/>
        </w:rPr>
        <w:br w:type="page"/>
      </w:r>
    </w:p>
    <w:p w:rsidR="00531406" w:rsidP="00531406" w:rsidRDefault="00531406" w14:paraId="0BB50482" w14:textId="77777777">
      <w:pPr>
        <w:spacing w:line="240" w:lineRule="exact"/>
        <w:rPr>
          <w:rFonts w:ascii="Verdana" w:hAnsi="Verdana"/>
          <w:sz w:val="18"/>
          <w:szCs w:val="18"/>
        </w:rPr>
      </w:pPr>
      <w:r w:rsidRPr="006B7A44">
        <w:rPr>
          <w:rFonts w:ascii="Verdana" w:hAnsi="Verdana"/>
          <w:sz w:val="18"/>
          <w:szCs w:val="18"/>
        </w:rPr>
        <w:lastRenderedPageBreak/>
        <w:t xml:space="preserve">Naast hierboven genoemde niet-militaire steun is er in EU-verband ook militaire steun verstrekt aan Oekraïne. Volgens de Europese Commissie is er door de EU en lidstaten 66 </w:t>
      </w:r>
      <w:r>
        <w:rPr>
          <w:rFonts w:ascii="Verdana" w:hAnsi="Verdana"/>
          <w:sz w:val="18"/>
          <w:szCs w:val="18"/>
        </w:rPr>
        <w:t>miljard</w:t>
      </w:r>
      <w:r w:rsidRPr="006B7A44">
        <w:rPr>
          <w:rFonts w:ascii="Verdana" w:hAnsi="Verdana"/>
          <w:sz w:val="18"/>
          <w:szCs w:val="18"/>
        </w:rPr>
        <w:t xml:space="preserve"> euro aan militaire steun geleverd, waaronder 6,1 </w:t>
      </w:r>
      <w:r>
        <w:rPr>
          <w:rFonts w:ascii="Verdana" w:hAnsi="Verdana"/>
          <w:sz w:val="18"/>
          <w:szCs w:val="18"/>
        </w:rPr>
        <w:t>miljard</w:t>
      </w:r>
      <w:r w:rsidRPr="006B7A44">
        <w:rPr>
          <w:rFonts w:ascii="Verdana" w:hAnsi="Verdana"/>
          <w:sz w:val="18"/>
          <w:szCs w:val="18"/>
        </w:rPr>
        <w:t xml:space="preserve"> euro onder de Europese vredesfaciliteit (EPF) en 362 </w:t>
      </w:r>
      <w:r>
        <w:rPr>
          <w:rFonts w:ascii="Verdana" w:hAnsi="Verdana"/>
          <w:sz w:val="18"/>
          <w:szCs w:val="18"/>
        </w:rPr>
        <w:t>miljoen</w:t>
      </w:r>
      <w:r w:rsidRPr="006B7A44">
        <w:rPr>
          <w:rFonts w:ascii="Verdana" w:hAnsi="Verdana"/>
          <w:sz w:val="18"/>
          <w:szCs w:val="18"/>
        </w:rPr>
        <w:t xml:space="preserve"> euro voor de EU Military Assistance Mission in support of Ukraine (EUMAM). Vanuit het Ministerie van Buitenlandse Zaken is in de periode 2023 tot en met 2025 171,5 </w:t>
      </w:r>
      <w:r>
        <w:rPr>
          <w:rFonts w:ascii="Verdana" w:hAnsi="Verdana"/>
          <w:sz w:val="18"/>
          <w:szCs w:val="18"/>
        </w:rPr>
        <w:t>miljoen</w:t>
      </w:r>
      <w:r w:rsidRPr="006B7A44">
        <w:rPr>
          <w:rFonts w:ascii="Verdana" w:hAnsi="Verdana"/>
          <w:sz w:val="18"/>
          <w:szCs w:val="18"/>
        </w:rPr>
        <w:t xml:space="preserve"> euro bijgedragen aan het EPF voor Oekraïne. Hieruit wordt ook het niet-operationele deel van EUMAM betaald. Vanuit het Ministerie van Defensie is c</w:t>
      </w:r>
      <w:r>
        <w:rPr>
          <w:rFonts w:ascii="Verdana" w:hAnsi="Verdana"/>
          <w:sz w:val="18"/>
          <w:szCs w:val="18"/>
        </w:rPr>
        <w:t xml:space="preserve">irca </w:t>
      </w:r>
      <w:r w:rsidRPr="006B7A44">
        <w:rPr>
          <w:rFonts w:ascii="Verdana" w:hAnsi="Verdana"/>
          <w:sz w:val="18"/>
          <w:szCs w:val="18"/>
        </w:rPr>
        <w:t>35 miljoen euro uitgegeven tot en met 1 april 2025 aan het operationele deel van EUMAM. Zoals aangegeven in de recent verstuurde Kamerbrief</w:t>
      </w:r>
      <w:r>
        <w:rPr>
          <w:rStyle w:val="Voetnootmarkering"/>
          <w:rFonts w:ascii="Verdana" w:hAnsi="Verdana"/>
          <w:sz w:val="18"/>
          <w:szCs w:val="18"/>
        </w:rPr>
        <w:footnoteReference w:id="6"/>
      </w:r>
      <w:r w:rsidRPr="006B7A44">
        <w:rPr>
          <w:rFonts w:ascii="Verdana" w:hAnsi="Verdana"/>
          <w:sz w:val="18"/>
          <w:szCs w:val="18"/>
        </w:rPr>
        <w:t xml:space="preserve"> komt het grootste deel van het EPF nog niet tot besteding door een veto van Hongarije.</w:t>
      </w:r>
    </w:p>
    <w:p w:rsidR="00531406" w:rsidP="00531406" w:rsidRDefault="00531406" w14:paraId="3A7AB117" w14:textId="77777777">
      <w:pPr>
        <w:numPr>
          <w:ilvl w:val="0"/>
          <w:numId w:val="1"/>
        </w:numPr>
        <w:spacing w:line="240" w:lineRule="exact"/>
        <w:rPr>
          <w:rFonts w:ascii="Verdana" w:hAnsi="Verdana"/>
          <w:b/>
          <w:bCs/>
          <w:sz w:val="18"/>
          <w:szCs w:val="18"/>
        </w:rPr>
      </w:pPr>
      <w:r w:rsidRPr="00800008">
        <w:rPr>
          <w:rFonts w:ascii="Verdana" w:hAnsi="Verdana"/>
          <w:b/>
          <w:bCs/>
          <w:sz w:val="18"/>
          <w:szCs w:val="18"/>
        </w:rPr>
        <w:t>Wat heeft de opvang van Oekraïners in Nederland tot nu toe gekost per jaar voor de nationale overheid, inclusief kosten voor zorg, onderwijs en sociale zekerheid? Kunt u deze kosten uitsplitsen per genoemde categorie?</w:t>
      </w:r>
    </w:p>
    <w:p w:rsidR="00531406" w:rsidP="00531406" w:rsidRDefault="00531406" w14:paraId="0FE88C3C" w14:textId="77777777">
      <w:pPr>
        <w:spacing w:line="240" w:lineRule="exact"/>
        <w:rPr>
          <w:rFonts w:ascii="Verdana" w:hAnsi="Verdana"/>
          <w:sz w:val="18"/>
          <w:szCs w:val="18"/>
        </w:rPr>
      </w:pPr>
      <w:r w:rsidRPr="00E45DB2">
        <w:rPr>
          <w:rFonts w:ascii="Verdana" w:hAnsi="Verdana"/>
          <w:sz w:val="18"/>
          <w:szCs w:val="18"/>
        </w:rPr>
        <w:t>Een overzicht van de gerealiseerde geoormerkte uitgaven voor Oekraïense ontheemden van voorgaande jaren zijn terug te vinden in het Financieel Jaarverslag Rijk van het desbetreffende jaar. In deze overzichten wordt voor 2024, 2023 en 2022 het onderscheid gemaakt tussen opvang ontheemden, zorg en onderwijs.</w:t>
      </w:r>
    </w:p>
    <w:p w:rsidR="00531406" w:rsidP="00531406" w:rsidRDefault="00531406" w14:paraId="67589B35" w14:textId="77777777">
      <w:pPr>
        <w:spacing w:line="240" w:lineRule="exact"/>
        <w:rPr>
          <w:rFonts w:ascii="Verdana" w:hAnsi="Verdana"/>
          <w:sz w:val="18"/>
          <w:szCs w:val="18"/>
        </w:rPr>
      </w:pPr>
      <w:r>
        <w:rPr>
          <w:rFonts w:ascii="Verdana" w:hAnsi="Verdana"/>
          <w:sz w:val="18"/>
          <w:szCs w:val="18"/>
        </w:rPr>
        <w:t>Tabel 2: uitgavenoverzicht aan Oekraïense ontheemden (in miljoenen euro’s)</w:t>
      </w:r>
    </w:p>
    <w:tbl>
      <w:tblPr>
        <w:tblStyle w:val="Rastertabel1licht-Accent5"/>
        <w:tblW w:w="0" w:type="auto"/>
        <w:tblLook w:val="04A0" w:firstRow="1" w:lastRow="0" w:firstColumn="1" w:lastColumn="0" w:noHBand="0" w:noVBand="1"/>
      </w:tblPr>
      <w:tblGrid>
        <w:gridCol w:w="2102"/>
        <w:gridCol w:w="740"/>
        <w:gridCol w:w="740"/>
        <w:gridCol w:w="740"/>
      </w:tblGrid>
      <w:tr w:rsidRPr="00E45DB2" w:rsidR="00531406" w:rsidTr="00AE3CB7" w14:paraId="77F6C36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E45DB2" w:rsidR="00531406" w:rsidP="00AE3CB7" w:rsidRDefault="00531406" w14:paraId="4D47300C" w14:textId="77777777">
            <w:pPr>
              <w:spacing w:after="160" w:line="240" w:lineRule="exact"/>
              <w:rPr>
                <w:rFonts w:ascii="Verdana" w:hAnsi="Verdana"/>
                <w:b w:val="0"/>
                <w:bCs w:val="0"/>
                <w:sz w:val="18"/>
                <w:szCs w:val="18"/>
              </w:rPr>
            </w:pPr>
          </w:p>
        </w:tc>
        <w:tc>
          <w:tcPr>
            <w:tcW w:w="0" w:type="auto"/>
          </w:tcPr>
          <w:p w:rsidRPr="00E45DB2" w:rsidR="00531406" w:rsidP="00AE3CB7" w:rsidRDefault="00531406" w14:paraId="3F0B1680"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E45DB2">
              <w:rPr>
                <w:rFonts w:ascii="Verdana" w:hAnsi="Verdana"/>
                <w:b w:val="0"/>
                <w:bCs w:val="0"/>
                <w:sz w:val="18"/>
                <w:szCs w:val="18"/>
              </w:rPr>
              <w:t>2022</w:t>
            </w:r>
          </w:p>
        </w:tc>
        <w:tc>
          <w:tcPr>
            <w:tcW w:w="0" w:type="auto"/>
          </w:tcPr>
          <w:p w:rsidRPr="00E45DB2" w:rsidR="00531406" w:rsidP="00AE3CB7" w:rsidRDefault="00531406" w14:paraId="276AF3AF"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E45DB2">
              <w:rPr>
                <w:rFonts w:ascii="Verdana" w:hAnsi="Verdana"/>
                <w:b w:val="0"/>
                <w:bCs w:val="0"/>
                <w:sz w:val="18"/>
                <w:szCs w:val="18"/>
              </w:rPr>
              <w:t>2023</w:t>
            </w:r>
          </w:p>
        </w:tc>
        <w:tc>
          <w:tcPr>
            <w:tcW w:w="0" w:type="auto"/>
          </w:tcPr>
          <w:p w:rsidRPr="00E45DB2" w:rsidR="00531406" w:rsidP="00AE3CB7" w:rsidRDefault="00531406" w14:paraId="4D13497B"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E45DB2">
              <w:rPr>
                <w:rFonts w:ascii="Verdana" w:hAnsi="Verdana"/>
                <w:b w:val="0"/>
                <w:bCs w:val="0"/>
                <w:sz w:val="18"/>
                <w:szCs w:val="18"/>
              </w:rPr>
              <w:t>2024</w:t>
            </w:r>
          </w:p>
        </w:tc>
      </w:tr>
      <w:tr w:rsidRPr="00E45DB2" w:rsidR="00531406" w:rsidTr="00AE3CB7" w14:paraId="3839A9F8" w14:textId="77777777">
        <w:tc>
          <w:tcPr>
            <w:cnfStyle w:val="001000000000" w:firstRow="0" w:lastRow="0" w:firstColumn="1" w:lastColumn="0" w:oddVBand="0" w:evenVBand="0" w:oddHBand="0" w:evenHBand="0" w:firstRowFirstColumn="0" w:firstRowLastColumn="0" w:lastRowFirstColumn="0" w:lastRowLastColumn="0"/>
            <w:tcW w:w="0" w:type="auto"/>
          </w:tcPr>
          <w:p w:rsidRPr="00E45DB2" w:rsidR="00531406" w:rsidP="00AE3CB7" w:rsidRDefault="00531406" w14:paraId="50B350CF" w14:textId="77777777">
            <w:pPr>
              <w:spacing w:after="160" w:line="240" w:lineRule="exact"/>
              <w:rPr>
                <w:rFonts w:ascii="Verdana" w:hAnsi="Verdana"/>
                <w:b w:val="0"/>
                <w:bCs w:val="0"/>
                <w:sz w:val="18"/>
                <w:szCs w:val="18"/>
              </w:rPr>
            </w:pPr>
            <w:r w:rsidRPr="00E45DB2">
              <w:rPr>
                <w:rFonts w:ascii="Verdana" w:hAnsi="Verdana"/>
                <w:b w:val="0"/>
                <w:bCs w:val="0"/>
                <w:sz w:val="18"/>
                <w:szCs w:val="18"/>
              </w:rPr>
              <w:t>Opvang ontheemden</w:t>
            </w:r>
          </w:p>
        </w:tc>
        <w:tc>
          <w:tcPr>
            <w:tcW w:w="0" w:type="auto"/>
          </w:tcPr>
          <w:p w:rsidRPr="00E45DB2" w:rsidR="00531406" w:rsidP="00AE3CB7" w:rsidRDefault="00531406" w14:paraId="0A3001EC"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45DB2">
              <w:rPr>
                <w:rFonts w:ascii="Verdana" w:hAnsi="Verdana"/>
                <w:sz w:val="18"/>
                <w:szCs w:val="18"/>
              </w:rPr>
              <w:t>1.079</w:t>
            </w:r>
          </w:p>
        </w:tc>
        <w:tc>
          <w:tcPr>
            <w:tcW w:w="0" w:type="auto"/>
          </w:tcPr>
          <w:p w:rsidRPr="00E45DB2" w:rsidR="00531406" w:rsidP="00AE3CB7" w:rsidRDefault="00531406" w14:paraId="6EC683B6"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45DB2">
              <w:rPr>
                <w:rFonts w:ascii="Verdana" w:hAnsi="Verdana"/>
                <w:sz w:val="18"/>
                <w:szCs w:val="18"/>
              </w:rPr>
              <w:t>3.436</w:t>
            </w:r>
          </w:p>
        </w:tc>
        <w:tc>
          <w:tcPr>
            <w:tcW w:w="0" w:type="auto"/>
          </w:tcPr>
          <w:p w:rsidRPr="00E45DB2" w:rsidR="00531406" w:rsidP="00AE3CB7" w:rsidRDefault="00531406" w14:paraId="50B7DA2C"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45DB2">
              <w:rPr>
                <w:rFonts w:ascii="Verdana" w:hAnsi="Verdana"/>
                <w:sz w:val="18"/>
                <w:szCs w:val="18"/>
              </w:rPr>
              <w:t>2.598</w:t>
            </w:r>
          </w:p>
        </w:tc>
      </w:tr>
      <w:tr w:rsidRPr="00E45DB2" w:rsidR="00531406" w:rsidTr="00AE3CB7" w14:paraId="5C3301BF" w14:textId="77777777">
        <w:tc>
          <w:tcPr>
            <w:cnfStyle w:val="001000000000" w:firstRow="0" w:lastRow="0" w:firstColumn="1" w:lastColumn="0" w:oddVBand="0" w:evenVBand="0" w:oddHBand="0" w:evenHBand="0" w:firstRowFirstColumn="0" w:firstRowLastColumn="0" w:lastRowFirstColumn="0" w:lastRowLastColumn="0"/>
            <w:tcW w:w="0" w:type="auto"/>
          </w:tcPr>
          <w:p w:rsidRPr="00E45DB2" w:rsidR="00531406" w:rsidP="00AE3CB7" w:rsidRDefault="00531406" w14:paraId="173A5CB9" w14:textId="77777777">
            <w:pPr>
              <w:spacing w:after="160" w:line="240" w:lineRule="exact"/>
              <w:rPr>
                <w:rFonts w:ascii="Verdana" w:hAnsi="Verdana"/>
                <w:b w:val="0"/>
                <w:bCs w:val="0"/>
                <w:sz w:val="18"/>
                <w:szCs w:val="18"/>
              </w:rPr>
            </w:pPr>
            <w:r w:rsidRPr="00E45DB2">
              <w:rPr>
                <w:rFonts w:ascii="Verdana" w:hAnsi="Verdana"/>
                <w:b w:val="0"/>
                <w:bCs w:val="0"/>
                <w:sz w:val="18"/>
                <w:szCs w:val="18"/>
              </w:rPr>
              <w:t>Zorg</w:t>
            </w:r>
          </w:p>
        </w:tc>
        <w:tc>
          <w:tcPr>
            <w:tcW w:w="0" w:type="auto"/>
          </w:tcPr>
          <w:p w:rsidRPr="00E45DB2" w:rsidR="00531406" w:rsidP="00AE3CB7" w:rsidRDefault="00531406" w14:paraId="3503DF94"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45DB2">
              <w:rPr>
                <w:rFonts w:ascii="Verdana" w:hAnsi="Verdana"/>
                <w:sz w:val="18"/>
                <w:szCs w:val="18"/>
              </w:rPr>
              <w:t>54</w:t>
            </w:r>
          </w:p>
        </w:tc>
        <w:tc>
          <w:tcPr>
            <w:tcW w:w="0" w:type="auto"/>
          </w:tcPr>
          <w:p w:rsidRPr="00E45DB2" w:rsidR="00531406" w:rsidP="00AE3CB7" w:rsidRDefault="00531406" w14:paraId="70A4F758"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45DB2">
              <w:rPr>
                <w:rFonts w:ascii="Verdana" w:hAnsi="Verdana"/>
                <w:sz w:val="18"/>
                <w:szCs w:val="18"/>
              </w:rPr>
              <w:t>170</w:t>
            </w:r>
          </w:p>
        </w:tc>
        <w:tc>
          <w:tcPr>
            <w:tcW w:w="0" w:type="auto"/>
          </w:tcPr>
          <w:p w:rsidRPr="00E45DB2" w:rsidR="00531406" w:rsidP="00AE3CB7" w:rsidRDefault="00531406" w14:paraId="03B1EF39"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45DB2">
              <w:rPr>
                <w:rFonts w:ascii="Verdana" w:hAnsi="Verdana"/>
                <w:sz w:val="18"/>
                <w:szCs w:val="18"/>
              </w:rPr>
              <w:t>223</w:t>
            </w:r>
          </w:p>
        </w:tc>
      </w:tr>
      <w:tr w:rsidRPr="00E45DB2" w:rsidR="00531406" w:rsidTr="00AE3CB7" w14:paraId="13EF4A89" w14:textId="77777777">
        <w:tc>
          <w:tcPr>
            <w:cnfStyle w:val="001000000000" w:firstRow="0" w:lastRow="0" w:firstColumn="1" w:lastColumn="0" w:oddVBand="0" w:evenVBand="0" w:oddHBand="0" w:evenHBand="0" w:firstRowFirstColumn="0" w:firstRowLastColumn="0" w:lastRowFirstColumn="0" w:lastRowLastColumn="0"/>
            <w:tcW w:w="0" w:type="auto"/>
          </w:tcPr>
          <w:p w:rsidRPr="00E45DB2" w:rsidR="00531406" w:rsidP="00AE3CB7" w:rsidRDefault="00531406" w14:paraId="2BD6E464" w14:textId="77777777">
            <w:pPr>
              <w:spacing w:after="160" w:line="240" w:lineRule="exact"/>
              <w:rPr>
                <w:rFonts w:ascii="Verdana" w:hAnsi="Verdana"/>
                <w:b w:val="0"/>
                <w:bCs w:val="0"/>
                <w:sz w:val="18"/>
                <w:szCs w:val="18"/>
              </w:rPr>
            </w:pPr>
            <w:r w:rsidRPr="00E45DB2">
              <w:rPr>
                <w:rFonts w:ascii="Verdana" w:hAnsi="Verdana"/>
                <w:b w:val="0"/>
                <w:bCs w:val="0"/>
                <w:sz w:val="18"/>
                <w:szCs w:val="18"/>
              </w:rPr>
              <w:t>Onderwijs</w:t>
            </w:r>
          </w:p>
        </w:tc>
        <w:tc>
          <w:tcPr>
            <w:tcW w:w="0" w:type="auto"/>
          </w:tcPr>
          <w:p w:rsidRPr="00E45DB2" w:rsidR="00531406" w:rsidP="00AE3CB7" w:rsidRDefault="00531406" w14:paraId="6E04884C"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E45DB2">
              <w:rPr>
                <w:rFonts w:ascii="Verdana" w:hAnsi="Verdana"/>
                <w:sz w:val="18"/>
                <w:szCs w:val="18"/>
              </w:rPr>
              <w:t>200</w:t>
            </w:r>
          </w:p>
        </w:tc>
        <w:tc>
          <w:tcPr>
            <w:tcW w:w="0" w:type="auto"/>
          </w:tcPr>
          <w:p w:rsidRPr="00E45DB2" w:rsidR="00531406" w:rsidP="00AE3CB7" w:rsidRDefault="00531406" w14:paraId="3EEDBFC0"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E45DB2">
              <w:rPr>
                <w:rFonts w:ascii="Verdana" w:hAnsi="Verdana"/>
                <w:sz w:val="18"/>
                <w:szCs w:val="18"/>
              </w:rPr>
              <w:t>222</w:t>
            </w:r>
          </w:p>
        </w:tc>
        <w:tc>
          <w:tcPr>
            <w:tcW w:w="0" w:type="auto"/>
          </w:tcPr>
          <w:p w:rsidRPr="00E45DB2" w:rsidR="00531406" w:rsidP="00AE3CB7" w:rsidRDefault="00531406" w14:paraId="41E1F135"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E45DB2">
              <w:rPr>
                <w:rFonts w:ascii="Verdana" w:hAnsi="Verdana"/>
                <w:sz w:val="18"/>
                <w:szCs w:val="18"/>
              </w:rPr>
              <w:t>75</w:t>
            </w:r>
          </w:p>
        </w:tc>
      </w:tr>
    </w:tbl>
    <w:p w:rsidRPr="00E45DB2" w:rsidR="00531406" w:rsidP="00531406" w:rsidRDefault="00531406" w14:paraId="5E0B19CC" w14:textId="77777777">
      <w:pPr>
        <w:spacing w:line="240" w:lineRule="exact"/>
        <w:rPr>
          <w:rFonts w:ascii="Verdana" w:hAnsi="Verdana"/>
          <w:sz w:val="18"/>
          <w:szCs w:val="18"/>
        </w:rPr>
      </w:pPr>
    </w:p>
    <w:p w:rsidR="00531406" w:rsidP="00531406" w:rsidRDefault="00531406" w14:paraId="6AE99181" w14:textId="77777777">
      <w:pPr>
        <w:numPr>
          <w:ilvl w:val="0"/>
          <w:numId w:val="1"/>
        </w:numPr>
        <w:spacing w:line="240" w:lineRule="exact"/>
        <w:rPr>
          <w:rFonts w:ascii="Verdana" w:hAnsi="Verdana"/>
          <w:b/>
          <w:bCs/>
          <w:sz w:val="18"/>
          <w:szCs w:val="18"/>
        </w:rPr>
      </w:pPr>
      <w:r w:rsidRPr="00800008">
        <w:rPr>
          <w:rFonts w:ascii="Verdana" w:hAnsi="Verdana"/>
          <w:b/>
          <w:bCs/>
          <w:sz w:val="18"/>
          <w:szCs w:val="18"/>
        </w:rPr>
        <w:t>Wat heeft de opvang van Oekraïners tot nu toe gekost per jaar voor decentrale overheden, inclusief kosten voor zorg, onderwijs en sociale zekerheid? Kunt u deze kosten uitsplitsen per genoemde categorie?</w:t>
      </w:r>
    </w:p>
    <w:p w:rsidRPr="00E45DB2" w:rsidR="00531406" w:rsidP="00531406" w:rsidRDefault="00531406" w14:paraId="1D7FFF5F" w14:textId="77777777">
      <w:pPr>
        <w:spacing w:line="240" w:lineRule="exact"/>
        <w:rPr>
          <w:rFonts w:ascii="Verdana" w:hAnsi="Verdana"/>
          <w:sz w:val="18"/>
          <w:szCs w:val="18"/>
        </w:rPr>
      </w:pPr>
      <w:r w:rsidRPr="00E45DB2">
        <w:rPr>
          <w:rFonts w:ascii="Verdana" w:hAnsi="Verdana"/>
          <w:sz w:val="18"/>
          <w:szCs w:val="18"/>
        </w:rPr>
        <w:t>Zie antwoord op vraag 7.</w:t>
      </w:r>
    </w:p>
    <w:p w:rsidR="00531406" w:rsidP="00531406" w:rsidRDefault="00531406" w14:paraId="52749C94" w14:textId="77777777">
      <w:pPr>
        <w:spacing w:line="240" w:lineRule="exact"/>
        <w:rPr>
          <w:rFonts w:ascii="Verdana" w:hAnsi="Verdana"/>
          <w:sz w:val="18"/>
          <w:szCs w:val="18"/>
        </w:rPr>
      </w:pPr>
      <w:r w:rsidRPr="00E45DB2">
        <w:rPr>
          <w:rFonts w:ascii="Verdana" w:hAnsi="Verdana"/>
          <w:sz w:val="18"/>
          <w:szCs w:val="18"/>
        </w:rPr>
        <w:t>Het verder uitsplitsen van de kosten voor de opvang tussen nationale overheid en de decentrale overheden is niet mogelijk. Daarbij zijn de kosten van de nationale overheid vaak een vergoeding aan decentrale overheden voor de gemaakte kosten. Dit geldt bijvoorbeeld voor de opvang van ontheemden. Zo maken de veiligheidsregio’s onder andere kosten voor de eerste opvang en maken gemeenten kosten voor de gemeentelijke opvang (GOO) en de particuliere opvang (POO). Voor zover beschikbaar worden de gemaakte kosten per begroting gepresenteerd in de departementale jaarverslagen.</w:t>
      </w:r>
    </w:p>
    <w:p w:rsidR="00531406" w:rsidP="00531406" w:rsidRDefault="00531406" w14:paraId="5EA7B507" w14:textId="77777777">
      <w:pPr>
        <w:numPr>
          <w:ilvl w:val="0"/>
          <w:numId w:val="1"/>
        </w:numPr>
        <w:spacing w:line="240" w:lineRule="exact"/>
        <w:rPr>
          <w:rFonts w:ascii="Verdana" w:hAnsi="Verdana"/>
          <w:b/>
          <w:bCs/>
          <w:sz w:val="18"/>
          <w:szCs w:val="18"/>
        </w:rPr>
      </w:pPr>
      <w:bookmarkStart w:name="_Hlk216367077" w:id="3"/>
      <w:r w:rsidRPr="00800008">
        <w:rPr>
          <w:rFonts w:ascii="Verdana" w:hAnsi="Verdana"/>
          <w:b/>
          <w:bCs/>
          <w:sz w:val="18"/>
          <w:szCs w:val="18"/>
        </w:rPr>
        <w:t>Is Nederlandse steun in welke vorm dan ook betrokken bij het onlangs gemelde corruptieschandaal in Oekraïne of eerder betrokken geweest bij corruptie in Oekraïne op welk niveau dan ook?</w:t>
      </w:r>
    </w:p>
    <w:p w:rsidRPr="00E45DB2" w:rsidR="00531406" w:rsidP="00531406" w:rsidRDefault="00531406" w14:paraId="62D8B085" w14:textId="77777777">
      <w:pPr>
        <w:spacing w:line="240" w:lineRule="exact"/>
        <w:rPr>
          <w:rFonts w:ascii="Verdana" w:hAnsi="Verdana"/>
          <w:sz w:val="18"/>
          <w:szCs w:val="18"/>
        </w:rPr>
      </w:pPr>
      <w:r w:rsidRPr="00E45DB2">
        <w:rPr>
          <w:rFonts w:ascii="Verdana" w:hAnsi="Verdana"/>
          <w:sz w:val="18"/>
          <w:szCs w:val="18"/>
        </w:rPr>
        <w:t xml:space="preserve">Op dit moment zijn er </w:t>
      </w:r>
      <w:r>
        <w:rPr>
          <w:rFonts w:ascii="Verdana" w:hAnsi="Verdana"/>
          <w:sz w:val="18"/>
          <w:szCs w:val="18"/>
        </w:rPr>
        <w:t xml:space="preserve">geen indicaties dat met Nederlandse steun </w:t>
      </w:r>
      <w:r w:rsidRPr="00E45DB2">
        <w:rPr>
          <w:rFonts w:ascii="Verdana" w:hAnsi="Verdana"/>
          <w:sz w:val="18"/>
          <w:szCs w:val="18"/>
        </w:rPr>
        <w:t xml:space="preserve">malversaties zouden hebben plaatsgevonden. </w:t>
      </w:r>
      <w:r w:rsidRPr="00B7180B">
        <w:rPr>
          <w:rFonts w:ascii="Verdana" w:hAnsi="Verdana"/>
          <w:sz w:val="18"/>
          <w:szCs w:val="18"/>
        </w:rPr>
        <w:t xml:space="preserve">Nederland heeft geen bijdrages gedaan aan het Oekraïense staatsenergiebedrijf </w:t>
      </w:r>
      <w:proofErr w:type="spellStart"/>
      <w:r w:rsidRPr="00B7180B">
        <w:rPr>
          <w:rFonts w:ascii="Verdana" w:hAnsi="Verdana"/>
          <w:sz w:val="18"/>
          <w:szCs w:val="18"/>
        </w:rPr>
        <w:t>Energoatom</w:t>
      </w:r>
      <w:proofErr w:type="spellEnd"/>
      <w:r w:rsidRPr="00B7180B">
        <w:rPr>
          <w:rFonts w:ascii="Verdana" w:hAnsi="Verdana"/>
          <w:sz w:val="18"/>
          <w:szCs w:val="18"/>
        </w:rPr>
        <w:t xml:space="preserve">. </w:t>
      </w:r>
      <w:r w:rsidRPr="00E45DB2">
        <w:rPr>
          <w:rFonts w:ascii="Verdana" w:hAnsi="Verdana"/>
          <w:sz w:val="18"/>
          <w:szCs w:val="18"/>
        </w:rPr>
        <w:t xml:space="preserve">Het grootste deel van de Nederlandse energiesteun aan Oekraïne loopt via internationale instellingen, zoals de Wereldbank en de EBRD. Deze banken hebben langjarige ervaring met het verlenen van steun en hebben sterke controlemechanismen om corruptie te voorkomen. Nederland ondersteunt Oekraïne actief bij het versterken van anti-corruptie-instanties, zowel bilateraal als in Europees verband. </w:t>
      </w:r>
    </w:p>
    <w:bookmarkEnd w:id="3"/>
    <w:p w:rsidR="00531406" w:rsidP="00531406" w:rsidRDefault="00531406" w14:paraId="2DF8DC7F" w14:textId="77777777">
      <w:pPr>
        <w:rPr>
          <w:rFonts w:ascii="Verdana" w:hAnsi="Verdana"/>
          <w:b/>
          <w:bCs/>
          <w:sz w:val="18"/>
          <w:szCs w:val="18"/>
        </w:rPr>
      </w:pPr>
      <w:r>
        <w:rPr>
          <w:rFonts w:ascii="Verdana" w:hAnsi="Verdana"/>
          <w:b/>
          <w:bCs/>
          <w:sz w:val="18"/>
          <w:szCs w:val="18"/>
        </w:rPr>
        <w:br w:type="page"/>
      </w:r>
    </w:p>
    <w:p w:rsidR="00531406" w:rsidP="00531406" w:rsidRDefault="00531406" w14:paraId="3F2FC97B" w14:textId="77777777">
      <w:pPr>
        <w:numPr>
          <w:ilvl w:val="0"/>
          <w:numId w:val="1"/>
        </w:numPr>
        <w:spacing w:line="240" w:lineRule="exact"/>
        <w:rPr>
          <w:rFonts w:ascii="Verdana" w:hAnsi="Verdana"/>
          <w:sz w:val="18"/>
          <w:szCs w:val="18"/>
        </w:rPr>
      </w:pPr>
      <w:r w:rsidRPr="00800008">
        <w:rPr>
          <w:rFonts w:ascii="Verdana" w:hAnsi="Verdana"/>
          <w:b/>
          <w:bCs/>
          <w:sz w:val="18"/>
          <w:szCs w:val="18"/>
        </w:rPr>
        <w:lastRenderedPageBreak/>
        <w:t>Welke garanties heeft het kabinet dat Nederlandse steun doelmatig wordt besteed?</w:t>
      </w:r>
    </w:p>
    <w:p w:rsidRPr="00E45DB2" w:rsidR="00531406" w:rsidP="00531406" w:rsidRDefault="00531406" w14:paraId="27514941" w14:textId="77777777">
      <w:pPr>
        <w:spacing w:line="240" w:lineRule="exact"/>
        <w:rPr>
          <w:rFonts w:ascii="Verdana" w:hAnsi="Verdana"/>
          <w:sz w:val="18"/>
          <w:szCs w:val="18"/>
        </w:rPr>
      </w:pPr>
      <w:r w:rsidRPr="00E45DB2">
        <w:rPr>
          <w:rFonts w:ascii="Verdana" w:hAnsi="Verdana"/>
          <w:sz w:val="18"/>
          <w:szCs w:val="18"/>
        </w:rPr>
        <w:t xml:space="preserve">De Nederlandse procedures en </w:t>
      </w:r>
      <w:proofErr w:type="spellStart"/>
      <w:r w:rsidRPr="00E45DB2">
        <w:rPr>
          <w:rFonts w:ascii="Verdana" w:hAnsi="Verdana"/>
          <w:sz w:val="18"/>
          <w:szCs w:val="18"/>
        </w:rPr>
        <w:t>auditing</w:t>
      </w:r>
      <w:proofErr w:type="spellEnd"/>
      <w:r w:rsidRPr="00E45DB2">
        <w:rPr>
          <w:rFonts w:ascii="Verdana" w:hAnsi="Verdana"/>
          <w:sz w:val="18"/>
          <w:szCs w:val="18"/>
        </w:rPr>
        <w:t xml:space="preserve"> regels zien toe op de rechtmatige en doelmatige besteding van de beschikbaar gestelde middelen voor steun aan Oekraïne. </w:t>
      </w:r>
    </w:p>
    <w:p w:rsidRPr="00E45DB2" w:rsidR="00531406" w:rsidP="00531406" w:rsidRDefault="00531406" w14:paraId="747406B8" w14:textId="77777777">
      <w:pPr>
        <w:spacing w:line="240" w:lineRule="exact"/>
        <w:rPr>
          <w:rFonts w:ascii="Verdana" w:hAnsi="Verdana"/>
          <w:sz w:val="18"/>
          <w:szCs w:val="18"/>
        </w:rPr>
      </w:pPr>
      <w:r w:rsidRPr="00E45DB2">
        <w:rPr>
          <w:rFonts w:ascii="Verdana" w:hAnsi="Verdana"/>
          <w:sz w:val="18"/>
          <w:szCs w:val="18"/>
        </w:rPr>
        <w:t xml:space="preserve">Het toetsen van militaire doelmatigheid vindt plaats aan de voorkant, waarbij de behoefte vanuit Oekraïne (centraal gecoördineerd door </w:t>
      </w:r>
      <w:r w:rsidRPr="007D1FF5">
        <w:rPr>
          <w:rFonts w:ascii="Verdana" w:hAnsi="Verdana"/>
          <w:i/>
          <w:iCs/>
          <w:sz w:val="18"/>
          <w:szCs w:val="18"/>
        </w:rPr>
        <w:t xml:space="preserve">NATO Security Assistance </w:t>
      </w:r>
      <w:proofErr w:type="spellStart"/>
      <w:r w:rsidRPr="007D1FF5">
        <w:rPr>
          <w:rFonts w:ascii="Verdana" w:hAnsi="Verdana"/>
          <w:i/>
          <w:iCs/>
          <w:sz w:val="18"/>
          <w:szCs w:val="18"/>
        </w:rPr>
        <w:t>and</w:t>
      </w:r>
      <w:proofErr w:type="spellEnd"/>
      <w:r w:rsidRPr="007D1FF5">
        <w:rPr>
          <w:rFonts w:ascii="Verdana" w:hAnsi="Verdana"/>
          <w:i/>
          <w:iCs/>
          <w:sz w:val="18"/>
          <w:szCs w:val="18"/>
        </w:rPr>
        <w:t xml:space="preserve"> Training </w:t>
      </w:r>
      <w:proofErr w:type="spellStart"/>
      <w:r w:rsidRPr="007D1FF5">
        <w:rPr>
          <w:rFonts w:ascii="Verdana" w:hAnsi="Verdana"/>
          <w:i/>
          <w:iCs/>
          <w:sz w:val="18"/>
          <w:szCs w:val="18"/>
        </w:rPr>
        <w:t>for</w:t>
      </w:r>
      <w:proofErr w:type="spellEnd"/>
      <w:r w:rsidRPr="007D1FF5">
        <w:rPr>
          <w:rFonts w:ascii="Verdana" w:hAnsi="Verdana"/>
          <w:i/>
          <w:iCs/>
          <w:sz w:val="18"/>
          <w:szCs w:val="18"/>
        </w:rPr>
        <w:t xml:space="preserve"> Ukraine</w:t>
      </w:r>
      <w:r>
        <w:rPr>
          <w:rFonts w:ascii="Verdana" w:hAnsi="Verdana"/>
          <w:sz w:val="18"/>
          <w:szCs w:val="18"/>
        </w:rPr>
        <w:t xml:space="preserve"> (</w:t>
      </w:r>
      <w:r w:rsidRPr="00E45DB2">
        <w:rPr>
          <w:rFonts w:ascii="Verdana" w:hAnsi="Verdana"/>
          <w:sz w:val="18"/>
          <w:szCs w:val="18"/>
        </w:rPr>
        <w:t>NSATU)</w:t>
      </w:r>
      <w:r>
        <w:rPr>
          <w:rFonts w:ascii="Verdana" w:hAnsi="Verdana"/>
          <w:sz w:val="18"/>
          <w:szCs w:val="18"/>
        </w:rPr>
        <w:t>)</w:t>
      </w:r>
      <w:r w:rsidRPr="00E45DB2">
        <w:rPr>
          <w:rFonts w:ascii="Verdana" w:hAnsi="Verdana"/>
          <w:sz w:val="18"/>
          <w:szCs w:val="18"/>
        </w:rPr>
        <w:t xml:space="preserve"> al dan niet wordt </w:t>
      </w:r>
      <w:r>
        <w:rPr>
          <w:rFonts w:ascii="Verdana" w:hAnsi="Verdana"/>
          <w:sz w:val="18"/>
          <w:szCs w:val="18"/>
        </w:rPr>
        <w:t>gekoppeld</w:t>
      </w:r>
      <w:r w:rsidRPr="00E45DB2">
        <w:rPr>
          <w:rFonts w:ascii="Verdana" w:hAnsi="Verdana"/>
          <w:sz w:val="18"/>
          <w:szCs w:val="18"/>
        </w:rPr>
        <w:t xml:space="preserve"> aan </w:t>
      </w:r>
      <w:r>
        <w:rPr>
          <w:rFonts w:ascii="Verdana" w:hAnsi="Verdana"/>
          <w:sz w:val="18"/>
          <w:szCs w:val="18"/>
        </w:rPr>
        <w:t xml:space="preserve">het </w:t>
      </w:r>
      <w:r w:rsidRPr="00E45DB2">
        <w:rPr>
          <w:rFonts w:ascii="Verdana" w:hAnsi="Verdana"/>
          <w:sz w:val="18"/>
          <w:szCs w:val="18"/>
        </w:rPr>
        <w:t xml:space="preserve">aanbod. Dit kan commercieel of eigen voorraad betreffen. De informatie over doelmatigheid van het militair vermogen komt terug via NSATU en Oekraïne. </w:t>
      </w:r>
    </w:p>
    <w:p w:rsidR="00531406" w:rsidP="00531406" w:rsidRDefault="00531406" w14:paraId="2232C552" w14:textId="77777777">
      <w:pPr>
        <w:numPr>
          <w:ilvl w:val="0"/>
          <w:numId w:val="1"/>
        </w:numPr>
        <w:spacing w:line="240" w:lineRule="exact"/>
        <w:rPr>
          <w:rFonts w:ascii="Verdana" w:hAnsi="Verdana"/>
          <w:b/>
          <w:bCs/>
          <w:sz w:val="18"/>
          <w:szCs w:val="18"/>
        </w:rPr>
      </w:pPr>
      <w:r w:rsidRPr="00800008">
        <w:rPr>
          <w:rFonts w:ascii="Verdana" w:hAnsi="Verdana"/>
          <w:b/>
          <w:bCs/>
          <w:sz w:val="18"/>
          <w:szCs w:val="18"/>
        </w:rPr>
        <w:t>Welke controlemechanismen heeft de Nederlandse regering tot haar beschikking om na te gaan of Nederlandse steun voldoende doelmatig wordt besteed?</w:t>
      </w:r>
    </w:p>
    <w:p w:rsidRPr="00031132" w:rsidR="00531406" w:rsidP="00531406" w:rsidRDefault="00531406" w14:paraId="10C893AA" w14:textId="77777777">
      <w:pPr>
        <w:spacing w:line="240" w:lineRule="exact"/>
        <w:rPr>
          <w:rFonts w:ascii="Verdana" w:hAnsi="Verdana"/>
          <w:sz w:val="18"/>
          <w:szCs w:val="18"/>
        </w:rPr>
      </w:pPr>
      <w:r>
        <w:rPr>
          <w:rFonts w:ascii="Verdana" w:hAnsi="Verdana"/>
          <w:sz w:val="18"/>
          <w:szCs w:val="18"/>
        </w:rPr>
        <w:t xml:space="preserve">Directe aanschaf in Oekraïne gebeurt </w:t>
      </w:r>
      <w:r w:rsidRPr="00031132">
        <w:rPr>
          <w:rFonts w:ascii="Verdana" w:hAnsi="Verdana"/>
          <w:sz w:val="18"/>
          <w:szCs w:val="18"/>
        </w:rPr>
        <w:t xml:space="preserve">op basis van het Nederlandse model. De Nederlandse procedure omvat een gegronde controle van elk bedrijf door de Audit Dienst Rijk (ADR). Deze regels en procedures nemen tijd in beslag en vereisen toegang tot informatie over bijvoorbeeld de prijsopbouw en winstmarges van de voorgenomen verwerving. Dit </w:t>
      </w:r>
      <w:proofErr w:type="spellStart"/>
      <w:r w:rsidRPr="00031132">
        <w:rPr>
          <w:rFonts w:ascii="Verdana" w:hAnsi="Verdana"/>
          <w:i/>
          <w:sz w:val="18"/>
          <w:szCs w:val="18"/>
        </w:rPr>
        <w:t>Government</w:t>
      </w:r>
      <w:proofErr w:type="spellEnd"/>
      <w:r w:rsidRPr="00031132">
        <w:rPr>
          <w:rFonts w:ascii="Verdana" w:hAnsi="Verdana"/>
          <w:i/>
          <w:sz w:val="18"/>
          <w:szCs w:val="18"/>
        </w:rPr>
        <w:t xml:space="preserve"> </w:t>
      </w:r>
      <w:proofErr w:type="spellStart"/>
      <w:r w:rsidRPr="00031132">
        <w:rPr>
          <w:rFonts w:ascii="Verdana" w:hAnsi="Verdana"/>
          <w:i/>
          <w:sz w:val="18"/>
          <w:szCs w:val="18"/>
        </w:rPr>
        <w:t>to</w:t>
      </w:r>
      <w:proofErr w:type="spellEnd"/>
      <w:r w:rsidRPr="00031132">
        <w:rPr>
          <w:rFonts w:ascii="Verdana" w:hAnsi="Verdana"/>
          <w:i/>
          <w:sz w:val="18"/>
          <w:szCs w:val="18"/>
        </w:rPr>
        <w:t xml:space="preserve"> </w:t>
      </w:r>
      <w:proofErr w:type="spellStart"/>
      <w:r w:rsidRPr="00031132">
        <w:rPr>
          <w:rFonts w:ascii="Verdana" w:hAnsi="Verdana"/>
          <w:i/>
          <w:sz w:val="18"/>
          <w:szCs w:val="18"/>
        </w:rPr>
        <w:t>Business</w:t>
      </w:r>
      <w:r>
        <w:rPr>
          <w:rFonts w:ascii="Verdana" w:hAnsi="Verdana"/>
          <w:sz w:val="18"/>
          <w:szCs w:val="18"/>
        </w:rPr>
        <w:t>-</w:t>
      </w:r>
      <w:r w:rsidRPr="00031132">
        <w:rPr>
          <w:rFonts w:ascii="Verdana" w:hAnsi="Verdana"/>
          <w:sz w:val="18"/>
          <w:szCs w:val="18"/>
        </w:rPr>
        <w:t>model</w:t>
      </w:r>
      <w:proofErr w:type="spellEnd"/>
      <w:r w:rsidRPr="00031132">
        <w:rPr>
          <w:rFonts w:ascii="Verdana" w:hAnsi="Verdana"/>
          <w:sz w:val="18"/>
          <w:szCs w:val="18"/>
        </w:rPr>
        <w:t xml:space="preserve"> zorgt ervoor dat er geen tussenkomst is van overheidsfunctionarissen bij de totstandkoming van contracten. Bij het Nederlandse model van directe samenwerking met de Oekraïense industrie, is Nederland zelf verantwoordelijk voor het uitonderhandelen en overeenkomen van een contract met een Oekraïense leverancier. Er zijn ook samenwerkingsovereenkomsten met NATO-</w:t>
      </w:r>
      <w:proofErr w:type="spellStart"/>
      <w:r w:rsidRPr="00031132">
        <w:rPr>
          <w:rFonts w:ascii="Verdana" w:hAnsi="Verdana"/>
          <w:i/>
          <w:sz w:val="18"/>
          <w:szCs w:val="18"/>
        </w:rPr>
        <w:t>trusted</w:t>
      </w:r>
      <w:proofErr w:type="spellEnd"/>
      <w:r w:rsidRPr="00031132">
        <w:rPr>
          <w:rFonts w:ascii="Verdana" w:hAnsi="Verdana"/>
          <w:i/>
          <w:sz w:val="18"/>
          <w:szCs w:val="18"/>
        </w:rPr>
        <w:t xml:space="preserve"> partners</w:t>
      </w:r>
      <w:r w:rsidRPr="00031132">
        <w:rPr>
          <w:rFonts w:ascii="Verdana" w:hAnsi="Verdana"/>
          <w:sz w:val="18"/>
          <w:szCs w:val="18"/>
        </w:rPr>
        <w:t xml:space="preserve"> waarbij het partnerland de verwerving doet</w:t>
      </w:r>
      <w:r>
        <w:rPr>
          <w:rFonts w:ascii="Verdana" w:hAnsi="Verdana"/>
          <w:sz w:val="18"/>
          <w:szCs w:val="18"/>
        </w:rPr>
        <w:t>; Nederland vertrouwt in dat geval op de procedures van bondgenoten.</w:t>
      </w:r>
    </w:p>
    <w:p w:rsidR="00531406" w:rsidP="00531406" w:rsidRDefault="00531406" w14:paraId="79D58F0F" w14:textId="77777777">
      <w:pPr>
        <w:spacing w:line="240" w:lineRule="exact"/>
        <w:rPr>
          <w:rFonts w:ascii="Verdana" w:hAnsi="Verdana"/>
          <w:sz w:val="18"/>
          <w:szCs w:val="18"/>
        </w:rPr>
      </w:pPr>
      <w:r w:rsidRPr="00031132">
        <w:rPr>
          <w:rFonts w:ascii="Verdana" w:hAnsi="Verdana"/>
          <w:sz w:val="18"/>
          <w:szCs w:val="18"/>
        </w:rPr>
        <w:t>De Nederlandse niet-militaire steun loopt voor het grootste deel via de internationale financiële instellingen, zoals de Wereldbank en de EBRD. Deze banken hebben ervaring met steunprogramma’s in Oekraïne en passen audit- en controlemechanismen toe om corruptie zoveel mogelijk te voorkomen. Daarnaast loopt een deel van de Nederlandse bijdragen via de EU en VN-organisaties, die alle bijdragen toetsen op risico’s rondom fraude en corruptie. In geval van bilaterale steunprogramma’s wordt gewerkt met Nederlandse uitvoerende organisaties met een bewezen track record. Bij nieuwe bijdragen doorlopen uitvoerende organisaties een integriteitsanalyse en is er op reguliere basis contact over de stand van zaken m.b.t. hun werkzaamheden in Oekraïne.</w:t>
      </w:r>
    </w:p>
    <w:p w:rsidRPr="00031132" w:rsidR="00531406" w:rsidP="00531406" w:rsidRDefault="00531406" w14:paraId="10DE3C65" w14:textId="77777777">
      <w:pPr>
        <w:pStyle w:val="Lijstalinea"/>
        <w:numPr>
          <w:ilvl w:val="0"/>
          <w:numId w:val="1"/>
        </w:numPr>
        <w:spacing w:line="240" w:lineRule="exact"/>
        <w:rPr>
          <w:rFonts w:ascii="Verdana" w:hAnsi="Verdana"/>
          <w:b/>
          <w:bCs/>
          <w:sz w:val="18"/>
          <w:szCs w:val="18"/>
        </w:rPr>
      </w:pPr>
      <w:r w:rsidRPr="00031132">
        <w:rPr>
          <w:rFonts w:ascii="Verdana" w:hAnsi="Verdana"/>
          <w:b/>
          <w:bCs/>
          <w:sz w:val="18"/>
          <w:szCs w:val="18"/>
        </w:rPr>
        <w:t>Kunt u deze vragen vóór het plenaire debat over de Europese top van 18 en 19 december beantwoorden?</w:t>
      </w:r>
    </w:p>
    <w:p w:rsidRPr="005369EC" w:rsidR="00531406" w:rsidP="00531406" w:rsidRDefault="00531406" w14:paraId="38BFB19A" w14:textId="77777777">
      <w:pPr>
        <w:spacing w:line="240" w:lineRule="exact"/>
        <w:rPr>
          <w:rFonts w:ascii="Verdana" w:hAnsi="Verdana"/>
          <w:sz w:val="18"/>
          <w:szCs w:val="18"/>
        </w:rPr>
      </w:pPr>
      <w:r w:rsidRPr="005369EC">
        <w:rPr>
          <w:rFonts w:ascii="Verdana" w:hAnsi="Verdana"/>
          <w:sz w:val="18"/>
          <w:szCs w:val="18"/>
        </w:rPr>
        <w:t>Ja</w:t>
      </w:r>
      <w:r>
        <w:rPr>
          <w:rFonts w:ascii="Verdana" w:hAnsi="Verdana"/>
          <w:sz w:val="18"/>
          <w:szCs w:val="18"/>
        </w:rPr>
        <w:t>.</w:t>
      </w:r>
    </w:p>
    <w:p w:rsidRPr="004D49B0" w:rsidR="00531406" w:rsidP="00531406" w:rsidRDefault="00531406" w14:paraId="2D0D42A7" w14:textId="77777777"/>
    <w:p w:rsidR="00767236" w:rsidRDefault="00767236" w14:paraId="70C2D51C" w14:textId="77777777"/>
    <w:sectPr w:rsidR="0076723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D237D" w14:textId="77777777" w:rsidR="00531406" w:rsidRDefault="00531406" w:rsidP="00531406">
      <w:pPr>
        <w:spacing w:after="0" w:line="240" w:lineRule="auto"/>
      </w:pPr>
      <w:r>
        <w:separator/>
      </w:r>
    </w:p>
  </w:endnote>
  <w:endnote w:type="continuationSeparator" w:id="0">
    <w:p w14:paraId="3D10273C" w14:textId="77777777" w:rsidR="00531406" w:rsidRDefault="00531406" w:rsidP="0053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A5E3" w14:textId="77777777" w:rsidR="00531406" w:rsidRPr="00531406" w:rsidRDefault="00531406" w:rsidP="005314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3B9F" w14:textId="77777777" w:rsidR="00531406" w:rsidRPr="00531406" w:rsidRDefault="00531406" w:rsidP="005314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754C" w14:textId="77777777" w:rsidR="00531406" w:rsidRPr="00531406" w:rsidRDefault="00531406" w:rsidP="005314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FDB4" w14:textId="77777777" w:rsidR="00531406" w:rsidRDefault="00531406" w:rsidP="00531406">
      <w:pPr>
        <w:spacing w:after="0" w:line="240" w:lineRule="auto"/>
      </w:pPr>
      <w:r>
        <w:separator/>
      </w:r>
    </w:p>
  </w:footnote>
  <w:footnote w:type="continuationSeparator" w:id="0">
    <w:p w14:paraId="3E2F281A" w14:textId="77777777" w:rsidR="00531406" w:rsidRDefault="00531406" w:rsidP="00531406">
      <w:pPr>
        <w:spacing w:after="0" w:line="240" w:lineRule="auto"/>
      </w:pPr>
      <w:r>
        <w:continuationSeparator/>
      </w:r>
    </w:p>
  </w:footnote>
  <w:footnote w:id="1">
    <w:p w14:paraId="5FC9B6BC" w14:textId="77777777" w:rsidR="00531406" w:rsidRPr="002B7857" w:rsidRDefault="00531406" w:rsidP="00531406">
      <w:pPr>
        <w:pStyle w:val="Voetnoottekst"/>
        <w:rPr>
          <w:rFonts w:ascii="Verdana" w:hAnsi="Verdana"/>
          <w:sz w:val="16"/>
          <w:szCs w:val="16"/>
        </w:rPr>
      </w:pPr>
      <w:r w:rsidRPr="002B7857">
        <w:rPr>
          <w:rStyle w:val="Voetnootmarkering"/>
          <w:rFonts w:ascii="Verdana" w:hAnsi="Verdana"/>
          <w:sz w:val="16"/>
          <w:szCs w:val="16"/>
        </w:rPr>
        <w:footnoteRef/>
      </w:r>
      <w:r w:rsidRPr="002B7857">
        <w:rPr>
          <w:rFonts w:ascii="Verdana" w:hAnsi="Verdana"/>
          <w:sz w:val="16"/>
          <w:szCs w:val="16"/>
        </w:rPr>
        <w:t xml:space="preserve"> NOS, 8 december 2025, Kabinet trekt toch 700 miljoen euro extra uit voor Oekraïne, (https://nos.nl/artikel/2593687-kabinet-trekt-toch-700-miljoen-euro-extra-uit-voor-oekraine)</w:t>
      </w:r>
    </w:p>
  </w:footnote>
  <w:footnote w:id="2">
    <w:p w14:paraId="58742C14" w14:textId="77777777" w:rsidR="00531406" w:rsidRPr="002B7857" w:rsidRDefault="00531406" w:rsidP="00531406">
      <w:pPr>
        <w:pStyle w:val="Voetnoottekst"/>
        <w:rPr>
          <w:rFonts w:ascii="Verdana" w:hAnsi="Verdana"/>
          <w:sz w:val="16"/>
          <w:szCs w:val="16"/>
        </w:rPr>
      </w:pPr>
      <w:r w:rsidRPr="008744B8">
        <w:rPr>
          <w:rStyle w:val="Voetnootmarkering"/>
          <w:rFonts w:ascii="Verdana" w:hAnsi="Verdana"/>
          <w:sz w:val="16"/>
          <w:szCs w:val="16"/>
        </w:rPr>
        <w:footnoteRef/>
      </w:r>
      <w:r w:rsidRPr="008744B8">
        <w:rPr>
          <w:rFonts w:ascii="Verdana" w:hAnsi="Verdana"/>
        </w:rPr>
        <w:t xml:space="preserve"> </w:t>
      </w:r>
      <w:r w:rsidRPr="002B7857">
        <w:rPr>
          <w:rFonts w:ascii="Verdana" w:hAnsi="Verdana"/>
          <w:sz w:val="16"/>
          <w:szCs w:val="16"/>
        </w:rPr>
        <w:t>Kamerstukken II, 2025/26, 22054, nr. 463</w:t>
      </w:r>
    </w:p>
  </w:footnote>
  <w:footnote w:id="3">
    <w:p w14:paraId="7BCBD6AD" w14:textId="77777777" w:rsidR="00531406" w:rsidRPr="002B7857" w:rsidRDefault="00531406" w:rsidP="00531406">
      <w:pPr>
        <w:pStyle w:val="Voetnoottekst"/>
        <w:rPr>
          <w:rFonts w:ascii="Verdana" w:hAnsi="Verdana"/>
          <w:sz w:val="16"/>
          <w:szCs w:val="16"/>
        </w:rPr>
      </w:pPr>
      <w:r w:rsidRPr="002B7857">
        <w:rPr>
          <w:rStyle w:val="Voetnootmarkering"/>
          <w:rFonts w:ascii="Verdana" w:hAnsi="Verdana"/>
          <w:sz w:val="16"/>
          <w:szCs w:val="16"/>
        </w:rPr>
        <w:footnoteRef/>
      </w:r>
      <w:r w:rsidRPr="002B7857">
        <w:rPr>
          <w:rFonts w:ascii="Verdana" w:hAnsi="Verdana"/>
          <w:sz w:val="16"/>
          <w:szCs w:val="16"/>
        </w:rPr>
        <w:t xml:space="preserve"> Kamerstukken II, 2025/26, 36 045, nr. 243</w:t>
      </w:r>
    </w:p>
  </w:footnote>
  <w:footnote w:id="4">
    <w:p w14:paraId="55F79BC3" w14:textId="77777777" w:rsidR="00531406" w:rsidRDefault="00531406" w:rsidP="00531406">
      <w:pPr>
        <w:pStyle w:val="Voetnoottekst"/>
      </w:pPr>
      <w:r w:rsidRPr="008744B8">
        <w:rPr>
          <w:rStyle w:val="Voetnootmarkering"/>
          <w:rFonts w:ascii="Verdana" w:hAnsi="Verdana"/>
          <w:sz w:val="16"/>
          <w:szCs w:val="16"/>
        </w:rPr>
        <w:footnoteRef/>
      </w:r>
      <w:r w:rsidRPr="008744B8">
        <w:rPr>
          <w:rFonts w:ascii="Verdana" w:hAnsi="Verdana"/>
        </w:rPr>
        <w:t xml:space="preserve"> </w:t>
      </w:r>
      <w:r w:rsidRPr="002B7857">
        <w:rPr>
          <w:rFonts w:ascii="Verdana" w:hAnsi="Verdana"/>
          <w:sz w:val="16"/>
          <w:szCs w:val="16"/>
        </w:rPr>
        <w:t xml:space="preserve">De getoonde reeks voor militaire steun wijkt enigszins af t.o.v. de laatste update Kamerbrief leveringen aan Oekraïne. Waar de Kamerbrief kijkt naar leveringen uit eigen voorraad, ziet deze reeks op netto-kasuitgaven in de begroting. De bedragen aan militaire steun in de tabel hebben vanaf 2028 </w:t>
      </w:r>
      <w:r>
        <w:rPr>
          <w:rFonts w:ascii="Verdana" w:hAnsi="Verdana"/>
          <w:sz w:val="16"/>
          <w:szCs w:val="16"/>
        </w:rPr>
        <w:t xml:space="preserve">volledig </w:t>
      </w:r>
      <w:r w:rsidRPr="002B7857">
        <w:rPr>
          <w:rFonts w:ascii="Verdana" w:hAnsi="Verdana"/>
          <w:sz w:val="16"/>
          <w:szCs w:val="16"/>
        </w:rPr>
        <w:t>betrekking op compensatie voor in het verleden geleverd materieel uit eigen voorraad. Door deze compensatie kan dit materieel worden vervangen ten bate van de eigen krijgsmacht.</w:t>
      </w:r>
    </w:p>
  </w:footnote>
  <w:footnote w:id="5">
    <w:p w14:paraId="171F7DDB" w14:textId="77777777" w:rsidR="00531406" w:rsidRPr="00C47CF7" w:rsidRDefault="00531406" w:rsidP="00531406">
      <w:pPr>
        <w:pStyle w:val="Voetnoottekst"/>
        <w:rPr>
          <w:rFonts w:ascii="Verdana" w:hAnsi="Verdana"/>
        </w:rPr>
      </w:pPr>
      <w:r w:rsidRPr="00C47CF7">
        <w:rPr>
          <w:rStyle w:val="Voetnootmarkering"/>
          <w:rFonts w:ascii="Verdana" w:hAnsi="Verdana"/>
          <w:sz w:val="16"/>
          <w:szCs w:val="16"/>
        </w:rPr>
        <w:footnoteRef/>
      </w:r>
      <w:r w:rsidRPr="00C47CF7">
        <w:rPr>
          <w:rFonts w:ascii="Verdana" w:hAnsi="Verdana"/>
          <w:sz w:val="16"/>
          <w:szCs w:val="16"/>
        </w:rPr>
        <w:t xml:space="preserve"> Kamerstukken II 2021/22, 36</w:t>
      </w:r>
      <w:r>
        <w:rPr>
          <w:rFonts w:ascii="Verdana" w:hAnsi="Verdana"/>
          <w:sz w:val="16"/>
          <w:szCs w:val="16"/>
        </w:rPr>
        <w:t xml:space="preserve"> </w:t>
      </w:r>
      <w:r w:rsidRPr="00C47CF7">
        <w:rPr>
          <w:rFonts w:ascii="Verdana" w:hAnsi="Verdana"/>
          <w:sz w:val="16"/>
          <w:szCs w:val="16"/>
        </w:rPr>
        <w:t>182, nr. 6</w:t>
      </w:r>
    </w:p>
  </w:footnote>
  <w:footnote w:id="6">
    <w:p w14:paraId="2E2BF142" w14:textId="77777777" w:rsidR="00531406" w:rsidRPr="00CE18AA" w:rsidRDefault="00531406" w:rsidP="00531406">
      <w:pPr>
        <w:pStyle w:val="Voetnoottekst"/>
        <w:rPr>
          <w:rFonts w:ascii="Verdana" w:hAnsi="Verdana"/>
          <w:sz w:val="16"/>
          <w:szCs w:val="16"/>
        </w:rPr>
      </w:pPr>
      <w:r w:rsidRPr="00CE18AA">
        <w:rPr>
          <w:rStyle w:val="Voetnootmarkering"/>
          <w:rFonts w:ascii="Verdana" w:hAnsi="Verdana"/>
          <w:sz w:val="16"/>
          <w:szCs w:val="16"/>
        </w:rPr>
        <w:footnoteRef/>
      </w:r>
      <w:r w:rsidRPr="00CE18AA">
        <w:rPr>
          <w:rFonts w:ascii="Verdana" w:hAnsi="Verdana"/>
          <w:sz w:val="16"/>
          <w:szCs w:val="16"/>
        </w:rPr>
        <w:t xml:space="preserve"> Kamerstukken II, 2025/26, 36 045, nr. 2</w:t>
      </w:r>
      <w:r>
        <w:rPr>
          <w:rFonts w:ascii="Verdana" w:hAnsi="Verdana"/>
          <w:sz w:val="16"/>
          <w:szCs w:val="16"/>
        </w:rPr>
        <w:t>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0971" w14:textId="77777777" w:rsidR="00531406" w:rsidRPr="00531406" w:rsidRDefault="00531406" w:rsidP="005314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86D4" w14:textId="77777777" w:rsidR="00531406" w:rsidRPr="00531406" w:rsidRDefault="00531406" w:rsidP="005314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296A" w14:textId="77777777" w:rsidR="00531406" w:rsidRPr="00531406" w:rsidRDefault="00531406" w:rsidP="005314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768A1"/>
    <w:multiLevelType w:val="hybridMultilevel"/>
    <w:tmpl w:val="13E208F0"/>
    <w:lvl w:ilvl="0" w:tplc="4822A718">
      <w:start w:val="1"/>
      <w:numFmt w:val="decimal"/>
      <w:lvlText w:val="%1."/>
      <w:lvlJc w:val="left"/>
      <w:pPr>
        <w:ind w:left="360" w:hanging="360"/>
      </w:pPr>
      <w:rPr>
        <w:b/>
        <w:bCs/>
      </w:rPr>
    </w:lvl>
    <w:lvl w:ilvl="1" w:tplc="CAA499E6">
      <w:start w:val="1"/>
      <w:numFmt w:val="lowerLetter"/>
      <w:lvlText w:val="%2."/>
      <w:lvlJc w:val="left"/>
      <w:pPr>
        <w:ind w:left="1080" w:hanging="360"/>
      </w:pPr>
    </w:lvl>
    <w:lvl w:ilvl="2" w:tplc="7D76A9E0">
      <w:start w:val="1"/>
      <w:numFmt w:val="lowerRoman"/>
      <w:lvlText w:val="%3."/>
      <w:lvlJc w:val="right"/>
      <w:pPr>
        <w:ind w:left="1800" w:hanging="180"/>
      </w:pPr>
    </w:lvl>
    <w:lvl w:ilvl="3" w:tplc="6DF6D530">
      <w:start w:val="1"/>
      <w:numFmt w:val="decimal"/>
      <w:lvlText w:val="%4."/>
      <w:lvlJc w:val="left"/>
      <w:pPr>
        <w:ind w:left="2520" w:hanging="360"/>
      </w:pPr>
    </w:lvl>
    <w:lvl w:ilvl="4" w:tplc="177C5BCC">
      <w:start w:val="1"/>
      <w:numFmt w:val="lowerLetter"/>
      <w:lvlText w:val="%5."/>
      <w:lvlJc w:val="left"/>
      <w:pPr>
        <w:ind w:left="3240" w:hanging="360"/>
      </w:pPr>
    </w:lvl>
    <w:lvl w:ilvl="5" w:tplc="051C6CB4">
      <w:start w:val="1"/>
      <w:numFmt w:val="lowerRoman"/>
      <w:lvlText w:val="%6."/>
      <w:lvlJc w:val="right"/>
      <w:pPr>
        <w:ind w:left="3960" w:hanging="180"/>
      </w:pPr>
    </w:lvl>
    <w:lvl w:ilvl="6" w:tplc="D3B2ECD8">
      <w:start w:val="1"/>
      <w:numFmt w:val="decimal"/>
      <w:lvlText w:val="%7."/>
      <w:lvlJc w:val="left"/>
      <w:pPr>
        <w:ind w:left="4680" w:hanging="360"/>
      </w:pPr>
    </w:lvl>
    <w:lvl w:ilvl="7" w:tplc="9F1216FE">
      <w:start w:val="1"/>
      <w:numFmt w:val="lowerLetter"/>
      <w:lvlText w:val="%8."/>
      <w:lvlJc w:val="left"/>
      <w:pPr>
        <w:ind w:left="5400" w:hanging="360"/>
      </w:pPr>
    </w:lvl>
    <w:lvl w:ilvl="8" w:tplc="4FACE5D2">
      <w:start w:val="1"/>
      <w:numFmt w:val="lowerRoman"/>
      <w:lvlText w:val="%9."/>
      <w:lvlJc w:val="right"/>
      <w:pPr>
        <w:ind w:left="6120" w:hanging="180"/>
      </w:pPr>
    </w:lvl>
  </w:abstractNum>
  <w:abstractNum w:abstractNumId="1" w15:restartNumberingAfterBreak="0">
    <w:nsid w:val="3B59749F"/>
    <w:multiLevelType w:val="hybridMultilevel"/>
    <w:tmpl w:val="8FB6B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6245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7334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06"/>
    <w:rsid w:val="00531406"/>
    <w:rsid w:val="00767236"/>
    <w:rsid w:val="00AC17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26FA"/>
  <w15:chartTrackingRefBased/>
  <w15:docId w15:val="{3DD37001-A066-4385-9629-C545E96E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14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314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3140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3140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3140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314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14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14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14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140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3140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3140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3140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3140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314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14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14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1406"/>
    <w:rPr>
      <w:rFonts w:eastAsiaTheme="majorEastAsia" w:cstheme="majorBidi"/>
      <w:color w:val="272727" w:themeColor="text1" w:themeTint="D8"/>
    </w:rPr>
  </w:style>
  <w:style w:type="paragraph" w:styleId="Titel">
    <w:name w:val="Title"/>
    <w:basedOn w:val="Standaard"/>
    <w:next w:val="Standaard"/>
    <w:link w:val="TitelChar"/>
    <w:uiPriority w:val="10"/>
    <w:qFormat/>
    <w:rsid w:val="00531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14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14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14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14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1406"/>
    <w:rPr>
      <w:i/>
      <w:iCs/>
      <w:color w:val="404040" w:themeColor="text1" w:themeTint="BF"/>
    </w:rPr>
  </w:style>
  <w:style w:type="paragraph" w:styleId="Lijstalinea">
    <w:name w:val="List Paragraph"/>
    <w:basedOn w:val="Standaard"/>
    <w:uiPriority w:val="34"/>
    <w:qFormat/>
    <w:rsid w:val="00531406"/>
    <w:pPr>
      <w:ind w:left="720"/>
      <w:contextualSpacing/>
    </w:pPr>
  </w:style>
  <w:style w:type="character" w:styleId="Intensievebenadrukking">
    <w:name w:val="Intense Emphasis"/>
    <w:basedOn w:val="Standaardalinea-lettertype"/>
    <w:uiPriority w:val="21"/>
    <w:qFormat/>
    <w:rsid w:val="00531406"/>
    <w:rPr>
      <w:i/>
      <w:iCs/>
      <w:color w:val="2F5496" w:themeColor="accent1" w:themeShade="BF"/>
    </w:rPr>
  </w:style>
  <w:style w:type="paragraph" w:styleId="Duidelijkcitaat">
    <w:name w:val="Intense Quote"/>
    <w:basedOn w:val="Standaard"/>
    <w:next w:val="Standaard"/>
    <w:link w:val="DuidelijkcitaatChar"/>
    <w:uiPriority w:val="30"/>
    <w:qFormat/>
    <w:rsid w:val="00531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31406"/>
    <w:rPr>
      <w:i/>
      <w:iCs/>
      <w:color w:val="2F5496" w:themeColor="accent1" w:themeShade="BF"/>
    </w:rPr>
  </w:style>
  <w:style w:type="character" w:styleId="Intensieveverwijzing">
    <w:name w:val="Intense Reference"/>
    <w:basedOn w:val="Standaardalinea-lettertype"/>
    <w:uiPriority w:val="32"/>
    <w:qFormat/>
    <w:rsid w:val="00531406"/>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5314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31406"/>
    <w:rPr>
      <w:sz w:val="20"/>
      <w:szCs w:val="20"/>
    </w:rPr>
  </w:style>
  <w:style w:type="character" w:styleId="Voetnootmarkering">
    <w:name w:val="footnote reference"/>
    <w:basedOn w:val="Standaardalinea-lettertype"/>
    <w:uiPriority w:val="99"/>
    <w:semiHidden/>
    <w:unhideWhenUsed/>
    <w:rsid w:val="00531406"/>
    <w:rPr>
      <w:vertAlign w:val="superscript"/>
    </w:rPr>
  </w:style>
  <w:style w:type="table" w:styleId="Rastertabel1licht-Accent5">
    <w:name w:val="Grid Table 1 Light Accent 5"/>
    <w:basedOn w:val="Standaardtabel"/>
    <w:uiPriority w:val="46"/>
    <w:rsid w:val="0053140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5314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1406"/>
  </w:style>
  <w:style w:type="paragraph" w:styleId="Voettekst">
    <w:name w:val="footer"/>
    <w:basedOn w:val="Standaard"/>
    <w:link w:val="VoettekstChar"/>
    <w:uiPriority w:val="99"/>
    <w:unhideWhenUsed/>
    <w:rsid w:val="005314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1873</ap:Words>
  <ap:Characters>10302</ap:Characters>
  <ap:DocSecurity>0</ap:DocSecurity>
  <ap:Lines>85</ap:Lines>
  <ap:Paragraphs>24</ap:Paragraphs>
  <ap:ScaleCrop>false</ap:ScaleCrop>
  <ap:LinksUpToDate>false</ap:LinksUpToDate>
  <ap:CharactersWithSpaces>12151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2025-12-17T11:40:00.0000000Z</dcterms:created>
  <dcterms:modified xsi:type="dcterms:W3CDTF">2025-12-17T11:41:00.0000000Z</dcterms:modified>
  <version/>
  <category/>
</coreProperties>
</file>