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E79EE" w:rsidTr="00D9561B" w14:paraId="571A6547" w14:textId="77777777">
        <w:trPr>
          <w:trHeight w:val="1514"/>
        </w:trPr>
        <w:tc>
          <w:tcPr>
            <w:tcW w:w="7522" w:type="dxa"/>
            <w:tcBorders>
              <w:top w:val="nil"/>
              <w:left w:val="nil"/>
              <w:bottom w:val="nil"/>
              <w:right w:val="nil"/>
            </w:tcBorders>
            <w:tcMar>
              <w:left w:w="0" w:type="dxa"/>
              <w:right w:w="0" w:type="dxa"/>
            </w:tcMar>
          </w:tcPr>
          <w:p w:rsidR="00374412" w:rsidP="00D9561B" w:rsidRDefault="00173D5E" w14:paraId="36B15EF1" w14:textId="38E8EBCF">
            <w:r>
              <w:t>De v</w:t>
            </w:r>
            <w:r w:rsidR="008E3932">
              <w:t>oorzitter van de Tweede Kamer der Staten-Generaal</w:t>
            </w:r>
          </w:p>
          <w:p w:rsidR="00374412" w:rsidP="00D9561B" w:rsidRDefault="00173D5E" w14:paraId="4D9418AB" w14:textId="77777777">
            <w:r>
              <w:t>Postbus 20018</w:t>
            </w:r>
          </w:p>
          <w:p w:rsidR="008E3932" w:rsidP="00D9561B" w:rsidRDefault="00173D5E" w14:paraId="45833F2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E79EE" w:rsidTr="00FF66F9" w14:paraId="01DE237B" w14:textId="77777777">
        <w:trPr>
          <w:trHeight w:val="289" w:hRule="exact"/>
        </w:trPr>
        <w:tc>
          <w:tcPr>
            <w:tcW w:w="929" w:type="dxa"/>
          </w:tcPr>
          <w:p w:rsidRPr="00434042" w:rsidR="0005404B" w:rsidP="00FF66F9" w:rsidRDefault="00173D5E" w14:paraId="2AAC31C8" w14:textId="77777777">
            <w:pPr>
              <w:rPr>
                <w:lang w:eastAsia="en-US"/>
              </w:rPr>
            </w:pPr>
            <w:r>
              <w:rPr>
                <w:lang w:eastAsia="en-US"/>
              </w:rPr>
              <w:t>Datum</w:t>
            </w:r>
          </w:p>
        </w:tc>
        <w:tc>
          <w:tcPr>
            <w:tcW w:w="6581" w:type="dxa"/>
          </w:tcPr>
          <w:p w:rsidRPr="00434042" w:rsidR="0005404B" w:rsidP="00FF66F9" w:rsidRDefault="00021D8D" w14:paraId="2AFE8918" w14:textId="09DEB892">
            <w:pPr>
              <w:rPr>
                <w:lang w:eastAsia="en-US"/>
              </w:rPr>
            </w:pPr>
            <w:r>
              <w:rPr>
                <w:lang w:eastAsia="en-US"/>
              </w:rPr>
              <w:t>17 december 2025</w:t>
            </w:r>
          </w:p>
        </w:tc>
      </w:tr>
      <w:tr w:rsidR="00BE79EE" w:rsidTr="00FF66F9" w14:paraId="05E52A0F" w14:textId="77777777">
        <w:trPr>
          <w:trHeight w:val="368"/>
        </w:trPr>
        <w:tc>
          <w:tcPr>
            <w:tcW w:w="929" w:type="dxa"/>
          </w:tcPr>
          <w:p w:rsidR="0005404B" w:rsidP="00FF66F9" w:rsidRDefault="00173D5E" w14:paraId="4203DD48" w14:textId="77777777">
            <w:pPr>
              <w:rPr>
                <w:lang w:eastAsia="en-US"/>
              </w:rPr>
            </w:pPr>
            <w:r>
              <w:rPr>
                <w:lang w:eastAsia="en-US"/>
              </w:rPr>
              <w:t>Betreft</w:t>
            </w:r>
          </w:p>
        </w:tc>
        <w:tc>
          <w:tcPr>
            <w:tcW w:w="6581" w:type="dxa"/>
          </w:tcPr>
          <w:p w:rsidR="0005404B" w:rsidP="00FF66F9" w:rsidRDefault="00173D5E" w14:paraId="294CE475" w14:textId="77777777">
            <w:pPr>
              <w:rPr>
                <w:lang w:eastAsia="en-US"/>
              </w:rPr>
            </w:pPr>
            <w:r>
              <w:rPr>
                <w:lang w:eastAsia="en-US"/>
              </w:rPr>
              <w:t>Jaaroverzicht dossiers onderwijs vertrouwensinspecteurs 2024-2025</w:t>
            </w:r>
          </w:p>
        </w:tc>
      </w:tr>
    </w:tbl>
    <w:p w:rsidR="00BE79EE" w:rsidRDefault="00BE79EE" w14:paraId="438B34DA" w14:textId="4C2892B2"/>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43FDA" w:rsidR="00BE79EE" w:rsidTr="00A421A1" w14:paraId="1EB18312" w14:textId="77777777">
        <w:tc>
          <w:tcPr>
            <w:tcW w:w="2160" w:type="dxa"/>
          </w:tcPr>
          <w:p w:rsidRPr="00F53C9D" w:rsidR="006205C0" w:rsidP="00686AED" w:rsidRDefault="00173D5E" w14:paraId="4E7759E6" w14:textId="77777777">
            <w:pPr>
              <w:pStyle w:val="Colofonkop"/>
              <w:framePr w:hSpace="0" w:wrap="auto" w:hAnchor="text" w:vAnchor="margin" w:xAlign="left" w:yAlign="inline"/>
            </w:pPr>
            <w:r>
              <w:t>Onderwijsprestaties en Voortgezet Onderwijs</w:t>
            </w:r>
          </w:p>
          <w:p w:rsidR="006205C0" w:rsidP="00A421A1" w:rsidRDefault="00173D5E" w14:paraId="53C0AA10" w14:textId="77777777">
            <w:pPr>
              <w:pStyle w:val="Huisstijl-Gegeven"/>
              <w:spacing w:after="0"/>
            </w:pPr>
            <w:r>
              <w:t xml:space="preserve">Rijnstraat 50 </w:t>
            </w:r>
          </w:p>
          <w:p w:rsidR="004425A7" w:rsidP="00E972A2" w:rsidRDefault="00173D5E" w14:paraId="21491C07" w14:textId="77777777">
            <w:pPr>
              <w:pStyle w:val="Huisstijl-Gegeven"/>
              <w:spacing w:after="0"/>
            </w:pPr>
            <w:r>
              <w:t>Den Haag</w:t>
            </w:r>
          </w:p>
          <w:p w:rsidR="004425A7" w:rsidP="00E972A2" w:rsidRDefault="00173D5E" w14:paraId="0CC507D2" w14:textId="77777777">
            <w:pPr>
              <w:pStyle w:val="Huisstijl-Gegeven"/>
              <w:spacing w:after="0"/>
            </w:pPr>
            <w:r>
              <w:t>Postbus 16375</w:t>
            </w:r>
          </w:p>
          <w:p w:rsidR="004425A7" w:rsidP="00E972A2" w:rsidRDefault="00173D5E" w14:paraId="7DC9BD81" w14:textId="77777777">
            <w:pPr>
              <w:pStyle w:val="Huisstijl-Gegeven"/>
              <w:spacing w:after="0"/>
            </w:pPr>
            <w:r>
              <w:t>2500 BJ Den Haag</w:t>
            </w:r>
          </w:p>
          <w:p w:rsidRPr="00241582" w:rsidR="004425A7" w:rsidP="00E972A2" w:rsidRDefault="00173D5E" w14:paraId="3F78033C" w14:textId="77777777">
            <w:pPr>
              <w:pStyle w:val="Huisstijl-Gegeven"/>
              <w:spacing w:after="90"/>
              <w:rPr>
                <w:lang w:val="en-US"/>
              </w:rPr>
            </w:pPr>
            <w:r w:rsidRPr="00241582">
              <w:rPr>
                <w:lang w:val="en-US"/>
              </w:rPr>
              <w:t>www.rijksoverheid.nl</w:t>
            </w:r>
          </w:p>
          <w:p w:rsidRPr="00241582" w:rsidR="006205C0" w:rsidP="00A421A1" w:rsidRDefault="00173D5E" w14:paraId="7A20FAEC" w14:textId="77777777">
            <w:pPr>
              <w:spacing w:line="180" w:lineRule="exact"/>
              <w:rPr>
                <w:b/>
                <w:sz w:val="13"/>
                <w:szCs w:val="13"/>
                <w:lang w:val="en-US"/>
              </w:rPr>
            </w:pPr>
            <w:r w:rsidRPr="00241582">
              <w:rPr>
                <w:b/>
                <w:sz w:val="13"/>
                <w:szCs w:val="13"/>
                <w:lang w:val="en-US"/>
              </w:rPr>
              <w:t>Contactpersoon</w:t>
            </w:r>
          </w:p>
          <w:p w:rsidRPr="00241582" w:rsidR="00021D8D" w:rsidP="00021D8D" w:rsidRDefault="00021D8D" w14:paraId="5E471FAD" w14:textId="531E0F81">
            <w:pPr>
              <w:spacing w:after="90" w:line="180" w:lineRule="exact"/>
              <w:rPr>
                <w:sz w:val="13"/>
                <w:szCs w:val="13"/>
                <w:lang w:val="en-US"/>
              </w:rPr>
            </w:pPr>
          </w:p>
          <w:p w:rsidRPr="00241582" w:rsidR="006205C0" w:rsidP="00A421A1" w:rsidRDefault="006205C0" w14:paraId="64835DC7" w14:textId="6D3F55AF">
            <w:pPr>
              <w:spacing w:line="180" w:lineRule="exact"/>
              <w:rPr>
                <w:sz w:val="13"/>
                <w:szCs w:val="13"/>
                <w:lang w:val="en-US"/>
              </w:rPr>
            </w:pPr>
          </w:p>
        </w:tc>
      </w:tr>
      <w:tr w:rsidRPr="00D43FDA" w:rsidR="00BE79EE" w:rsidTr="00A421A1" w14:paraId="202A8E3C" w14:textId="77777777">
        <w:trPr>
          <w:trHeight w:val="200" w:hRule="exact"/>
        </w:trPr>
        <w:tc>
          <w:tcPr>
            <w:tcW w:w="2160" w:type="dxa"/>
          </w:tcPr>
          <w:p w:rsidRPr="00241582" w:rsidR="006205C0" w:rsidP="00A421A1" w:rsidRDefault="006205C0" w14:paraId="1AFE12F9" w14:textId="77777777">
            <w:pPr>
              <w:spacing w:after="90" w:line="180" w:lineRule="exact"/>
              <w:rPr>
                <w:sz w:val="13"/>
                <w:szCs w:val="13"/>
                <w:lang w:val="en-US"/>
              </w:rPr>
            </w:pPr>
          </w:p>
        </w:tc>
      </w:tr>
      <w:tr w:rsidR="00BE79EE" w:rsidTr="00A421A1" w14:paraId="7312FA14" w14:textId="77777777">
        <w:trPr>
          <w:trHeight w:val="450"/>
        </w:trPr>
        <w:tc>
          <w:tcPr>
            <w:tcW w:w="2160" w:type="dxa"/>
          </w:tcPr>
          <w:p w:rsidR="00F51A76" w:rsidP="00A421A1" w:rsidRDefault="00173D5E" w14:paraId="1B9F5AFB" w14:textId="77777777">
            <w:pPr>
              <w:spacing w:line="180" w:lineRule="exact"/>
              <w:rPr>
                <w:b/>
                <w:sz w:val="13"/>
                <w:szCs w:val="13"/>
              </w:rPr>
            </w:pPr>
            <w:r>
              <w:rPr>
                <w:b/>
                <w:sz w:val="13"/>
                <w:szCs w:val="13"/>
              </w:rPr>
              <w:t>Onze referentie</w:t>
            </w:r>
          </w:p>
          <w:p w:rsidRPr="00FA7882" w:rsidR="006205C0" w:rsidP="00215356" w:rsidRDefault="00173D5E" w14:paraId="4B721817" w14:textId="77777777">
            <w:pPr>
              <w:spacing w:line="180" w:lineRule="exact"/>
              <w:rPr>
                <w:sz w:val="13"/>
                <w:szCs w:val="13"/>
              </w:rPr>
            </w:pPr>
            <w:r>
              <w:rPr>
                <w:sz w:val="13"/>
                <w:szCs w:val="13"/>
              </w:rPr>
              <w:t>55382557</w:t>
            </w:r>
          </w:p>
        </w:tc>
      </w:tr>
      <w:tr w:rsidR="00BE79EE" w:rsidTr="00D130C0" w14:paraId="2E07EAF8" w14:textId="77777777">
        <w:trPr>
          <w:trHeight w:val="113"/>
        </w:trPr>
        <w:tc>
          <w:tcPr>
            <w:tcW w:w="2160" w:type="dxa"/>
          </w:tcPr>
          <w:p w:rsidRPr="00C5333A" w:rsidR="006205C0" w:rsidP="00D36088" w:rsidRDefault="00173D5E" w14:paraId="3A10B54C" w14:textId="77777777">
            <w:pPr>
              <w:tabs>
                <w:tab w:val="center" w:pos="1080"/>
              </w:tabs>
              <w:spacing w:line="180" w:lineRule="exact"/>
              <w:rPr>
                <w:sz w:val="13"/>
                <w:szCs w:val="13"/>
              </w:rPr>
            </w:pPr>
            <w:r>
              <w:rPr>
                <w:b/>
                <w:sz w:val="13"/>
                <w:szCs w:val="13"/>
              </w:rPr>
              <w:t>Bijlagen</w:t>
            </w:r>
          </w:p>
        </w:tc>
      </w:tr>
      <w:tr w:rsidR="00BE79EE" w:rsidTr="00D130C0" w14:paraId="783FB097" w14:textId="77777777">
        <w:trPr>
          <w:trHeight w:val="113"/>
        </w:trPr>
        <w:tc>
          <w:tcPr>
            <w:tcW w:w="2160" w:type="dxa"/>
          </w:tcPr>
          <w:p w:rsidRPr="00D74F66" w:rsidR="006205C0" w:rsidP="00A421A1" w:rsidRDefault="006205C0" w14:paraId="00CDF514" w14:textId="77777777">
            <w:pPr>
              <w:spacing w:after="90" w:line="180" w:lineRule="exact"/>
              <w:rPr>
                <w:sz w:val="13"/>
              </w:rPr>
            </w:pPr>
          </w:p>
        </w:tc>
      </w:tr>
    </w:tbl>
    <w:p w:rsidR="00711993" w:rsidP="00711993" w:rsidRDefault="00711993" w14:paraId="628D5EB3" w14:textId="371A7709">
      <w:bookmarkStart w:name="_Hlk215487593" w:id="0"/>
      <w:bookmarkStart w:name="_Hlk87624656" w:id="1"/>
      <w:r w:rsidRPr="00F424C6">
        <w:t>Leerlingen en studenten moeten zich vrij en veilig voelen in het onderwijs. Dat is een essentiële voorwaarde voor goede leerprestaties, omdat zij zich alleen in een veilige omgeving volledig kunnen ontwikkelen. Daarom geldt in het funderend onderwijs een zorgplicht voor een veilig schoolklimaat. Ook mbo-, hbo- en wo-instellingen hebben op basis van wettelijke regels de verantwoordelijkheid om een veilige leer- en werkomgeving te waarborgen. De Inspectie van het Onderwijs (hierna: de inspectie) ziet erop toe dat deze wettelijke verplichtingen worden nageleefd.</w:t>
      </w:r>
    </w:p>
    <w:p w:rsidRPr="00F424C6" w:rsidR="00711993" w:rsidP="00711993" w:rsidRDefault="00711993" w14:paraId="6476E60C" w14:textId="77777777"/>
    <w:p w:rsidRPr="00F424C6" w:rsidR="00711993" w:rsidP="00711993" w:rsidRDefault="00711993" w14:paraId="40643F37" w14:textId="30F13FD5">
      <w:r w:rsidRPr="00F424C6">
        <w:t>Dat betekent niet dat het in de praktijk altijd goed gaat. Helaas worden leerlingen en studenten soms geconfronteerd met seksueel grensoverschrijdend gedrag of met fysiek of psychisch geweld. Het is aangrijpend dat dit gebeurt, juist op plekken die veilig zouden moeten zijn. Wanneer zoiets plaatsvindt, moeten leerlingen en studenten passende ondersteuning krijgen vanuit de school of instelling. Daarnaast kunnen zij — evenals anderen die misstanden zien of vermoeden — contact opnemen met de vertrouwensinspecteurs van de inspectie. De</w:t>
      </w:r>
      <w:r>
        <w:t xml:space="preserve"> vertrouwensinspecteurs</w:t>
      </w:r>
      <w:r w:rsidRPr="00F424C6">
        <w:t xml:space="preserve"> luisteren en geven waar nodig advies, bijvoorbeeld over het indienen van een formele klacht. In </w:t>
      </w:r>
      <w:r w:rsidR="001B75C8">
        <w:t>specifieke</w:t>
      </w:r>
      <w:r w:rsidRPr="00F424C6">
        <w:t xml:space="preserve"> situaties is een school of instelling zelfs verplicht </w:t>
      </w:r>
      <w:r>
        <w:t>om met de vertrouwensinspecteurs te overleggen en aangifte te doen.</w:t>
      </w:r>
      <w:r w:rsidRPr="00F424C6">
        <w:t xml:space="preserve"> Met hun werkzaamheden dragen de vertrouwensinspecteurs bij aan het waarborgen én versterken van de veiligheid binnen het onderwijs.</w:t>
      </w:r>
    </w:p>
    <w:p w:rsidR="00711993" w:rsidP="00711993" w:rsidRDefault="00711993" w14:paraId="60D9E730" w14:textId="77777777"/>
    <w:p w:rsidR="00711993" w:rsidP="00711993" w:rsidRDefault="00711993" w14:paraId="2286FDD9" w14:textId="48BB4A7D">
      <w:r>
        <w:t xml:space="preserve">Ieder jaar publiceert de inspectie een </w:t>
      </w:r>
      <w:r w:rsidR="001E7E57">
        <w:t xml:space="preserve">rapportage over </w:t>
      </w:r>
      <w:r>
        <w:t xml:space="preserve">de dossiers die bij de vertrouwensinspecteurs zijn binnengekomen. Samen met deze brief sturen wij uw Kamer </w:t>
      </w:r>
      <w:r w:rsidR="001E7E57">
        <w:t xml:space="preserve">die rapportage </w:t>
      </w:r>
      <w:r>
        <w:t>over het school</w:t>
      </w:r>
      <w:r w:rsidR="004764F9">
        <w:t>- en studie</w:t>
      </w:r>
      <w:r>
        <w:t>jaar 2024-2025. In deze brief geven we een korte reactie op de cijfers en gaan we in op de inzet van het kabinet om de veiligheid van leerlingen en studenten te verbeteren.</w:t>
      </w:r>
    </w:p>
    <w:p w:rsidR="00711993" w:rsidP="00711993" w:rsidRDefault="00711993" w14:paraId="2FC52667" w14:textId="77777777"/>
    <w:p w:rsidRPr="00BE29A2" w:rsidR="00711993" w:rsidP="00711993" w:rsidRDefault="00711993" w14:paraId="395F1C94" w14:textId="77777777">
      <w:pPr>
        <w:keepNext/>
        <w:rPr>
          <w:b/>
          <w:bCs/>
        </w:rPr>
      </w:pPr>
      <w:r>
        <w:rPr>
          <w:b/>
          <w:bCs/>
        </w:rPr>
        <w:t>Stijging aantal dossiers zet door</w:t>
      </w:r>
    </w:p>
    <w:p w:rsidR="00711993" w:rsidP="00711993" w:rsidRDefault="00711993" w14:paraId="10D82778" w14:textId="77777777"/>
    <w:p w:rsidR="00711993" w:rsidP="00711993" w:rsidRDefault="00711993" w14:paraId="4F6EE7EE" w14:textId="4339C8BB">
      <w:r w:rsidRPr="00F82D65">
        <w:t>In het school</w:t>
      </w:r>
      <w:r w:rsidR="004764F9">
        <w:t>- en studie</w:t>
      </w:r>
      <w:r w:rsidRPr="00F82D65">
        <w:t>jaar 202</w:t>
      </w:r>
      <w:r>
        <w:t>4</w:t>
      </w:r>
      <w:r w:rsidR="00FB62D4">
        <w:t>-</w:t>
      </w:r>
      <w:r w:rsidRPr="00F82D65">
        <w:t>202</w:t>
      </w:r>
      <w:r>
        <w:t>5</w:t>
      </w:r>
      <w:r w:rsidRPr="00F82D65">
        <w:t xml:space="preserve"> ontvingen de vertrouwensinspecteurs voor het gehele onderwijsveld meldingen over in totaal </w:t>
      </w:r>
      <w:r>
        <w:t>2.916</w:t>
      </w:r>
      <w:r w:rsidRPr="00F82D65">
        <w:t xml:space="preserve"> dossiers. Dit betekent een stijging van </w:t>
      </w:r>
      <w:r>
        <w:t>599</w:t>
      </w:r>
      <w:r w:rsidRPr="00F82D65">
        <w:t xml:space="preserve"> dossiers ten opzichte van 202</w:t>
      </w:r>
      <w:r>
        <w:t>3</w:t>
      </w:r>
      <w:r w:rsidR="00FB62D4">
        <w:t>-</w:t>
      </w:r>
      <w:r w:rsidRPr="00F82D65">
        <w:t>202</w:t>
      </w:r>
      <w:r>
        <w:t xml:space="preserve">4. Al langer is </w:t>
      </w:r>
      <w:r w:rsidRPr="00F82D65">
        <w:t xml:space="preserve">een </w:t>
      </w:r>
      <w:r>
        <w:t xml:space="preserve">stijging in deze cijfers </w:t>
      </w:r>
      <w:r w:rsidRPr="00F82D65">
        <w:t xml:space="preserve">zichtbaar. </w:t>
      </w:r>
      <w:r>
        <w:t xml:space="preserve">Dat </w:t>
      </w:r>
      <w:r w:rsidRPr="00F82D65">
        <w:t xml:space="preserve">is zorgwekkend, want ieder </w:t>
      </w:r>
      <w:r>
        <w:t>geval</w:t>
      </w:r>
      <w:r w:rsidRPr="00F82D65">
        <w:t xml:space="preserve"> van </w:t>
      </w:r>
      <w:r w:rsidRPr="00F82D65">
        <w:lastRenderedPageBreak/>
        <w:t>onveiligheid is er één te veel.</w:t>
      </w:r>
      <w:r>
        <w:t xml:space="preserve"> Het is niet bekend of deze stijgende trend </w:t>
      </w:r>
      <w:r w:rsidR="00F17F94">
        <w:t xml:space="preserve">één op één </w:t>
      </w:r>
      <w:r>
        <w:t xml:space="preserve">veroorzaakt wordt doordat het aantal incidenten is toegenomen. Mogelijke verklaringen voor de stijging in het aantal dossiers kunnen ook zijn </w:t>
      </w:r>
      <w:r w:rsidRPr="00F82D65">
        <w:t xml:space="preserve">dat melders de vertrouwensinspecteurs beter weten te vinden, dat sociale veiligheid meer aandacht krijgt of dat er een groter vertrouwen is om misstanden te </w:t>
      </w:r>
      <w:r>
        <w:t>melde</w:t>
      </w:r>
      <w:r w:rsidRPr="00F82D65">
        <w:t>n.</w:t>
      </w:r>
      <w:r>
        <w:t xml:space="preserve"> </w:t>
      </w:r>
    </w:p>
    <w:p w:rsidR="00711993" w:rsidP="00711993" w:rsidRDefault="00711993" w14:paraId="6CC47E49" w14:textId="77777777"/>
    <w:p w:rsidR="00711993" w:rsidP="00711993" w:rsidRDefault="00711993" w14:paraId="492D94C7" w14:textId="56A74A5E">
      <w:r w:rsidRPr="00F82D65">
        <w:t>In het school</w:t>
      </w:r>
      <w:r w:rsidR="004764F9">
        <w:t>- en studie</w:t>
      </w:r>
      <w:r w:rsidRPr="00F82D65">
        <w:t>jaar 202</w:t>
      </w:r>
      <w:r>
        <w:t>4</w:t>
      </w:r>
      <w:r w:rsidR="00FB62D4">
        <w:t>-</w:t>
      </w:r>
      <w:r w:rsidRPr="00F82D65">
        <w:t>202</w:t>
      </w:r>
      <w:r>
        <w:t>5</w:t>
      </w:r>
      <w:r w:rsidRPr="00F82D65">
        <w:t xml:space="preserve"> hadden de gemelde dossiers betrekking op </w:t>
      </w:r>
      <w:r>
        <w:t>de volgende</w:t>
      </w:r>
      <w:r w:rsidRPr="00F82D65">
        <w:t xml:space="preserve"> vormen van onveiligheid: 1.</w:t>
      </w:r>
      <w:r>
        <w:t>536</w:t>
      </w:r>
      <w:r w:rsidRPr="00F82D65">
        <w:t xml:space="preserve"> dossiers gingen over psychisch geweld, </w:t>
      </w:r>
      <w:r>
        <w:t>715</w:t>
      </w:r>
      <w:r w:rsidRPr="00F82D65">
        <w:t xml:space="preserve"> over fysiek geweld, </w:t>
      </w:r>
      <w:r>
        <w:t>320</w:t>
      </w:r>
      <w:r w:rsidRPr="00F82D65">
        <w:t xml:space="preserve"> over seksuele intimidatie, </w:t>
      </w:r>
      <w:r>
        <w:t>178</w:t>
      </w:r>
      <w:r w:rsidRPr="00F82D65">
        <w:t xml:space="preserve"> over seksueel misbruik, </w:t>
      </w:r>
      <w:r>
        <w:t>152</w:t>
      </w:r>
      <w:r w:rsidRPr="00F82D65">
        <w:t xml:space="preserve"> over discriminatie en </w:t>
      </w:r>
      <w:r>
        <w:t xml:space="preserve">11 </w:t>
      </w:r>
      <w:r w:rsidRPr="00F82D65">
        <w:t>over radicalisering.</w:t>
      </w:r>
      <w:r>
        <w:t xml:space="preserve"> De cijfers laten een toename zien van het aantal meldingen bij de vertrouwensinspectie ten opzichte van voorgaande jaren, met uitzondering van radicalisering. Daar is een daling te zien. In het bijzonder is een stijging zichtbaar van het aantal dossiers van seksuele intimidatie en seksueel misbruik. Ook stijgt het aantal meldingen van psychisch geweld al jaren, waarbij in de helft van de dossiers sprake is van pesten. </w:t>
      </w:r>
      <w:r w:rsidR="00F17F94">
        <w:t>Zorgelijk is dat d</w:t>
      </w:r>
      <w:r>
        <w:t xml:space="preserve">e ernst van het psychisch geweld dat wordt gemeld </w:t>
      </w:r>
      <w:r w:rsidR="00F17F94">
        <w:t>toeneemt</w:t>
      </w:r>
      <w:r>
        <w:t xml:space="preserve"> en er  vaker sprake </w:t>
      </w:r>
      <w:r w:rsidR="00B24B14">
        <w:t xml:space="preserve">is </w:t>
      </w:r>
      <w:r>
        <w:t xml:space="preserve">van langdurig psychisch geweld. </w:t>
      </w:r>
      <w:r w:rsidR="00620AE0">
        <w:t xml:space="preserve">Ook is er </w:t>
      </w:r>
      <w:r>
        <w:t xml:space="preserve">vaker sprake van bedreiging. </w:t>
      </w:r>
      <w:r w:rsidR="00B24B14">
        <w:t xml:space="preserve">Daarnaast </w:t>
      </w:r>
      <w:r>
        <w:t xml:space="preserve">constateren de vertrouwensinspecteurs dat bij de dossiers over fysiek geweld regelmatig sprake is van een escalatie van pesten. </w:t>
      </w:r>
    </w:p>
    <w:p w:rsidR="00711993" w:rsidP="00711993" w:rsidRDefault="00711993" w14:paraId="74B1839C" w14:textId="77777777"/>
    <w:p w:rsidR="00711993" w:rsidP="00711993" w:rsidRDefault="00711993" w14:paraId="5912F866" w14:textId="35066D0A">
      <w:r w:rsidRPr="00F5232A">
        <w:t xml:space="preserve">De gegevens van de vertrouwensinspecteurs vormen een duidelijk </w:t>
      </w:r>
      <w:r>
        <w:t>signaal</w:t>
      </w:r>
      <w:r w:rsidRPr="00F5232A">
        <w:t xml:space="preserve">. De </w:t>
      </w:r>
      <w:r>
        <w:t>dossiers</w:t>
      </w:r>
      <w:r w:rsidRPr="00F5232A">
        <w:t xml:space="preserve"> hebben betrekking op serieuze incidenten</w:t>
      </w:r>
      <w:r w:rsidR="00154514">
        <w:t>, en deels ook op ernstigere incidenten dan voorheen,</w:t>
      </w:r>
      <w:r w:rsidRPr="00F5232A">
        <w:t xml:space="preserve"> en maken duidelijk dat het ons nog niet overal lukt om iedere leerling en student de veilige leeromgeving te bieden waarop zij </w:t>
      </w:r>
      <w:r>
        <w:t>recht hebben</w:t>
      </w:r>
      <w:r w:rsidRPr="00F5232A">
        <w:t xml:space="preserve">. </w:t>
      </w:r>
      <w:r>
        <w:t>Tegelijkertijd is het goed dat melders de vertrouwensinspecteurs weten te vinden en gebruik kunnen maken van hun kennis en expertise. Hoewel de meeste leerlingen (tussen de 95 en 98 procent in het primair en voortgezet onderwijs)</w:t>
      </w:r>
      <w:r>
        <w:rPr>
          <w:rStyle w:val="Voetnootmarkering"/>
        </w:rPr>
        <w:footnoteReference w:id="1"/>
      </w:r>
      <w:r>
        <w:t xml:space="preserve"> en studenten (83 procent in het middelbaar beroepsonderwijs)</w:t>
      </w:r>
      <w:r>
        <w:rPr>
          <w:rStyle w:val="Voetnootmarkering"/>
        </w:rPr>
        <w:footnoteReference w:id="2"/>
      </w:r>
      <w:r>
        <w:t xml:space="preserve"> zich veilig voelen, ontslaat dit ons niet van de plicht om ook zorg te dragen voor leerlingen en studenten die onveiligheid ervaren. </w:t>
      </w:r>
      <w:r w:rsidRPr="00F5232A">
        <w:t>Het kabinet blijft daarom met onverminderde inzet werken aan het verder verbeteren van de veiligheid in het onderwijs.</w:t>
      </w:r>
    </w:p>
    <w:p w:rsidR="00711993" w:rsidP="00711993" w:rsidRDefault="00711993" w14:paraId="47D03D4B" w14:textId="77777777"/>
    <w:p w:rsidRPr="007D16E1" w:rsidR="00711993" w:rsidP="00711993" w:rsidRDefault="00711993" w14:paraId="1ACC30BA" w14:textId="1548CB63">
      <w:pPr>
        <w:rPr>
          <w:b/>
          <w:bCs/>
        </w:rPr>
      </w:pPr>
      <w:r>
        <w:rPr>
          <w:b/>
          <w:bCs/>
        </w:rPr>
        <w:t xml:space="preserve">Een </w:t>
      </w:r>
      <w:r w:rsidR="00620AE0">
        <w:rPr>
          <w:b/>
          <w:bCs/>
        </w:rPr>
        <w:t>sterke impuls</w:t>
      </w:r>
      <w:r>
        <w:rPr>
          <w:b/>
          <w:bCs/>
        </w:rPr>
        <w:t xml:space="preserve"> voor veilig onderwijs</w:t>
      </w:r>
    </w:p>
    <w:p w:rsidR="00711993" w:rsidP="00711993" w:rsidRDefault="00711993" w14:paraId="2676182D" w14:textId="77777777"/>
    <w:p w:rsidRPr="00734E39" w:rsidR="00711993" w:rsidP="00711993" w:rsidRDefault="00711993" w14:paraId="1B8A5090" w14:textId="77777777">
      <w:pPr>
        <w:rPr>
          <w:i/>
          <w:iCs/>
        </w:rPr>
      </w:pPr>
      <w:r>
        <w:rPr>
          <w:i/>
          <w:iCs/>
        </w:rPr>
        <w:t>Funderend onderwijs</w:t>
      </w:r>
    </w:p>
    <w:p w:rsidR="00711993" w:rsidP="00711993" w:rsidRDefault="00711993" w14:paraId="24417277" w14:textId="104A05BC">
      <w:r>
        <w:t xml:space="preserve">Scholen hebben de taak te zorgen voor een veilig klimaat, waarin leerlingen en personeelsleden elkaar aanspreken als er iets gebeurt en er een open gesprek plaats kan vinden over grenzen. Het kabinet stelt de kaders vast waarbinnen scholen dat het best kunnen doen en ondersteunt hen waar dat nodig is. Met het Wetsvoorstel vrij en veilig onderwijs </w:t>
      </w:r>
      <w:r w:rsidR="00154514">
        <w:t xml:space="preserve">dat aan uw Kamer is aangeboden, </w:t>
      </w:r>
      <w:r>
        <w:t xml:space="preserve">zorgen we ervoor dat scholen beter zicht hebben op (on)veiligheid, </w:t>
      </w:r>
      <w:r w:rsidR="00154514">
        <w:t xml:space="preserve">dat </w:t>
      </w:r>
      <w:r>
        <w:t xml:space="preserve">leerlingen, ouders en personeel worden ondersteund bij onveiligheid en </w:t>
      </w:r>
      <w:r w:rsidR="00154514">
        <w:t xml:space="preserve">dat </w:t>
      </w:r>
      <w:r>
        <w:t xml:space="preserve">het veiligheidsbeleid </w:t>
      </w:r>
      <w:r w:rsidR="00154514">
        <w:t xml:space="preserve">van scholen </w:t>
      </w:r>
      <w:r>
        <w:t xml:space="preserve">jaarlijks wordt geëvalueerd. Zo wordt </w:t>
      </w:r>
      <w:r w:rsidR="00154514">
        <w:t xml:space="preserve">er </w:t>
      </w:r>
      <w:r w:rsidR="007D724F">
        <w:t>onder meer</w:t>
      </w:r>
      <w:r w:rsidR="00154514">
        <w:t xml:space="preserve"> voor</w:t>
      </w:r>
      <w:r w:rsidR="007D724F">
        <w:t xml:space="preserve"> </w:t>
      </w:r>
      <w:r>
        <w:t>ge</w:t>
      </w:r>
      <w:r w:rsidR="007D724F">
        <w:t>z</w:t>
      </w:r>
      <w:r>
        <w:t xml:space="preserve">orgd dat leerlingen en personeel altijd terecht kunnen bij een vertrouwenspersoon. Ook breidt het kabinet de huidige meld-, overleg- en aangifteplicht uit </w:t>
      </w:r>
      <w:r w:rsidR="007D724F">
        <w:t xml:space="preserve">door ook een meld- en overlegplicht voor </w:t>
      </w:r>
      <w:r>
        <w:t xml:space="preserve">seksuele intimidatie en meerderjarigen </w:t>
      </w:r>
      <w:r w:rsidR="007D724F">
        <w:t xml:space="preserve">in te voeren </w:t>
      </w:r>
      <w:r>
        <w:t xml:space="preserve">(ook </w:t>
      </w:r>
      <w:r w:rsidR="007D724F">
        <w:t xml:space="preserve">in </w:t>
      </w:r>
      <w:r>
        <w:t xml:space="preserve">het vervolgonderwijs), zodat de expertise van de vertrouwensinspecteurs vaker wordt ingeroepen. Daarnaast werkt het kabinet er ook aan om continue </w:t>
      </w:r>
      <w:r>
        <w:lastRenderedPageBreak/>
        <w:t xml:space="preserve">VOG-screening in het onderwijs te realiseren, zodat </w:t>
      </w:r>
      <w:r w:rsidRPr="005F4042">
        <w:t>onderwijspersoneel dat een strafbaar feit begaat direct in beeld komt.</w:t>
      </w:r>
      <w:r>
        <w:t xml:space="preserve"> Dit alles zorgt dat scholen nog beter kunnen werken aan de veiligheid op school. </w:t>
      </w:r>
    </w:p>
    <w:bookmarkEnd w:id="0"/>
    <w:p w:rsidR="00711993" w:rsidP="00173D5E" w:rsidRDefault="00711993" w14:paraId="72B0FA2C" w14:textId="77777777"/>
    <w:p w:rsidRPr="004816AA" w:rsidR="004816AA" w:rsidP="004816AA" w:rsidRDefault="00B10101" w14:paraId="3B0A196D" w14:textId="00AE3A8B">
      <w:pPr>
        <w:rPr>
          <w:rFonts w:ascii="Calibri" w:hAnsi="Calibri" w:eastAsia="Calibri" w:cs="Calibri"/>
          <w:sz w:val="22"/>
          <w:szCs w:val="22"/>
        </w:rPr>
      </w:pPr>
      <w:r>
        <w:t xml:space="preserve">Tegelijkertijd is het versterken van een open en veilig schoolklimaat niet enkel te realiseren met wet- en regelgeving. Daarom </w:t>
      </w:r>
      <w:r w:rsidR="00535FF2">
        <w:t xml:space="preserve">ondersteunt </w:t>
      </w:r>
      <w:r>
        <w:t>het kabinet</w:t>
      </w:r>
      <w:r w:rsidR="00535FF2">
        <w:t xml:space="preserve"> scholen middels Stichting </w:t>
      </w:r>
      <w:r w:rsidRPr="00502542" w:rsidR="00535FF2">
        <w:rPr>
          <w:szCs w:val="18"/>
        </w:rPr>
        <w:t xml:space="preserve">School &amp; Veiligheid, waar zij terecht kunnen voor handreikingen, advies en zo nodig ondersteuning door een calamiteitenteam. </w:t>
      </w:r>
      <w:r w:rsidRPr="00502542" w:rsidR="004816AA">
        <w:rPr>
          <w:rFonts w:eastAsia="Calibri" w:cs="Calibri"/>
          <w:szCs w:val="18"/>
        </w:rPr>
        <w:t xml:space="preserve">Ook subsidieert het kabinet de </w:t>
      </w:r>
      <w:proofErr w:type="spellStart"/>
      <w:r w:rsidRPr="00502542" w:rsidR="004816AA">
        <w:rPr>
          <w:rFonts w:eastAsia="Calibri" w:cs="Calibri"/>
          <w:szCs w:val="18"/>
        </w:rPr>
        <w:t>VO-raad</w:t>
      </w:r>
      <w:proofErr w:type="spellEnd"/>
      <w:r w:rsidRPr="00502542" w:rsidR="004816AA">
        <w:rPr>
          <w:rFonts w:eastAsia="Calibri" w:cs="Calibri"/>
          <w:szCs w:val="18"/>
        </w:rPr>
        <w:t xml:space="preserve"> om een breder programma op te zetten gericht op het versterken van een veilige en open schoolcultuur.</w:t>
      </w:r>
      <w:r w:rsidRPr="00502542" w:rsidR="004816AA">
        <w:rPr>
          <w:rFonts w:eastAsia="Calibri" w:cs="Calibri"/>
          <w:i/>
          <w:iCs/>
          <w:szCs w:val="18"/>
        </w:rPr>
        <w:t xml:space="preserve"> </w:t>
      </w:r>
      <w:r w:rsidRPr="00502542" w:rsidR="004816AA">
        <w:rPr>
          <w:rFonts w:eastAsia="Calibri" w:cs="Calibri"/>
          <w:szCs w:val="18"/>
        </w:rPr>
        <w:t>Dit doen zij in samenwerking met de alliantie tegen seksueel grensoverschrijdend gedrag.</w:t>
      </w:r>
      <w:r w:rsidRPr="00502542" w:rsidR="004816AA">
        <w:rPr>
          <w:rStyle w:val="Voetnootmarkering"/>
          <w:rFonts w:eastAsia="Calibri" w:cs="Calibri"/>
          <w:szCs w:val="18"/>
        </w:rPr>
        <w:footnoteReference w:id="3"/>
      </w:r>
      <w:r w:rsidRPr="004816AA" w:rsidR="004816AA">
        <w:rPr>
          <w:rFonts w:eastAsia="Calibri" w:cs="Calibri"/>
          <w:sz w:val="20"/>
          <w:szCs w:val="20"/>
        </w:rPr>
        <w:t xml:space="preserve"> </w:t>
      </w:r>
    </w:p>
    <w:p w:rsidR="00173D5E" w:rsidP="00173D5E" w:rsidRDefault="00173D5E" w14:paraId="3F7DE9C1" w14:textId="77777777"/>
    <w:p w:rsidRPr="00734E39" w:rsidR="00173D5E" w:rsidP="00173D5E" w:rsidRDefault="00173D5E" w14:paraId="5C7D79DD" w14:textId="77777777">
      <w:pPr>
        <w:rPr>
          <w:i/>
          <w:iCs/>
        </w:rPr>
      </w:pPr>
      <w:r>
        <w:rPr>
          <w:i/>
          <w:iCs/>
        </w:rPr>
        <w:t>Vervolgonderwijs</w:t>
      </w:r>
    </w:p>
    <w:p w:rsidR="00E045FC" w:rsidP="00E045FC" w:rsidRDefault="004C02FC" w14:paraId="4E0AC55E" w14:textId="77044943">
      <w:r>
        <w:t xml:space="preserve">Ook in het </w:t>
      </w:r>
      <w:r w:rsidR="00E045FC">
        <w:t xml:space="preserve">vervolgonderwijs </w:t>
      </w:r>
      <w:r w:rsidRPr="00E045FC" w:rsidR="00E045FC">
        <w:t xml:space="preserve">hebben </w:t>
      </w:r>
      <w:r>
        <w:t xml:space="preserve">instellingen de taak om </w:t>
      </w:r>
      <w:r w:rsidRPr="00E045FC" w:rsidR="00E045FC">
        <w:t>te zorgen voor een veilige omgeving voor iedereen die studeert, onderzoekt of werkt op een</w:t>
      </w:r>
      <w:r>
        <w:t xml:space="preserve"> </w:t>
      </w:r>
      <w:r w:rsidRPr="00E045FC" w:rsidR="00E045FC">
        <w:t>onderwijsinstelling.</w:t>
      </w:r>
      <w:r>
        <w:t xml:space="preserve"> Het kabinet werkt a</w:t>
      </w:r>
      <w:r w:rsidRPr="00E045FC" w:rsidR="00E045FC">
        <w:t xml:space="preserve">an een wetsvoorstel dat deze zorgplicht wettelijk verankert en expliciteert. </w:t>
      </w:r>
      <w:r>
        <w:t xml:space="preserve">Met dit wetsvoorstel worden de </w:t>
      </w:r>
      <w:r w:rsidRPr="00E045FC" w:rsidR="00E045FC">
        <w:t>rollen en verantwoordelijkheden van verschillende actoren, zoals het instellingsbestuur, de raad van toezicht en de medezeggenschap, verduidelijk</w:t>
      </w:r>
      <w:r>
        <w:t xml:space="preserve">t. Daarnaast worden kaders gesteld </w:t>
      </w:r>
      <w:r w:rsidRPr="00E045FC" w:rsidR="00E045FC">
        <w:t xml:space="preserve">voor adequaat veiligheidsbeleid en </w:t>
      </w:r>
      <w:r>
        <w:t>wordt e</w:t>
      </w:r>
      <w:r w:rsidRPr="00E045FC" w:rsidR="00E045FC">
        <w:t>en lerende cyclus voor</w:t>
      </w:r>
      <w:r>
        <w:t>geschreven voor</w:t>
      </w:r>
      <w:r w:rsidRPr="00E045FC" w:rsidR="00E045FC">
        <w:t xml:space="preserve"> dit beleid. Daarbij wordt, net als in het funderend onderwijs, een registratieplicht voor incidenten geïntroduceerd evenals een meldplicht voor ernstige veiligheidsincidenten. Ook wordt een eventuele wettelijke plicht voor het aanstellen van vertrouwenspersonen of een vergelijkbare functie verkend.</w:t>
      </w:r>
    </w:p>
    <w:p w:rsidR="00711993" w:rsidP="00363DA4" w:rsidRDefault="00711993" w14:paraId="6DBDCB61" w14:textId="77777777"/>
    <w:p w:rsidR="00363DA4" w:rsidP="00363DA4" w:rsidRDefault="00711993" w14:paraId="25C8F603" w14:textId="3131B84F">
      <w:r>
        <w:t>Ten slotte</w:t>
      </w:r>
      <w:r w:rsidR="00363DA4">
        <w:t xml:space="preserve"> wordt met</w:t>
      </w:r>
      <w:r w:rsidRPr="00093D26" w:rsidR="00363DA4">
        <w:t xml:space="preserve"> het Nationaal Actieprogramma Aanpak seksueel grensoverschrijdend gedrag en seksueel geweld</w:t>
      </w:r>
      <w:r w:rsidR="00363DA4">
        <w:t xml:space="preserve"> ingezet op het voorkomen, herkennen en aanpakken van </w:t>
      </w:r>
      <w:r w:rsidRPr="00363DA4" w:rsidR="00363DA4">
        <w:t>seksueel grensoverschrijdend gedrag en seksueel geweld</w:t>
      </w:r>
      <w:r w:rsidR="004C02FC">
        <w:t xml:space="preserve"> in het onderwijs</w:t>
      </w:r>
      <w:r w:rsidR="00363DA4">
        <w:t xml:space="preserve">. Ook spant de </w:t>
      </w:r>
      <w:r w:rsidRPr="00093D26" w:rsidR="00363DA4">
        <w:t xml:space="preserve">regeringscommissaris zich in om het onderwijs veiliger te maken, </w:t>
      </w:r>
      <w:r w:rsidR="00363DA4">
        <w:t xml:space="preserve">door te adviseren over beleid in het vervolgonderwijs en door het gesprek </w:t>
      </w:r>
      <w:r w:rsidR="004C02FC">
        <w:t xml:space="preserve">te stimuleren op de instellingen. </w:t>
      </w:r>
    </w:p>
    <w:p w:rsidR="00C30A09" w:rsidP="00173D5E" w:rsidRDefault="00C30A09" w14:paraId="4EDF2060" w14:textId="77777777">
      <w:pPr>
        <w:rPr>
          <w:b/>
          <w:bCs/>
        </w:rPr>
      </w:pPr>
    </w:p>
    <w:p w:rsidRPr="007E67BF" w:rsidR="00734BD8" w:rsidP="00173D5E" w:rsidRDefault="007E67BF" w14:paraId="1C8B2337" w14:textId="271795EB">
      <w:pPr>
        <w:rPr>
          <w:b/>
          <w:bCs/>
        </w:rPr>
      </w:pPr>
      <w:r w:rsidRPr="007E67BF">
        <w:rPr>
          <w:b/>
          <w:bCs/>
        </w:rPr>
        <w:t>Tot slot</w:t>
      </w:r>
    </w:p>
    <w:p w:rsidR="007E67BF" w:rsidP="00173D5E" w:rsidRDefault="007E67BF" w14:paraId="70375791" w14:textId="77777777"/>
    <w:p w:rsidR="00136822" w:rsidP="00173D5E" w:rsidRDefault="007E28B9" w14:paraId="7AFFA2B4" w14:textId="77777777">
      <w:r>
        <w:t xml:space="preserve">De cijfers van de vertrouwensinspecteurs onderstrepen de noodzaak om </w:t>
      </w:r>
      <w:r w:rsidR="00154514">
        <w:t>de</w:t>
      </w:r>
      <w:r>
        <w:t xml:space="preserve"> veiligheid in het </w:t>
      </w:r>
      <w:r w:rsidR="006A7D8F">
        <w:t>onderwijs</w:t>
      </w:r>
      <w:r w:rsidR="00154514">
        <w:t xml:space="preserve"> verder te versterken</w:t>
      </w:r>
      <w:r>
        <w:t xml:space="preserve">. </w:t>
      </w:r>
      <w:r w:rsidR="00535FF2">
        <w:t>Met de maatregelen waar het kabinet aan werkt, zetten we een grote stap om onze scholen en onderwijsinstellingen veiliger te maken. Dat wil overigens niet zeggen dat de cijfers van meldingen bij de vertrouwensinspecteurs nu ook zullen dalen. Juist de toenemende aandacht voor veiligheid op school, en de uitbreiding van de meld-</w:t>
      </w:r>
      <w:r w:rsidR="007D724F">
        <w:t xml:space="preserve"> en</w:t>
      </w:r>
      <w:r w:rsidR="00535FF2">
        <w:t xml:space="preserve"> overleg</w:t>
      </w:r>
      <w:r w:rsidR="004816AA">
        <w:t>plicht</w:t>
      </w:r>
      <w:r w:rsidR="00AF4F14">
        <w:t xml:space="preserve"> naar seksuele intimidatie en meerderjarigen</w:t>
      </w:r>
      <w:r w:rsidR="00535FF2">
        <w:t xml:space="preserve"> kunnen ervoor zorgen dat die cijfers stijgen. Het overleg met de vertrouwensinspecteurs moet een goede gewoonte van scholen worden, zodat zij beter en gerichter kunnen optreden als er op school iets voorvalt. </w:t>
      </w:r>
      <w:r>
        <w:t xml:space="preserve">Het kabinet werkt </w:t>
      </w:r>
      <w:r w:rsidR="00535FF2">
        <w:t xml:space="preserve">zo </w:t>
      </w:r>
      <w:r>
        <w:t>samen met de sectoren</w:t>
      </w:r>
      <w:r w:rsidR="00173D5E">
        <w:t xml:space="preserve"> en met alle onderwijsprofessionals</w:t>
      </w:r>
      <w:r>
        <w:t xml:space="preserve"> aan een veilige leeromgeving voor </w:t>
      </w:r>
      <w:r w:rsidR="00173D5E">
        <w:t>alle leerlingen en studenten</w:t>
      </w:r>
      <w:r w:rsidR="00535FF2">
        <w:t>, een verantwoordelijkheid die door allen wordt gedeeld en gevoeld</w:t>
      </w:r>
      <w:r>
        <w:t xml:space="preserve">. </w:t>
      </w:r>
    </w:p>
    <w:p w:rsidR="00136822" w:rsidP="00173D5E" w:rsidRDefault="00136822" w14:paraId="5436D7B0" w14:textId="77777777"/>
    <w:p w:rsidR="00136822" w:rsidP="00173D5E" w:rsidRDefault="00136822" w14:paraId="6A7D452A" w14:textId="77777777"/>
    <w:p w:rsidR="00173D5E" w:rsidP="00173D5E" w:rsidRDefault="007E28B9" w14:paraId="0B6D8AFE" w14:textId="5C6359EA">
      <w:r>
        <w:lastRenderedPageBreak/>
        <w:t xml:space="preserve">De aangekondigde maatregelen bieden de kaders om hier de komende jaren aan te werken en gezamenlijk vol in te zetten </w:t>
      </w:r>
      <w:r w:rsidR="00535FF2">
        <w:t xml:space="preserve">op </w:t>
      </w:r>
      <w:r>
        <w:t>de veiligheid in het onderwijs</w:t>
      </w:r>
      <w:r w:rsidR="00173D5E">
        <w:t xml:space="preserve">. </w:t>
      </w:r>
    </w:p>
    <w:bookmarkEnd w:id="1"/>
    <w:p w:rsidR="007851C4" w:rsidP="00CA35E4" w:rsidRDefault="007851C4" w14:paraId="189D58FC" w14:textId="2F74E32F"/>
    <w:p w:rsidR="00E85F59" w:rsidP="00CA35E4" w:rsidRDefault="00E85F59" w14:paraId="7DA6FB4B" w14:textId="77777777"/>
    <w:p w:rsidR="00820DDA" w:rsidP="00CA35E4" w:rsidRDefault="00173D5E" w14:paraId="676B8B6B" w14:textId="77777777">
      <w:r>
        <w:t>De minister van Onderwijs, Cultuur en Wetenschap,</w:t>
      </w:r>
    </w:p>
    <w:p w:rsidR="000F521E" w:rsidP="003A7160" w:rsidRDefault="000F521E" w14:paraId="23D079D7" w14:textId="77777777"/>
    <w:p w:rsidR="000F521E" w:rsidP="003A7160" w:rsidRDefault="000F521E" w14:paraId="0FDEEB26" w14:textId="77777777"/>
    <w:p w:rsidR="00080166" w:rsidP="003A7160" w:rsidRDefault="00080166" w14:paraId="344ADF07" w14:textId="77777777"/>
    <w:p w:rsidR="00080166" w:rsidP="003A7160" w:rsidRDefault="00080166" w14:paraId="70157BE4" w14:textId="77777777"/>
    <w:p w:rsidR="00080166" w:rsidP="003A7160" w:rsidRDefault="00080166" w14:paraId="707E7B25" w14:textId="77777777"/>
    <w:p w:rsidR="00080166" w:rsidP="003A7160" w:rsidRDefault="00080166" w14:paraId="3408D182" w14:textId="77777777"/>
    <w:p w:rsidR="000F521E" w:rsidP="003A7160" w:rsidRDefault="000F521E" w14:paraId="75EFD390" w14:textId="77777777"/>
    <w:p w:rsidR="000F521E" w:rsidP="003A7160" w:rsidRDefault="000F521E" w14:paraId="0C943573" w14:textId="77777777"/>
    <w:p w:rsidR="00080166" w:rsidP="003A7160" w:rsidRDefault="00080166" w14:paraId="7EC0A7F0" w14:textId="77777777"/>
    <w:p w:rsidR="000F521E" w:rsidP="003A7160" w:rsidRDefault="00173D5E" w14:paraId="2CD33340" w14:textId="77777777">
      <w:pPr>
        <w:pStyle w:val="standaard-tekst"/>
      </w:pPr>
      <w:proofErr w:type="spellStart"/>
      <w:r>
        <w:t>Gouke</w:t>
      </w:r>
      <w:proofErr w:type="spellEnd"/>
      <w:r>
        <w:t xml:space="preserve"> Moes</w:t>
      </w:r>
    </w:p>
    <w:p w:rsidR="00F01557" w:rsidP="003A7160" w:rsidRDefault="00F01557" w14:paraId="3D61FA1D" w14:textId="77777777"/>
    <w:p w:rsidR="00F01557" w:rsidP="003A7160" w:rsidRDefault="00F01557" w14:paraId="72C4F888" w14:textId="77777777"/>
    <w:p w:rsidR="00BE79EE" w:rsidRDefault="00173D5E" w14:paraId="097F7CFC" w14:textId="77777777">
      <w:r>
        <w:t xml:space="preserve">De staatssecretaris </w:t>
      </w:r>
      <w:r w:rsidR="00535573">
        <w:t xml:space="preserve">van Onderwijs, </w:t>
      </w:r>
      <w:r>
        <w:t>Cultuur en</w:t>
      </w:r>
      <w:r w:rsidR="00535573">
        <w:t xml:space="preserve"> Wetenschap</w:t>
      </w:r>
      <w:r>
        <w:t>,</w:t>
      </w:r>
    </w:p>
    <w:p w:rsidR="00745AE0" w:rsidP="003A7160" w:rsidRDefault="00745AE0" w14:paraId="7AEA8185" w14:textId="77777777"/>
    <w:p w:rsidR="00745AE0" w:rsidP="003A7160" w:rsidRDefault="00745AE0" w14:paraId="1177D171" w14:textId="77777777"/>
    <w:p w:rsidR="00745AE0" w:rsidP="003A7160" w:rsidRDefault="00745AE0" w14:paraId="3CAA94EC" w14:textId="77777777"/>
    <w:p w:rsidR="00080166" w:rsidP="003A7160" w:rsidRDefault="00080166" w14:paraId="4C311090" w14:textId="77777777"/>
    <w:p w:rsidR="00080166" w:rsidP="003A7160" w:rsidRDefault="00080166" w14:paraId="00B12DC3" w14:textId="77777777"/>
    <w:p w:rsidR="00745AE0" w:rsidP="003A7160" w:rsidRDefault="00745AE0" w14:paraId="771FF666" w14:textId="77777777"/>
    <w:p w:rsidR="00745AE0" w:rsidP="003A7160" w:rsidRDefault="00745AE0" w14:paraId="203CB100" w14:textId="77777777"/>
    <w:p w:rsidR="00E93891" w:rsidP="00347221" w:rsidRDefault="00E93891" w14:paraId="535F0FE9" w14:textId="77777777"/>
    <w:p w:rsidR="00080166" w:rsidP="00347221" w:rsidRDefault="00080166" w14:paraId="34B4D022" w14:textId="77777777"/>
    <w:p w:rsidRPr="00347221" w:rsidR="00697943" w:rsidP="00347221" w:rsidRDefault="00173D5E" w14:paraId="00F23F5B" w14:textId="77777777">
      <w:r w:rsidRPr="00480E05">
        <w:t>Koen Becking</w:t>
      </w:r>
    </w:p>
    <w:p w:rsidR="00C7013F" w:rsidP="003A7160" w:rsidRDefault="00C7013F" w14:paraId="68753423" w14:textId="77777777"/>
    <w:p w:rsidR="00C7013F" w:rsidP="003A7160" w:rsidRDefault="00C7013F" w14:paraId="735E17C0" w14:textId="77777777"/>
    <w:p w:rsidR="00184B30" w:rsidP="00A60B58" w:rsidRDefault="00184B30" w14:paraId="7BC221C6" w14:textId="77777777"/>
    <w:p w:rsidR="00184B30" w:rsidP="00A60B58" w:rsidRDefault="00184B30" w14:paraId="6196A10A" w14:textId="77777777"/>
    <w:p w:rsidRPr="00820DDA" w:rsidR="00820DDA" w:rsidP="00215964" w:rsidRDefault="00820DDA" w14:paraId="6AACDD10"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35762" w14:textId="77777777" w:rsidR="00543C8E" w:rsidRDefault="00543C8E">
      <w:r>
        <w:separator/>
      </w:r>
    </w:p>
    <w:p w14:paraId="423C1F45" w14:textId="77777777" w:rsidR="00543C8E" w:rsidRDefault="00543C8E"/>
  </w:endnote>
  <w:endnote w:type="continuationSeparator" w:id="0">
    <w:p w14:paraId="6A490C23" w14:textId="77777777" w:rsidR="00543C8E" w:rsidRDefault="00543C8E">
      <w:r>
        <w:continuationSeparator/>
      </w:r>
    </w:p>
    <w:p w14:paraId="0F639BD2" w14:textId="77777777" w:rsidR="00543C8E" w:rsidRDefault="00543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803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E79EE" w14:paraId="29D5161C" w14:textId="77777777" w:rsidTr="004C7E1D">
      <w:trPr>
        <w:trHeight w:hRule="exact" w:val="357"/>
      </w:trPr>
      <w:tc>
        <w:tcPr>
          <w:tcW w:w="7603" w:type="dxa"/>
        </w:tcPr>
        <w:p w14:paraId="6C33BA54" w14:textId="77777777" w:rsidR="002F71BB" w:rsidRPr="004C7E1D" w:rsidRDefault="002F71BB" w:rsidP="004C7E1D">
          <w:pPr>
            <w:spacing w:line="180" w:lineRule="exact"/>
            <w:rPr>
              <w:sz w:val="13"/>
              <w:szCs w:val="13"/>
            </w:rPr>
          </w:pPr>
        </w:p>
      </w:tc>
      <w:tc>
        <w:tcPr>
          <w:tcW w:w="2172" w:type="dxa"/>
        </w:tcPr>
        <w:p w14:paraId="17802340" w14:textId="26AF51B3" w:rsidR="002F71BB" w:rsidRPr="004C7E1D" w:rsidRDefault="00173D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1D8D">
            <w:rPr>
              <w:szCs w:val="13"/>
            </w:rPr>
            <w:t>4</w:t>
          </w:r>
          <w:r w:rsidRPr="004C7E1D">
            <w:rPr>
              <w:szCs w:val="13"/>
            </w:rPr>
            <w:fldChar w:fldCharType="end"/>
          </w:r>
        </w:p>
      </w:tc>
    </w:tr>
  </w:tbl>
  <w:p w14:paraId="6EBDEB1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E79EE" w14:paraId="3059BFAA" w14:textId="77777777" w:rsidTr="004C7E1D">
      <w:trPr>
        <w:trHeight w:hRule="exact" w:val="357"/>
      </w:trPr>
      <w:tc>
        <w:tcPr>
          <w:tcW w:w="7709" w:type="dxa"/>
        </w:tcPr>
        <w:p w14:paraId="55F55FD7" w14:textId="77777777" w:rsidR="00D17084" w:rsidRPr="004C7E1D" w:rsidRDefault="00D17084" w:rsidP="004C7E1D">
          <w:pPr>
            <w:spacing w:line="180" w:lineRule="exact"/>
            <w:rPr>
              <w:sz w:val="13"/>
              <w:szCs w:val="13"/>
            </w:rPr>
          </w:pPr>
        </w:p>
      </w:tc>
      <w:tc>
        <w:tcPr>
          <w:tcW w:w="2060" w:type="dxa"/>
        </w:tcPr>
        <w:p w14:paraId="416A916C" w14:textId="56D4DACB" w:rsidR="00D17084" w:rsidRPr="004C7E1D" w:rsidRDefault="00173D5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1D8D">
            <w:rPr>
              <w:szCs w:val="13"/>
            </w:rPr>
            <w:t>4</w:t>
          </w:r>
          <w:r w:rsidRPr="004C7E1D">
            <w:rPr>
              <w:szCs w:val="13"/>
            </w:rPr>
            <w:fldChar w:fldCharType="end"/>
          </w:r>
        </w:p>
      </w:tc>
    </w:tr>
  </w:tbl>
  <w:p w14:paraId="7E1AB80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F0FC" w14:textId="77777777" w:rsidR="00543C8E" w:rsidRDefault="00543C8E">
      <w:r>
        <w:separator/>
      </w:r>
    </w:p>
  </w:footnote>
  <w:footnote w:type="continuationSeparator" w:id="0">
    <w:p w14:paraId="5C32A865" w14:textId="77777777" w:rsidR="00543C8E" w:rsidRDefault="00543C8E">
      <w:r>
        <w:continuationSeparator/>
      </w:r>
    </w:p>
    <w:p w14:paraId="1E73152B" w14:textId="77777777" w:rsidR="00543C8E" w:rsidRDefault="00543C8E"/>
  </w:footnote>
  <w:footnote w:id="1">
    <w:p w14:paraId="5D30F599" w14:textId="77777777" w:rsidR="00711993" w:rsidRPr="00C61322" w:rsidRDefault="00711993" w:rsidP="00711993">
      <w:pPr>
        <w:pStyle w:val="Voetnoottekst"/>
        <w:spacing w:line="240" w:lineRule="auto"/>
      </w:pPr>
      <w:r>
        <w:rPr>
          <w:rStyle w:val="Voetnootmarkering"/>
        </w:rPr>
        <w:footnoteRef/>
      </w:r>
      <w:r>
        <w:t xml:space="preserve"> </w:t>
      </w:r>
      <w:proofErr w:type="spellStart"/>
      <w:r w:rsidRPr="00C325EA">
        <w:t>ResearchNed</w:t>
      </w:r>
      <w:proofErr w:type="spellEnd"/>
      <w:r w:rsidRPr="00C325EA">
        <w:t xml:space="preserve"> (2022). Veilig op school: landelijke veiligheidsmonitor 2020–2021, bijlage bij Kamerstukken II, </w:t>
      </w:r>
      <w:r w:rsidRPr="00C61322">
        <w:t>2021/22, 31 293, nr. 611.</w:t>
      </w:r>
    </w:p>
  </w:footnote>
  <w:footnote w:id="2">
    <w:p w14:paraId="3A4ACAE5" w14:textId="410389CA" w:rsidR="00711993" w:rsidRDefault="00711993" w:rsidP="00711993">
      <w:pPr>
        <w:pStyle w:val="Voetnoottekst"/>
        <w:spacing w:line="240" w:lineRule="auto"/>
      </w:pPr>
      <w:r w:rsidRPr="00C61322">
        <w:rPr>
          <w:rStyle w:val="Voetnootmarkering"/>
        </w:rPr>
        <w:footnoteRef/>
      </w:r>
      <w:r w:rsidRPr="00C61322">
        <w:t xml:space="preserve"> </w:t>
      </w:r>
      <w:proofErr w:type="spellStart"/>
      <w:r w:rsidR="00C61322" w:rsidRPr="00C61322">
        <w:t>Reserachned</w:t>
      </w:r>
      <w:proofErr w:type="spellEnd"/>
      <w:r w:rsidR="00C61322" w:rsidRPr="00C61322">
        <w:t xml:space="preserve"> (2025). Monitor Werkagenda Mbo 2024-2027: Prioriteit 1 - Kansengelijkheid: Meting 2025</w:t>
      </w:r>
      <w:r w:rsidR="00C61322">
        <w:t>.</w:t>
      </w:r>
    </w:p>
  </w:footnote>
  <w:footnote w:id="3">
    <w:p w14:paraId="35BD82C6" w14:textId="73518A48" w:rsidR="004816AA" w:rsidRDefault="004816AA" w:rsidP="004816AA">
      <w:pPr>
        <w:pStyle w:val="Voetnoottekst"/>
        <w:spacing w:line="240" w:lineRule="auto"/>
      </w:pPr>
      <w:r>
        <w:rPr>
          <w:rStyle w:val="Voetnootmarkering"/>
        </w:rPr>
        <w:footnoteRef/>
      </w:r>
      <w:r>
        <w:t xml:space="preserve"> De alliantie tegen seksueel grensoverschrijdend gedrag bestaat uit: de PO-Raad, de </w:t>
      </w:r>
      <w:proofErr w:type="spellStart"/>
      <w:r>
        <w:t>VO-</w:t>
      </w:r>
      <w:r w:rsidR="007D724F">
        <w:t>r</w:t>
      </w:r>
      <w:r>
        <w:t>aad</w:t>
      </w:r>
      <w:proofErr w:type="spellEnd"/>
      <w:r>
        <w:t xml:space="preserve">, </w:t>
      </w:r>
      <w:r w:rsidR="008E4E83">
        <w:t xml:space="preserve">de MBO Raad, </w:t>
      </w:r>
      <w:r>
        <w:t xml:space="preserve">Stichting School &amp; </w:t>
      </w:r>
      <w:r w:rsidR="007D724F">
        <w:t>V</w:t>
      </w:r>
      <w:r>
        <w:t xml:space="preserve">eiligheid, de vertrouwensinspecteurs en OCW.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E79EE" w14:paraId="54379F47" w14:textId="77777777" w:rsidTr="006D2D53">
      <w:trPr>
        <w:trHeight w:hRule="exact" w:val="400"/>
      </w:trPr>
      <w:tc>
        <w:tcPr>
          <w:tcW w:w="7518" w:type="dxa"/>
        </w:tcPr>
        <w:p w14:paraId="1463D038" w14:textId="77777777" w:rsidR="00527BD4" w:rsidRPr="00275984" w:rsidRDefault="00527BD4" w:rsidP="00BF4427">
          <w:pPr>
            <w:pStyle w:val="Huisstijl-Rubricering"/>
          </w:pPr>
        </w:p>
      </w:tc>
    </w:tr>
  </w:tbl>
  <w:p w14:paraId="74E643B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E79EE" w14:paraId="2879DBAA" w14:textId="77777777" w:rsidTr="003B528D">
      <w:tc>
        <w:tcPr>
          <w:tcW w:w="2160" w:type="dxa"/>
        </w:tcPr>
        <w:p w14:paraId="40C03339" w14:textId="77777777" w:rsidR="002F71BB" w:rsidRPr="000407BB" w:rsidRDefault="00173D5E" w:rsidP="005D283A">
          <w:pPr>
            <w:pStyle w:val="Colofonkop"/>
            <w:framePr w:hSpace="0" w:wrap="auto" w:vAnchor="margin" w:hAnchor="text" w:xAlign="left" w:yAlign="inline"/>
          </w:pPr>
          <w:r>
            <w:t>Onze referentie</w:t>
          </w:r>
        </w:p>
      </w:tc>
    </w:tr>
    <w:tr w:rsidR="00BE79EE" w14:paraId="479928FA" w14:textId="77777777" w:rsidTr="002F71BB">
      <w:trPr>
        <w:trHeight w:val="259"/>
      </w:trPr>
      <w:tc>
        <w:tcPr>
          <w:tcW w:w="2160" w:type="dxa"/>
        </w:tcPr>
        <w:p w14:paraId="65ECC6F2" w14:textId="77777777" w:rsidR="00E35CF4" w:rsidRPr="005D283A" w:rsidRDefault="00173D5E" w:rsidP="0049501A">
          <w:pPr>
            <w:spacing w:line="180" w:lineRule="exact"/>
            <w:rPr>
              <w:sz w:val="13"/>
              <w:szCs w:val="13"/>
            </w:rPr>
          </w:pPr>
          <w:r>
            <w:rPr>
              <w:sz w:val="13"/>
              <w:szCs w:val="13"/>
            </w:rPr>
            <w:t>55382557</w:t>
          </w:r>
        </w:p>
      </w:tc>
    </w:tr>
  </w:tbl>
  <w:p w14:paraId="59C5CA5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79EE" w14:paraId="3A01CDA0" w14:textId="77777777" w:rsidTr="001377D4">
      <w:trPr>
        <w:trHeight w:val="2636"/>
      </w:trPr>
      <w:tc>
        <w:tcPr>
          <w:tcW w:w="737" w:type="dxa"/>
        </w:tcPr>
        <w:p w14:paraId="3612CB76" w14:textId="77777777" w:rsidR="00704845" w:rsidRDefault="00704845" w:rsidP="0047126E">
          <w:pPr>
            <w:framePr w:w="6339" w:h="2750" w:hRule="exact" w:hSpace="181" w:wrap="around" w:vAnchor="page" w:hAnchor="page" w:x="5586" w:y="1"/>
            <w:spacing w:line="240" w:lineRule="auto"/>
          </w:pPr>
        </w:p>
      </w:tc>
      <w:tc>
        <w:tcPr>
          <w:tcW w:w="5156" w:type="dxa"/>
        </w:tcPr>
        <w:p w14:paraId="0A1441CA" w14:textId="77777777" w:rsidR="00704845" w:rsidRDefault="00173D5E" w:rsidP="0047126E">
          <w:pPr>
            <w:framePr w:w="3873" w:h="2625" w:hRule="exact" w:wrap="around" w:vAnchor="page" w:hAnchor="page" w:x="6323" w:y="1"/>
          </w:pPr>
          <w:r>
            <w:rPr>
              <w:noProof/>
              <w:lang w:val="en-US" w:eastAsia="en-US"/>
            </w:rPr>
            <w:drawing>
              <wp:inline distT="0" distB="0" distL="0" distR="0" wp14:anchorId="16222851" wp14:editId="3771568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62CA6A4" w14:textId="77777777" w:rsidR="00483ECA" w:rsidRDefault="00483ECA" w:rsidP="00D037A9"/>
      </w:tc>
    </w:tr>
  </w:tbl>
  <w:p w14:paraId="723A4A1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E79EE" w14:paraId="71429DF6" w14:textId="77777777" w:rsidTr="0008539E">
      <w:trPr>
        <w:trHeight w:hRule="exact" w:val="572"/>
      </w:trPr>
      <w:tc>
        <w:tcPr>
          <w:tcW w:w="7520" w:type="dxa"/>
        </w:tcPr>
        <w:p w14:paraId="413A3651" w14:textId="77777777" w:rsidR="00527BD4" w:rsidRPr="00963440" w:rsidRDefault="00173D5E" w:rsidP="00210BA3">
          <w:pPr>
            <w:pStyle w:val="Huisstijl-Adres"/>
            <w:spacing w:after="0"/>
          </w:pPr>
          <w:r w:rsidRPr="009E3B07">
            <w:t>&gt;Retouradres </w:t>
          </w:r>
          <w:r>
            <w:t>Postbus 16375 2500 BJ Den Haag</w:t>
          </w:r>
          <w:r w:rsidRPr="009E3B07">
            <w:t xml:space="preserve"> </w:t>
          </w:r>
        </w:p>
      </w:tc>
    </w:tr>
    <w:tr w:rsidR="00BE79EE" w14:paraId="1D648D7B" w14:textId="77777777" w:rsidTr="00E776C6">
      <w:trPr>
        <w:cantSplit/>
        <w:trHeight w:hRule="exact" w:val="238"/>
      </w:trPr>
      <w:tc>
        <w:tcPr>
          <w:tcW w:w="7520" w:type="dxa"/>
        </w:tcPr>
        <w:p w14:paraId="23B2CCB9" w14:textId="77777777" w:rsidR="00093ABC" w:rsidRPr="00963440" w:rsidRDefault="00093ABC" w:rsidP="00963440"/>
      </w:tc>
    </w:tr>
    <w:tr w:rsidR="00BE79EE" w14:paraId="19D88A48" w14:textId="77777777" w:rsidTr="00E776C6">
      <w:trPr>
        <w:cantSplit/>
        <w:trHeight w:hRule="exact" w:val="1520"/>
      </w:trPr>
      <w:tc>
        <w:tcPr>
          <w:tcW w:w="7520" w:type="dxa"/>
        </w:tcPr>
        <w:p w14:paraId="35946AF8" w14:textId="77777777" w:rsidR="00A604D3" w:rsidRPr="00963440" w:rsidRDefault="00A604D3" w:rsidP="00963440"/>
      </w:tc>
    </w:tr>
    <w:tr w:rsidR="00BE79EE" w14:paraId="0FFC2630" w14:textId="77777777" w:rsidTr="00E776C6">
      <w:trPr>
        <w:trHeight w:hRule="exact" w:val="1077"/>
      </w:trPr>
      <w:tc>
        <w:tcPr>
          <w:tcW w:w="7520" w:type="dxa"/>
        </w:tcPr>
        <w:p w14:paraId="233DABFF" w14:textId="77777777" w:rsidR="00892BA5" w:rsidRPr="00035E67" w:rsidRDefault="00892BA5" w:rsidP="00892BA5">
          <w:pPr>
            <w:tabs>
              <w:tab w:val="left" w:pos="740"/>
            </w:tabs>
            <w:autoSpaceDE w:val="0"/>
            <w:autoSpaceDN w:val="0"/>
            <w:adjustRightInd w:val="0"/>
            <w:rPr>
              <w:rFonts w:cs="Verdana"/>
              <w:szCs w:val="18"/>
            </w:rPr>
          </w:pPr>
        </w:p>
      </w:tc>
    </w:tr>
  </w:tbl>
  <w:p w14:paraId="5751BD07" w14:textId="77777777" w:rsidR="006F273B" w:rsidRDefault="006F273B" w:rsidP="00BC4AE3">
    <w:pPr>
      <w:pStyle w:val="Koptekst"/>
    </w:pPr>
  </w:p>
  <w:p w14:paraId="75CD9B38" w14:textId="77777777" w:rsidR="00153BD0" w:rsidRDefault="00153BD0" w:rsidP="00BC4AE3">
    <w:pPr>
      <w:pStyle w:val="Koptekst"/>
    </w:pPr>
  </w:p>
  <w:p w14:paraId="6BC89FD6" w14:textId="77777777" w:rsidR="0044605E" w:rsidRDefault="0044605E" w:rsidP="00BC4AE3">
    <w:pPr>
      <w:pStyle w:val="Koptekst"/>
    </w:pPr>
  </w:p>
  <w:p w14:paraId="0AA8D58C" w14:textId="77777777" w:rsidR="0044605E" w:rsidRDefault="0044605E" w:rsidP="00BC4AE3">
    <w:pPr>
      <w:pStyle w:val="Koptekst"/>
    </w:pPr>
  </w:p>
  <w:p w14:paraId="0A1518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32C8CA">
      <w:start w:val="1"/>
      <w:numFmt w:val="bullet"/>
      <w:pStyle w:val="Lijstopsomteken"/>
      <w:lvlText w:val="•"/>
      <w:lvlJc w:val="left"/>
      <w:pPr>
        <w:tabs>
          <w:tab w:val="num" w:pos="227"/>
        </w:tabs>
        <w:ind w:left="227" w:hanging="227"/>
      </w:pPr>
      <w:rPr>
        <w:rFonts w:ascii="Verdana" w:hAnsi="Verdana" w:hint="default"/>
        <w:sz w:val="18"/>
        <w:szCs w:val="18"/>
      </w:rPr>
    </w:lvl>
    <w:lvl w:ilvl="1" w:tplc="8F9260D0" w:tentative="1">
      <w:start w:val="1"/>
      <w:numFmt w:val="bullet"/>
      <w:lvlText w:val="o"/>
      <w:lvlJc w:val="left"/>
      <w:pPr>
        <w:tabs>
          <w:tab w:val="num" w:pos="1440"/>
        </w:tabs>
        <w:ind w:left="1440" w:hanging="360"/>
      </w:pPr>
      <w:rPr>
        <w:rFonts w:ascii="Courier New" w:hAnsi="Courier New" w:cs="Courier New" w:hint="default"/>
      </w:rPr>
    </w:lvl>
    <w:lvl w:ilvl="2" w:tplc="99560A4A" w:tentative="1">
      <w:start w:val="1"/>
      <w:numFmt w:val="bullet"/>
      <w:lvlText w:val=""/>
      <w:lvlJc w:val="left"/>
      <w:pPr>
        <w:tabs>
          <w:tab w:val="num" w:pos="2160"/>
        </w:tabs>
        <w:ind w:left="2160" w:hanging="360"/>
      </w:pPr>
      <w:rPr>
        <w:rFonts w:ascii="Wingdings" w:hAnsi="Wingdings" w:hint="default"/>
      </w:rPr>
    </w:lvl>
    <w:lvl w:ilvl="3" w:tplc="2C5C215E" w:tentative="1">
      <w:start w:val="1"/>
      <w:numFmt w:val="bullet"/>
      <w:lvlText w:val=""/>
      <w:lvlJc w:val="left"/>
      <w:pPr>
        <w:tabs>
          <w:tab w:val="num" w:pos="2880"/>
        </w:tabs>
        <w:ind w:left="2880" w:hanging="360"/>
      </w:pPr>
      <w:rPr>
        <w:rFonts w:ascii="Symbol" w:hAnsi="Symbol" w:hint="default"/>
      </w:rPr>
    </w:lvl>
    <w:lvl w:ilvl="4" w:tplc="6D18CE3E" w:tentative="1">
      <w:start w:val="1"/>
      <w:numFmt w:val="bullet"/>
      <w:lvlText w:val="o"/>
      <w:lvlJc w:val="left"/>
      <w:pPr>
        <w:tabs>
          <w:tab w:val="num" w:pos="3600"/>
        </w:tabs>
        <w:ind w:left="3600" w:hanging="360"/>
      </w:pPr>
      <w:rPr>
        <w:rFonts w:ascii="Courier New" w:hAnsi="Courier New" w:cs="Courier New" w:hint="default"/>
      </w:rPr>
    </w:lvl>
    <w:lvl w:ilvl="5" w:tplc="BBAC61D0" w:tentative="1">
      <w:start w:val="1"/>
      <w:numFmt w:val="bullet"/>
      <w:lvlText w:val=""/>
      <w:lvlJc w:val="left"/>
      <w:pPr>
        <w:tabs>
          <w:tab w:val="num" w:pos="4320"/>
        </w:tabs>
        <w:ind w:left="4320" w:hanging="360"/>
      </w:pPr>
      <w:rPr>
        <w:rFonts w:ascii="Wingdings" w:hAnsi="Wingdings" w:hint="default"/>
      </w:rPr>
    </w:lvl>
    <w:lvl w:ilvl="6" w:tplc="C93A329C" w:tentative="1">
      <w:start w:val="1"/>
      <w:numFmt w:val="bullet"/>
      <w:lvlText w:val=""/>
      <w:lvlJc w:val="left"/>
      <w:pPr>
        <w:tabs>
          <w:tab w:val="num" w:pos="5040"/>
        </w:tabs>
        <w:ind w:left="5040" w:hanging="360"/>
      </w:pPr>
      <w:rPr>
        <w:rFonts w:ascii="Symbol" w:hAnsi="Symbol" w:hint="default"/>
      </w:rPr>
    </w:lvl>
    <w:lvl w:ilvl="7" w:tplc="1B5CF4FA" w:tentative="1">
      <w:start w:val="1"/>
      <w:numFmt w:val="bullet"/>
      <w:lvlText w:val="o"/>
      <w:lvlJc w:val="left"/>
      <w:pPr>
        <w:tabs>
          <w:tab w:val="num" w:pos="5760"/>
        </w:tabs>
        <w:ind w:left="5760" w:hanging="360"/>
      </w:pPr>
      <w:rPr>
        <w:rFonts w:ascii="Courier New" w:hAnsi="Courier New" w:cs="Courier New" w:hint="default"/>
      </w:rPr>
    </w:lvl>
    <w:lvl w:ilvl="8" w:tplc="9A589A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DC2550">
      <w:start w:val="1"/>
      <w:numFmt w:val="bullet"/>
      <w:pStyle w:val="Lijstopsomteken2"/>
      <w:lvlText w:val="–"/>
      <w:lvlJc w:val="left"/>
      <w:pPr>
        <w:tabs>
          <w:tab w:val="num" w:pos="227"/>
        </w:tabs>
        <w:ind w:left="227" w:firstLine="0"/>
      </w:pPr>
      <w:rPr>
        <w:rFonts w:ascii="Verdana" w:hAnsi="Verdana" w:hint="default"/>
      </w:rPr>
    </w:lvl>
    <w:lvl w:ilvl="1" w:tplc="B0DA0DDA" w:tentative="1">
      <w:start w:val="1"/>
      <w:numFmt w:val="bullet"/>
      <w:lvlText w:val="o"/>
      <w:lvlJc w:val="left"/>
      <w:pPr>
        <w:tabs>
          <w:tab w:val="num" w:pos="1440"/>
        </w:tabs>
        <w:ind w:left="1440" w:hanging="360"/>
      </w:pPr>
      <w:rPr>
        <w:rFonts w:ascii="Courier New" w:hAnsi="Courier New" w:cs="Courier New" w:hint="default"/>
      </w:rPr>
    </w:lvl>
    <w:lvl w:ilvl="2" w:tplc="C908B0E2" w:tentative="1">
      <w:start w:val="1"/>
      <w:numFmt w:val="bullet"/>
      <w:lvlText w:val=""/>
      <w:lvlJc w:val="left"/>
      <w:pPr>
        <w:tabs>
          <w:tab w:val="num" w:pos="2160"/>
        </w:tabs>
        <w:ind w:left="2160" w:hanging="360"/>
      </w:pPr>
      <w:rPr>
        <w:rFonts w:ascii="Wingdings" w:hAnsi="Wingdings" w:hint="default"/>
      </w:rPr>
    </w:lvl>
    <w:lvl w:ilvl="3" w:tplc="6A3039FE" w:tentative="1">
      <w:start w:val="1"/>
      <w:numFmt w:val="bullet"/>
      <w:lvlText w:val=""/>
      <w:lvlJc w:val="left"/>
      <w:pPr>
        <w:tabs>
          <w:tab w:val="num" w:pos="2880"/>
        </w:tabs>
        <w:ind w:left="2880" w:hanging="360"/>
      </w:pPr>
      <w:rPr>
        <w:rFonts w:ascii="Symbol" w:hAnsi="Symbol" w:hint="default"/>
      </w:rPr>
    </w:lvl>
    <w:lvl w:ilvl="4" w:tplc="246EE3F0" w:tentative="1">
      <w:start w:val="1"/>
      <w:numFmt w:val="bullet"/>
      <w:lvlText w:val="o"/>
      <w:lvlJc w:val="left"/>
      <w:pPr>
        <w:tabs>
          <w:tab w:val="num" w:pos="3600"/>
        </w:tabs>
        <w:ind w:left="3600" w:hanging="360"/>
      </w:pPr>
      <w:rPr>
        <w:rFonts w:ascii="Courier New" w:hAnsi="Courier New" w:cs="Courier New" w:hint="default"/>
      </w:rPr>
    </w:lvl>
    <w:lvl w:ilvl="5" w:tplc="1452F4B8" w:tentative="1">
      <w:start w:val="1"/>
      <w:numFmt w:val="bullet"/>
      <w:lvlText w:val=""/>
      <w:lvlJc w:val="left"/>
      <w:pPr>
        <w:tabs>
          <w:tab w:val="num" w:pos="4320"/>
        </w:tabs>
        <w:ind w:left="4320" w:hanging="360"/>
      </w:pPr>
      <w:rPr>
        <w:rFonts w:ascii="Wingdings" w:hAnsi="Wingdings" w:hint="default"/>
      </w:rPr>
    </w:lvl>
    <w:lvl w:ilvl="6" w:tplc="C298FAE8" w:tentative="1">
      <w:start w:val="1"/>
      <w:numFmt w:val="bullet"/>
      <w:lvlText w:val=""/>
      <w:lvlJc w:val="left"/>
      <w:pPr>
        <w:tabs>
          <w:tab w:val="num" w:pos="5040"/>
        </w:tabs>
        <w:ind w:left="5040" w:hanging="360"/>
      </w:pPr>
      <w:rPr>
        <w:rFonts w:ascii="Symbol" w:hAnsi="Symbol" w:hint="default"/>
      </w:rPr>
    </w:lvl>
    <w:lvl w:ilvl="7" w:tplc="4E28C480" w:tentative="1">
      <w:start w:val="1"/>
      <w:numFmt w:val="bullet"/>
      <w:lvlText w:val="o"/>
      <w:lvlJc w:val="left"/>
      <w:pPr>
        <w:tabs>
          <w:tab w:val="num" w:pos="5760"/>
        </w:tabs>
        <w:ind w:left="5760" w:hanging="360"/>
      </w:pPr>
      <w:rPr>
        <w:rFonts w:ascii="Courier New" w:hAnsi="Courier New" w:cs="Courier New" w:hint="default"/>
      </w:rPr>
    </w:lvl>
    <w:lvl w:ilvl="8" w:tplc="0630A4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0669871">
    <w:abstractNumId w:val="10"/>
  </w:num>
  <w:num w:numId="2" w16cid:durableId="1138844692">
    <w:abstractNumId w:val="7"/>
  </w:num>
  <w:num w:numId="3" w16cid:durableId="1860466887">
    <w:abstractNumId w:val="6"/>
  </w:num>
  <w:num w:numId="4" w16cid:durableId="2089765012">
    <w:abstractNumId w:val="5"/>
  </w:num>
  <w:num w:numId="5" w16cid:durableId="195586181">
    <w:abstractNumId w:val="4"/>
  </w:num>
  <w:num w:numId="6" w16cid:durableId="1708487533">
    <w:abstractNumId w:val="8"/>
  </w:num>
  <w:num w:numId="7" w16cid:durableId="1575970341">
    <w:abstractNumId w:val="3"/>
  </w:num>
  <w:num w:numId="8" w16cid:durableId="457990360">
    <w:abstractNumId w:val="2"/>
  </w:num>
  <w:num w:numId="9" w16cid:durableId="761995485">
    <w:abstractNumId w:val="1"/>
  </w:num>
  <w:num w:numId="10" w16cid:durableId="1932741249">
    <w:abstractNumId w:val="0"/>
  </w:num>
  <w:num w:numId="11" w16cid:durableId="1351026871">
    <w:abstractNumId w:val="9"/>
  </w:num>
  <w:num w:numId="12" w16cid:durableId="481242415">
    <w:abstractNumId w:val="11"/>
  </w:num>
  <w:num w:numId="13" w16cid:durableId="435757698">
    <w:abstractNumId w:val="13"/>
  </w:num>
  <w:num w:numId="14" w16cid:durableId="2858157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1D8D"/>
    <w:rsid w:val="00023E9A"/>
    <w:rsid w:val="00025A42"/>
    <w:rsid w:val="00033CDD"/>
    <w:rsid w:val="00034A84"/>
    <w:rsid w:val="00034D28"/>
    <w:rsid w:val="00035E67"/>
    <w:rsid w:val="000366F3"/>
    <w:rsid w:val="000407BB"/>
    <w:rsid w:val="000509C8"/>
    <w:rsid w:val="00052DF0"/>
    <w:rsid w:val="0005404B"/>
    <w:rsid w:val="0005447D"/>
    <w:rsid w:val="000546DE"/>
    <w:rsid w:val="0006024D"/>
    <w:rsid w:val="00062055"/>
    <w:rsid w:val="00065462"/>
    <w:rsid w:val="00071F28"/>
    <w:rsid w:val="00074079"/>
    <w:rsid w:val="0007602C"/>
    <w:rsid w:val="000765B6"/>
    <w:rsid w:val="00080166"/>
    <w:rsid w:val="0008289C"/>
    <w:rsid w:val="0008539E"/>
    <w:rsid w:val="00092799"/>
    <w:rsid w:val="00092A99"/>
    <w:rsid w:val="00092C5F"/>
    <w:rsid w:val="00093ABC"/>
    <w:rsid w:val="00096680"/>
    <w:rsid w:val="000A0F36"/>
    <w:rsid w:val="000A174A"/>
    <w:rsid w:val="000A3E0A"/>
    <w:rsid w:val="000A65AC"/>
    <w:rsid w:val="000B6119"/>
    <w:rsid w:val="000B7281"/>
    <w:rsid w:val="000B7FAB"/>
    <w:rsid w:val="000C1BA1"/>
    <w:rsid w:val="000C3EA9"/>
    <w:rsid w:val="000C4A32"/>
    <w:rsid w:val="000C5B43"/>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090C"/>
    <w:rsid w:val="001177B4"/>
    <w:rsid w:val="00122CF9"/>
    <w:rsid w:val="00123704"/>
    <w:rsid w:val="001270C7"/>
    <w:rsid w:val="00132540"/>
    <w:rsid w:val="00136822"/>
    <w:rsid w:val="001377D4"/>
    <w:rsid w:val="00142E41"/>
    <w:rsid w:val="0014786A"/>
    <w:rsid w:val="001516A4"/>
    <w:rsid w:val="00151E5F"/>
    <w:rsid w:val="00153BD0"/>
    <w:rsid w:val="00154514"/>
    <w:rsid w:val="001569AB"/>
    <w:rsid w:val="00164D63"/>
    <w:rsid w:val="0016725C"/>
    <w:rsid w:val="00167DE5"/>
    <w:rsid w:val="0017008F"/>
    <w:rsid w:val="001726F3"/>
    <w:rsid w:val="00173C51"/>
    <w:rsid w:val="00173D5E"/>
    <w:rsid w:val="001740B9"/>
    <w:rsid w:val="00174CC2"/>
    <w:rsid w:val="00176CC6"/>
    <w:rsid w:val="00177B41"/>
    <w:rsid w:val="0018193C"/>
    <w:rsid w:val="00181BE4"/>
    <w:rsid w:val="001841EB"/>
    <w:rsid w:val="0018496F"/>
    <w:rsid w:val="00184B30"/>
    <w:rsid w:val="00185576"/>
    <w:rsid w:val="00185951"/>
    <w:rsid w:val="0019446E"/>
    <w:rsid w:val="00194A00"/>
    <w:rsid w:val="00196B8B"/>
    <w:rsid w:val="001A0BFA"/>
    <w:rsid w:val="001A1608"/>
    <w:rsid w:val="001A2BEA"/>
    <w:rsid w:val="001A325F"/>
    <w:rsid w:val="001A6D93"/>
    <w:rsid w:val="001B1D55"/>
    <w:rsid w:val="001B2BBA"/>
    <w:rsid w:val="001B35FA"/>
    <w:rsid w:val="001B75C8"/>
    <w:rsid w:val="001C006F"/>
    <w:rsid w:val="001C2C36"/>
    <w:rsid w:val="001C32EC"/>
    <w:rsid w:val="001C38BD"/>
    <w:rsid w:val="001C4D5A"/>
    <w:rsid w:val="001E0256"/>
    <w:rsid w:val="001E34C6"/>
    <w:rsid w:val="001E5581"/>
    <w:rsid w:val="001E7E57"/>
    <w:rsid w:val="001F3C70"/>
    <w:rsid w:val="001F40DF"/>
    <w:rsid w:val="00200D88"/>
    <w:rsid w:val="00201C09"/>
    <w:rsid w:val="00201F68"/>
    <w:rsid w:val="00203C58"/>
    <w:rsid w:val="00210BA3"/>
    <w:rsid w:val="00212F2A"/>
    <w:rsid w:val="00214F2B"/>
    <w:rsid w:val="00215356"/>
    <w:rsid w:val="00215964"/>
    <w:rsid w:val="00215D8B"/>
    <w:rsid w:val="00217880"/>
    <w:rsid w:val="00222D66"/>
    <w:rsid w:val="0022441A"/>
    <w:rsid w:val="00224A8A"/>
    <w:rsid w:val="002309A8"/>
    <w:rsid w:val="00236CFE"/>
    <w:rsid w:val="00241582"/>
    <w:rsid w:val="002428E3"/>
    <w:rsid w:val="0024430A"/>
    <w:rsid w:val="00245FF7"/>
    <w:rsid w:val="00253B65"/>
    <w:rsid w:val="0026060B"/>
    <w:rsid w:val="00260BAF"/>
    <w:rsid w:val="002610A6"/>
    <w:rsid w:val="00263FD6"/>
    <w:rsid w:val="002650F7"/>
    <w:rsid w:val="0026686B"/>
    <w:rsid w:val="00272325"/>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13C6"/>
    <w:rsid w:val="002C26D0"/>
    <w:rsid w:val="002C2830"/>
    <w:rsid w:val="002C3CE0"/>
    <w:rsid w:val="002C40AF"/>
    <w:rsid w:val="002C62BB"/>
    <w:rsid w:val="002C6813"/>
    <w:rsid w:val="002D001A"/>
    <w:rsid w:val="002D28E2"/>
    <w:rsid w:val="002D317B"/>
    <w:rsid w:val="002D3587"/>
    <w:rsid w:val="002D3F4E"/>
    <w:rsid w:val="002D4461"/>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3DA4"/>
    <w:rsid w:val="00364D9D"/>
    <w:rsid w:val="00371048"/>
    <w:rsid w:val="0037396C"/>
    <w:rsid w:val="0037421D"/>
    <w:rsid w:val="00374412"/>
    <w:rsid w:val="003749D2"/>
    <w:rsid w:val="00376093"/>
    <w:rsid w:val="0037715E"/>
    <w:rsid w:val="00383DA1"/>
    <w:rsid w:val="00385F30"/>
    <w:rsid w:val="00387600"/>
    <w:rsid w:val="00393696"/>
    <w:rsid w:val="00393963"/>
    <w:rsid w:val="00394283"/>
    <w:rsid w:val="00395575"/>
    <w:rsid w:val="00395672"/>
    <w:rsid w:val="003A06C8"/>
    <w:rsid w:val="003A0D7C"/>
    <w:rsid w:val="003A7160"/>
    <w:rsid w:val="003B0155"/>
    <w:rsid w:val="003B09DB"/>
    <w:rsid w:val="003B4551"/>
    <w:rsid w:val="003B528D"/>
    <w:rsid w:val="003B7EE7"/>
    <w:rsid w:val="003C2CCB"/>
    <w:rsid w:val="003C4A1C"/>
    <w:rsid w:val="003C5BCB"/>
    <w:rsid w:val="003C7477"/>
    <w:rsid w:val="003D0242"/>
    <w:rsid w:val="003D39EC"/>
    <w:rsid w:val="003D40EA"/>
    <w:rsid w:val="003E3DD5"/>
    <w:rsid w:val="003F03F4"/>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4BD4"/>
    <w:rsid w:val="00463A63"/>
    <w:rsid w:val="00465B52"/>
    <w:rsid w:val="0046708E"/>
    <w:rsid w:val="00467D61"/>
    <w:rsid w:val="0047126E"/>
    <w:rsid w:val="004722BE"/>
    <w:rsid w:val="00472A65"/>
    <w:rsid w:val="00474463"/>
    <w:rsid w:val="00474B75"/>
    <w:rsid w:val="004764F9"/>
    <w:rsid w:val="00480E05"/>
    <w:rsid w:val="004816AA"/>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02FC"/>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2542"/>
    <w:rsid w:val="00505262"/>
    <w:rsid w:val="005107B1"/>
    <w:rsid w:val="00516022"/>
    <w:rsid w:val="00521CEE"/>
    <w:rsid w:val="00527BD4"/>
    <w:rsid w:val="00533061"/>
    <w:rsid w:val="00533FA1"/>
    <w:rsid w:val="00534C77"/>
    <w:rsid w:val="00535573"/>
    <w:rsid w:val="00535FF2"/>
    <w:rsid w:val="005403C8"/>
    <w:rsid w:val="00541AD9"/>
    <w:rsid w:val="005429DC"/>
    <w:rsid w:val="00543C8E"/>
    <w:rsid w:val="00551E69"/>
    <w:rsid w:val="00551F8E"/>
    <w:rsid w:val="005565F9"/>
    <w:rsid w:val="00557309"/>
    <w:rsid w:val="005639D2"/>
    <w:rsid w:val="00565739"/>
    <w:rsid w:val="00573041"/>
    <w:rsid w:val="005739CC"/>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C3F"/>
    <w:rsid w:val="005B3441"/>
    <w:rsid w:val="005B463E"/>
    <w:rsid w:val="005B4FAC"/>
    <w:rsid w:val="005B5D8B"/>
    <w:rsid w:val="005B712D"/>
    <w:rsid w:val="005C34E1"/>
    <w:rsid w:val="005C3FE0"/>
    <w:rsid w:val="005C4C82"/>
    <w:rsid w:val="005C740C"/>
    <w:rsid w:val="005D283A"/>
    <w:rsid w:val="005D625B"/>
    <w:rsid w:val="005E3322"/>
    <w:rsid w:val="005E436C"/>
    <w:rsid w:val="005E64E2"/>
    <w:rsid w:val="005F4042"/>
    <w:rsid w:val="005F62D3"/>
    <w:rsid w:val="005F6D11"/>
    <w:rsid w:val="00600CF0"/>
    <w:rsid w:val="006048F4"/>
    <w:rsid w:val="0060660A"/>
    <w:rsid w:val="00610A24"/>
    <w:rsid w:val="00613B1D"/>
    <w:rsid w:val="00617311"/>
    <w:rsid w:val="00617A44"/>
    <w:rsid w:val="006202B6"/>
    <w:rsid w:val="006205C0"/>
    <w:rsid w:val="00620AE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377"/>
    <w:rsid w:val="00682E02"/>
    <w:rsid w:val="00685545"/>
    <w:rsid w:val="006864B3"/>
    <w:rsid w:val="00686AED"/>
    <w:rsid w:val="00687511"/>
    <w:rsid w:val="00692BA9"/>
    <w:rsid w:val="00692C30"/>
    <w:rsid w:val="00692D64"/>
    <w:rsid w:val="00697943"/>
    <w:rsid w:val="006A10F8"/>
    <w:rsid w:val="006A2100"/>
    <w:rsid w:val="006A7D8F"/>
    <w:rsid w:val="006B0BF3"/>
    <w:rsid w:val="006B12F6"/>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1993"/>
    <w:rsid w:val="00714DC5"/>
    <w:rsid w:val="00715237"/>
    <w:rsid w:val="007174F4"/>
    <w:rsid w:val="00721D2E"/>
    <w:rsid w:val="00722895"/>
    <w:rsid w:val="007242CC"/>
    <w:rsid w:val="00724A8B"/>
    <w:rsid w:val="00724D98"/>
    <w:rsid w:val="007254A5"/>
    <w:rsid w:val="00725748"/>
    <w:rsid w:val="00727AAC"/>
    <w:rsid w:val="0073019E"/>
    <w:rsid w:val="00734BD8"/>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3B64"/>
    <w:rsid w:val="007A4105"/>
    <w:rsid w:val="007A4F0E"/>
    <w:rsid w:val="007A514C"/>
    <w:rsid w:val="007A6210"/>
    <w:rsid w:val="007B0D8E"/>
    <w:rsid w:val="007B4503"/>
    <w:rsid w:val="007C03C9"/>
    <w:rsid w:val="007C16D8"/>
    <w:rsid w:val="007C406E"/>
    <w:rsid w:val="007C5183"/>
    <w:rsid w:val="007C7573"/>
    <w:rsid w:val="007D724F"/>
    <w:rsid w:val="007E14E4"/>
    <w:rsid w:val="007E19A0"/>
    <w:rsid w:val="007E28B9"/>
    <w:rsid w:val="007E2B20"/>
    <w:rsid w:val="007E67BF"/>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109C"/>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4E83"/>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40D0"/>
    <w:rsid w:val="0094000D"/>
    <w:rsid w:val="00940206"/>
    <w:rsid w:val="00940311"/>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14FE"/>
    <w:rsid w:val="00A056DE"/>
    <w:rsid w:val="00A0678A"/>
    <w:rsid w:val="00A126D5"/>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556"/>
    <w:rsid w:val="00AB237D"/>
    <w:rsid w:val="00AB50E6"/>
    <w:rsid w:val="00AB5933"/>
    <w:rsid w:val="00AD34B3"/>
    <w:rsid w:val="00AD5B44"/>
    <w:rsid w:val="00AD7608"/>
    <w:rsid w:val="00AE013D"/>
    <w:rsid w:val="00AE11B7"/>
    <w:rsid w:val="00AE18BA"/>
    <w:rsid w:val="00AE7130"/>
    <w:rsid w:val="00AE7F68"/>
    <w:rsid w:val="00AF2321"/>
    <w:rsid w:val="00AF4F14"/>
    <w:rsid w:val="00AF52F6"/>
    <w:rsid w:val="00AF7237"/>
    <w:rsid w:val="00B0043A"/>
    <w:rsid w:val="00B00D75"/>
    <w:rsid w:val="00B0690C"/>
    <w:rsid w:val="00B070CB"/>
    <w:rsid w:val="00B10101"/>
    <w:rsid w:val="00B12456"/>
    <w:rsid w:val="00B132B0"/>
    <w:rsid w:val="00B173C6"/>
    <w:rsid w:val="00B20109"/>
    <w:rsid w:val="00B21FF9"/>
    <w:rsid w:val="00B220A5"/>
    <w:rsid w:val="00B2317A"/>
    <w:rsid w:val="00B24B14"/>
    <w:rsid w:val="00B259C8"/>
    <w:rsid w:val="00B26CCF"/>
    <w:rsid w:val="00B30FC2"/>
    <w:rsid w:val="00B31BA0"/>
    <w:rsid w:val="00B331A2"/>
    <w:rsid w:val="00B33CF2"/>
    <w:rsid w:val="00B350A2"/>
    <w:rsid w:val="00B425F0"/>
    <w:rsid w:val="00B42DFA"/>
    <w:rsid w:val="00B47105"/>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90C"/>
    <w:rsid w:val="00BA7E0A"/>
    <w:rsid w:val="00BB61B0"/>
    <w:rsid w:val="00BC0D9E"/>
    <w:rsid w:val="00BC3B53"/>
    <w:rsid w:val="00BC3B96"/>
    <w:rsid w:val="00BC4AE3"/>
    <w:rsid w:val="00BC5B28"/>
    <w:rsid w:val="00BC7264"/>
    <w:rsid w:val="00BE17D4"/>
    <w:rsid w:val="00BE2863"/>
    <w:rsid w:val="00BE29A2"/>
    <w:rsid w:val="00BE3F88"/>
    <w:rsid w:val="00BE4756"/>
    <w:rsid w:val="00BE5ED9"/>
    <w:rsid w:val="00BE79EE"/>
    <w:rsid w:val="00BE7B41"/>
    <w:rsid w:val="00BF4427"/>
    <w:rsid w:val="00BF46B6"/>
    <w:rsid w:val="00BF5675"/>
    <w:rsid w:val="00C15A91"/>
    <w:rsid w:val="00C206F1"/>
    <w:rsid w:val="00C2159D"/>
    <w:rsid w:val="00C217E1"/>
    <w:rsid w:val="00C219B1"/>
    <w:rsid w:val="00C231E2"/>
    <w:rsid w:val="00C2703D"/>
    <w:rsid w:val="00C30A09"/>
    <w:rsid w:val="00C325EA"/>
    <w:rsid w:val="00C32613"/>
    <w:rsid w:val="00C352B6"/>
    <w:rsid w:val="00C4015B"/>
    <w:rsid w:val="00C4044E"/>
    <w:rsid w:val="00C40C60"/>
    <w:rsid w:val="00C44487"/>
    <w:rsid w:val="00C47F04"/>
    <w:rsid w:val="00C50E87"/>
    <w:rsid w:val="00C5258E"/>
    <w:rsid w:val="00C5333A"/>
    <w:rsid w:val="00C53BD7"/>
    <w:rsid w:val="00C55923"/>
    <w:rsid w:val="00C61322"/>
    <w:rsid w:val="00C619A7"/>
    <w:rsid w:val="00C64E34"/>
    <w:rsid w:val="00C6545E"/>
    <w:rsid w:val="00C7013F"/>
    <w:rsid w:val="00C7097A"/>
    <w:rsid w:val="00C736E8"/>
    <w:rsid w:val="00C73D5F"/>
    <w:rsid w:val="00C83543"/>
    <w:rsid w:val="00C965EF"/>
    <w:rsid w:val="00C97C80"/>
    <w:rsid w:val="00CA1D00"/>
    <w:rsid w:val="00CA35E4"/>
    <w:rsid w:val="00CA47D3"/>
    <w:rsid w:val="00CA50A2"/>
    <w:rsid w:val="00CA6533"/>
    <w:rsid w:val="00CA6A25"/>
    <w:rsid w:val="00CA6A3F"/>
    <w:rsid w:val="00CA7C99"/>
    <w:rsid w:val="00CB6337"/>
    <w:rsid w:val="00CC15DE"/>
    <w:rsid w:val="00CC6290"/>
    <w:rsid w:val="00CD0A93"/>
    <w:rsid w:val="00CD233D"/>
    <w:rsid w:val="00CD362D"/>
    <w:rsid w:val="00CE101D"/>
    <w:rsid w:val="00CE1C84"/>
    <w:rsid w:val="00CE4E63"/>
    <w:rsid w:val="00CE5055"/>
    <w:rsid w:val="00CE6426"/>
    <w:rsid w:val="00CF053F"/>
    <w:rsid w:val="00CF19E8"/>
    <w:rsid w:val="00CF1A17"/>
    <w:rsid w:val="00CF6AA5"/>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6F2"/>
    <w:rsid w:val="00D33144"/>
    <w:rsid w:val="00D33BF0"/>
    <w:rsid w:val="00D33F30"/>
    <w:rsid w:val="00D34892"/>
    <w:rsid w:val="00D36088"/>
    <w:rsid w:val="00D36447"/>
    <w:rsid w:val="00D369D7"/>
    <w:rsid w:val="00D41CE8"/>
    <w:rsid w:val="00D43FDA"/>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5FC"/>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2F7A"/>
    <w:rsid w:val="00E74D10"/>
    <w:rsid w:val="00E776C6"/>
    <w:rsid w:val="00E77F89"/>
    <w:rsid w:val="00E80E71"/>
    <w:rsid w:val="00E81589"/>
    <w:rsid w:val="00E850D3"/>
    <w:rsid w:val="00E853D6"/>
    <w:rsid w:val="00E8544F"/>
    <w:rsid w:val="00E85F59"/>
    <w:rsid w:val="00E876B9"/>
    <w:rsid w:val="00E91227"/>
    <w:rsid w:val="00E91B40"/>
    <w:rsid w:val="00E91F7C"/>
    <w:rsid w:val="00E93891"/>
    <w:rsid w:val="00E94D82"/>
    <w:rsid w:val="00E972A2"/>
    <w:rsid w:val="00EA513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17F94"/>
    <w:rsid w:val="00F20147"/>
    <w:rsid w:val="00F21BEF"/>
    <w:rsid w:val="00F2315B"/>
    <w:rsid w:val="00F31111"/>
    <w:rsid w:val="00F3714B"/>
    <w:rsid w:val="00F40F11"/>
    <w:rsid w:val="00F41A6F"/>
    <w:rsid w:val="00F424C6"/>
    <w:rsid w:val="00F45A25"/>
    <w:rsid w:val="00F50F86"/>
    <w:rsid w:val="00F51A76"/>
    <w:rsid w:val="00F5232A"/>
    <w:rsid w:val="00F53862"/>
    <w:rsid w:val="00F53C9D"/>
    <w:rsid w:val="00F53F91"/>
    <w:rsid w:val="00F54B9F"/>
    <w:rsid w:val="00F61569"/>
    <w:rsid w:val="00F61A72"/>
    <w:rsid w:val="00F62B67"/>
    <w:rsid w:val="00F66F13"/>
    <w:rsid w:val="00F7145D"/>
    <w:rsid w:val="00F71B5E"/>
    <w:rsid w:val="00F74073"/>
    <w:rsid w:val="00F75603"/>
    <w:rsid w:val="00F77BE5"/>
    <w:rsid w:val="00F82D65"/>
    <w:rsid w:val="00F845B4"/>
    <w:rsid w:val="00F8713B"/>
    <w:rsid w:val="00F904FB"/>
    <w:rsid w:val="00F93F9E"/>
    <w:rsid w:val="00F950BC"/>
    <w:rsid w:val="00FA2CD7"/>
    <w:rsid w:val="00FA5AD5"/>
    <w:rsid w:val="00FA7882"/>
    <w:rsid w:val="00FB06ED"/>
    <w:rsid w:val="00FB42A3"/>
    <w:rsid w:val="00FB62D4"/>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477E"/>
  <w15:docId w15:val="{88902709-D1E9-41E0-BDD7-23DECCED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173D5E"/>
    <w:rPr>
      <w:rFonts w:ascii="Verdana" w:hAnsi="Verdana"/>
      <w:sz w:val="13"/>
      <w:lang w:val="nl-NL" w:eastAsia="nl-NL"/>
    </w:rPr>
  </w:style>
  <w:style w:type="character" w:styleId="Voetnootmarkering">
    <w:name w:val="footnote reference"/>
    <w:basedOn w:val="Standaardalinea-lettertype"/>
    <w:rsid w:val="00173D5E"/>
    <w:rPr>
      <w:vertAlign w:val="superscript"/>
    </w:rPr>
  </w:style>
  <w:style w:type="character" w:styleId="Verwijzingopmerking">
    <w:name w:val="annotation reference"/>
    <w:basedOn w:val="Standaardalinea-lettertype"/>
    <w:rsid w:val="00B10101"/>
    <w:rPr>
      <w:sz w:val="16"/>
      <w:szCs w:val="16"/>
    </w:rPr>
  </w:style>
  <w:style w:type="paragraph" w:styleId="Tekstopmerking">
    <w:name w:val="annotation text"/>
    <w:basedOn w:val="Standaard"/>
    <w:link w:val="TekstopmerkingChar"/>
    <w:rsid w:val="00B10101"/>
    <w:pPr>
      <w:spacing w:line="240" w:lineRule="auto"/>
    </w:pPr>
    <w:rPr>
      <w:sz w:val="20"/>
      <w:szCs w:val="20"/>
    </w:rPr>
  </w:style>
  <w:style w:type="character" w:customStyle="1" w:styleId="TekstopmerkingChar">
    <w:name w:val="Tekst opmerking Char"/>
    <w:basedOn w:val="Standaardalinea-lettertype"/>
    <w:link w:val="Tekstopmerking"/>
    <w:rsid w:val="00B10101"/>
    <w:rPr>
      <w:rFonts w:ascii="Verdana" w:hAnsi="Verdana"/>
      <w:lang w:val="nl-NL" w:eastAsia="nl-NL"/>
    </w:rPr>
  </w:style>
  <w:style w:type="paragraph" w:styleId="Onderwerpvanopmerking">
    <w:name w:val="annotation subject"/>
    <w:basedOn w:val="Tekstopmerking"/>
    <w:next w:val="Tekstopmerking"/>
    <w:link w:val="OnderwerpvanopmerkingChar"/>
    <w:rsid w:val="00B10101"/>
    <w:rPr>
      <w:b/>
      <w:bCs/>
    </w:rPr>
  </w:style>
  <w:style w:type="character" w:customStyle="1" w:styleId="OnderwerpvanopmerkingChar">
    <w:name w:val="Onderwerp van opmerking Char"/>
    <w:basedOn w:val="TekstopmerkingChar"/>
    <w:link w:val="Onderwerpvanopmerking"/>
    <w:rsid w:val="00B10101"/>
    <w:rPr>
      <w:rFonts w:ascii="Verdana" w:hAnsi="Verdana"/>
      <w:b/>
      <w:bCs/>
      <w:lang w:val="nl-NL" w:eastAsia="nl-NL"/>
    </w:rPr>
  </w:style>
  <w:style w:type="paragraph" w:styleId="Revisie">
    <w:name w:val="Revision"/>
    <w:hidden/>
    <w:uiPriority w:val="99"/>
    <w:semiHidden/>
    <w:rsid w:val="00A126D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508">
      <w:bodyDiv w:val="1"/>
      <w:marLeft w:val="0"/>
      <w:marRight w:val="0"/>
      <w:marTop w:val="0"/>
      <w:marBottom w:val="0"/>
      <w:divBdr>
        <w:top w:val="none" w:sz="0" w:space="0" w:color="auto"/>
        <w:left w:val="none" w:sz="0" w:space="0" w:color="auto"/>
        <w:bottom w:val="none" w:sz="0" w:space="0" w:color="auto"/>
        <w:right w:val="none" w:sz="0" w:space="0" w:color="auto"/>
      </w:divBdr>
    </w:div>
    <w:div w:id="135418715">
      <w:bodyDiv w:val="1"/>
      <w:marLeft w:val="0"/>
      <w:marRight w:val="0"/>
      <w:marTop w:val="0"/>
      <w:marBottom w:val="0"/>
      <w:divBdr>
        <w:top w:val="none" w:sz="0" w:space="0" w:color="auto"/>
        <w:left w:val="none" w:sz="0" w:space="0" w:color="auto"/>
        <w:bottom w:val="none" w:sz="0" w:space="0" w:color="auto"/>
        <w:right w:val="none" w:sz="0" w:space="0" w:color="auto"/>
      </w:divBdr>
    </w:div>
    <w:div w:id="184833784">
      <w:bodyDiv w:val="1"/>
      <w:marLeft w:val="0"/>
      <w:marRight w:val="0"/>
      <w:marTop w:val="0"/>
      <w:marBottom w:val="0"/>
      <w:divBdr>
        <w:top w:val="none" w:sz="0" w:space="0" w:color="auto"/>
        <w:left w:val="none" w:sz="0" w:space="0" w:color="auto"/>
        <w:bottom w:val="none" w:sz="0" w:space="0" w:color="auto"/>
        <w:right w:val="none" w:sz="0" w:space="0" w:color="auto"/>
      </w:divBdr>
    </w:div>
    <w:div w:id="223025401">
      <w:bodyDiv w:val="1"/>
      <w:marLeft w:val="0"/>
      <w:marRight w:val="0"/>
      <w:marTop w:val="0"/>
      <w:marBottom w:val="0"/>
      <w:divBdr>
        <w:top w:val="none" w:sz="0" w:space="0" w:color="auto"/>
        <w:left w:val="none" w:sz="0" w:space="0" w:color="auto"/>
        <w:bottom w:val="none" w:sz="0" w:space="0" w:color="auto"/>
        <w:right w:val="none" w:sz="0" w:space="0" w:color="auto"/>
      </w:divBdr>
    </w:div>
    <w:div w:id="414669897">
      <w:bodyDiv w:val="1"/>
      <w:marLeft w:val="0"/>
      <w:marRight w:val="0"/>
      <w:marTop w:val="0"/>
      <w:marBottom w:val="0"/>
      <w:divBdr>
        <w:top w:val="none" w:sz="0" w:space="0" w:color="auto"/>
        <w:left w:val="none" w:sz="0" w:space="0" w:color="auto"/>
        <w:bottom w:val="none" w:sz="0" w:space="0" w:color="auto"/>
        <w:right w:val="none" w:sz="0" w:space="0" w:color="auto"/>
      </w:divBdr>
    </w:div>
    <w:div w:id="497505635">
      <w:bodyDiv w:val="1"/>
      <w:marLeft w:val="0"/>
      <w:marRight w:val="0"/>
      <w:marTop w:val="0"/>
      <w:marBottom w:val="0"/>
      <w:divBdr>
        <w:top w:val="none" w:sz="0" w:space="0" w:color="auto"/>
        <w:left w:val="none" w:sz="0" w:space="0" w:color="auto"/>
        <w:bottom w:val="none" w:sz="0" w:space="0" w:color="auto"/>
        <w:right w:val="none" w:sz="0" w:space="0" w:color="auto"/>
      </w:divBdr>
    </w:div>
    <w:div w:id="641424595">
      <w:bodyDiv w:val="1"/>
      <w:marLeft w:val="0"/>
      <w:marRight w:val="0"/>
      <w:marTop w:val="0"/>
      <w:marBottom w:val="0"/>
      <w:divBdr>
        <w:top w:val="none" w:sz="0" w:space="0" w:color="auto"/>
        <w:left w:val="none" w:sz="0" w:space="0" w:color="auto"/>
        <w:bottom w:val="none" w:sz="0" w:space="0" w:color="auto"/>
        <w:right w:val="none" w:sz="0" w:space="0" w:color="auto"/>
      </w:divBdr>
    </w:div>
    <w:div w:id="711467783">
      <w:bodyDiv w:val="1"/>
      <w:marLeft w:val="0"/>
      <w:marRight w:val="0"/>
      <w:marTop w:val="0"/>
      <w:marBottom w:val="0"/>
      <w:divBdr>
        <w:top w:val="none" w:sz="0" w:space="0" w:color="auto"/>
        <w:left w:val="none" w:sz="0" w:space="0" w:color="auto"/>
        <w:bottom w:val="none" w:sz="0" w:space="0" w:color="auto"/>
        <w:right w:val="none" w:sz="0" w:space="0" w:color="auto"/>
      </w:divBdr>
    </w:div>
    <w:div w:id="876623011">
      <w:bodyDiv w:val="1"/>
      <w:marLeft w:val="0"/>
      <w:marRight w:val="0"/>
      <w:marTop w:val="0"/>
      <w:marBottom w:val="0"/>
      <w:divBdr>
        <w:top w:val="none" w:sz="0" w:space="0" w:color="auto"/>
        <w:left w:val="none" w:sz="0" w:space="0" w:color="auto"/>
        <w:bottom w:val="none" w:sz="0" w:space="0" w:color="auto"/>
        <w:right w:val="none" w:sz="0" w:space="0" w:color="auto"/>
      </w:divBdr>
    </w:div>
    <w:div w:id="1213999166">
      <w:bodyDiv w:val="1"/>
      <w:marLeft w:val="0"/>
      <w:marRight w:val="0"/>
      <w:marTop w:val="0"/>
      <w:marBottom w:val="0"/>
      <w:divBdr>
        <w:top w:val="none" w:sz="0" w:space="0" w:color="auto"/>
        <w:left w:val="none" w:sz="0" w:space="0" w:color="auto"/>
        <w:bottom w:val="none" w:sz="0" w:space="0" w:color="auto"/>
        <w:right w:val="none" w:sz="0" w:space="0" w:color="auto"/>
      </w:divBdr>
    </w:div>
    <w:div w:id="1608348623">
      <w:bodyDiv w:val="1"/>
      <w:marLeft w:val="0"/>
      <w:marRight w:val="0"/>
      <w:marTop w:val="0"/>
      <w:marBottom w:val="0"/>
      <w:divBdr>
        <w:top w:val="none" w:sz="0" w:space="0" w:color="auto"/>
        <w:left w:val="none" w:sz="0" w:space="0" w:color="auto"/>
        <w:bottom w:val="none" w:sz="0" w:space="0" w:color="auto"/>
        <w:right w:val="none" w:sz="0" w:space="0" w:color="auto"/>
      </w:divBdr>
    </w:div>
    <w:div w:id="1802728899">
      <w:bodyDiv w:val="1"/>
      <w:marLeft w:val="0"/>
      <w:marRight w:val="0"/>
      <w:marTop w:val="0"/>
      <w:marBottom w:val="0"/>
      <w:divBdr>
        <w:top w:val="none" w:sz="0" w:space="0" w:color="auto"/>
        <w:left w:val="none" w:sz="0" w:space="0" w:color="auto"/>
        <w:bottom w:val="none" w:sz="0" w:space="0" w:color="auto"/>
        <w:right w:val="none" w:sz="0" w:space="0" w:color="auto"/>
      </w:divBdr>
    </w:div>
    <w:div w:id="1821774948">
      <w:bodyDiv w:val="1"/>
      <w:marLeft w:val="0"/>
      <w:marRight w:val="0"/>
      <w:marTop w:val="0"/>
      <w:marBottom w:val="0"/>
      <w:divBdr>
        <w:top w:val="none" w:sz="0" w:space="0" w:color="auto"/>
        <w:left w:val="none" w:sz="0" w:space="0" w:color="auto"/>
        <w:bottom w:val="none" w:sz="0" w:space="0" w:color="auto"/>
        <w:right w:val="none" w:sz="0" w:space="0" w:color="auto"/>
      </w:divBdr>
    </w:div>
    <w:div w:id="1904757033">
      <w:bodyDiv w:val="1"/>
      <w:marLeft w:val="0"/>
      <w:marRight w:val="0"/>
      <w:marTop w:val="0"/>
      <w:marBottom w:val="0"/>
      <w:divBdr>
        <w:top w:val="none" w:sz="0" w:space="0" w:color="auto"/>
        <w:left w:val="none" w:sz="0" w:space="0" w:color="auto"/>
        <w:bottom w:val="none" w:sz="0" w:space="0" w:color="auto"/>
        <w:right w:val="none" w:sz="0" w:space="0" w:color="auto"/>
      </w:divBdr>
    </w:div>
    <w:div w:id="2043893953">
      <w:bodyDiv w:val="1"/>
      <w:marLeft w:val="0"/>
      <w:marRight w:val="0"/>
      <w:marTop w:val="0"/>
      <w:marBottom w:val="0"/>
      <w:divBdr>
        <w:top w:val="none" w:sz="0" w:space="0" w:color="auto"/>
        <w:left w:val="none" w:sz="0" w:space="0" w:color="auto"/>
        <w:bottom w:val="none" w:sz="0" w:space="0" w:color="auto"/>
        <w:right w:val="none" w:sz="0" w:space="0" w:color="auto"/>
      </w:divBdr>
    </w:div>
    <w:div w:id="2066447997">
      <w:bodyDiv w:val="1"/>
      <w:marLeft w:val="0"/>
      <w:marRight w:val="0"/>
      <w:marTop w:val="0"/>
      <w:marBottom w:val="0"/>
      <w:divBdr>
        <w:top w:val="none" w:sz="0" w:space="0" w:color="auto"/>
        <w:left w:val="none" w:sz="0" w:space="0" w:color="auto"/>
        <w:bottom w:val="none" w:sz="0" w:space="0" w:color="auto"/>
        <w:right w:val="none" w:sz="0" w:space="0" w:color="auto"/>
      </w:divBdr>
    </w:div>
    <w:div w:id="21118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1422</ap:Words>
  <ap:Characters>7827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2025-12-16T08:13:00.0000000Z</lastPrinted>
  <dcterms:created xsi:type="dcterms:W3CDTF">2025-12-17T07:17:00.0000000Z</dcterms:created>
  <dcterms:modified xsi:type="dcterms:W3CDTF">2025-12-17T07:17:00.0000000Z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O234BRO</vt:lpwstr>
  </property>
  <property fmtid="{D5CDD505-2E9C-101B-9397-08002B2CF9AE}" pid="3" name="Author">
    <vt:lpwstr>O234BRO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Jaaroverzicht dossiers onderwijs vertrouwensinspecteurs 2024-2025</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O234BRO</vt:lpwstr>
  </property>
</Properties>
</file>